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3FCF80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551C755E">
            <w:pPr>
              <w:pStyle w:val="37"/>
              <w:framePr w:hRule="auto" w:wrap="auto" w:vAnchor="margin" w:hAnchor="text" w:xAlign="left" w:yAlign="inline"/>
              <w:rPr>
                <w:rFonts w:eastAsia="楷体_GB2312" w:cs="Calibri"/>
              </w:rPr>
            </w:pPr>
            <w:r>
              <w:rPr>
                <w:rFonts w:eastAsia="楷体_GB2312" w:cs="Calibri"/>
                <w:b w:val="0"/>
                <w:color w:val="FFFFFF" w:themeColor="background1"/>
                <w:sz w:val="16"/>
                <w:lang w:eastAsia="zh-CN"/>
                <w14:textFill>
                  <w14:solidFill>
                    <w14:schemeClr w14:val="bg1"/>
                  </w14:solidFill>
                </w14:textFill>
              </w:rPr>
              <w:t>[Table_Title]</w:t>
            </w:r>
          </w:p>
        </w:tc>
      </w:tr>
      <w:tr w14:paraId="3C3E61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16731176">
            <w:pPr>
              <w:pStyle w:val="37"/>
              <w:framePr w:hRule="auto"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2733" w:type="dxa"/>
            <w:vAlign w:val="center"/>
          </w:tcPr>
          <w:p w14:paraId="57719A6E">
            <w:pPr>
              <w:pStyle w:val="37"/>
              <w:framePr w:hRule="auto" w:wrap="auto" w:vAnchor="margin" w:hAnchor="text" w:xAlign="left" w:yAlign="inline"/>
              <w:rPr>
                <w:rFonts w:eastAsia="楷体_GB2312" w:cs="Calibri"/>
              </w:rPr>
            </w:pPr>
          </w:p>
        </w:tc>
      </w:tr>
      <w:tr w14:paraId="60B34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402F48C9">
            <w:pPr>
              <w:pStyle w:val="37"/>
              <w:framePr w:hRule="auto" w:wrap="auto" w:vAnchor="margin" w:hAnchor="text" w:xAlign="left" w:yAlign="inline"/>
              <w:rPr>
                <w:rFonts w:eastAsia="楷体_GB2312" w:cs="Calibri"/>
                <w:b w:val="0"/>
                <w:sz w:val="20"/>
                <w:szCs w:val="20"/>
                <w:lang w:eastAsia="zh-CN"/>
              </w:rPr>
            </w:pPr>
            <w:r>
              <w:rPr>
                <w:rFonts w:ascii="Calibri" w:eastAsia="楷体_GB2312"/>
                <w:b w:val="0"/>
                <w:i w:val="0"/>
                <w:color w:val="215E99"/>
                <w:sz w:val="16"/>
              </w:rPr>
              <w:t>17 Mar 2026</w:t>
            </w:r>
          </w:p>
        </w:tc>
        <w:tc>
          <w:tcPr>
            <w:tcW w:w="2733" w:type="dxa"/>
            <w:vAlign w:val="center"/>
          </w:tcPr>
          <w:p w14:paraId="71082653">
            <w:pPr>
              <w:pStyle w:val="37"/>
              <w:framePr w:hRule="auto" w:wrap="auto" w:vAnchor="margin" w:hAnchor="text" w:xAlign="left" w:yAlign="inline"/>
              <w:wordWrap w:val="0"/>
              <w:jc w:val="right"/>
              <w:rPr>
                <w:rFonts w:eastAsia="楷体_GB2312" w:cs="Calibri"/>
                <w:lang w:eastAsia="zh-CN"/>
              </w:rPr>
            </w:pPr>
          </w:p>
        </w:tc>
      </w:tr>
      <w:tr w14:paraId="28D37A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57B0F7B3">
            <w:pPr>
              <w:pStyle w:val="104"/>
              <w:framePr w:w="0" w:hRule="auto" w:wrap="auto" w:vAnchor="margin" w:hAnchor="text" w:xAlign="left" w:yAlign="inline"/>
              <w:rPr>
                <w:rFonts w:eastAsia="楷体_GB2312" w:cs="Calibri"/>
                <w:sz w:val="16"/>
                <w:szCs w:val="16"/>
                <w:lang w:val="en-GB" w:eastAsia="zh-CN"/>
              </w:rPr>
            </w:pPr>
          </w:p>
        </w:tc>
        <w:tc>
          <w:tcPr>
            <w:tcW w:w="2733" w:type="dxa"/>
            <w:vAlign w:val="center"/>
          </w:tcPr>
          <w:p w14:paraId="3B1B7E92">
            <w:pPr>
              <w:pStyle w:val="37"/>
              <w:framePr w:hRule="auto" w:wrap="auto" w:vAnchor="margin" w:hAnchor="text" w:xAlign="left" w:yAlign="inline"/>
              <w:jc w:val="right"/>
              <w:rPr>
                <w:rFonts w:eastAsia="楷体_GB2312" w:cs="Calibri"/>
              </w:rPr>
            </w:pPr>
          </w:p>
        </w:tc>
      </w:tr>
      <w:tr w14:paraId="5228A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583" w:hRule="exact"/>
        </w:trPr>
        <w:tc>
          <w:tcPr>
            <w:tcW w:w="10376" w:type="dxa"/>
            <w:gridSpan w:val="2"/>
          </w:tcPr>
          <w:p w14:paraId="5401550C">
            <w:pPr>
              <w:pStyle w:val="37"/>
              <w:framePr w:hRule="auto" w:wrap="auto" w:vAnchor="margin" w:hAnchor="text" w:xAlign="left" w:yAlign="inline"/>
              <w:rPr>
                <w:rFonts w:eastAsia="楷体_GB2312" w:cs="Calibri"/>
                <w:sz w:val="30"/>
              </w:rPr>
            </w:pPr>
            <w:r>
              <w:rPr>
                <w:rFonts w:ascii="Calibri" w:eastAsia="楷体_GB2312"/>
                <w:b w:val="0"/>
                <w:i w:val="0"/>
                <w:color w:val="215E99"/>
                <w:sz w:val="32"/>
                <w:lang w:eastAsia="zh-CN"/>
              </w:rPr>
              <w:t>全球</w:t>
            </w:r>
            <w:r>
              <w:rPr>
                <w:rFonts w:ascii="Calibri" w:eastAsia="楷体_GB2312"/>
                <w:b w:val="0"/>
                <w:i w:val="0"/>
                <w:color w:val="215E99"/>
                <w:sz w:val="32"/>
              </w:rPr>
              <w:t>宏观</w:t>
            </w:r>
            <w:r>
              <w:rPr>
                <w:rFonts w:ascii="Calibri" w:eastAsia="楷体_GB2312"/>
                <w:b w:val="0"/>
                <w:i w:val="0"/>
                <w:color w:val="215E99"/>
                <w:sz w:val="32"/>
                <w:lang w:eastAsia="zh-CN"/>
              </w:rPr>
              <w:t>World</w:t>
            </w:r>
            <w:r>
              <w:rPr>
                <w:rFonts w:ascii="Calibri" w:eastAsia="楷体_GB2312"/>
                <w:b w:val="0"/>
                <w:i w:val="0"/>
                <w:color w:val="215E99"/>
                <w:sz w:val="32"/>
              </w:rPr>
              <w:t xml:space="preserve"> Macro</w:t>
            </w:r>
          </w:p>
        </w:tc>
      </w:tr>
      <w:tr w14:paraId="41C9F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14" w:hRule="exact"/>
        </w:trPr>
        <w:tc>
          <w:tcPr>
            <w:tcW w:w="10376" w:type="dxa"/>
            <w:gridSpan w:val="2"/>
            <w:vAlign w:val="center"/>
          </w:tcPr>
          <w:p w14:paraId="1D6D4245">
            <w:pPr>
              <w:pStyle w:val="153"/>
              <w:spacing w:line="360" w:lineRule="exact"/>
              <w:rPr>
                <w:rFonts w:eastAsia="楷体_GB2312" w:cs="Calibri"/>
                <w:b w:val="0"/>
                <w:color w:val="215E99"/>
                <w:sz w:val="30"/>
                <w:szCs w:val="30"/>
                <w:lang w:eastAsia="zh-CN"/>
              </w:rPr>
            </w:pPr>
            <w:r>
              <w:rPr>
                <w:rFonts w:ascii="Calibri" w:eastAsia="楷体_GB2312"/>
                <w:b w:val="0"/>
                <w:i w:val="0"/>
                <w:color w:val="215E99"/>
                <w:sz w:val="30"/>
                <w:szCs w:val="30"/>
              </w:rPr>
              <w:t>斯卡吉特河水电项目重新许可：和解达成的里程碑与ESG三方博弈的深度透视</w:t>
            </w:r>
          </w:p>
          <w:p w14:paraId="5DEF562E">
            <w:pPr>
              <w:pStyle w:val="153"/>
              <w:spacing w:line="360" w:lineRule="exact"/>
              <w:rPr>
                <w:rFonts w:eastAsia="楷体_GB2312" w:cs="Calibri"/>
                <w:b w:val="0"/>
                <w:color w:val="23558C"/>
                <w:sz w:val="24"/>
                <w:szCs w:val="24"/>
                <w:lang w:val="zh-CN" w:eastAsia="zh-CN"/>
              </w:rPr>
            </w:pPr>
            <w:r>
              <w:rPr>
                <w:rFonts w:ascii="Calibri" w:eastAsia="楷体_GB2312"/>
                <w:b w:val="0"/>
                <w:i w:val="0"/>
                <w:color w:val="215E99"/>
                <w:sz w:val="32"/>
              </w:rPr>
              <w:t>Skagit River Hydropower Project Re-licensing: A Milestone in the Settlement and an In-Depth Perspective on the Complicated ESG Considerations</w:t>
            </w:r>
          </w:p>
        </w:tc>
      </w:tr>
      <w:tr w14:paraId="7C52C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8" w:hRule="exact"/>
        </w:trPr>
        <w:tc>
          <w:tcPr>
            <w:tcW w:w="10376" w:type="dxa"/>
            <w:gridSpan w:val="2"/>
            <w:vAlign w:val="center"/>
          </w:tcPr>
          <w:p w14:paraId="7CCDC02F">
            <w:pPr>
              <w:pStyle w:val="153"/>
              <w:spacing w:line="360" w:lineRule="exact"/>
              <w:rPr>
                <w:rFonts w:eastAsia="楷体_GB2312" w:cs="Calibri"/>
                <w:sz w:val="24"/>
                <w:szCs w:val="24"/>
              </w:rPr>
            </w:pPr>
          </w:p>
        </w:tc>
      </w:tr>
      <w:tr w14:paraId="1010A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808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5388"/>
            </w:tblGrid>
            <w:tr w14:paraId="68B2A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gridAfter w:val="1"/>
                <w:wAfter w:w="5388" w:type="dxa"/>
                <w:cantSplit/>
                <w:trHeight w:val="23" w:hRule="exact"/>
              </w:trPr>
              <w:tc>
                <w:tcPr>
                  <w:tcW w:w="2694" w:type="dxa"/>
                  <w:tcMar>
                    <w:right w:w="60" w:type="dxa"/>
                  </w:tcMar>
                </w:tcPr>
                <w:p w14:paraId="0FA93068">
                  <w:pPr>
                    <w:pStyle w:val="115"/>
                    <w:framePr w:wrap="auto" w:vAnchor="margin" w:hAnchor="text" w:yAlign="inline"/>
                    <w:rPr>
                      <w:rFonts w:eastAsia="楷体_GB2312" w:cs="Calibri"/>
                      <w:color w:val="FFFFFF" w:themeColor="background1"/>
                      <w14:textFill>
                        <w14:solidFill>
                          <w14:schemeClr w14:val="bg1"/>
                        </w14:solidFill>
                      </w14:textFill>
                    </w:rPr>
                  </w:pPr>
                  <w:r>
                    <w:rPr>
                      <w:rFonts w:eastAsia="楷体_GB2312" w:cs="Calibri"/>
                      <w:color w:val="FFFFFF" w:themeColor="background1"/>
                      <w14:textFill>
                        <w14:solidFill>
                          <w14:schemeClr w14:val="bg1"/>
                        </w14:solidFill>
                      </w14:textFill>
                    </w:rPr>
                    <w:t>[Table_Author]</w:t>
                  </w:r>
                </w:p>
              </w:tc>
            </w:tr>
            <w:tr w14:paraId="69C37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29F2FC3D">
                  <w:pPr>
                    <w:pStyle w:val="114"/>
                    <w:framePr w:wrap="auto" w:vAnchor="margin" w:hAnchor="text" w:yAlign="inline"/>
                    <w:rPr>
                      <w:rFonts w:eastAsia="楷体_GB2312" w:cs="Calibri"/>
                    </w:rPr>
                  </w:pPr>
                  <w:r>
                    <w:rPr>
                      <w:rFonts w:ascii="Calibri" w:eastAsia="楷体_GB2312"/>
                      <w:b/>
                      <w:i w:val="0"/>
                      <w:color w:val="000000"/>
                      <w:sz w:val="16"/>
                    </w:rPr>
                    <w:t>杨斌Bin Yang, SFC:BSQ313</w:t>
                  </w:r>
                </w:p>
              </w:tc>
              <w:tc>
                <w:tcPr>
                  <w:tcW w:w="5388" w:type="dxa"/>
                </w:tcPr>
                <w:p w14:paraId="0CB25FB2">
                  <w:r>
                    <w:rPr>
                      <w:rFonts w:ascii="Calibri" w:eastAsia="楷体_GB2312"/>
                      <w:b/>
                      <w:i w:val="0"/>
                      <w:color w:val="000000"/>
                      <w:sz w:val="16"/>
                    </w:rPr>
                    <w:t>邓轶达Yida Deng, SFC:BVF321</w:t>
                  </w:r>
                </w:p>
              </w:tc>
            </w:tr>
            <w:tr w14:paraId="7694B1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0B41CE51">
                  <w:pPr>
                    <w:pStyle w:val="114"/>
                    <w:framePr w:wrap="auto" w:vAnchor="margin" w:hAnchor="text" w:yAlign="inline"/>
                    <w:rPr>
                      <w:rFonts w:eastAsia="楷体_GB2312" w:cs="Calibri"/>
                      <w:b w:val="0"/>
                    </w:rPr>
                  </w:pPr>
                  <w:r>
                    <w:rPr>
                      <w:rFonts w:ascii="Calibri" w:eastAsia="楷体_GB2312"/>
                      <w:b w:val="0"/>
                      <w:i w:val="0"/>
                      <w:color w:val="000000"/>
                      <w:sz w:val="16"/>
                    </w:rPr>
                    <w:t>harryyang@hfisec.com.hk</w:t>
                  </w:r>
                </w:p>
              </w:tc>
              <w:tc>
                <w:tcPr>
                  <w:tcW w:w="5388" w:type="dxa"/>
                </w:tcPr>
                <w:p w14:paraId="773FA44D">
                  <w:r>
                    <w:rPr>
                      <w:rFonts w:ascii="Calibri" w:eastAsia="楷体_GB2312"/>
                      <w:b w:val="0"/>
                      <w:i w:val="0"/>
                      <w:color w:val="000000"/>
                      <w:sz w:val="16"/>
                    </w:rPr>
                    <w:t>dengyida@hfisec.com.hk</w:t>
                  </w:r>
                </w:p>
              </w:tc>
            </w:tr>
          </w:tbl>
          <w:p w14:paraId="416663D5">
            <w:pPr>
              <w:pStyle w:val="114"/>
              <w:framePr w:wrap="auto" w:vAnchor="margin" w:hAnchor="text" w:yAlign="inline"/>
              <w:rPr>
                <w:rFonts w:eastAsia="楷体_GB2312" w:cs="Calibri"/>
                <w:sz w:val="18"/>
                <w:szCs w:val="18"/>
                <w:lang w:val="en-GB"/>
              </w:rPr>
            </w:pPr>
          </w:p>
        </w:tc>
      </w:tr>
      <w:tr w14:paraId="63E5B6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6A76A004">
            <w:pPr>
              <w:pStyle w:val="114"/>
              <w:framePr w:wrap="auto" w:vAnchor="margin" w:hAnchor="text" w:yAlign="inline"/>
              <w:rPr>
                <w:rFonts w:eastAsia="楷体_GB2312" w:cs="Calibri"/>
                <w:b w:val="0"/>
              </w:rPr>
            </w:pPr>
          </w:p>
        </w:tc>
      </w:tr>
    </w:tbl>
    <w:p w14:paraId="7E8BF9A6">
      <w:pPr>
        <w:pStyle w:val="94"/>
        <w:spacing w:after="0" w:line="20" w:lineRule="exact"/>
        <w:rPr>
          <w:rFonts w:eastAsia="楷体_GB2312" w:cs="Calibri"/>
          <w:sz w:val="20"/>
          <w:lang w:eastAsia="zh-CN"/>
        </w:rPr>
      </w:pPr>
      <w:bookmarkStart w:id="0" w:name="OLE_LINK1"/>
      <w:bookmarkStart w:id="1" w:name="OLE_LINK2"/>
    </w:p>
    <w:tbl>
      <w:tblPr>
        <w:tblStyle w:val="27"/>
        <w:tblW w:w="0" w:type="auto"/>
        <w:tblCaption w:val="[Table_summary]"/>
        <w:tblDescription w:val="表格隐藏唯一标识（请勿删除或修改）"/>
        <w:tblInd w:w="4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0349"/>
      </w:tblGrid>
      <w:tr w14:paraId="1076B2A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0349" w:type="dxa"/>
          </w:tcPr>
          <w:p w14:paraId="5AF552CF">
            <w:pPr>
              <w:pStyle w:val="94"/>
              <w:spacing w:after="0"/>
              <w:rPr>
                <w:rFonts w:eastAsia="楷体_GB2312" w:cs="Calibri"/>
                <w:bCs/>
                <w:kern w:val="28"/>
                <w:sz w:val="20"/>
                <w:lang w:val="en-GB" w:eastAsia="zh-CN"/>
              </w:rPr>
            </w:pPr>
            <w:r>
              <w:rPr>
                <w:rFonts w:eastAsia="楷体_GB2312" w:cs="Calibri"/>
                <w:bCs/>
                <w:color w:val="FFFFFF" w:themeColor="background1"/>
                <w:kern w:val="28"/>
                <w:sz w:val="20"/>
                <w:lang w:val="en-GB" w:eastAsia="zh-CN"/>
                <w14:textFill>
                  <w14:solidFill>
                    <w14:schemeClr w14:val="bg1"/>
                  </w14:solidFill>
                </w14:textFill>
              </w:rPr>
              <w:t>[Table_summary]</w:t>
            </w:r>
          </w:p>
        </w:tc>
      </w:tr>
      <w:tr w14:paraId="33E1F54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353" w:hRule="atLeast"/>
        </w:trPr>
        <w:tc>
          <w:tcPr>
            <w:tcW w:w="10349" w:type="dxa"/>
          </w:tcPr>
          <w:p w14:paraId="5F4506ED">
            <w:pPr>
              <w:pStyle w:val="94"/>
              <w:spacing w:after="240"/>
              <w:rPr>
                <w:rFonts w:eastAsia="楷体_GB2312" w:cs="Calibri"/>
                <w:b/>
                <w:bCs/>
                <w:kern w:val="28"/>
                <w:lang w:eastAsia="zh-CN"/>
              </w:rPr>
            </w:pPr>
            <w:r>
              <w:rPr>
                <w:rFonts w:eastAsia="楷体_GB2312" w:cs="Calibri"/>
                <w:bCs/>
                <w:kern w:val="28"/>
                <w:sz w:val="20"/>
                <w:lang w:eastAsia="zh-CN"/>
              </w:rPr>
              <w:t>(</w:t>
            </w:r>
            <w:r>
              <w:rPr>
                <w:rFonts w:eastAsia="楷体_GB2312" w:cs="Calibri"/>
                <w:bCs/>
                <w:kern w:val="28"/>
                <w:sz w:val="20"/>
              </w:rPr>
              <w:t xml:space="preserve">Please see </w:t>
            </w:r>
            <w:r>
              <w:rPr>
                <w:rFonts w:eastAsia="楷体_GB2312" w:cs="Calibri"/>
                <w:bCs/>
                <w:kern w:val="28"/>
                <w:sz w:val="20"/>
                <w:lang w:eastAsia="zh-CN"/>
              </w:rPr>
              <w:t>APPENDIX 1</w:t>
            </w:r>
            <w:r>
              <w:rPr>
                <w:rFonts w:eastAsia="楷体_GB2312" w:cs="Calibri"/>
                <w:bCs/>
                <w:kern w:val="28"/>
                <w:sz w:val="20"/>
              </w:rPr>
              <w:t xml:space="preserve"> for English summary</w:t>
            </w:r>
            <w:r>
              <w:rPr>
                <w:rFonts w:eastAsia="楷体_GB2312" w:cs="Calibri"/>
                <w:bCs/>
                <w:kern w:val="28"/>
                <w:sz w:val="20"/>
                <w:lang w:eastAsia="zh-CN"/>
              </w:rPr>
              <w:t>)</w:t>
            </w:r>
          </w:p>
          <w:p w14:paraId="28797025">
            <w:pPr>
              <w:pStyle w:val="94"/>
              <w:rPr>
                <w:rFonts w:eastAsia="楷体_GB2312" w:cs="Calibri"/>
                <w:b/>
                <w:bCs/>
                <w:kern w:val="28"/>
                <w:lang w:eastAsia="zh-CN"/>
              </w:rPr>
            </w:pPr>
            <w:r>
              <w:rPr>
                <w:rFonts w:eastAsia="楷体_GB2312" w:cs="Calibri"/>
                <w:b/>
                <w:bCs/>
                <w:kern w:val="28"/>
              </w:rPr>
              <w:t>事件</w:t>
            </w:r>
          </w:p>
          <w:p w14:paraId="03F6EDF7">
            <w:pPr>
              <w:jc w:val="both"/>
              <w:rPr>
                <w:rFonts w:eastAsia="楷体_GB2312" w:cs="Calibri"/>
                <w:sz w:val="21"/>
                <w:szCs w:val="21"/>
                <w:lang w:val="zh-CN"/>
              </w:rPr>
            </w:pPr>
            <w:r>
              <w:rPr>
                <w:rFonts w:hint="eastAsia" w:eastAsia="楷体_GB2312" w:cs="Calibri"/>
                <w:snapToGrid/>
                <w:sz w:val="21"/>
                <w:szCs w:val="21"/>
                <w:lang w:eastAsia="zh-CN"/>
              </w:rPr>
              <w:t>2026年2月</w:t>
            </w:r>
            <w:r>
              <w:rPr>
                <w:rFonts w:eastAsia="楷体_GB2312" w:cs="Calibri"/>
                <w:snapToGrid/>
                <w:sz w:val="21"/>
                <w:szCs w:val="21"/>
                <w:lang w:eastAsia="zh-CN"/>
              </w:rPr>
              <w:t>西雅图市立灯光局（SCL）</w:t>
            </w:r>
            <w:r>
              <w:rPr>
                <w:rFonts w:hint="eastAsia" w:eastAsia="楷体_GB2312" w:cs="Calibri"/>
                <w:snapToGrid/>
                <w:sz w:val="21"/>
                <w:szCs w:val="21"/>
                <w:lang w:eastAsia="zh-CN"/>
              </w:rPr>
              <w:t>在</w:t>
            </w:r>
            <w:r>
              <w:rPr>
                <w:rFonts w:eastAsia="楷体_GB2312" w:cs="Calibri"/>
                <w:snapToGrid/>
                <w:sz w:val="21"/>
                <w:szCs w:val="21"/>
                <w:lang w:eastAsia="zh-CN"/>
              </w:rPr>
              <w:t>向美国联邦能源管理委员会（FERC）提交的一份正式进度报告</w:t>
            </w:r>
            <w:r>
              <w:rPr>
                <w:rFonts w:hint="eastAsia" w:eastAsia="楷体_GB2312" w:cs="Calibri"/>
                <w:snapToGrid/>
                <w:sz w:val="21"/>
                <w:szCs w:val="21"/>
                <w:lang w:eastAsia="zh-CN"/>
              </w:rPr>
              <w:t>中</w:t>
            </w:r>
            <w:r>
              <w:rPr>
                <w:rFonts w:eastAsia="楷体_GB2312" w:cs="Calibri"/>
                <w:snapToGrid/>
                <w:sz w:val="21"/>
                <w:szCs w:val="21"/>
                <w:lang w:eastAsia="zh-CN"/>
              </w:rPr>
              <w:t>宣布已于2025年12月与包括联邦、州政府机构、原住民部落及当地县政府在内的多方达成最终全面和解协议，旨在解决斯卡吉特河水电项目长达数年的重新许可争议。该项目位于华盛顿州，由三座大坝（Ross, Diablo, Gorge）组成，提供了西雅图市约</w:t>
            </w:r>
            <w:r>
              <w:rPr>
                <w:rFonts w:hint="eastAsia" w:eastAsia="楷体_GB2312" w:cs="Calibri"/>
                <w:snapToGrid/>
                <w:sz w:val="21"/>
                <w:szCs w:val="21"/>
                <w:lang w:eastAsia="zh-CN"/>
              </w:rPr>
              <w:t>2</w:t>
            </w:r>
            <w:r>
              <w:rPr>
                <w:rFonts w:eastAsia="楷体_GB2312" w:cs="Calibri"/>
                <w:snapToGrid/>
                <w:sz w:val="21"/>
                <w:szCs w:val="21"/>
                <w:lang w:eastAsia="zh-CN"/>
              </w:rPr>
              <w:t>0%的电力</w:t>
            </w:r>
            <w:r>
              <w:rPr>
                <w:rFonts w:hint="eastAsia" w:eastAsia="楷体_GB2312" w:cs="Calibri"/>
                <w:snapToGrid/>
                <w:sz w:val="21"/>
                <w:szCs w:val="21"/>
                <w:lang w:eastAsia="zh-CN"/>
              </w:rPr>
              <w:t>，</w:t>
            </w:r>
            <w:r>
              <w:rPr>
                <w:rFonts w:eastAsia="楷体_GB2312" w:cs="Calibri"/>
                <w:snapToGrid/>
                <w:sz w:val="21"/>
                <w:szCs w:val="21"/>
                <w:lang w:eastAsia="zh-CN"/>
              </w:rPr>
              <w:t>是西雅图实现碳中和目标的支柱资产。由于该项目位于重要的三文鱼栖息地斯卡吉特河并涉及原住民领地，其营运许可的更新过程极具复杂性。SCL预计于2026年4月获得市议会投票批准，并于5月向FERC提交包含最新环保措施的修订版最终许可申请。根据最新披露的财务规划，为获得未来50年的运营许可，该项目预计在许可期内总投入将高达38亿美元。该预算涵盖了约10亿美元的鱼道系统建设、3.5亿美元的部落补偿、以及引起广泛争议的1.2亿美元农田转栖息地补偿资金</w:t>
            </w:r>
            <w:r>
              <w:rPr>
                <w:rFonts w:hint="eastAsia" w:eastAsia="楷体_GB2312" w:cs="Calibri"/>
                <w:snapToGrid/>
                <w:sz w:val="21"/>
                <w:szCs w:val="21"/>
                <w:lang w:eastAsia="zh-CN"/>
              </w:rPr>
              <w:t>，</w:t>
            </w:r>
            <w:r>
              <w:rPr>
                <w:rFonts w:eastAsia="楷体_GB2312" w:cs="Calibri"/>
                <w:snapToGrid/>
                <w:sz w:val="21"/>
                <w:szCs w:val="21"/>
                <w:lang w:eastAsia="zh-CN"/>
              </w:rPr>
              <w:t>SCL计划通过提高电费来覆盖斯卡吉特河水电项目重新许可带来的巨额成本。</w:t>
            </w:r>
          </w:p>
          <w:p w14:paraId="00B41529">
            <w:pPr>
              <w:jc w:val="both"/>
              <w:rPr>
                <w:rFonts w:eastAsia="楷体_GB2312" w:cs="Calibri"/>
                <w:snapToGrid/>
                <w:sz w:val="21"/>
                <w:szCs w:val="21"/>
                <w:lang w:eastAsia="zh-CN"/>
              </w:rPr>
            </w:pPr>
          </w:p>
          <w:p w14:paraId="121A611E">
            <w:pPr>
              <w:pStyle w:val="94"/>
              <w:rPr>
                <w:rFonts w:eastAsia="楷体_GB2312" w:cs="Calibri"/>
                <w:b/>
                <w:bCs/>
                <w:kern w:val="28"/>
                <w:lang w:eastAsia="zh-CN"/>
              </w:rPr>
            </w:pPr>
            <w:r>
              <w:rPr>
                <w:rFonts w:eastAsia="楷体_GB2312" w:cs="Calibri"/>
                <w:b/>
                <w:bCs/>
                <w:kern w:val="28"/>
              </w:rPr>
              <w:t>点评</w:t>
            </w:r>
          </w:p>
          <w:p w14:paraId="578B2779">
            <w:pPr>
              <w:pStyle w:val="40"/>
              <w:jc w:val="both"/>
              <w:rPr>
                <w:rFonts w:eastAsia="楷体_GB2312" w:cs="Calibri"/>
                <w:snapToGrid/>
                <w:sz w:val="21"/>
                <w:szCs w:val="21"/>
                <w:lang w:val="zh-CN" w:eastAsia="zh-CN"/>
              </w:rPr>
            </w:pPr>
            <w:r>
              <w:rPr>
                <w:rFonts w:eastAsia="楷体_GB2312" w:cs="Calibri"/>
                <w:sz w:val="21"/>
                <w:szCs w:val="21"/>
                <w:lang w:val="zh-CN"/>
              </w:rPr>
              <w:t>斯卡吉特河水电项目的重新许可不仅是一个程序性的行政节点，更是观察北美公用事业资产估值发生结构性重塑的典型样本。</w:t>
            </w:r>
          </w:p>
          <w:p w14:paraId="12F282AA">
            <w:pPr>
              <w:pStyle w:val="40"/>
              <w:jc w:val="both"/>
              <w:rPr>
                <w:rFonts w:eastAsia="楷体_GB2312" w:cs="Calibri"/>
                <w:snapToGrid/>
                <w:sz w:val="21"/>
                <w:szCs w:val="21"/>
                <w:lang w:val="zh-CN" w:eastAsia="zh-CN"/>
              </w:rPr>
            </w:pPr>
          </w:p>
          <w:p w14:paraId="70AE925C">
            <w:pPr>
              <w:pStyle w:val="40"/>
              <w:jc w:val="both"/>
              <w:rPr>
                <w:rFonts w:eastAsia="楷体_GB2312" w:cs="Calibri"/>
                <w:snapToGrid/>
                <w:sz w:val="21"/>
                <w:szCs w:val="21"/>
                <w:lang w:val="zh-CN" w:eastAsia="zh-CN"/>
              </w:rPr>
            </w:pPr>
            <w:r>
              <w:rPr>
                <w:rFonts w:hint="eastAsia" w:eastAsia="楷体_GB2312" w:cs="Calibri"/>
                <w:b/>
                <w:bCs/>
                <w:snapToGrid/>
                <w:sz w:val="21"/>
                <w:szCs w:val="21"/>
                <w:lang w:val="zh-CN" w:eastAsia="zh-CN"/>
              </w:rPr>
              <w:t>我们观察到</w:t>
            </w:r>
            <w:r>
              <w:rPr>
                <w:rFonts w:eastAsia="楷体_GB2312" w:cs="Calibri"/>
                <w:b/>
                <w:bCs/>
                <w:snapToGrid/>
                <w:sz w:val="21"/>
                <w:szCs w:val="21"/>
                <w:lang w:val="zh-CN" w:eastAsia="zh-CN"/>
              </w:rPr>
              <w:t>特许经营权资产的成本正在被重新定义</w:t>
            </w:r>
            <w:r>
              <w:rPr>
                <w:rFonts w:eastAsia="楷体_GB2312" w:cs="Calibri"/>
                <w:snapToGrid/>
                <w:sz w:val="21"/>
                <w:szCs w:val="21"/>
                <w:lang w:val="zh-CN" w:eastAsia="zh-CN"/>
              </w:rPr>
              <w:t>。过去公用事业的资本开支主要集中在发电机组更新与电网韧性提升</w:t>
            </w:r>
            <w:r>
              <w:rPr>
                <w:rFonts w:hint="eastAsia" w:eastAsia="楷体_GB2312" w:cs="Calibri"/>
                <w:snapToGrid/>
                <w:sz w:val="21"/>
                <w:szCs w:val="21"/>
                <w:lang w:val="zh-CN" w:eastAsia="zh-CN"/>
              </w:rPr>
              <w:t>。</w:t>
            </w:r>
            <w:r>
              <w:rPr>
                <w:rFonts w:eastAsia="楷体_GB2312" w:cs="Calibri"/>
                <w:sz w:val="21"/>
                <w:szCs w:val="21"/>
                <w:lang w:val="zh-CN"/>
              </w:rPr>
              <w:t>水电因其卓越的负荷调节能力和零碳属性，在当前AI数据中心电力需求激增的背景下，正从传统的基础设施演变为极具稀缺性的灵活绿色电源</w:t>
            </w:r>
            <w:r>
              <w:rPr>
                <w:rFonts w:eastAsia="楷体_GB2312" w:cs="Calibri"/>
                <w:snapToGrid/>
                <w:sz w:val="21"/>
                <w:szCs w:val="21"/>
                <w:lang w:val="zh-CN" w:eastAsia="zh-CN"/>
              </w:rPr>
              <w:t>。然而，斯卡吉特案例表明，现代水电资产的价值维持正面临极高的合规成本。38亿美元的投入中，近三成资金（约13亿美元）直接用于鱼类保护和部落补偿，这类支出并不直接贡献发电增量，而是为了对冲监管风险和法律不确定性。对于投资者而言，这意味着该</w:t>
            </w:r>
            <w:r>
              <w:rPr>
                <w:rFonts w:hint="eastAsia" w:eastAsia="楷体_GB2312" w:cs="Calibri"/>
                <w:snapToGrid/>
                <w:sz w:val="21"/>
                <w:szCs w:val="21"/>
                <w:lang w:val="zh-CN" w:eastAsia="zh-CN"/>
              </w:rPr>
              <w:t>水电</w:t>
            </w:r>
            <w:r>
              <w:rPr>
                <w:rFonts w:eastAsia="楷体_GB2312" w:cs="Calibri"/>
                <w:snapToGrid/>
                <w:sz w:val="21"/>
                <w:szCs w:val="21"/>
                <w:lang w:val="zh-CN" w:eastAsia="zh-CN"/>
              </w:rPr>
              <w:t>资产的平准化能源成本将面临长期向上的结构性压力，</w:t>
            </w:r>
            <w:r>
              <w:rPr>
                <w:rFonts w:hint="eastAsia" w:eastAsia="楷体_GB2312" w:cs="Calibri"/>
                <w:snapToGrid/>
                <w:sz w:val="21"/>
                <w:szCs w:val="21"/>
                <w:lang w:val="zh-CN" w:eastAsia="zh-CN"/>
              </w:rPr>
              <w:t>传统的收益率模型需根据这一新增的</w:t>
            </w:r>
            <w:r>
              <w:rPr>
                <w:rFonts w:eastAsia="楷体_GB2312" w:cs="Calibri"/>
                <w:snapToGrid/>
                <w:sz w:val="21"/>
                <w:szCs w:val="21"/>
                <w:lang w:val="zh-CN" w:eastAsia="zh-CN"/>
              </w:rPr>
              <w:t xml:space="preserve"> “</w:t>
            </w:r>
            <w:r>
              <w:rPr>
                <w:rFonts w:hint="eastAsia" w:eastAsia="楷体_GB2312" w:cs="Calibri"/>
                <w:snapToGrid/>
                <w:sz w:val="21"/>
                <w:szCs w:val="21"/>
                <w:lang w:val="zh-CN" w:eastAsia="zh-CN"/>
              </w:rPr>
              <w:t>环境负债</w:t>
            </w:r>
            <w:r>
              <w:rPr>
                <w:rFonts w:eastAsia="楷体_GB2312" w:cs="Calibri"/>
                <w:snapToGrid/>
                <w:sz w:val="21"/>
                <w:szCs w:val="21"/>
                <w:lang w:val="zh-CN" w:eastAsia="zh-CN"/>
              </w:rPr>
              <w:t>”</w:t>
            </w:r>
            <w:r>
              <w:rPr>
                <w:rFonts w:hint="eastAsia" w:eastAsia="楷体_GB2312" w:cs="Calibri"/>
                <w:snapToGrid/>
                <w:sz w:val="21"/>
                <w:szCs w:val="21"/>
                <w:lang w:val="zh-CN" w:eastAsia="zh-CN"/>
              </w:rPr>
              <w:t xml:space="preserve"> 进行折现修正</w:t>
            </w:r>
            <w:r>
              <w:rPr>
                <w:rFonts w:eastAsia="楷体_GB2312" w:cs="Calibri"/>
                <w:snapToGrid/>
                <w:sz w:val="21"/>
                <w:szCs w:val="21"/>
                <w:lang w:val="zh-CN" w:eastAsia="zh-CN"/>
              </w:rPr>
              <w:t>。</w:t>
            </w:r>
          </w:p>
          <w:p w14:paraId="7E3CE70C">
            <w:pPr>
              <w:pStyle w:val="40"/>
              <w:jc w:val="both"/>
              <w:rPr>
                <w:rFonts w:eastAsia="楷体_GB2312" w:cs="Calibri"/>
                <w:snapToGrid/>
                <w:sz w:val="21"/>
                <w:szCs w:val="21"/>
                <w:lang w:val="zh-CN" w:eastAsia="zh-CN"/>
              </w:rPr>
            </w:pPr>
          </w:p>
          <w:p w14:paraId="24859641">
            <w:pPr>
              <w:pStyle w:val="40"/>
              <w:jc w:val="both"/>
              <w:rPr>
                <w:rFonts w:eastAsia="楷体_GB2312" w:cs="Calibri"/>
                <w:snapToGrid/>
                <w:sz w:val="21"/>
                <w:szCs w:val="21"/>
                <w:lang w:eastAsia="zh-CN"/>
              </w:rPr>
            </w:pPr>
            <w:r>
              <w:rPr>
                <w:rFonts w:hint="eastAsia" w:eastAsia="楷体_GB2312" w:cs="Calibri"/>
                <w:b/>
                <w:bCs/>
                <w:snapToGrid/>
                <w:sz w:val="21"/>
                <w:szCs w:val="21"/>
                <w:lang w:val="en-GB" w:eastAsia="zh-CN"/>
              </w:rPr>
              <w:t>未来公用事业项目的估值核心逻辑将不仅仅取决于</w:t>
            </w:r>
            <w:r>
              <w:rPr>
                <w:rFonts w:eastAsia="楷体_GB2312" w:cs="Calibri"/>
                <w:b/>
                <w:bCs/>
                <w:snapToGrid/>
                <w:sz w:val="21"/>
                <w:szCs w:val="21"/>
                <w:lang w:val="en-GB" w:eastAsia="zh-CN"/>
              </w:rPr>
              <w:t>资本开支的可预测性</w:t>
            </w:r>
            <w:r>
              <w:rPr>
                <w:rFonts w:hint="eastAsia" w:eastAsia="楷体_GB2312" w:cs="Calibri"/>
                <w:b/>
                <w:bCs/>
                <w:snapToGrid/>
                <w:sz w:val="21"/>
                <w:szCs w:val="21"/>
                <w:lang w:val="en-GB" w:eastAsia="zh-CN"/>
              </w:rPr>
              <w:t>，更取决于环境社会监管ESG三方博弈下</w:t>
            </w:r>
            <w:r>
              <w:rPr>
                <w:rFonts w:eastAsia="楷体_GB2312" w:cs="Calibri"/>
                <w:b/>
                <w:bCs/>
                <w:snapToGrid/>
                <w:sz w:val="21"/>
                <w:szCs w:val="21"/>
                <w:lang w:val="en-GB" w:eastAsia="zh-CN"/>
              </w:rPr>
              <w:t>费率定价机制的传导弹性。</w:t>
            </w:r>
            <w:r>
              <w:rPr>
                <w:rFonts w:eastAsia="楷体_GB2312" w:cs="Calibri"/>
                <w:snapToGrid/>
                <w:sz w:val="21"/>
                <w:szCs w:val="21"/>
                <w:lang w:val="en-GB" w:eastAsia="zh-CN"/>
              </w:rPr>
              <w:t>虽然市政公用事业的身份赋予了SCL将38亿美元投入内化为费率收入的能力，但在实际估值</w:t>
            </w:r>
            <w:r>
              <w:rPr>
                <w:rFonts w:hint="eastAsia" w:eastAsia="楷体_GB2312" w:cs="Calibri"/>
                <w:snapToGrid/>
                <w:sz w:val="21"/>
                <w:szCs w:val="21"/>
                <w:lang w:val="en-GB" w:eastAsia="zh-CN"/>
              </w:rPr>
              <w:t>测算</w:t>
            </w:r>
            <w:r>
              <w:rPr>
                <w:rFonts w:eastAsia="楷体_GB2312" w:cs="Calibri"/>
                <w:snapToGrid/>
                <w:sz w:val="21"/>
                <w:szCs w:val="21"/>
                <w:lang w:val="en-GB" w:eastAsia="zh-CN"/>
              </w:rPr>
              <w:t>中，必须审视社会承受力对这一传导机制的制约。目前围绕1.2亿美元农田补偿金的争议，正是社会风险变量在财务预测中的具体映射。任何源于社会维度的摩擦若导致许可进程偏离预期时间表，都将直接导致资金占用成本的无谓损耗，并通过折现率的波动直接侵蚀资产的长期内在价值</w:t>
            </w:r>
            <w:r>
              <w:rPr>
                <w:rFonts w:eastAsia="楷体_GB2312" w:cs="Calibri"/>
                <w:snapToGrid/>
                <w:sz w:val="21"/>
                <w:szCs w:val="21"/>
                <w:lang w:val="zh-CN" w:eastAsia="zh-CN"/>
              </w:rPr>
              <w:t>。</w:t>
            </w:r>
            <w:r>
              <w:rPr>
                <w:rFonts w:eastAsia="楷体_GB2312" w:cs="Calibri"/>
                <w:snapToGrid/>
                <w:sz w:val="21"/>
                <w:szCs w:val="21"/>
                <w:lang w:val="en-GB" w:eastAsia="zh-CN"/>
              </w:rPr>
              <w:t>在全球追求碳中和及AI电力需求激增的背景下，斯卡吉特河项目这种提供城市20%负荷的零碳电源具备极高的战略防御性。38亿美元虽然昂贵，但在获取长期运营确定性的前提下，</w:t>
            </w:r>
            <w:r>
              <w:rPr>
                <w:rFonts w:hint="eastAsia" w:eastAsia="楷体_GB2312" w:cs="Calibri"/>
                <w:snapToGrid/>
                <w:sz w:val="21"/>
                <w:szCs w:val="21"/>
                <w:lang w:val="en-GB" w:eastAsia="zh-CN"/>
              </w:rPr>
              <w:t>这种支出可以被视为一种战略性去风险投入。</w:t>
            </w:r>
            <w:r>
              <w:rPr>
                <w:rFonts w:eastAsia="楷体_GB2312" w:cs="Calibri"/>
                <w:snapToGrid/>
                <w:sz w:val="21"/>
                <w:szCs w:val="21"/>
                <w:lang w:val="en-GB" w:eastAsia="zh-CN"/>
              </w:rPr>
              <w:t>但投资者需高度警惕：当环境保护的外部性成本如此大规模地内部化为企业负债时，</w:t>
            </w:r>
            <w:r>
              <w:rPr>
                <w:rFonts w:hint="eastAsia" w:eastAsia="楷体_GB2312" w:cs="Calibri"/>
                <w:snapToGrid/>
                <w:sz w:val="21"/>
                <w:szCs w:val="21"/>
                <w:lang w:val="en-GB" w:eastAsia="zh-CN"/>
              </w:rPr>
              <w:t>水电资产的属性正在从</w:t>
            </w:r>
            <w:r>
              <w:rPr>
                <w:rFonts w:eastAsia="楷体_GB2312" w:cs="Calibri"/>
                <w:snapToGrid/>
                <w:sz w:val="21"/>
                <w:szCs w:val="21"/>
                <w:lang w:val="en-GB" w:eastAsia="zh-CN"/>
              </w:rPr>
              <w:t xml:space="preserve"> “</w:t>
            </w:r>
            <w:r>
              <w:rPr>
                <w:rFonts w:hint="eastAsia" w:eastAsia="楷体_GB2312" w:cs="Calibri"/>
                <w:snapToGrid/>
                <w:sz w:val="21"/>
                <w:szCs w:val="21"/>
                <w:lang w:val="en-GB" w:eastAsia="zh-CN"/>
              </w:rPr>
              <w:t>高利润能源生产商</w:t>
            </w:r>
            <w:r>
              <w:rPr>
                <w:rFonts w:eastAsia="楷体_GB2312" w:cs="Calibri"/>
                <w:snapToGrid/>
                <w:sz w:val="21"/>
                <w:szCs w:val="21"/>
                <w:lang w:val="en-GB" w:eastAsia="zh-CN"/>
              </w:rPr>
              <w:t>”</w:t>
            </w:r>
            <w:r>
              <w:rPr>
                <w:rFonts w:hint="eastAsia" w:eastAsia="楷体_GB2312" w:cs="Calibri"/>
                <w:snapToGrid/>
                <w:sz w:val="21"/>
                <w:szCs w:val="21"/>
                <w:lang w:val="en-GB" w:eastAsia="zh-CN"/>
              </w:rPr>
              <w:t xml:space="preserve"> 向</w:t>
            </w:r>
            <w:r>
              <w:rPr>
                <w:rFonts w:eastAsia="楷体_GB2312" w:cs="Calibri"/>
                <w:snapToGrid/>
                <w:sz w:val="21"/>
                <w:szCs w:val="21"/>
                <w:lang w:val="en-GB" w:eastAsia="zh-CN"/>
              </w:rPr>
              <w:t xml:space="preserve"> “</w:t>
            </w:r>
            <w:r>
              <w:rPr>
                <w:rFonts w:hint="eastAsia" w:eastAsia="楷体_GB2312" w:cs="Calibri"/>
                <w:snapToGrid/>
                <w:sz w:val="21"/>
                <w:szCs w:val="21"/>
                <w:lang w:val="en-GB" w:eastAsia="zh-CN"/>
              </w:rPr>
              <w:t>环境合规综合运营商</w:t>
            </w:r>
            <w:r>
              <w:rPr>
                <w:rFonts w:eastAsia="楷体_GB2312" w:cs="Calibri"/>
                <w:snapToGrid/>
                <w:sz w:val="21"/>
                <w:szCs w:val="21"/>
                <w:lang w:val="en-GB" w:eastAsia="zh-CN"/>
              </w:rPr>
              <w:t>”</w:t>
            </w:r>
            <w:r>
              <w:rPr>
                <w:rFonts w:hint="eastAsia" w:eastAsia="楷体_GB2312" w:cs="Calibri"/>
                <w:snapToGrid/>
                <w:sz w:val="21"/>
                <w:szCs w:val="21"/>
                <w:lang w:val="en-GB" w:eastAsia="zh-CN"/>
              </w:rPr>
              <w:t xml:space="preserve"> 转型</w:t>
            </w:r>
            <w:r>
              <w:rPr>
                <w:rFonts w:eastAsia="楷体_GB2312" w:cs="Calibri"/>
                <w:snapToGrid/>
                <w:sz w:val="21"/>
                <w:szCs w:val="21"/>
                <w:lang w:val="en-GB" w:eastAsia="zh-CN"/>
              </w:rPr>
              <w:t>。建议投资者重新审视北美及全球大型水电资产的再许可风险。</w:t>
            </w:r>
            <w:r>
              <w:rPr>
                <w:rFonts w:hint="eastAsia" w:eastAsia="楷体_GB2312" w:cs="Calibri"/>
                <w:snapToGrid/>
                <w:sz w:val="21"/>
                <w:szCs w:val="21"/>
                <w:lang w:val="en-GB" w:eastAsia="zh-CN"/>
              </w:rPr>
              <w:t>未来</w:t>
            </w:r>
            <w:r>
              <w:rPr>
                <w:rFonts w:eastAsia="楷体_GB2312" w:cs="Calibri"/>
                <w:snapToGrid/>
                <w:sz w:val="21"/>
                <w:szCs w:val="21"/>
                <w:lang w:val="en-GB" w:eastAsia="zh-CN"/>
              </w:rPr>
              <w:t xml:space="preserve"> “</w:t>
            </w:r>
            <w:r>
              <w:rPr>
                <w:rFonts w:hint="eastAsia" w:eastAsia="楷体_GB2312" w:cs="Calibri"/>
                <w:snapToGrid/>
                <w:sz w:val="21"/>
                <w:szCs w:val="21"/>
                <w:lang w:val="en-GB" w:eastAsia="zh-CN"/>
              </w:rPr>
              <w:t>续牌</w:t>
            </w:r>
            <w:r>
              <w:rPr>
                <w:rFonts w:eastAsia="楷体_GB2312" w:cs="Calibri"/>
                <w:snapToGrid/>
                <w:sz w:val="21"/>
                <w:szCs w:val="21"/>
                <w:lang w:val="en-GB" w:eastAsia="zh-CN"/>
              </w:rPr>
              <w:t>”</w:t>
            </w:r>
            <w:r>
              <w:rPr>
                <w:rFonts w:hint="eastAsia" w:eastAsia="楷体_GB2312" w:cs="Calibri"/>
                <w:snapToGrid/>
                <w:sz w:val="21"/>
                <w:szCs w:val="21"/>
                <w:lang w:val="en-GB" w:eastAsia="zh-CN"/>
              </w:rPr>
              <w:t xml:space="preserve"> 成本将成为衡量此类资产质量的关键指标</w:t>
            </w:r>
            <w:r>
              <w:rPr>
                <w:rFonts w:eastAsia="楷体_GB2312" w:cs="Calibri"/>
                <w:snapToGrid/>
                <w:sz w:val="21"/>
                <w:szCs w:val="21"/>
                <w:lang w:val="en-GB" w:eastAsia="zh-CN"/>
              </w:rPr>
              <w:t>，38亿美元的斯卡吉特标准可能成为行业内其他类似项目的定价锚点。</w:t>
            </w:r>
          </w:p>
        </w:tc>
      </w:tr>
      <w:bookmarkEnd w:id="0"/>
      <w:bookmarkEnd w:id="1"/>
    </w:tbl>
    <w:p w14:paraId="7C42B54B">
      <w:pPr>
        <w:spacing w:before="240" w:beforeLines="100" w:after="240" w:afterLines="100"/>
        <w:rPr>
          <w:rFonts w:eastAsia="宋体"/>
          <w:lang w:eastAsia="zh-CN"/>
        </w:rPr>
      </w:pPr>
    </w:p>
    <w:p w14:paraId="2631F0D0">
      <w:pPr>
        <w:spacing w:before="240" w:beforeLines="100" w:after="240" w:afterLines="100"/>
        <w:rPr>
          <w:rFonts w:eastAsia="宋体"/>
          <w:lang w:eastAsia="zh-CN"/>
        </w:rPr>
        <w:sectPr>
          <w:headerReference r:id="rId5" w:type="first"/>
          <w:footerReference r:id="rId8" w:type="first"/>
          <w:headerReference r:id="rId3" w:type="default"/>
          <w:footerReference r:id="rId6" w:type="default"/>
          <w:headerReference r:id="rId4" w:type="even"/>
          <w:footerReference r:id="rId7" w:type="even"/>
          <w:pgSz w:w="11909" w:h="16834"/>
          <w:pgMar w:top="1134" w:right="851" w:bottom="1321" w:left="851" w:header="284" w:footer="1157" w:gutter="0"/>
          <w:cols w:space="720" w:num="1"/>
          <w:docGrid w:linePitch="360" w:charSpace="0"/>
        </w:sectPr>
      </w:pPr>
    </w:p>
    <w:p w14:paraId="0664E170">
      <w:pPr>
        <w:pStyle w:val="94"/>
        <w:rPr>
          <w:rFonts w:eastAsia="楷体_GB2312" w:cs="Calibri"/>
          <w:b/>
          <w:bCs/>
          <w:kern w:val="28"/>
          <w:lang w:eastAsia="zh-CN"/>
        </w:rPr>
      </w:pPr>
      <w:r>
        <w:rPr>
          <w:rFonts w:eastAsia="楷体_GB2312" w:cs="Calibri"/>
          <w:b/>
          <w:bCs/>
          <w:kern w:val="28"/>
          <w:lang w:eastAsia="zh-CN"/>
        </w:rPr>
        <w:t>投资建议</w:t>
      </w:r>
    </w:p>
    <w:p w14:paraId="7EBD27FC">
      <w:pPr>
        <w:pStyle w:val="24"/>
        <w:widowControl w:val="0"/>
        <w:adjustRightInd w:val="0"/>
        <w:snapToGrid w:val="0"/>
        <w:spacing w:before="120" w:beforeAutospacing="0" w:after="0" w:afterAutospacing="0"/>
        <w:ind w:firstLine="420" w:firstLineChars="200"/>
        <w:jc w:val="both"/>
        <w:rPr>
          <w:rFonts w:ascii="Calibri" w:hAnsi="Calibri" w:eastAsia="楷体_GB2312" w:cs="Calibri"/>
          <w:sz w:val="21"/>
          <w:szCs w:val="21"/>
        </w:rPr>
      </w:pPr>
      <w:r>
        <w:rPr>
          <w:rFonts w:hint="eastAsia" w:ascii="Calibri" w:hAnsi="Calibri" w:eastAsia="楷体_GB2312" w:cs="Calibri"/>
          <w:sz w:val="21"/>
          <w:szCs w:val="21"/>
          <w:lang w:val="en-GB"/>
        </w:rPr>
        <w:t>我们建议关注聚焦</w:t>
      </w:r>
      <w:r>
        <w:rPr>
          <w:rFonts w:ascii="Calibri" w:hAnsi="Calibri" w:eastAsia="楷体_GB2312" w:cs="Calibri"/>
          <w:sz w:val="21"/>
          <w:szCs w:val="21"/>
          <w:lang w:val="en-GB"/>
        </w:rPr>
        <w:t>美国具备大规模水利发电设备研发与数字化电网解决方案能力的龙头企业</w:t>
      </w:r>
      <w:r>
        <w:rPr>
          <w:rFonts w:hint="eastAsia" w:ascii="Calibri" w:hAnsi="Calibri" w:eastAsia="楷体_GB2312" w:cs="Calibri"/>
          <w:sz w:val="21"/>
          <w:szCs w:val="21"/>
          <w:lang w:val="en-GB"/>
        </w:rPr>
        <w:t>GE Vernova；</w:t>
      </w:r>
      <w:r>
        <w:rPr>
          <w:rFonts w:ascii="Calibri" w:hAnsi="Calibri" w:eastAsia="楷体_GB2312" w:cs="Calibri"/>
          <w:sz w:val="21"/>
          <w:szCs w:val="21"/>
          <w:lang w:val="en-GB"/>
        </w:rPr>
        <w:t>领先的电力基础设施承包商</w:t>
      </w:r>
      <w:r>
        <w:rPr>
          <w:rFonts w:hint="eastAsia" w:ascii="Calibri" w:hAnsi="Calibri" w:eastAsia="楷体_GB2312" w:cs="Times New Roman"/>
          <w:sz w:val="21"/>
          <w:szCs w:val="21"/>
        </w:rPr>
        <w:t>广达服务</w:t>
      </w:r>
      <w:r>
        <w:rPr>
          <w:rFonts w:hint="eastAsia" w:ascii="Calibri" w:hAnsi="Calibri" w:eastAsia="楷体_GB2312" w:cs="Calibri"/>
          <w:sz w:val="21"/>
          <w:szCs w:val="21"/>
          <w:lang w:val="en-GB"/>
        </w:rPr>
        <w:t>和MasTec。</w:t>
      </w:r>
    </w:p>
    <w:p w14:paraId="4B58165F">
      <w:pPr>
        <w:pStyle w:val="24"/>
        <w:widowControl w:val="0"/>
        <w:tabs>
          <w:tab w:val="left" w:pos="7716"/>
        </w:tabs>
        <w:adjustRightInd w:val="0"/>
        <w:snapToGrid w:val="0"/>
        <w:spacing w:before="120" w:beforeAutospacing="0" w:after="0" w:afterAutospacing="0"/>
        <w:ind w:firstLine="420" w:firstLineChars="200"/>
        <w:jc w:val="both"/>
        <w:rPr>
          <w:rFonts w:eastAsia="楷体_GB2312" w:cs="Calibri"/>
          <w:sz w:val="21"/>
          <w:szCs w:val="21"/>
          <w:lang w:val="en-GB"/>
        </w:rPr>
      </w:pPr>
      <w:r>
        <w:rPr>
          <w:rFonts w:eastAsia="楷体_GB2312" w:cs="Calibri"/>
          <w:sz w:val="21"/>
          <w:szCs w:val="21"/>
        </w:rPr>
        <w:t xml:space="preserve"> </w:t>
      </w:r>
      <w:r>
        <w:rPr>
          <w:rFonts w:eastAsia="楷体_GB2312" w:cs="Calibri"/>
          <w:sz w:val="21"/>
          <w:szCs w:val="21"/>
        </w:rPr>
        <w:tab/>
      </w:r>
    </w:p>
    <w:p w14:paraId="54688E29">
      <w:pPr>
        <w:pStyle w:val="94"/>
        <w:rPr>
          <w:rFonts w:eastAsia="楷体_GB2312" w:cs="Calibri"/>
          <w:b/>
          <w:bCs/>
          <w:kern w:val="28"/>
        </w:rPr>
      </w:pPr>
      <w:r>
        <w:rPr>
          <w:rFonts w:eastAsia="楷体_GB2312" w:cs="Calibri"/>
          <w:b/>
          <w:bCs/>
          <w:kern w:val="28"/>
        </w:rPr>
        <w:t>风险</w:t>
      </w:r>
    </w:p>
    <w:p w14:paraId="288BB0EC">
      <w:pPr>
        <w:pStyle w:val="40"/>
        <w:jc w:val="both"/>
        <w:rPr>
          <w:rFonts w:eastAsia="楷体_GB2312" w:cs="Calibri"/>
          <w:bCs/>
          <w:sz w:val="20"/>
          <w:szCs w:val="20"/>
          <w:lang w:val="zh-CN"/>
        </w:rPr>
      </w:pPr>
      <w:r>
        <w:rPr>
          <w:rFonts w:hint="eastAsia" w:eastAsia="楷体_GB2312" w:cs="Calibri"/>
          <w:snapToGrid/>
          <w:sz w:val="21"/>
          <w:szCs w:val="21"/>
          <w:lang w:val="en-GB" w:eastAsia="zh-CN"/>
        </w:rPr>
        <w:t xml:space="preserve">   </w:t>
      </w:r>
      <w:r>
        <w:rPr>
          <w:rFonts w:eastAsia="楷体_GB2312" w:cs="Calibri"/>
          <w:snapToGrid/>
          <w:sz w:val="21"/>
          <w:szCs w:val="21"/>
          <w:lang w:val="en-GB" w:eastAsia="zh-CN"/>
        </w:rPr>
        <w:t>费率上调受阻风险</w:t>
      </w:r>
      <w:r>
        <w:rPr>
          <w:rFonts w:hint="eastAsia" w:eastAsia="楷体_GB2312" w:cs="Calibri"/>
          <w:snapToGrid/>
          <w:sz w:val="21"/>
          <w:szCs w:val="21"/>
          <w:lang w:val="en-GB" w:eastAsia="zh-CN"/>
        </w:rPr>
        <w:t>，</w:t>
      </w:r>
      <w:r>
        <w:rPr>
          <w:rFonts w:eastAsia="楷体_GB2312" w:cs="Calibri"/>
          <w:snapToGrid/>
          <w:sz w:val="21"/>
          <w:szCs w:val="21"/>
          <w:lang w:val="en-GB" w:eastAsia="zh-CN"/>
        </w:rPr>
        <w:t>通胀与成本超支风险，法律执行风险。</w:t>
      </w:r>
      <w:bookmarkStart w:id="2" w:name="_GoBack"/>
      <w:bookmarkEnd w:id="2"/>
    </w:p>
    <w:p w14:paraId="7EB74057">
      <w:pPr>
        <w:spacing w:before="100" w:after="100"/>
        <w:jc w:val="both"/>
        <w:rPr>
          <w:rFonts w:eastAsia="楷体_GB2312" w:cs="Calibri"/>
          <w:bCs/>
          <w:sz w:val="20"/>
          <w:szCs w:val="20"/>
          <w:lang w:val="zh-CN"/>
        </w:rPr>
      </w:pPr>
    </w:p>
    <w:p w14:paraId="1842DF85">
      <w:pPr>
        <w:rPr>
          <w:rFonts w:eastAsia="楷体_GB2312" w:cs="Calibri"/>
          <w:bCs/>
          <w:sz w:val="20"/>
          <w:szCs w:val="20"/>
          <w:lang w:val="zh-CN"/>
        </w:rPr>
      </w:pPr>
      <w:r>
        <w:rPr>
          <w:rFonts w:eastAsia="楷体_GB2312" w:cs="Calibri"/>
          <w:bCs/>
          <w:sz w:val="20"/>
          <w:szCs w:val="20"/>
          <w:lang w:val="zh-CN"/>
        </w:rPr>
        <w:br w:type="page"/>
      </w:r>
    </w:p>
    <w:p w14:paraId="10A96005">
      <w:pPr>
        <w:pStyle w:val="12"/>
        <w:spacing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APPENDIX 1</w:t>
      </w:r>
    </w:p>
    <w:p w14:paraId="1170346B">
      <w:pPr>
        <w:pStyle w:val="12"/>
        <w:spacing w:before="120" w:beforeLines="50" w:after="120" w:afterLines="50" w:line="260" w:lineRule="exact"/>
        <w:ind w:left="0" w:leftChars="0" w:right="42" w:firstLine="0"/>
        <w:jc w:val="both"/>
        <w:rPr>
          <w:rFonts w:ascii="Calibri" w:hAnsi="Calibri" w:eastAsia="楷体_GB2312" w:cs="Calibri"/>
          <w:b/>
          <w:sz w:val="20"/>
          <w:szCs w:val="20"/>
        </w:rPr>
      </w:pPr>
      <w:r>
        <w:rPr>
          <w:rFonts w:ascii="Calibri" w:hAnsi="Calibri" w:eastAsia="楷体_GB2312" w:cs="Calibri"/>
          <w:b/>
          <w:sz w:val="20"/>
          <w:szCs w:val="20"/>
        </w:rPr>
        <w:t>Summary</w:t>
      </w:r>
    </w:p>
    <w:p w14:paraId="685F48FB">
      <w:pPr>
        <w:pStyle w:val="40"/>
        <w:jc w:val="both"/>
        <w:rPr>
          <w:rFonts w:eastAsia="楷体_GB2312" w:cs="Calibri"/>
          <w:snapToGrid/>
          <w:sz w:val="21"/>
          <w:szCs w:val="21"/>
          <w:lang w:val="zh-CN" w:eastAsia="zh-CN"/>
        </w:rPr>
      </w:pPr>
      <w:r>
        <w:rPr>
          <w:rFonts w:eastAsia="楷体_GB2312" w:cs="Calibri"/>
          <w:snapToGrid/>
          <w:sz w:val="21"/>
          <w:szCs w:val="21"/>
          <w:lang w:val="zh-CN" w:eastAsia="zh-CN"/>
        </w:rPr>
        <w:t>Seattle City Light (SCL) secured a $3.8 billion settlement to relicense the Skagit River Hydroelectric Project, critical for 20% of the city’s power and carbon goals. This cost, covering fish protection, tribal compensation, and habitat restoration, will be passed to consumers via rate hikes. The deal marks a structural shift in utility valuation: hydropower is transitioning from a low-cost energy source to a high-compliance asset. With nearly one-third of spending dedicated to regulatory and social obligations rather than generation capacity, levelized energy costs face upward pressure. While securing long-term operational certainty amidst surging AI demand, the "Skagit standard" signals that future hydropower investments must account for massive environmental liabilities. Investors should now view such assets as "environmental compliance operators," where relicensing costs, not just generation potential, define intrinsic value and risk profiles globally.</w:t>
      </w:r>
    </w:p>
    <w:p w14:paraId="2596D9EA">
      <w:pPr>
        <w:spacing w:before="100" w:after="100"/>
        <w:jc w:val="both"/>
        <w:rPr>
          <w:rFonts w:eastAsia="楷体_GB2312" w:cs="Calibri"/>
          <w:bCs/>
          <w:sz w:val="20"/>
          <w:szCs w:val="20"/>
          <w:lang w:val="zh-CN"/>
        </w:rPr>
      </w:pPr>
    </w:p>
    <w:p w14:paraId="66E08E27">
      <w:pPr>
        <w:spacing w:before="100" w:after="100"/>
        <w:jc w:val="both"/>
        <w:rPr>
          <w:rFonts w:eastAsia="楷体_GB2312" w:cs="Calibri"/>
          <w:bCs/>
          <w:sz w:val="20"/>
          <w:szCs w:val="20"/>
          <w:lang w:val="zh-CN"/>
        </w:rPr>
      </w:pPr>
    </w:p>
    <w:p w14:paraId="4FBA653A">
      <w:pPr>
        <w:pStyle w:val="12"/>
        <w:spacing w:before="240" w:beforeLines="100" w:after="240" w:afterLines="100" w:line="260" w:lineRule="exact"/>
        <w:ind w:left="0" w:leftChars="0" w:right="42" w:firstLine="0"/>
        <w:jc w:val="both"/>
        <w:rPr>
          <w:rFonts w:ascii="Calibri" w:hAnsi="Calibri" w:eastAsia="楷体_GB2312" w:cs="Calibri"/>
          <w:sz w:val="20"/>
          <w:szCs w:val="20"/>
        </w:rPr>
        <w:sectPr>
          <w:headerReference r:id="rId9" w:type="default"/>
          <w:footerReference r:id="rId10" w:type="default"/>
          <w:pgSz w:w="11909" w:h="16834"/>
          <w:pgMar w:top="1716" w:right="851" w:bottom="1021" w:left="680" w:header="720" w:footer="1580" w:gutter="0"/>
          <w:cols w:space="720" w:num="1"/>
          <w:docGrid w:linePitch="360" w:charSpace="0"/>
        </w:sectPr>
      </w:pPr>
    </w:p>
    <w:tbl>
      <w:tblPr>
        <w:tblStyle w:val="27"/>
        <w:tblW w:w="11227"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3903E1C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227" w:type="dxa"/>
          </w:tcPr>
          <w:p w14:paraId="3CCA53F6">
            <w:pPr>
              <w:rPr>
                <w:rFonts w:eastAsia="楷体_GB2312" w:cs="Calibri"/>
              </w:rPr>
            </w:pPr>
            <w:r>
              <w:rPr>
                <w:rFonts w:eastAsia="楷体_GB2312" w:cs="Calibri"/>
                <w:color w:val="FFFFFF" w:themeColor="background1"/>
                <w14:textFill>
                  <w14:solidFill>
                    <w14:schemeClr w14:val="bg1"/>
                  </w14:solidFill>
                </w14:textFill>
              </w:rPr>
              <w:t>[Table_APPENDIX]</w:t>
            </w:r>
          </w:p>
        </w:tc>
      </w:tr>
      <w:tr w14:paraId="6C51961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227"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74AA003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64FA62B7">
                  <w:pPr>
                    <w:pStyle w:val="44"/>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[Table_disclaimer]</w:t>
                  </w:r>
                </w:p>
              </w:tc>
            </w:tr>
            <w:tr w14:paraId="49CE520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8D8045E">
                  <w:pPr>
                    <w:pStyle w:val="44"/>
                    <w:spacing w:after="60"/>
                    <w:rPr>
                      <w:rFonts w:eastAsia="楷体_GB2312" w:cs="Calibri"/>
                      <w:b/>
                      <w:bCs/>
                      <w:w w:val="70"/>
                      <w:sz w:val="22"/>
                      <w:szCs w:val="22"/>
                      <w:lang w:eastAsia="zh-CN"/>
                    </w:rPr>
                  </w:pPr>
                  <w:r>
                    <w:rPr>
                      <w:rFonts w:eastAsia="楷体_GB2312" w:cs="Calibri"/>
                      <w:b/>
                      <w:bCs/>
                      <w:w w:val="70"/>
                      <w:sz w:val="22"/>
                      <w:szCs w:val="22"/>
                    </w:rPr>
                    <w:t>附录APPENDIX</w:t>
                  </w:r>
                </w:p>
                <w:p w14:paraId="522C6CAE">
                  <w:pPr>
                    <w:pStyle w:val="44"/>
                    <w:rPr>
                      <w:rFonts w:eastAsia="楷体_GB2312" w:cs="Calibri"/>
                      <w:b/>
                      <w:w w:val="70"/>
                      <w:sz w:val="20"/>
                      <w:szCs w:val="20"/>
                    </w:rPr>
                  </w:pPr>
                  <w:r>
                    <w:rPr>
                      <w:rFonts w:eastAsia="楷体_GB2312" w:cs="Calibri"/>
                      <w:b/>
                      <w:w w:val="70"/>
                      <w:sz w:val="20"/>
                      <w:szCs w:val="20"/>
                    </w:rPr>
                    <w:t>重要信息披露</w:t>
                  </w:r>
                </w:p>
                <w:p w14:paraId="0D522395">
                  <w:pPr>
                    <w:pStyle w:val="44"/>
                    <w:rPr>
                      <w:rFonts w:eastAsia="楷体_GB2312" w:cs="Calibri"/>
                      <w:w w:val="70"/>
                      <w:sz w:val="20"/>
                      <w:szCs w:val="20"/>
                      <w:lang w:eastAsia="zh-CN"/>
                    </w:rPr>
                  </w:pPr>
                  <w:r>
                    <w:rPr>
                      <w:rFonts w:eastAsia="楷体_GB2312" w:cs="Calibri"/>
                      <w:w w:val="70"/>
                      <w:sz w:val="20"/>
                      <w:szCs w:val="20"/>
                    </w:rPr>
                    <w:t>本研究报告由</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（香港）金融控股有限公司（下称华福国际）</w:t>
                  </w:r>
                  <w:r>
                    <w:rPr>
                      <w:rFonts w:eastAsia="楷体_GB2312" w:cs="Calibri"/>
                      <w:w w:val="70"/>
                      <w:sz w:val="20"/>
                      <w:szCs w:val="20"/>
                    </w:rPr>
                    <w:t>分销</w:t>
                  </w:r>
                  <w:r>
                    <w:rPr>
                      <w:rFonts w:eastAsia="楷体_GB2312" w:cs="Calibri"/>
                      <w:w w:val="70"/>
                      <w:sz w:val="20"/>
                      <w:szCs w:val="20"/>
                      <w:lang w:eastAsia="zh-CN"/>
                    </w:rPr>
                    <w:t>，</w:t>
                  </w:r>
                  <w:r>
                    <w:rPr>
                      <w:rFonts w:eastAsia="楷体_GB2312" w:cs="Calibri"/>
                      <w:w w:val="70"/>
                      <w:sz w:val="20"/>
                      <w:szCs w:val="20"/>
                    </w:rPr>
                    <w:t>在其许可的司法管辖区内从事证券活动。</w:t>
                  </w:r>
                </w:p>
                <w:p w14:paraId="232BD2D6">
                  <w:pPr>
                    <w:pStyle w:val="44"/>
                    <w:rPr>
                      <w:rFonts w:eastAsia="楷体_GB2312" w:cs="Calibri"/>
                      <w:b/>
                      <w:bCs/>
                      <w:w w:val="70"/>
                      <w:sz w:val="20"/>
                      <w:szCs w:val="20"/>
                    </w:rPr>
                  </w:pPr>
                  <w:r>
                    <w:rPr>
                      <w:rFonts w:eastAsia="楷体_GB2312" w:cs="Calibri"/>
                      <w:b/>
                      <w:bCs/>
                      <w:w w:val="70"/>
                      <w:sz w:val="20"/>
                      <w:szCs w:val="20"/>
                    </w:rPr>
                    <w:t>IMPORTANT DISCLOSURES</w:t>
                  </w:r>
                </w:p>
                <w:p w14:paraId="63442F10">
                  <w:pPr>
                    <w:pStyle w:val="44"/>
                    <w:spacing w:after="60"/>
                    <w:rPr>
                      <w:rFonts w:eastAsia="楷体_GB2312" w:cs="Calibri"/>
                      <w:lang w:eastAsia="zh-CN"/>
                    </w:rPr>
                  </w:pPr>
                  <w:r>
                    <w:rPr>
                      <w:rFonts w:eastAsia="楷体_GB2312" w:cs="Calibri"/>
                      <w:w w:val="70"/>
                      <w:sz w:val="20"/>
                      <w:szCs w:val="20"/>
                    </w:rPr>
                    <w:t xml:space="preserve">This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eastAsia="楷体_GB2312" w:cs="Calibri"/>
                      <w:w w:val="70"/>
                      <w:sz w:val="20"/>
                      <w:szCs w:val="20"/>
                      <w:lang w:eastAsia="zh-CN"/>
                    </w:rPr>
                    <w:t>which</w:t>
                  </w:r>
                  <w:r>
                    <w:rPr>
                      <w:rFonts w:eastAsia="楷体_GB2312" w:cs="Calibri"/>
                      <w:w w:val="70"/>
                      <w:sz w:val="20"/>
                      <w:szCs w:val="20"/>
                    </w:rPr>
                    <w:t xml:space="preserve"> </w:t>
                  </w:r>
                  <w:r>
                    <w:rPr>
                      <w:rFonts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14:paraId="173E6DD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0B2EA361">
                  <w:pPr>
                    <w:pStyle w:val="44"/>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14:paraId="00603F1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5109CF3D">
                  <w:pPr>
                    <w:jc w:val="both"/>
                    <w:rPr>
                      <w:rFonts w:eastAsia="楷体_GB2312" w:cs="Calibri"/>
                      <w:w w:val="70"/>
                      <w:sz w:val="20"/>
                      <w:szCs w:val="20"/>
                      <w:lang w:eastAsia="zh-CN"/>
                    </w:rPr>
                  </w:pPr>
                  <w:r>
                    <w:rPr>
                      <w:rFonts w:ascii="Calibri" w:eastAsia="楷体_GB2312"/>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p w14:paraId="136D3C57">
                  <w:r>
                    <w:rPr>
                      <w:rFonts w:ascii="Calibri" w:eastAsia="楷体_GB2312"/>
                      <w:b w:val="0"/>
                      <w:i w:val="0"/>
                      <w:color w:val="000000"/>
                      <w:w w:val="70"/>
                      <w:sz w:val="20"/>
                    </w:rPr>
                    <w:t>我， 邓轶达，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Yida Deng,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303DC9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0761065D">
                  <w:pPr>
                    <w:pStyle w:val="44"/>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14:paraId="7A856E2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4D612519">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国际及其某些关联公司可从事投资银行业务和/或对本研究中的特定股票或公司进行做市或持有自营头寸。就本研究报告而言，如需了解其中提到的某一公司信息，</w:t>
                  </w:r>
                  <w:r>
                    <w:fldChar w:fldCharType="begin"/>
                  </w:r>
                  <w:r>
                    <w:instrText xml:space="preserve"> HYPERLINK "mailto:请发邮件至lcd@hfisec.com.hk" </w:instrText>
                  </w:r>
                  <w:r>
                    <w:fldChar w:fldCharType="separate"/>
                  </w:r>
                  <w:r>
                    <w:rPr>
                      <w:rStyle w:val="32"/>
                      <w:rFonts w:eastAsia="楷体_GB2312" w:cs="Calibri"/>
                      <w:w w:val="70"/>
                      <w:sz w:val="20"/>
                      <w:szCs w:val="20"/>
                    </w:rPr>
                    <w:t>请发邮件至lcd@hfisec.com.hk</w:t>
                  </w:r>
                  <w:r>
                    <w:rPr>
                      <w:rStyle w:val="32"/>
                      <w:rFonts w:eastAsia="楷体_GB2312" w:cs="Calibri"/>
                      <w:w w:val="70"/>
                      <w:sz w:val="20"/>
                      <w:szCs w:val="20"/>
                    </w:rPr>
                    <w:fldChar w:fldCharType="end"/>
                  </w:r>
                  <w:r>
                    <w:rPr>
                      <w:rFonts w:eastAsia="楷体_GB2312" w:cs="Calibri"/>
                      <w:w w:val="70"/>
                      <w:sz w:val="20"/>
                      <w:szCs w:val="20"/>
                    </w:rPr>
                    <w:t>）</w:t>
                  </w:r>
                </w:p>
                <w:p w14:paraId="22D90444">
                  <w:pPr>
                    <w:pStyle w:val="44"/>
                    <w:rPr>
                      <w:rFonts w:eastAsia="楷体_GB2312" w:cs="Calibri"/>
                      <w:b/>
                      <w:bCs/>
                      <w:w w:val="70"/>
                      <w:sz w:val="20"/>
                      <w:szCs w:val="20"/>
                      <w:lang w:eastAsia="zh-CN"/>
                    </w:rPr>
                  </w:pPr>
                  <w:r>
                    <w:rPr>
                      <w:rFonts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14:paraId="6189F10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BDEE87D">
                  <w:pPr>
                    <w:pStyle w:val="44"/>
                    <w:rPr>
                      <w:rFonts w:eastAsia="楷体_GB2312" w:cs="Calibri"/>
                      <w:w w:val="70"/>
                      <w:sz w:val="20"/>
                      <w:szCs w:val="20"/>
                    </w:rPr>
                  </w:pPr>
                </w:p>
              </w:tc>
            </w:tr>
            <w:tr w14:paraId="6A112B2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03F08FDC">
                  <w:pPr>
                    <w:pStyle w:val="44"/>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14:paraId="3ECB9721">
                  <w:pPr>
                    <w:pStyle w:val="44"/>
                    <w:rPr>
                      <w:rFonts w:eastAsia="楷体_GB2312" w:cs="Calibri"/>
                      <w:w w:val="70"/>
                      <w:sz w:val="20"/>
                      <w:szCs w:val="20"/>
                    </w:rPr>
                  </w:pPr>
                  <w:r>
                    <w:rPr>
                      <w:rFonts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投资者应仔细阅读华福</w:t>
                  </w:r>
                  <w:r>
                    <w:rPr>
                      <w:rFonts w:eastAsia="楷体_GB2312" w:cs="Calibri"/>
                      <w:w w:val="70"/>
                      <w:sz w:val="20"/>
                      <w:szCs w:val="20"/>
                    </w:rPr>
                    <w:t>国际</w:t>
                  </w:r>
                  <w:r>
                    <w:rPr>
                      <w:rFonts w:eastAsia="楷体_GB2312" w:cs="Calibri"/>
                      <w:w w:val="70"/>
                      <w:sz w:val="20"/>
                      <w:szCs w:val="20"/>
                      <w:lang w:eastAsia="zh-CN"/>
                    </w:rPr>
                    <w:t>的评级定义。并且华福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14:paraId="2371AD46">
                  <w:pPr>
                    <w:pStyle w:val="44"/>
                    <w:rPr>
                      <w:rFonts w:eastAsia="楷体_GB2312" w:cs="Calibri"/>
                      <w:b/>
                      <w:w w:val="70"/>
                      <w:sz w:val="20"/>
                      <w:szCs w:val="20"/>
                      <w:lang w:eastAsia="zh-CN"/>
                    </w:rPr>
                  </w:pPr>
                  <w:r>
                    <w:rPr>
                      <w:rFonts w:eastAsia="楷体_GB2312" w:cs="Calibri"/>
                      <w:b/>
                      <w:w w:val="70"/>
                      <w:sz w:val="20"/>
                      <w:szCs w:val="20"/>
                      <w:lang w:eastAsia="zh-CN"/>
                    </w:rPr>
                    <w:t>分析师股票评级</w:t>
                  </w:r>
                </w:p>
                <w:p w14:paraId="5B111990">
                  <w:pPr>
                    <w:pStyle w:val="44"/>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14:paraId="3A0E9FED">
                  <w:pPr>
                    <w:pStyle w:val="44"/>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14:paraId="5E1A0F2D">
                  <w:pPr>
                    <w:pStyle w:val="44"/>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14:paraId="28C52783">
                  <w:pPr>
                    <w:pStyle w:val="44"/>
                    <w:rPr>
                      <w:rFonts w:eastAsia="楷体_GB2312" w:cs="Calibri"/>
                      <w:w w:val="70"/>
                      <w:sz w:val="20"/>
                      <w:szCs w:val="20"/>
                      <w:lang w:eastAsia="zh-CN"/>
                    </w:rPr>
                  </w:pPr>
                  <w:r>
                    <w:rPr>
                      <w:rFonts w:eastAsia="楷体_GB2312" w:cs="Calibri"/>
                      <w:w w:val="70"/>
                      <w:sz w:val="20"/>
                      <w:szCs w:val="20"/>
                      <w:lang w:eastAsia="zh-CN"/>
                    </w:rPr>
                    <w:t>各地股票基准指数：日本 – TOPIX, 韩国 – KOSPI, 台湾 – TAIEX, 印度 – Nifty100, 美国 – SP500; 其他所有中国概念股 – MSCI China.</w:t>
                  </w:r>
                </w:p>
                <w:p w14:paraId="2E89913A">
                  <w:pPr>
                    <w:pStyle w:val="44"/>
                    <w:rPr>
                      <w:rFonts w:eastAsia="楷体_GB2312" w:cs="Calibri"/>
                      <w:w w:val="79"/>
                      <w:sz w:val="20"/>
                      <w:szCs w:val="20"/>
                    </w:rPr>
                  </w:pPr>
                  <w:r>
                    <w:rPr>
                      <w:rFonts w:eastAsia="楷体_GB2312" w:cs="Calibri"/>
                      <w:b/>
                      <w:w w:val="79"/>
                      <w:sz w:val="20"/>
                      <w:szCs w:val="20"/>
                    </w:rPr>
                    <w:t xml:space="preserve">Ratings Definitions (from 1 Jul 2020): </w:t>
                  </w:r>
                </w:p>
                <w:p w14:paraId="6E95203B">
                  <w:pPr>
                    <w:pStyle w:val="44"/>
                    <w:rPr>
                      <w:rFonts w:eastAsia="楷体_GB2312" w:cs="Calibri"/>
                      <w:w w:val="79"/>
                      <w:sz w:val="20"/>
                      <w:szCs w:val="20"/>
                    </w:rPr>
                  </w:pPr>
                  <w:r>
                    <w:rPr>
                      <w:rFonts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6A02602E">
                  <w:pPr>
                    <w:pStyle w:val="44"/>
                    <w:rPr>
                      <w:rFonts w:eastAsia="楷体_GB2312" w:cs="Calibri"/>
                      <w:b/>
                      <w:w w:val="79"/>
                      <w:sz w:val="20"/>
                      <w:szCs w:val="20"/>
                    </w:rPr>
                  </w:pPr>
                  <w:r>
                    <w:rPr>
                      <w:rFonts w:eastAsia="楷体_GB2312" w:cs="Calibri"/>
                      <w:b/>
                      <w:w w:val="79"/>
                      <w:sz w:val="20"/>
                      <w:szCs w:val="20"/>
                    </w:rPr>
                    <w:t>Analyst Stock Ratings</w:t>
                  </w:r>
                </w:p>
                <w:p w14:paraId="7830C283">
                  <w:pPr>
                    <w:pStyle w:val="44"/>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xml:space="preserve">, as indicated below. </w:t>
                  </w:r>
                </w:p>
                <w:p w14:paraId="01A31AD2">
                  <w:pPr>
                    <w:pStyle w:val="44"/>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eastAsia="楷体_GB2312" w:cs="Calibri"/>
                      <w:w w:val="79"/>
                      <w:sz w:val="20"/>
                      <w:szCs w:val="20"/>
                      <w:lang w:eastAsia="zh-CN"/>
                    </w:rPr>
                    <w:t xml:space="preserve"> by over 10%</w:t>
                  </w:r>
                  <w:r>
                    <w:rPr>
                      <w:rFonts w:eastAsia="楷体_GB2312" w:cs="Calibri"/>
                      <w:w w:val="79"/>
                      <w:sz w:val="20"/>
                      <w:szCs w:val="20"/>
                    </w:rPr>
                    <w:t>, as indicated below.</w:t>
                  </w:r>
                </w:p>
                <w:p w14:paraId="6948AE3F">
                  <w:pPr>
                    <w:pStyle w:val="44"/>
                    <w:rPr>
                      <w:rFonts w:eastAsia="楷体_GB2312" w:cs="Calibri"/>
                      <w:b/>
                      <w:w w:val="79"/>
                      <w:sz w:val="20"/>
                      <w:szCs w:val="20"/>
                    </w:rPr>
                  </w:pPr>
                  <w:r>
                    <w:rPr>
                      <w:rFonts w:eastAsia="楷体_GB2312" w:cs="Calibri"/>
                      <w:b/>
                      <w:w w:val="79"/>
                      <w:sz w:val="20"/>
                      <w:szCs w:val="20"/>
                    </w:rPr>
                    <w:t>Benchmarks for each stock’s listed region are as follows: Japan – TOPIX, Korea – KOSPI, Taiwan – TAIEX, India – Nifty100, US – SP500; for all other China-concept stocks – MSCI China.</w:t>
                  </w:r>
                </w:p>
                <w:p w14:paraId="24519D6D">
                  <w:pPr>
                    <w:pStyle w:val="44"/>
                    <w:rPr>
                      <w:rFonts w:eastAsia="楷体_GB2312" w:cs="Calibri"/>
                      <w:w w:val="70"/>
                      <w:sz w:val="20"/>
                      <w:szCs w:val="20"/>
                      <w:lang w:eastAsia="zh-CN"/>
                    </w:rPr>
                  </w:pPr>
                </w:p>
              </w:tc>
            </w:tr>
            <w:tr w14:paraId="592761E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FB22940">
                  <w:pPr>
                    <w:pStyle w:val="44"/>
                    <w:spacing w:after="60"/>
                    <w:rPr>
                      <w:rFonts w:eastAsia="楷体_GB2312" w:cs="Calibri"/>
                      <w:w w:val="70"/>
                      <w:sz w:val="20"/>
                      <w:szCs w:val="20"/>
                    </w:rPr>
                  </w:pPr>
                  <w:r>
                    <w:rPr>
                      <w:rFonts w:eastAsia="楷体_GB2312" w:cs="Calibri"/>
                      <w:b/>
                      <w:w w:val="70"/>
                      <w:sz w:val="20"/>
                      <w:szCs w:val="20"/>
                      <w:lang w:eastAsia="zh-CN"/>
                    </w:rPr>
                    <w:t>华福</w:t>
                  </w:r>
                  <w:r>
                    <w:rPr>
                      <w:rFonts w:eastAsia="楷体_GB2312" w:cs="Calibri"/>
                      <w:b/>
                      <w:w w:val="70"/>
                      <w:sz w:val="20"/>
                      <w:szCs w:val="20"/>
                    </w:rPr>
                    <w:t>国际非评级研究：</w:t>
                  </w:r>
                  <w:r>
                    <w:rPr>
                      <w:rFonts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14:paraId="60E5562A">
                  <w:pPr>
                    <w:pStyle w:val="44"/>
                    <w:rPr>
                      <w:rFonts w:eastAsia="楷体_GB2312" w:cs="Calibri"/>
                      <w:w w:val="70"/>
                      <w:sz w:val="20"/>
                      <w:szCs w:val="20"/>
                      <w:lang w:eastAsia="zh-CN"/>
                    </w:rPr>
                  </w:pPr>
                  <w:r>
                    <w:rPr>
                      <w:rFonts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7E33AF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56E389D2">
                  <w:pPr>
                    <w:pStyle w:val="44"/>
                    <w:spacing w:after="60"/>
                    <w:rPr>
                      <w:rFonts w:eastAsia="楷体_GB2312" w:cs="Calibri"/>
                      <w:w w:val="70"/>
                      <w:sz w:val="20"/>
                      <w:szCs w:val="20"/>
                      <w:lang w:eastAsia="zh-CN"/>
                    </w:rPr>
                  </w:pPr>
                  <w:r>
                    <w:rPr>
                      <w:rFonts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可能会就中国A股进行覆盖及评级。华福证券，华福国际于福州的母公司，也会于中国发布中国A股的研究报告。但是，华福</w:t>
                  </w:r>
                  <w:r>
                    <w:rPr>
                      <w:rFonts w:eastAsia="楷体_GB2312" w:cs="Calibri"/>
                      <w:w w:val="70"/>
                      <w:sz w:val="20"/>
                      <w:szCs w:val="20"/>
                    </w:rPr>
                    <w:t>国际</w:t>
                  </w:r>
                  <w:r>
                    <w:rPr>
                      <w:rFonts w:eastAsia="楷体_GB2312" w:cs="Calibri"/>
                      <w:w w:val="70"/>
                      <w:sz w:val="20"/>
                      <w:szCs w:val="20"/>
                      <w:lang w:eastAsia="zh-CN"/>
                    </w:rPr>
                    <w:t>使用与华福证券不同的评级系统，且可能有完全独立的不同研究覆盖团队，所以华福</w:t>
                  </w:r>
                  <w:r>
                    <w:rPr>
                      <w:rFonts w:eastAsia="楷体_GB2312" w:cs="Calibri"/>
                      <w:w w:val="70"/>
                      <w:sz w:val="20"/>
                      <w:szCs w:val="20"/>
                    </w:rPr>
                    <w:t>国际</w:t>
                  </w:r>
                  <w:r>
                    <w:rPr>
                      <w:rFonts w:eastAsia="楷体_GB2312" w:cs="Calibri"/>
                      <w:w w:val="70"/>
                      <w:sz w:val="20"/>
                      <w:szCs w:val="20"/>
                      <w:lang w:eastAsia="zh-CN"/>
                    </w:rPr>
                    <w:t>与华福证券的中国A股评级、目标价乃至分析逻辑可能有所不同。</w:t>
                  </w:r>
                </w:p>
                <w:p w14:paraId="722B3240">
                  <w:pPr>
                    <w:pStyle w:val="44"/>
                    <w:rPr>
                      <w:rFonts w:eastAsia="楷体_GB2312" w:cs="Calibri"/>
                      <w:w w:val="70"/>
                      <w:sz w:val="20"/>
                      <w:szCs w:val="20"/>
                    </w:rPr>
                  </w:pPr>
                  <w:r>
                    <w:rPr>
                      <w:rFonts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eastAsia="楷体_GB2312" w:cs="Calibri"/>
                      <w:w w:val="70"/>
                      <w:sz w:val="20"/>
                      <w:szCs w:val="20"/>
                      <w:lang w:eastAsia="zh-CN"/>
                    </w:rPr>
                    <w:t>HuaFu International</w:t>
                  </w:r>
                  <w:r>
                    <w:rPr>
                      <w:rFonts w:eastAsia="楷体_GB2312" w:cs="Calibri"/>
                      <w:w w:val="70"/>
                      <w:sz w:val="20"/>
                      <w:szCs w:val="20"/>
                    </w:rPr>
                    <w:t xml:space="preserve"> based in </w:t>
                  </w:r>
                  <w:r>
                    <w:rPr>
                      <w:rFonts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eastAsia="楷体_GB2312" w:cs="Calibri"/>
                      <w:w w:val="70"/>
                      <w:sz w:val="20"/>
                      <w:szCs w:val="20"/>
                      <w:lang w:eastAsia="zh-CN"/>
                    </w:rPr>
                    <w:t>uaFu International</w:t>
                  </w:r>
                  <w:r>
                    <w:rPr>
                      <w:rFonts w:eastAsia="楷体_GB2312" w:cs="Calibri"/>
                      <w:w w:val="70"/>
                      <w:sz w:val="20"/>
                      <w:szCs w:val="20"/>
                    </w:rPr>
                    <w:t xml:space="preserve"> differs from that used by </w:t>
                  </w:r>
                  <w:r>
                    <w:rPr>
                      <w:rFonts w:eastAsia="楷体_GB2312" w:cs="Calibri"/>
                      <w:w w:val="70"/>
                      <w:sz w:val="20"/>
                      <w:szCs w:val="20"/>
                      <w:lang w:eastAsia="zh-CN"/>
                    </w:rPr>
                    <w:t>HuaFu Securites</w:t>
                  </w:r>
                  <w:r>
                    <w:rPr>
                      <w:rFonts w:eastAsia="楷体_GB2312" w:cs="Calibri"/>
                      <w:w w:val="70"/>
                      <w:sz w:val="20"/>
                      <w:szCs w:val="20"/>
                    </w:rPr>
                    <w:t xml:space="preserve"> and </w:t>
                  </w:r>
                  <w:r>
                    <w:rPr>
                      <w:rFonts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eastAsia="楷体_GB2312" w:cs="Calibri"/>
                      <w:w w:val="70"/>
                      <w:sz w:val="20"/>
                      <w:szCs w:val="20"/>
                      <w:lang w:eastAsia="zh-CN"/>
                    </w:rPr>
                    <w:t>their coverage</w:t>
                  </w:r>
                  <w:r>
                    <w:rPr>
                      <w:rFonts w:eastAsia="楷体_GB2312" w:cs="Calibri"/>
                      <w:w w:val="70"/>
                      <w:sz w:val="20"/>
                      <w:szCs w:val="20"/>
                    </w:rPr>
                    <w:t xml:space="preserve"> ratings</w:t>
                  </w:r>
                  <w:r>
                    <w:rPr>
                      <w:rFonts w:eastAsia="楷体_GB2312" w:cs="Calibri"/>
                      <w:w w:val="70"/>
                      <w:sz w:val="20"/>
                      <w:szCs w:val="20"/>
                      <w:lang w:eastAsia="zh-CN"/>
                    </w:rPr>
                    <w:t>, target prices</w:t>
                  </w:r>
                  <w:r>
                    <w:rPr>
                      <w:rFonts w:eastAsia="楷体_GB2312" w:cs="Calibri"/>
                      <w:w w:val="70"/>
                      <w:sz w:val="20"/>
                      <w:szCs w:val="20"/>
                    </w:rPr>
                    <w:t xml:space="preserve"> </w:t>
                  </w:r>
                  <w:r>
                    <w:rPr>
                      <w:rFonts w:eastAsia="楷体_GB2312" w:cs="Calibri"/>
                      <w:w w:val="70"/>
                      <w:sz w:val="20"/>
                      <w:szCs w:val="20"/>
                      <w:lang w:eastAsia="zh-CN"/>
                    </w:rPr>
                    <w:t xml:space="preserve">and research logics </w:t>
                  </w:r>
                  <w:r>
                    <w:rPr>
                      <w:rFonts w:eastAsia="楷体_GB2312" w:cs="Calibri"/>
                      <w:w w:val="70"/>
                      <w:sz w:val="20"/>
                      <w:szCs w:val="20"/>
                    </w:rPr>
                    <w:t>for the same A-share stocks.</w:t>
                  </w:r>
                </w:p>
              </w:tc>
            </w:tr>
            <w:tr w14:paraId="0132E0B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FEDCF35">
                  <w:pPr>
                    <w:pStyle w:val="44"/>
                    <w:rPr>
                      <w:rFonts w:eastAsia="楷体_GB2312" w:cs="Calibri"/>
                      <w:w w:val="70"/>
                      <w:sz w:val="20"/>
                      <w:szCs w:val="20"/>
                    </w:rPr>
                  </w:pPr>
                </w:p>
              </w:tc>
            </w:tr>
            <w:tr w14:paraId="4E28AED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17E3E317">
                  <w:pPr>
                    <w:pStyle w:val="44"/>
                    <w:spacing w:after="60"/>
                    <w:rPr>
                      <w:rFonts w:eastAsia="楷体_GB2312" w:cs="Calibri"/>
                      <w:b/>
                      <w:w w:val="70"/>
                      <w:sz w:val="20"/>
                      <w:szCs w:val="20"/>
                    </w:rPr>
                  </w:pPr>
                  <w:r>
                    <w:rPr>
                      <w:rFonts w:eastAsia="楷体_GB2312" w:cs="Calibri"/>
                      <w:b/>
                      <w:w w:val="70"/>
                      <w:sz w:val="20"/>
                      <w:szCs w:val="20"/>
                    </w:rPr>
                    <w:t>重要免责声明：</w:t>
                  </w:r>
                </w:p>
                <w:p w14:paraId="1C8BA095">
                  <w:pPr>
                    <w:pStyle w:val="44"/>
                    <w:spacing w:after="60"/>
                    <w:rPr>
                      <w:rFonts w:eastAsia="楷体_GB2312" w:cs="Calibri"/>
                      <w:w w:val="70"/>
                      <w:sz w:val="20"/>
                      <w:szCs w:val="20"/>
                    </w:rPr>
                  </w:pPr>
                  <w:r>
                    <w:rPr>
                      <w:rFonts w:eastAsia="楷体_GB2312" w:cs="Calibri"/>
                      <w:w w:val="70"/>
                      <w:sz w:val="20"/>
                      <w:szCs w:val="20"/>
                    </w:rPr>
                    <w:t>本报告由</w:t>
                  </w:r>
                  <w:r>
                    <w:rPr>
                      <w:rFonts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14:paraId="339C2E16">
                  <w:pPr>
                    <w:pStyle w:val="44"/>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eastAsia="楷体_GB2312" w:cs="Calibri"/>
                      <w:w w:val="70"/>
                      <w:sz w:val="20"/>
                      <w:szCs w:val="20"/>
                      <w:lang w:eastAsia="zh-CN"/>
                    </w:rPr>
                    <w:t>华福国际</w:t>
                  </w:r>
                  <w:r>
                    <w:rPr>
                      <w:rFonts w:eastAsia="楷体_GB2312" w:cs="Calibri"/>
                      <w:w w:val="70"/>
                      <w:sz w:val="20"/>
                      <w:szCs w:val="20"/>
                    </w:rPr>
                    <w:t>或任何其他属于</w:t>
                  </w:r>
                  <w:r>
                    <w:rPr>
                      <w:rFonts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14:paraId="09A0DBCC">
                  <w:pPr>
                    <w:pStyle w:val="44"/>
                    <w:spacing w:after="60"/>
                    <w:rPr>
                      <w:rFonts w:eastAsia="楷体_GB2312" w:cs="Calibri"/>
                      <w:w w:val="70"/>
                      <w:sz w:val="20"/>
                      <w:szCs w:val="20"/>
                    </w:rPr>
                  </w:pPr>
                  <w:r>
                    <w:rPr>
                      <w:rFonts w:eastAsia="楷体_GB2312" w:cs="Calibri"/>
                      <w:w w:val="70"/>
                      <w:sz w:val="20"/>
                      <w:szCs w:val="20"/>
                    </w:rPr>
                    <w:t>除对本文内容承担责任的分析师除外，</w:t>
                  </w:r>
                  <w:r>
                    <w:rPr>
                      <w:rFonts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eastAsia="楷体_GB2312" w:cs="Calibri"/>
                      <w:w w:val="70"/>
                      <w:sz w:val="20"/>
                      <w:szCs w:val="20"/>
                      <w:lang w:eastAsia="zh-CN"/>
                    </w:rPr>
                    <w:t>华福国际</w:t>
                  </w:r>
                  <w:r>
                    <w:rPr>
                      <w:rFonts w:eastAsia="楷体_GB2312" w:cs="Calibri"/>
                      <w:w w:val="70"/>
                      <w:sz w:val="20"/>
                      <w:szCs w:val="20"/>
                    </w:rPr>
                    <w:t>的销售员、交易员和其他专业人士均可向</w:t>
                  </w:r>
                  <w:r>
                    <w:rPr>
                      <w:rFonts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14:paraId="7B1CDC1D">
                  <w:pPr>
                    <w:pStyle w:val="44"/>
                    <w:spacing w:after="60"/>
                    <w:rPr>
                      <w:rFonts w:eastAsia="楷体_GB2312" w:cs="Calibri"/>
                      <w:snapToGrid/>
                      <w:w w:val="70"/>
                      <w:sz w:val="20"/>
                      <w:szCs w:val="20"/>
                    </w:rPr>
                  </w:pPr>
                  <w:r>
                    <w:rPr>
                      <w:rFonts w:eastAsia="楷体_GB2312" w:cs="Calibri"/>
                      <w:snapToGrid/>
                      <w:w w:val="70"/>
                      <w:sz w:val="20"/>
                      <w:szCs w:val="20"/>
                    </w:rPr>
                    <w:t>请访问</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"http://www.hfisec.com.hk" </w:instrText>
                  </w:r>
                  <w:r>
                    <w:fldChar w:fldCharType="separate"/>
                  </w:r>
                  <w:r>
                    <w:rPr>
                      <w:rStyle w:val="32"/>
                      <w:rFonts w:eastAsia="楷体_GB2312" w:cs="Calibri"/>
                      <w:snapToGrid/>
                      <w:w w:val="70"/>
                      <w:sz w:val="20"/>
                      <w:szCs w:val="20"/>
                      <w:lang w:eastAsia="zh-CN"/>
                    </w:rPr>
                    <w:t>www.hfisec.com.hk</w:t>
                  </w:r>
                  <w:r>
                    <w:rPr>
                      <w:rStyle w:val="32"/>
                      <w:rFonts w:eastAsia="楷体_GB2312" w:cs="Calibri"/>
                      <w:snapToGrid/>
                      <w:w w:val="70"/>
                      <w:sz w:val="20"/>
                      <w:szCs w:val="20"/>
                      <w:lang w:eastAsia="zh-CN"/>
                    </w:rPr>
                    <w:fldChar w:fldCharType="end"/>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14:paraId="1D35332B">
                  <w:pPr>
                    <w:pStyle w:val="44"/>
                    <w:spacing w:after="40"/>
                    <w:rPr>
                      <w:rFonts w:eastAsia="楷体_GB2312" w:cs="Calibri"/>
                      <w:b/>
                      <w:bCs/>
                      <w:w w:val="70"/>
                      <w:sz w:val="20"/>
                      <w:szCs w:val="20"/>
                    </w:rPr>
                  </w:pPr>
                  <w:r>
                    <w:rPr>
                      <w:rFonts w:eastAsia="楷体_GB2312" w:cs="Calibri"/>
                      <w:b/>
                      <w:bCs/>
                      <w:w w:val="70"/>
                      <w:sz w:val="20"/>
                      <w:szCs w:val="20"/>
                    </w:rPr>
                    <w:t>IMPORTANT DISCLAIMER</w:t>
                  </w:r>
                </w:p>
                <w:p w14:paraId="1CF8C6C6">
                  <w:pPr>
                    <w:pStyle w:val="44"/>
                    <w:spacing w:after="40"/>
                    <w:rPr>
                      <w:rFonts w:eastAsia="楷体_GB2312" w:cs="Calibri"/>
                      <w:w w:val="70"/>
                      <w:sz w:val="20"/>
                      <w:szCs w:val="20"/>
                    </w:rPr>
                  </w:pPr>
                  <w:r>
                    <w:rPr>
                      <w:rFonts w:eastAsia="楷体_GB2312" w:cs="Calibri"/>
                      <w:w w:val="70"/>
                      <w:sz w:val="20"/>
                      <w:szCs w:val="20"/>
                    </w:rPr>
                    <w:t xml:space="preserve">The research report is issued by </w:t>
                  </w:r>
                  <w:r>
                    <w:rPr>
                      <w:rFonts w:eastAsia="楷体_GB2312" w:cs="Calibri"/>
                      <w:w w:val="70"/>
                      <w:sz w:val="20"/>
                      <w:szCs w:val="20"/>
                      <w:lang w:eastAsia="zh-CN"/>
                    </w:rPr>
                    <w:t>HuaFu</w:t>
                  </w:r>
                  <w:r>
                    <w:rPr>
                      <w:rFonts w:eastAsia="楷体_GB2312" w:cs="Calibri"/>
                      <w:w w:val="70"/>
                      <w:sz w:val="20"/>
                      <w:szCs w:val="20"/>
                    </w:rPr>
                    <w:t xml:space="preserve"> International</w:t>
                  </w:r>
                  <w:r>
                    <w:rPr>
                      <w:rFonts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14:paraId="0EEE5EB8">
                  <w:pPr>
                    <w:pStyle w:val="44"/>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eastAsia="楷体_GB2312" w:cs="Calibri"/>
                      <w:w w:val="70"/>
                      <w:sz w:val="20"/>
                      <w:szCs w:val="20"/>
                      <w:lang w:eastAsia="zh-CN"/>
                    </w:rPr>
                    <w:t>HuaFu International</w:t>
                  </w:r>
                  <w:r>
                    <w:rPr>
                      <w:rFonts w:eastAsia="楷体_GB2312" w:cs="Calibri"/>
                      <w:w w:val="70"/>
                      <w:sz w:val="20"/>
                      <w:szCs w:val="20"/>
                    </w:rPr>
                    <w:t xml:space="preserve"> or any other </w:t>
                  </w:r>
                  <w:r>
                    <w:rPr>
                      <w:rFonts w:eastAsia="楷体_GB2312" w:cs="Calibri"/>
                      <w:w w:val="70"/>
                      <w:sz w:val="20"/>
                      <w:szCs w:val="20"/>
                      <w:lang w:eastAsia="zh-CN"/>
                    </w:rPr>
                    <w:t xml:space="preserve">related </w:t>
                  </w:r>
                  <w:r>
                    <w:rPr>
                      <w:rFonts w:eastAsia="楷体_GB2312" w:cs="Calibri"/>
                      <w:w w:val="70"/>
                      <w:sz w:val="20"/>
                      <w:szCs w:val="20"/>
                    </w:rPr>
                    <w:t>members</w:t>
                  </w:r>
                  <w:r>
                    <w:rPr>
                      <w:rFonts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69B46294">
                  <w:pPr>
                    <w:pStyle w:val="44"/>
                    <w:spacing w:after="40"/>
                    <w:rPr>
                      <w:rFonts w:eastAsia="楷体_GB2312" w:cs="Calibri"/>
                      <w:w w:val="70"/>
                      <w:sz w:val="20"/>
                      <w:szCs w:val="20"/>
                    </w:rPr>
                  </w:pPr>
                  <w:r>
                    <w:rPr>
                      <w:rFonts w:eastAsia="楷体_GB2312" w:cs="Calibri"/>
                      <w:w w:val="70"/>
                      <w:sz w:val="20"/>
                      <w:szCs w:val="20"/>
                      <w:lang w:eastAsia="zh-CN"/>
                    </w:rPr>
                    <w:t>HuaFu International</w:t>
                  </w:r>
                  <w:r>
                    <w:rPr>
                      <w:rFonts w:eastAsia="楷体_GB2312" w:cs="Calibri"/>
                      <w:w w:val="70"/>
                      <w:sz w:val="20"/>
                      <w:szCs w:val="20"/>
                    </w:rPr>
                    <w:t xml:space="preserve"> and </w:t>
                  </w:r>
                  <w:r>
                    <w:rPr>
                      <w:rFonts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14:paraId="4836A846">
                  <w:pPr>
                    <w:pStyle w:val="44"/>
                    <w:spacing w:after="40"/>
                    <w:rPr>
                      <w:rFonts w:eastAsia="楷体_GB2312" w:cs="Calibri"/>
                      <w:bCs/>
                      <w:w w:val="70"/>
                      <w:sz w:val="20"/>
                      <w:szCs w:val="20"/>
                    </w:rPr>
                  </w:pPr>
                  <w:r>
                    <w:rPr>
                      <w:rFonts w:eastAsia="楷体_GB2312" w:cs="Calibri"/>
                      <w:bCs/>
                      <w:w w:val="70"/>
                      <w:sz w:val="20"/>
                      <w:szCs w:val="20"/>
                    </w:rPr>
                    <w:t xml:space="preserve">Please refer to </w:t>
                  </w:r>
                  <w:r>
                    <w:rPr>
                      <w:rFonts w:eastAsia="楷体_GB2312" w:cs="Calibri"/>
                      <w:bCs/>
                      <w:w w:val="70"/>
                      <w:sz w:val="20"/>
                      <w:szCs w:val="20"/>
                      <w:lang w:eastAsia="zh-CN"/>
                    </w:rPr>
                    <w:t xml:space="preserve">HuaFu International’s </w:t>
                  </w:r>
                  <w:r>
                    <w:rPr>
                      <w:rFonts w:eastAsia="楷体_GB2312" w:cs="Calibri"/>
                      <w:bCs/>
                      <w:w w:val="70"/>
                      <w:sz w:val="20"/>
                      <w:szCs w:val="20"/>
                    </w:rPr>
                    <w:t xml:space="preserve">website </w:t>
                  </w:r>
                  <w:r>
                    <w:fldChar w:fldCharType="begin"/>
                  </w:r>
                  <w:r>
                    <w:instrText xml:space="preserve"> HYPERLINK "http://www.hfisec.com.hk" </w:instrText>
                  </w:r>
                  <w:r>
                    <w:fldChar w:fldCharType="separate"/>
                  </w:r>
                  <w:r>
                    <w:rPr>
                      <w:rStyle w:val="32"/>
                      <w:rFonts w:eastAsia="楷体_GB2312" w:cs="Calibri"/>
                      <w:bCs/>
                      <w:w w:val="70"/>
                      <w:sz w:val="20"/>
                      <w:szCs w:val="20"/>
                    </w:rPr>
                    <w:t>www.hfisec.com.hk</w:t>
                  </w:r>
                  <w:r>
                    <w:rPr>
                      <w:rStyle w:val="32"/>
                      <w:rFonts w:eastAsia="楷体_GB2312" w:cs="Calibri"/>
                      <w:bCs/>
                      <w:w w:val="70"/>
                      <w:sz w:val="20"/>
                      <w:szCs w:val="20"/>
                    </w:rPr>
                    <w:fldChar w:fldCharType="end"/>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eastAsia="楷体_GB2312" w:cs="Calibri"/>
                      <w:bCs/>
                      <w:w w:val="70"/>
                      <w:sz w:val="20"/>
                      <w:szCs w:val="20"/>
                      <w:lang w:eastAsia="zh-CN"/>
                    </w:rPr>
                    <w:t xml:space="preserve">HuaFu International’s </w:t>
                  </w:r>
                  <w:r>
                    <w:rPr>
                      <w:rFonts w:eastAsia="楷体_GB2312" w:cs="Calibri"/>
                      <w:bCs/>
                      <w:w w:val="70"/>
                      <w:sz w:val="20"/>
                      <w:szCs w:val="20"/>
                    </w:rPr>
                    <w:t>organizational and administrative arrangements set up for the prevention and avoidance of conflicts of interest with respect to Research.</w:t>
                  </w:r>
                </w:p>
                <w:p w14:paraId="73E25D78">
                  <w:pPr>
                    <w:pStyle w:val="44"/>
                    <w:spacing w:after="60"/>
                    <w:rPr>
                      <w:rFonts w:eastAsia="楷体_GB2312" w:cs="Calibri"/>
                      <w:b/>
                      <w:w w:val="70"/>
                      <w:sz w:val="20"/>
                      <w:szCs w:val="20"/>
                    </w:rPr>
                  </w:pPr>
                </w:p>
              </w:tc>
            </w:tr>
            <w:tr w14:paraId="4E72FFE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9C85DD4">
                  <w:pPr>
                    <w:pStyle w:val="44"/>
                    <w:spacing w:after="60"/>
                    <w:rPr>
                      <w:rFonts w:eastAsia="楷体_GB2312" w:cs="Calibri"/>
                      <w:b/>
                      <w:snapToGrid/>
                      <w:w w:val="70"/>
                      <w:sz w:val="20"/>
                      <w:szCs w:val="20"/>
                    </w:rPr>
                  </w:pPr>
                  <w:r>
                    <w:rPr>
                      <w:rFonts w:eastAsia="楷体_GB2312" w:cs="Calibri"/>
                      <w:b/>
                      <w:snapToGrid/>
                      <w:w w:val="70"/>
                      <w:sz w:val="20"/>
                      <w:szCs w:val="20"/>
                    </w:rPr>
                    <w:t>分发和地区通知：</w:t>
                  </w:r>
                </w:p>
                <w:p w14:paraId="66C43AD2">
                  <w:pPr>
                    <w:pStyle w:val="44"/>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eastAsia="楷体_GB2312" w:cs="Calibri"/>
                      <w:snapToGrid/>
                      <w:w w:val="70"/>
                      <w:sz w:val="20"/>
                      <w:szCs w:val="20"/>
                      <w:lang w:eastAsia="zh-CN"/>
                    </w:rPr>
                    <w:t>华福</w:t>
                  </w:r>
                  <w:r>
                    <w:rPr>
                      <w:rFonts w:eastAsia="楷体_GB2312" w:cs="Calibri"/>
                      <w:snapToGrid/>
                      <w:w w:val="70"/>
                      <w:sz w:val="20"/>
                      <w:szCs w:val="20"/>
                    </w:rPr>
                    <w:t xml:space="preserve">国际销售人员。  </w:t>
                  </w:r>
                </w:p>
                <w:p w14:paraId="11117BF5">
                  <w:pPr>
                    <w:pStyle w:val="44"/>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eastAsia="楷体_GB2312" w:cs="Calibri"/>
                      <w:snapToGrid/>
                      <w:w w:val="70"/>
                      <w:sz w:val="20"/>
                      <w:szCs w:val="20"/>
                      <w:lang w:eastAsia="zh-CN"/>
                    </w:rPr>
                    <w:t>华福国际是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eastAsia="楷体_GB2312" w:cs="Calibri"/>
                      <w:snapToGrid/>
                      <w:w w:val="70"/>
                      <w:sz w:val="20"/>
                      <w:szCs w:val="20"/>
                      <w:lang w:eastAsia="zh-CN"/>
                    </w:rPr>
                    <w:t>华福国际</w:t>
                  </w:r>
                  <w:r>
                    <w:rPr>
                      <w:rFonts w:eastAsia="楷体_GB2312" w:cs="Calibri"/>
                      <w:snapToGrid/>
                      <w:w w:val="70"/>
                      <w:sz w:val="20"/>
                      <w:szCs w:val="20"/>
                    </w:rPr>
                    <w:t>销售人员。</w:t>
                  </w:r>
                </w:p>
                <w:p w14:paraId="66CD2E88">
                  <w:pPr>
                    <w:pStyle w:val="44"/>
                    <w:spacing w:after="40"/>
                    <w:rPr>
                      <w:rFonts w:eastAsia="楷体_GB2312" w:cs="Calibri"/>
                      <w:b/>
                      <w:bCs/>
                      <w:w w:val="70"/>
                      <w:sz w:val="20"/>
                      <w:szCs w:val="20"/>
                    </w:rPr>
                  </w:pPr>
                  <w:r>
                    <w:rPr>
                      <w:rFonts w:eastAsia="楷体_GB2312" w:cs="Calibri"/>
                      <w:b/>
                      <w:bCs/>
                      <w:w w:val="70"/>
                      <w:sz w:val="20"/>
                      <w:szCs w:val="20"/>
                    </w:rPr>
                    <w:t>DISTRIBUTION AND REGIONAL NOTICES</w:t>
                  </w:r>
                </w:p>
                <w:p w14:paraId="687F1103">
                  <w:pPr>
                    <w:pStyle w:val="44"/>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14:paraId="6DBC98B9">
                  <w:pPr>
                    <w:pStyle w:val="44"/>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14:paraId="773BDBFA">
                  <w:pPr>
                    <w:pStyle w:val="44"/>
                    <w:spacing w:after="60"/>
                    <w:rPr>
                      <w:rFonts w:eastAsia="楷体_GB2312" w:cs="Calibri"/>
                      <w:b/>
                      <w:w w:val="70"/>
                      <w:sz w:val="20"/>
                      <w:szCs w:val="20"/>
                    </w:rPr>
                  </w:pPr>
                </w:p>
              </w:tc>
            </w:tr>
            <w:tr w14:paraId="314AE25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CCF3088">
                  <w:pPr>
                    <w:pStyle w:val="44"/>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2385AA6C">
                  <w:pPr>
                    <w:pStyle w:val="44"/>
                    <w:spacing w:after="60"/>
                    <w:rPr>
                      <w:rFonts w:eastAsia="楷体_GB2312" w:cs="Calibri"/>
                      <w:w w:val="70"/>
                      <w:sz w:val="20"/>
                      <w:szCs w:val="20"/>
                    </w:rPr>
                  </w:pPr>
                  <w:r>
                    <w:rPr>
                      <w:rFonts w:eastAsia="楷体_GB2312" w:cs="Calibri"/>
                      <w:w w:val="70"/>
                      <w:sz w:val="20"/>
                      <w:szCs w:val="20"/>
                    </w:rPr>
                    <w:t>本项研究仅供收件人使用，未经</w:t>
                  </w:r>
                  <w:r>
                    <w:rPr>
                      <w:rFonts w:eastAsia="楷体_GB2312" w:cs="Calibri"/>
                      <w:w w:val="70"/>
                      <w:sz w:val="20"/>
                      <w:szCs w:val="20"/>
                      <w:lang w:eastAsia="zh-CN"/>
                    </w:rPr>
                    <w:t>华福</w:t>
                  </w:r>
                  <w:r>
                    <w:rPr>
                      <w:rFonts w:eastAsia="楷体_GB2312" w:cs="Calibri"/>
                      <w:w w:val="70"/>
                      <w:sz w:val="20"/>
                      <w:szCs w:val="20"/>
                    </w:rPr>
                    <w:t>国际的书面同意不得予以复制和再次分发。</w:t>
                  </w:r>
                </w:p>
                <w:p w14:paraId="59E7C2FB">
                  <w:pPr>
                    <w:pStyle w:val="44"/>
                    <w:rPr>
                      <w:rFonts w:eastAsia="楷体_GB2312" w:cs="Calibri"/>
                      <w:w w:val="70"/>
                      <w:sz w:val="20"/>
                      <w:szCs w:val="20"/>
                    </w:rPr>
                  </w:pPr>
                  <w:r>
                    <w:rPr>
                      <w:rFonts w:eastAsia="楷体_GB2312" w:cs="Calibri"/>
                      <w:w w:val="70"/>
                      <w:sz w:val="20"/>
                      <w:szCs w:val="20"/>
                    </w:rPr>
                    <w:t>版权所有：</w:t>
                  </w:r>
                  <w:r>
                    <w:rPr>
                      <w:rFonts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2025</w:t>
                  </w:r>
                  <w:r>
                    <w:rPr>
                      <w:rFonts w:eastAsia="楷体_GB2312" w:cs="Calibri"/>
                      <w:w w:val="70"/>
                      <w:sz w:val="20"/>
                      <w:szCs w:val="20"/>
                    </w:rPr>
                    <w:t>年。保留所有权利。</w:t>
                  </w:r>
                </w:p>
                <w:p w14:paraId="2B2FF78B">
                  <w:pPr>
                    <w:pStyle w:val="44"/>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6A385999">
                  <w:pPr>
                    <w:pStyle w:val="44"/>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eastAsia="楷体_GB2312" w:cs="Calibri"/>
                      <w:w w:val="70"/>
                      <w:sz w:val="20"/>
                      <w:szCs w:val="20"/>
                      <w:lang w:eastAsia="zh-CN"/>
                    </w:rPr>
                    <w:t>HuaFu International</w:t>
                  </w:r>
                  <w:r>
                    <w:rPr>
                      <w:rFonts w:eastAsia="楷体_GB2312" w:cs="Calibri"/>
                      <w:w w:val="70"/>
                      <w:sz w:val="20"/>
                      <w:szCs w:val="20"/>
                    </w:rPr>
                    <w:t>.</w:t>
                  </w:r>
                </w:p>
                <w:p w14:paraId="0ED23513">
                  <w:pPr>
                    <w:pStyle w:val="44"/>
                    <w:spacing w:after="60"/>
                    <w:rPr>
                      <w:rFonts w:eastAsia="楷体_GB2312" w:cs="Calibri"/>
                      <w:b/>
                      <w:w w:val="70"/>
                      <w:sz w:val="20"/>
                      <w:szCs w:val="20"/>
                    </w:rPr>
                  </w:pPr>
                  <w:r>
                    <w:rPr>
                      <w:rFonts w:eastAsia="楷体_GB2312" w:cs="Calibri"/>
                      <w:w w:val="70"/>
                      <w:sz w:val="20"/>
                      <w:szCs w:val="20"/>
                    </w:rPr>
                    <w:t xml:space="preserve">Copyright: </w:t>
                  </w:r>
                  <w:r>
                    <w:rPr>
                      <w:rFonts w:eastAsia="楷体_GB2312" w:cs="Calibri"/>
                      <w:w w:val="70"/>
                      <w:sz w:val="20"/>
                      <w:szCs w:val="20"/>
                      <w:lang w:eastAsia="zh-CN"/>
                    </w:rPr>
                    <w:t>HuaFu</w:t>
                  </w:r>
                  <w:r>
                    <w:rPr>
                      <w:rFonts w:eastAsia="楷体_GB2312" w:cs="Calibri"/>
                      <w:w w:val="70"/>
                      <w:sz w:val="20"/>
                      <w:szCs w:val="20"/>
                    </w:rPr>
                    <w:t xml:space="preserve"> International </w:t>
                  </w:r>
                  <w:r>
                    <w:rPr>
                      <w:rFonts w:eastAsia="楷体_GB2312" w:cs="Calibri"/>
                      <w:w w:val="70"/>
                      <w:sz w:val="20"/>
                      <w:szCs w:val="20"/>
                      <w:lang w:eastAsia="zh-CN"/>
                    </w:rPr>
                    <w:t>2025</w:t>
                  </w:r>
                  <w:r>
                    <w:rPr>
                      <w:rFonts w:eastAsia="楷体_GB2312" w:cs="Calibri"/>
                      <w:w w:val="70"/>
                      <w:sz w:val="20"/>
                      <w:szCs w:val="20"/>
                    </w:rPr>
                    <w:t>. All rights reserved</w:t>
                  </w:r>
                </w:p>
              </w:tc>
            </w:tr>
            <w:tr w14:paraId="00933C6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0DAAFB3">
                  <w:pPr>
                    <w:pStyle w:val="44"/>
                    <w:spacing w:after="60"/>
                    <w:rPr>
                      <w:rFonts w:eastAsia="楷体_GB2312" w:cs="Calibri"/>
                      <w:b/>
                      <w:w w:val="70"/>
                      <w:sz w:val="20"/>
                      <w:szCs w:val="20"/>
                    </w:rPr>
                  </w:pPr>
                </w:p>
              </w:tc>
            </w:tr>
            <w:tr w14:paraId="2B93913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2B81BF45">
                  <w:pPr>
                    <w:pStyle w:val="44"/>
                    <w:spacing w:after="60"/>
                    <w:rPr>
                      <w:rFonts w:eastAsia="楷体_GB2312" w:cs="Calibri"/>
                      <w:b/>
                      <w:w w:val="70"/>
                      <w:sz w:val="20"/>
                      <w:szCs w:val="20"/>
                      <w:lang w:eastAsia="zh-CN"/>
                    </w:rPr>
                  </w:pPr>
                </w:p>
              </w:tc>
            </w:tr>
          </w:tbl>
          <w:p w14:paraId="57368D1C">
            <w:pPr>
              <w:pStyle w:val="81"/>
              <w:rPr>
                <w:rFonts w:eastAsia="楷体_GB2312" w:cs="Calibri"/>
                <w:sz w:val="16"/>
              </w:rPr>
            </w:pPr>
          </w:p>
          <w:p w14:paraId="62D04E1D">
            <w:pPr>
              <w:rPr>
                <w:rFonts w:eastAsia="楷体_GB2312" w:cs="Calibri"/>
              </w:rPr>
            </w:pPr>
          </w:p>
        </w:tc>
      </w:tr>
    </w:tbl>
    <w:p w14:paraId="10F7A4E2">
      <w:pPr>
        <w:pStyle w:val="81"/>
        <w:rPr>
          <w:rFonts w:eastAsia="楷体_GB2312" w:cs="Calibri"/>
          <w:w w:val="70"/>
          <w:sz w:val="20"/>
          <w:szCs w:val="20"/>
          <w:lang w:val="en-GB"/>
        </w:rPr>
      </w:pPr>
    </w:p>
    <w:p w14:paraId="077D3252">
      <w:pPr>
        <w:pStyle w:val="81"/>
        <w:rPr>
          <w:rFonts w:eastAsia="楷体_GB2312" w:cs="Calibri"/>
          <w:lang w:val="en-GB"/>
        </w:rPr>
      </w:pPr>
    </w:p>
    <w:sectPr>
      <w:headerReference r:id="rId12" w:type="first"/>
      <w:footerReference r:id="rId14" w:type="first"/>
      <w:headerReference r:id="rId11" w:type="default"/>
      <w:footerReference r:id="rId13"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宋体"/>
    <w:panose1 w:val="00000000000000000000"/>
    <w:charset w:val="86"/>
    <w:family w:val="modern"/>
    <w:pitch w:val="default"/>
    <w:sig w:usb0="00000000" w:usb1="00000000" w:usb2="00000012" w:usb3="00000000" w:csb0="00040000" w:csb1="00000000"/>
  </w:font>
  <w:font w:name="汉仪大黑简">
    <w:altName w:val="黑体"/>
    <w:panose1 w:val="00000000000000000000"/>
    <w:charset w:val="86"/>
    <w:family w:val="modern"/>
    <w:pitch w:val="default"/>
    <w:sig w:usb0="00000000" w:usb1="00000000" w:usb2="0000001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PMingLi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2070F">
    <w:pPr>
      <w:pStyle w:val="42"/>
    </w:pPr>
    <w:r>
      <w:rPr>
        <w:lang w:eastAsia="zh-CN"/>
      </w:rPr>
      <mc:AlternateContent>
        <mc:Choice Requires="wps">
          <w:drawing>
            <wp:anchor distT="0" distB="0" distL="114300" distR="114300" simplePos="0" relativeHeight="251659264" behindDoc="0" locked="0" layoutInCell="1" allowOverlap="1">
              <wp:simplePos x="0" y="0"/>
              <wp:positionH relativeFrom="page">
                <wp:posOffset>75565</wp:posOffset>
              </wp:positionH>
              <wp:positionV relativeFrom="page">
                <wp:posOffset>9812020</wp:posOffset>
              </wp:positionV>
              <wp:extent cx="7404100" cy="50165"/>
              <wp:effectExtent l="0" t="0" r="2540" b="1079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1CD26502">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5.95pt;margin-top:772.6pt;height:3.95pt;width:583pt;mso-position-horizontal-relative:page;mso-position-vertical-relative:page;z-index:251659264;mso-width-relative:page;mso-height-relative:page;" fillcolor="#005BAC" filled="t" stroked="f" coordsize="21600,21600" o:gfxdata="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h2Z/+N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1CD26502">
                    <w:pPr>
                      <w:ind w:left="-180"/>
                    </w:pPr>
                  </w:p>
                </w:txbxContent>
              </v:textbox>
            </v:shape>
          </w:pict>
        </mc:Fallback>
      </mc:AlternateContent>
    </w:r>
    <w:r>
      <w:rPr>
        <w:lang w:eastAsia="zh-CN"/>
      </w:rPr>
      <mc:AlternateContent>
        <mc:Choice Requires="wps">
          <w:drawing>
            <wp:anchor distT="0" distB="0" distL="114300" distR="114300" simplePos="0" relativeHeight="251661312" behindDoc="0" locked="1" layoutInCell="1" allowOverlap="1">
              <wp:simplePos x="0" y="0"/>
              <wp:positionH relativeFrom="column">
                <wp:posOffset>-448945</wp:posOffset>
              </wp:positionH>
              <wp:positionV relativeFrom="page">
                <wp:posOffset>9860280</wp:posOffset>
              </wp:positionV>
              <wp:extent cx="7421880" cy="807720"/>
              <wp:effectExtent l="0" t="0" r="0" b="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421880" cy="807720"/>
                      </a:xfrm>
                      <a:prstGeom prst="rect">
                        <a:avLst/>
                      </a:prstGeom>
                      <a:noFill/>
                      <a:ln>
                        <a:noFill/>
                      </a:ln>
                    </wps:spPr>
                    <wps:txbx>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6D7F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PrEx>
                            <w:trPr>
                              <w:trHeight w:val="23" w:hRule="exact"/>
                            </w:trPr>
                            <w:tc>
                              <w:tcPr>
                                <w:tcW w:w="11624" w:type="dxa"/>
                              </w:tcPr>
                              <w:p w14:paraId="2E83F197">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438B2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61CA6D2">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E2703EC">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5.35pt;margin-top:776.4pt;height:63.6pt;width:584.4pt;mso-position-vertical-relative:page;z-index:251661312;mso-width-relative:page;mso-height-relative:page;" filled="f" stroked="f" coordsize="21600,21600" o:gfxdata="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u2Al72wAAAA4BAAAPAAAAAAAAAAEAIAAAACIAAABkcnMvZG93&#10;bnJldi54bWxQSwECFAAUAAAACACHTuJAfGiuMv0BAAAHBAAADgAAAAAAAAABACAAAAAqAQAAZHJz&#10;L2Uyb0RvYy54bWxQSwUGAAAAAAYABgBZAQAAmQUAAAAA&#10;">
              <v:fill on="f" focussize="0,0"/>
              <v:stroke on="f"/>
              <v:imagedata o:title=""/>
              <o:lock v:ext="edit" aspectratio="f"/>
              <v:textbox inset="0mm,0mm,0mm,0mm">
                <w:txbxContent>
                  <w:tbl>
                    <w:tblPr>
                      <w:tblStyle w:val="27"/>
                      <w:tblW w:w="11624" w:type="dxa"/>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624"/>
                    </w:tblGrid>
                    <w:tr w14:paraId="16D7F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624" w:type="dxa"/>
                        </w:tcPr>
                        <w:p w14:paraId="2E83F197">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4438B2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624" w:type="dxa"/>
                        </w:tcPr>
                        <w:p w14:paraId="761CA6D2">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4E2703EC">
                    <w:pPr>
                      <w:pStyle w:val="59"/>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93888">
    <w:pPr>
      <w:pStyle w:val="1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F308B7">
    <w:pPr>
      <w:pStyle w:val="1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45C9A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0AE9CFF">
          <w:pPr>
            <w:pStyle w:val="49"/>
            <w:framePr w:wrap="auto" w:vAnchor="margin" w:hAnchor="text" w:xAlign="left" w:yAlign="inline"/>
          </w:pPr>
          <w:r>
            <w:fldChar w:fldCharType="begin"/>
          </w:r>
          <w:r>
            <w:instrText xml:space="preserve"> DATE  \@ "d MMM yyyy"  \* MERGEFORMAT </w:instrText>
          </w:r>
          <w:r>
            <w:fldChar w:fldCharType="separate"/>
          </w:r>
          <w:r>
            <w:t>17 Mar 2026</w:t>
          </w:r>
          <w:r>
            <w:fldChar w:fldCharType="end"/>
          </w:r>
          <w:r>
            <w:tab/>
          </w:r>
          <w:r>
            <w:fldChar w:fldCharType="begin"/>
          </w:r>
          <w:r>
            <w:instrText xml:space="preserve"> PAGE </w:instrText>
          </w:r>
          <w:r>
            <w:fldChar w:fldCharType="separate"/>
          </w:r>
          <w:r>
            <w:t>4</w:t>
          </w:r>
          <w:r>
            <w:fldChar w:fldCharType="end"/>
          </w:r>
        </w:p>
      </w:tc>
    </w:tr>
  </w:tbl>
  <w:p w14:paraId="63345553">
    <w:pPr>
      <w:pStyle w:val="4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D5138">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05DE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07818F2A">
          <w:pPr>
            <w:pStyle w:val="49"/>
            <w:framePr w:wrap="auto" w:vAnchor="margin" w:hAnchor="text" w:xAlign="left" w:yAlign="inline"/>
          </w:pPr>
          <w:r>
            <w:tab/>
          </w:r>
          <w:r>
            <w:fldChar w:fldCharType="begin"/>
          </w:r>
          <w:r>
            <w:instrText xml:space="preserve"> PAGE </w:instrText>
          </w:r>
          <w:r>
            <w:fldChar w:fldCharType="separate"/>
          </w:r>
          <w:r>
            <w:t>6</w:t>
          </w:r>
          <w:r>
            <w:fldChar w:fldCharType="end"/>
          </w:r>
        </w:p>
      </w:tc>
    </w:tr>
  </w:tbl>
  <w:p w14:paraId="7E37F4AA">
    <w:pPr>
      <w:pStyle w:val="4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A09DA">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74667A">
    <w:pPr>
      <w:pStyle w:val="42"/>
    </w:pPr>
  </w:p>
  <w:p w14:paraId="128C370E"/>
  <w:p w14:paraId="2828DAAC">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81915</wp:posOffset>
          </wp:positionV>
          <wp:extent cx="1925955" cy="651510"/>
          <wp:effectExtent l="0" t="0" r="9525" b="381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335915</wp:posOffset>
              </wp:positionH>
              <wp:positionV relativeFrom="paragraph">
                <wp:posOffset>2215515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7968B0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30607D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8A0DC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4057854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E2F16FC">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6.45pt;margin-top:174.45pt;height:22.8pt;width:180.45pt;z-index:251662336;mso-width-relative:page;mso-height-relative:page;" filled="f" stroked="f" coordsize="21600,21600" o:gfxdata="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FTle1rYAAAACgEAAA8AAAAAAAAAAQAgAAAAIgAAAGRycy9kb3ducmV2LnhtbFBLAQIUABQAAAAI&#10;AIdO4kBEPAoLJgIAACsEAAAOAAAAAAAAAAEAIAAAACcBAABkcnMvZTJvRG9jLnhtbFBLBQYAAAAA&#10;BgAGAFkBAAC/BQ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7968B0E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30607DE">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78A0DC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40578547">
                          <w:pPr>
                            <w:rPr>
                              <w:color w:val="23558C"/>
                              <w:sz w:val="20"/>
                              <w:szCs w:val="20"/>
                            </w:rPr>
                          </w:pPr>
                          <w:r>
                            <w:rPr>
                              <w:rFonts w:hint="eastAsia" w:eastAsia="楷体_GB2312"/>
                              <w:color w:val="23558C"/>
                              <w:sz w:val="20"/>
                              <w:szCs w:val="20"/>
                              <w:lang w:eastAsia="zh-CN"/>
                            </w:rPr>
                            <w:t xml:space="preserve">观点聚焦 </w:t>
                          </w:r>
                          <w:r>
                            <w:rPr>
                              <w:rFonts w:eastAsia="楷体_GB2312"/>
                              <w:color w:val="23558C"/>
                              <w:sz w:val="20"/>
                              <w:szCs w:val="20"/>
                              <w:lang w:eastAsia="zh-CN"/>
                            </w:rPr>
                            <w:t>Investment Focus</w:t>
                          </w:r>
                        </w:p>
                      </w:tc>
                    </w:tr>
                  </w:tbl>
                  <w:p w14:paraId="4E2F16FC">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5715" b="3175"/>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3EE3A">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5E796">
    <w:pPr>
      <w:pStyle w:val="1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0" w:type="auto"/>
      <w:tblCaption w:val="[Table_header2]"/>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594"/>
    </w:tblGrid>
    <w:tr w14:paraId="2001E7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107" w:hRule="exact"/>
      </w:trPr>
      <w:tc>
        <w:tcPr>
          <w:tcW w:w="10685" w:type="dxa"/>
        </w:tcPr>
        <w:p w14:paraId="5C4D63FE">
          <w:pPr>
            <w:pStyle w:val="42"/>
            <w:rPr>
              <w:color w:val="FF0000"/>
            </w:rPr>
          </w:pPr>
          <w:r>
            <w:rPr>
              <w:color w:val="FFFFFF" w:themeColor="background1"/>
              <w14:textFill>
                <w14:solidFill>
                  <w14:schemeClr w14:val="bg1"/>
                </w14:solidFill>
              </w14:textFill>
            </w:rPr>
            <w:t>[Table_header2]</w:t>
          </w:r>
        </w:p>
      </w:tc>
    </w:tr>
    <w:tr w14:paraId="0F3E747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85" w:type="dxa"/>
        </w:tcPr>
        <w:p w14:paraId="04175C59">
          <w:pPr>
            <w:pStyle w:val="42"/>
            <w:jc w:val="right"/>
            <w:rPr>
              <w:rFonts w:eastAsia="楷体_GB2312" w:cs="Calibri"/>
              <w:b/>
              <w:color w:val="005BAC"/>
              <w:sz w:val="24"/>
              <w:szCs w:val="24"/>
            </w:rPr>
          </w:pPr>
          <w:r>
            <w:rPr>
              <w:rFonts w:ascii="Calibri" w:eastAsia="楷体_GB2312"/>
              <w:b w:val="0"/>
              <w:i w:val="0"/>
              <w:color w:val="215E99"/>
              <w:sz w:val="24"/>
              <w:lang w:eastAsia="zh-CN"/>
            </w:rPr>
            <w:t>全球</w:t>
          </w:r>
          <w:r>
            <w:rPr>
              <w:rFonts w:ascii="Calibri" w:eastAsia="楷体_GB2312"/>
              <w:b w:val="0"/>
              <w:i w:val="0"/>
              <w:color w:val="215E99"/>
              <w:sz w:val="24"/>
            </w:rPr>
            <w:t>宏观</w:t>
          </w:r>
          <w:r>
            <w:rPr>
              <w:rFonts w:ascii="Calibri" w:eastAsia="楷体_GB2312"/>
              <w:b w:val="0"/>
              <w:i w:val="0"/>
              <w:color w:val="215E99"/>
              <w:sz w:val="24"/>
              <w:lang w:eastAsia="zh-CN"/>
            </w:rPr>
            <w:t>World</w:t>
          </w:r>
          <w:r>
            <w:rPr>
              <w:rFonts w:ascii="Calibri" w:eastAsia="楷体_GB2312"/>
              <w:b w:val="0"/>
              <w:i w:val="0"/>
              <w:color w:val="215E99"/>
              <w:sz w:val="24"/>
            </w:rPr>
            <w:t xml:space="preserve"> Macro</w:t>
          </w:r>
        </w:p>
      </w:tc>
    </w:tr>
  </w:tbl>
  <w:p w14:paraId="6A069A32">
    <w:pPr>
      <w:pStyle w:val="42"/>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885BFC">
    <w:pPr>
      <w:pStyle w:val="42"/>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65537">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6">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0">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1">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8"/>
  </w:num>
  <w:num w:numId="3">
    <w:abstractNumId w:val="1"/>
  </w:num>
  <w:num w:numId="4">
    <w:abstractNumId w:val="11"/>
  </w:num>
  <w:num w:numId="5">
    <w:abstractNumId w:val="6"/>
  </w:num>
  <w:num w:numId="6">
    <w:abstractNumId w:val="4"/>
  </w:num>
  <w:num w:numId="7">
    <w:abstractNumId w:val="7"/>
  </w:num>
  <w:num w:numId="8">
    <w:abstractNumId w:val="3"/>
  </w:num>
  <w:num w:numId="9">
    <w:abstractNumId w:val="5"/>
  </w:num>
  <w:num w:numId="10">
    <w:abstractNumId w:val="9"/>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attachedTemplate r:id="rId1"/>
  <w:documentProtection w:enforcement="0"/>
  <w:defaultTabStop w:val="400"/>
  <w:drawingGridHorizontalSpacing w:val="80"/>
  <w:drawingGridVerticalSpacing w:val="200"/>
  <w:noPunctuationKerning w:val="1"/>
  <w:characterSpacingControl w:val="doNotCompress"/>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C0E"/>
    <w:rsid w:val="0000224B"/>
    <w:rsid w:val="00002DDC"/>
    <w:rsid w:val="00003E75"/>
    <w:rsid w:val="00004BAA"/>
    <w:rsid w:val="00004FB5"/>
    <w:rsid w:val="0000558A"/>
    <w:rsid w:val="000063F1"/>
    <w:rsid w:val="0000732D"/>
    <w:rsid w:val="00010774"/>
    <w:rsid w:val="00010D9C"/>
    <w:rsid w:val="0001184F"/>
    <w:rsid w:val="00013043"/>
    <w:rsid w:val="000130D9"/>
    <w:rsid w:val="00013244"/>
    <w:rsid w:val="00014086"/>
    <w:rsid w:val="000146CB"/>
    <w:rsid w:val="000152DE"/>
    <w:rsid w:val="000158A6"/>
    <w:rsid w:val="000171D2"/>
    <w:rsid w:val="000201AE"/>
    <w:rsid w:val="00020B7A"/>
    <w:rsid w:val="00021DAC"/>
    <w:rsid w:val="00021DD0"/>
    <w:rsid w:val="00022C11"/>
    <w:rsid w:val="00023367"/>
    <w:rsid w:val="00024051"/>
    <w:rsid w:val="00024F59"/>
    <w:rsid w:val="0002500A"/>
    <w:rsid w:val="00025E71"/>
    <w:rsid w:val="00025F59"/>
    <w:rsid w:val="00026DCC"/>
    <w:rsid w:val="00027183"/>
    <w:rsid w:val="000277C4"/>
    <w:rsid w:val="00027FEF"/>
    <w:rsid w:val="0003028B"/>
    <w:rsid w:val="00031D6F"/>
    <w:rsid w:val="00032B31"/>
    <w:rsid w:val="000334F3"/>
    <w:rsid w:val="000336AF"/>
    <w:rsid w:val="00033DF7"/>
    <w:rsid w:val="000347D5"/>
    <w:rsid w:val="00035535"/>
    <w:rsid w:val="00035E45"/>
    <w:rsid w:val="0003686B"/>
    <w:rsid w:val="00041387"/>
    <w:rsid w:val="00041A6F"/>
    <w:rsid w:val="0004283E"/>
    <w:rsid w:val="00042B17"/>
    <w:rsid w:val="00043062"/>
    <w:rsid w:val="00043657"/>
    <w:rsid w:val="0004549E"/>
    <w:rsid w:val="00047D52"/>
    <w:rsid w:val="000516AD"/>
    <w:rsid w:val="00051EC9"/>
    <w:rsid w:val="00052838"/>
    <w:rsid w:val="00052DCF"/>
    <w:rsid w:val="00053BBB"/>
    <w:rsid w:val="00054224"/>
    <w:rsid w:val="00054451"/>
    <w:rsid w:val="00055381"/>
    <w:rsid w:val="0005743D"/>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23D4"/>
    <w:rsid w:val="000A2C9D"/>
    <w:rsid w:val="000A30E9"/>
    <w:rsid w:val="000A461B"/>
    <w:rsid w:val="000A6794"/>
    <w:rsid w:val="000A726A"/>
    <w:rsid w:val="000B13C1"/>
    <w:rsid w:val="000B18D6"/>
    <w:rsid w:val="000B2336"/>
    <w:rsid w:val="000B465C"/>
    <w:rsid w:val="000B792D"/>
    <w:rsid w:val="000B7DE2"/>
    <w:rsid w:val="000C02F6"/>
    <w:rsid w:val="000C1F65"/>
    <w:rsid w:val="000C2B68"/>
    <w:rsid w:val="000C2E9E"/>
    <w:rsid w:val="000C39D2"/>
    <w:rsid w:val="000C3D03"/>
    <w:rsid w:val="000C4852"/>
    <w:rsid w:val="000C627B"/>
    <w:rsid w:val="000C77D8"/>
    <w:rsid w:val="000C7E1A"/>
    <w:rsid w:val="000D1903"/>
    <w:rsid w:val="000D19B0"/>
    <w:rsid w:val="000D1A3C"/>
    <w:rsid w:val="000D4908"/>
    <w:rsid w:val="000E098F"/>
    <w:rsid w:val="000E0A01"/>
    <w:rsid w:val="000E0F0E"/>
    <w:rsid w:val="000E1FB8"/>
    <w:rsid w:val="000E35E3"/>
    <w:rsid w:val="000E3705"/>
    <w:rsid w:val="000E377C"/>
    <w:rsid w:val="000E3E8B"/>
    <w:rsid w:val="000E4D3F"/>
    <w:rsid w:val="000E5287"/>
    <w:rsid w:val="000E664D"/>
    <w:rsid w:val="000E6BA6"/>
    <w:rsid w:val="000F098D"/>
    <w:rsid w:val="000F0C19"/>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5C"/>
    <w:rsid w:val="00100684"/>
    <w:rsid w:val="001009C1"/>
    <w:rsid w:val="00100F5F"/>
    <w:rsid w:val="001029E6"/>
    <w:rsid w:val="00103CDB"/>
    <w:rsid w:val="001059C9"/>
    <w:rsid w:val="0010656E"/>
    <w:rsid w:val="00106DF2"/>
    <w:rsid w:val="001102D0"/>
    <w:rsid w:val="00110B26"/>
    <w:rsid w:val="00110FF3"/>
    <w:rsid w:val="001111AD"/>
    <w:rsid w:val="00113DC0"/>
    <w:rsid w:val="001154B0"/>
    <w:rsid w:val="0011588A"/>
    <w:rsid w:val="001164AF"/>
    <w:rsid w:val="00117571"/>
    <w:rsid w:val="00117C9F"/>
    <w:rsid w:val="00120A7B"/>
    <w:rsid w:val="00121CC5"/>
    <w:rsid w:val="00122BB4"/>
    <w:rsid w:val="00123AC1"/>
    <w:rsid w:val="00123F41"/>
    <w:rsid w:val="0012412A"/>
    <w:rsid w:val="00124271"/>
    <w:rsid w:val="00124E3B"/>
    <w:rsid w:val="0012686A"/>
    <w:rsid w:val="00126871"/>
    <w:rsid w:val="00127CD0"/>
    <w:rsid w:val="00130BC2"/>
    <w:rsid w:val="001311FC"/>
    <w:rsid w:val="0013302A"/>
    <w:rsid w:val="00133D86"/>
    <w:rsid w:val="001345B6"/>
    <w:rsid w:val="00135A41"/>
    <w:rsid w:val="00137678"/>
    <w:rsid w:val="00141BEC"/>
    <w:rsid w:val="001434AA"/>
    <w:rsid w:val="00145B09"/>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60306"/>
    <w:rsid w:val="0016407E"/>
    <w:rsid w:val="00164CA4"/>
    <w:rsid w:val="00165FE3"/>
    <w:rsid w:val="001669C8"/>
    <w:rsid w:val="00166E15"/>
    <w:rsid w:val="00167695"/>
    <w:rsid w:val="00170C3B"/>
    <w:rsid w:val="00170DCB"/>
    <w:rsid w:val="001721EC"/>
    <w:rsid w:val="001763B0"/>
    <w:rsid w:val="001769B5"/>
    <w:rsid w:val="001771D0"/>
    <w:rsid w:val="001807CA"/>
    <w:rsid w:val="00181893"/>
    <w:rsid w:val="00181D43"/>
    <w:rsid w:val="0018583D"/>
    <w:rsid w:val="00185B06"/>
    <w:rsid w:val="001872F4"/>
    <w:rsid w:val="001875FC"/>
    <w:rsid w:val="00191469"/>
    <w:rsid w:val="001922CB"/>
    <w:rsid w:val="0019345E"/>
    <w:rsid w:val="0019383A"/>
    <w:rsid w:val="00194662"/>
    <w:rsid w:val="00195C32"/>
    <w:rsid w:val="001962CE"/>
    <w:rsid w:val="00197061"/>
    <w:rsid w:val="0019732D"/>
    <w:rsid w:val="00197CAF"/>
    <w:rsid w:val="001A1911"/>
    <w:rsid w:val="001A3692"/>
    <w:rsid w:val="001A4F63"/>
    <w:rsid w:val="001A528B"/>
    <w:rsid w:val="001A563D"/>
    <w:rsid w:val="001A571E"/>
    <w:rsid w:val="001A6C17"/>
    <w:rsid w:val="001A7AE5"/>
    <w:rsid w:val="001B0473"/>
    <w:rsid w:val="001B0E69"/>
    <w:rsid w:val="001B1F03"/>
    <w:rsid w:val="001B2F6F"/>
    <w:rsid w:val="001B3090"/>
    <w:rsid w:val="001B31CA"/>
    <w:rsid w:val="001B3D32"/>
    <w:rsid w:val="001B3E45"/>
    <w:rsid w:val="001B45FD"/>
    <w:rsid w:val="001C020B"/>
    <w:rsid w:val="001C105A"/>
    <w:rsid w:val="001C20AC"/>
    <w:rsid w:val="001C2549"/>
    <w:rsid w:val="001C3243"/>
    <w:rsid w:val="001C3C78"/>
    <w:rsid w:val="001C577A"/>
    <w:rsid w:val="001C5D7B"/>
    <w:rsid w:val="001C62E1"/>
    <w:rsid w:val="001C637C"/>
    <w:rsid w:val="001C7FED"/>
    <w:rsid w:val="001D00D0"/>
    <w:rsid w:val="001D2489"/>
    <w:rsid w:val="001D2DEF"/>
    <w:rsid w:val="001D345B"/>
    <w:rsid w:val="001D3D89"/>
    <w:rsid w:val="001D4C97"/>
    <w:rsid w:val="001D58D6"/>
    <w:rsid w:val="001D663F"/>
    <w:rsid w:val="001D6B4F"/>
    <w:rsid w:val="001D6F5B"/>
    <w:rsid w:val="001E04EA"/>
    <w:rsid w:val="001E0900"/>
    <w:rsid w:val="001E23F5"/>
    <w:rsid w:val="001E4AE1"/>
    <w:rsid w:val="001E4BA2"/>
    <w:rsid w:val="001E59E2"/>
    <w:rsid w:val="001E60AA"/>
    <w:rsid w:val="001E6C6E"/>
    <w:rsid w:val="001E7BEF"/>
    <w:rsid w:val="001E7FF3"/>
    <w:rsid w:val="001F0651"/>
    <w:rsid w:val="001F1906"/>
    <w:rsid w:val="001F1C59"/>
    <w:rsid w:val="001F3F20"/>
    <w:rsid w:val="001F4135"/>
    <w:rsid w:val="001F536A"/>
    <w:rsid w:val="001F5572"/>
    <w:rsid w:val="001F5A51"/>
    <w:rsid w:val="001F75AC"/>
    <w:rsid w:val="00200B71"/>
    <w:rsid w:val="00201113"/>
    <w:rsid w:val="00201302"/>
    <w:rsid w:val="002017C5"/>
    <w:rsid w:val="002019A5"/>
    <w:rsid w:val="0020268B"/>
    <w:rsid w:val="00203B27"/>
    <w:rsid w:val="00203E93"/>
    <w:rsid w:val="00205F60"/>
    <w:rsid w:val="0020724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643A"/>
    <w:rsid w:val="00227B8A"/>
    <w:rsid w:val="00227E8E"/>
    <w:rsid w:val="0023015F"/>
    <w:rsid w:val="002323DB"/>
    <w:rsid w:val="002333C1"/>
    <w:rsid w:val="002334CD"/>
    <w:rsid w:val="002334F3"/>
    <w:rsid w:val="00237463"/>
    <w:rsid w:val="002408B0"/>
    <w:rsid w:val="002409CB"/>
    <w:rsid w:val="00240D3A"/>
    <w:rsid w:val="0024314C"/>
    <w:rsid w:val="00243985"/>
    <w:rsid w:val="00243BC1"/>
    <w:rsid w:val="00244462"/>
    <w:rsid w:val="00247965"/>
    <w:rsid w:val="00247BCD"/>
    <w:rsid w:val="002501F5"/>
    <w:rsid w:val="00250E07"/>
    <w:rsid w:val="0025139A"/>
    <w:rsid w:val="00251EC5"/>
    <w:rsid w:val="00253320"/>
    <w:rsid w:val="00253A6F"/>
    <w:rsid w:val="00253D92"/>
    <w:rsid w:val="0025406B"/>
    <w:rsid w:val="00255E22"/>
    <w:rsid w:val="00256095"/>
    <w:rsid w:val="002562BC"/>
    <w:rsid w:val="002567B0"/>
    <w:rsid w:val="0025700B"/>
    <w:rsid w:val="00257AC0"/>
    <w:rsid w:val="00261434"/>
    <w:rsid w:val="002617C7"/>
    <w:rsid w:val="00262A58"/>
    <w:rsid w:val="00262C21"/>
    <w:rsid w:val="0026432E"/>
    <w:rsid w:val="00264B84"/>
    <w:rsid w:val="002666AC"/>
    <w:rsid w:val="00267EFE"/>
    <w:rsid w:val="00271DAB"/>
    <w:rsid w:val="00273FB3"/>
    <w:rsid w:val="00274E8C"/>
    <w:rsid w:val="00275A6D"/>
    <w:rsid w:val="00275B79"/>
    <w:rsid w:val="00276A7D"/>
    <w:rsid w:val="002772E9"/>
    <w:rsid w:val="002777FE"/>
    <w:rsid w:val="00280FB4"/>
    <w:rsid w:val="002817A0"/>
    <w:rsid w:val="00281946"/>
    <w:rsid w:val="0028248E"/>
    <w:rsid w:val="0028255D"/>
    <w:rsid w:val="00282B2F"/>
    <w:rsid w:val="00282B6C"/>
    <w:rsid w:val="002833B6"/>
    <w:rsid w:val="002843D0"/>
    <w:rsid w:val="002846D0"/>
    <w:rsid w:val="00284BE9"/>
    <w:rsid w:val="00285753"/>
    <w:rsid w:val="00286353"/>
    <w:rsid w:val="00286E37"/>
    <w:rsid w:val="00286F8D"/>
    <w:rsid w:val="002870CD"/>
    <w:rsid w:val="00290715"/>
    <w:rsid w:val="00290FFE"/>
    <w:rsid w:val="00292704"/>
    <w:rsid w:val="00293E45"/>
    <w:rsid w:val="00296000"/>
    <w:rsid w:val="00296930"/>
    <w:rsid w:val="002969CE"/>
    <w:rsid w:val="002976D7"/>
    <w:rsid w:val="00297780"/>
    <w:rsid w:val="00297C2B"/>
    <w:rsid w:val="00297EF5"/>
    <w:rsid w:val="002A034C"/>
    <w:rsid w:val="002A0BCF"/>
    <w:rsid w:val="002A0FF7"/>
    <w:rsid w:val="002A1AF8"/>
    <w:rsid w:val="002A20F7"/>
    <w:rsid w:val="002A2A17"/>
    <w:rsid w:val="002A2EB2"/>
    <w:rsid w:val="002A30AA"/>
    <w:rsid w:val="002A3710"/>
    <w:rsid w:val="002A3E5A"/>
    <w:rsid w:val="002A5BD9"/>
    <w:rsid w:val="002A7BB7"/>
    <w:rsid w:val="002B03B4"/>
    <w:rsid w:val="002B15B5"/>
    <w:rsid w:val="002B1747"/>
    <w:rsid w:val="002B1CC9"/>
    <w:rsid w:val="002B2C18"/>
    <w:rsid w:val="002B40A7"/>
    <w:rsid w:val="002B4AC7"/>
    <w:rsid w:val="002B516B"/>
    <w:rsid w:val="002B6571"/>
    <w:rsid w:val="002B68AF"/>
    <w:rsid w:val="002B709B"/>
    <w:rsid w:val="002C07D1"/>
    <w:rsid w:val="002C0CCE"/>
    <w:rsid w:val="002C0D89"/>
    <w:rsid w:val="002C2D27"/>
    <w:rsid w:val="002C3E56"/>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6900"/>
    <w:rsid w:val="002F09F8"/>
    <w:rsid w:val="002F0EEC"/>
    <w:rsid w:val="002F1534"/>
    <w:rsid w:val="002F3F48"/>
    <w:rsid w:val="002F437F"/>
    <w:rsid w:val="002F5E46"/>
    <w:rsid w:val="002F65E1"/>
    <w:rsid w:val="0030077C"/>
    <w:rsid w:val="003007A4"/>
    <w:rsid w:val="0030101D"/>
    <w:rsid w:val="003015C5"/>
    <w:rsid w:val="00301B30"/>
    <w:rsid w:val="0030327A"/>
    <w:rsid w:val="00304467"/>
    <w:rsid w:val="00304E2E"/>
    <w:rsid w:val="003104B3"/>
    <w:rsid w:val="003137DC"/>
    <w:rsid w:val="003142B9"/>
    <w:rsid w:val="003170E4"/>
    <w:rsid w:val="00317AD1"/>
    <w:rsid w:val="003200D1"/>
    <w:rsid w:val="00320995"/>
    <w:rsid w:val="00320FC6"/>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3F06"/>
    <w:rsid w:val="00334FEB"/>
    <w:rsid w:val="003353E1"/>
    <w:rsid w:val="00335FB1"/>
    <w:rsid w:val="00336395"/>
    <w:rsid w:val="00337886"/>
    <w:rsid w:val="00337CD7"/>
    <w:rsid w:val="003408AF"/>
    <w:rsid w:val="003418D2"/>
    <w:rsid w:val="00342E7B"/>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B9C"/>
    <w:rsid w:val="00360383"/>
    <w:rsid w:val="00360BD6"/>
    <w:rsid w:val="00360E3F"/>
    <w:rsid w:val="00363BD9"/>
    <w:rsid w:val="00364B54"/>
    <w:rsid w:val="00365E9C"/>
    <w:rsid w:val="00366288"/>
    <w:rsid w:val="00366310"/>
    <w:rsid w:val="00366ED6"/>
    <w:rsid w:val="003677DE"/>
    <w:rsid w:val="00372B4C"/>
    <w:rsid w:val="00373BBC"/>
    <w:rsid w:val="003747D4"/>
    <w:rsid w:val="00375A75"/>
    <w:rsid w:val="00375F8D"/>
    <w:rsid w:val="00376CD7"/>
    <w:rsid w:val="003807D7"/>
    <w:rsid w:val="0038264E"/>
    <w:rsid w:val="003827A2"/>
    <w:rsid w:val="00383DC8"/>
    <w:rsid w:val="0038534D"/>
    <w:rsid w:val="00385A0D"/>
    <w:rsid w:val="0038635C"/>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76FD"/>
    <w:rsid w:val="003A7A6B"/>
    <w:rsid w:val="003A7FED"/>
    <w:rsid w:val="003B1E5B"/>
    <w:rsid w:val="003B3DFE"/>
    <w:rsid w:val="003B3E37"/>
    <w:rsid w:val="003B405B"/>
    <w:rsid w:val="003B42E0"/>
    <w:rsid w:val="003B509D"/>
    <w:rsid w:val="003B6659"/>
    <w:rsid w:val="003B69AF"/>
    <w:rsid w:val="003B78FD"/>
    <w:rsid w:val="003B7A01"/>
    <w:rsid w:val="003C2B67"/>
    <w:rsid w:val="003C3701"/>
    <w:rsid w:val="003C3ED1"/>
    <w:rsid w:val="003C50EE"/>
    <w:rsid w:val="003C635C"/>
    <w:rsid w:val="003C6529"/>
    <w:rsid w:val="003C704F"/>
    <w:rsid w:val="003D0442"/>
    <w:rsid w:val="003D1349"/>
    <w:rsid w:val="003D2FBC"/>
    <w:rsid w:val="003D5B68"/>
    <w:rsid w:val="003D60E8"/>
    <w:rsid w:val="003E1544"/>
    <w:rsid w:val="003E1742"/>
    <w:rsid w:val="003E1947"/>
    <w:rsid w:val="003E20CF"/>
    <w:rsid w:val="003E373F"/>
    <w:rsid w:val="003E46AE"/>
    <w:rsid w:val="003E6A30"/>
    <w:rsid w:val="003E70FD"/>
    <w:rsid w:val="003E7202"/>
    <w:rsid w:val="003E7E4D"/>
    <w:rsid w:val="003F0606"/>
    <w:rsid w:val="003F0B9B"/>
    <w:rsid w:val="003F3133"/>
    <w:rsid w:val="003F3890"/>
    <w:rsid w:val="003F3B50"/>
    <w:rsid w:val="003F3D61"/>
    <w:rsid w:val="003F471A"/>
    <w:rsid w:val="003F6107"/>
    <w:rsid w:val="003F6324"/>
    <w:rsid w:val="00401A4E"/>
    <w:rsid w:val="00401B4F"/>
    <w:rsid w:val="00402599"/>
    <w:rsid w:val="00402B6F"/>
    <w:rsid w:val="00402DAC"/>
    <w:rsid w:val="004040BC"/>
    <w:rsid w:val="00406C24"/>
    <w:rsid w:val="00407691"/>
    <w:rsid w:val="00410565"/>
    <w:rsid w:val="00411712"/>
    <w:rsid w:val="00411FBC"/>
    <w:rsid w:val="0041203B"/>
    <w:rsid w:val="0041212F"/>
    <w:rsid w:val="0041231B"/>
    <w:rsid w:val="004128B0"/>
    <w:rsid w:val="00415733"/>
    <w:rsid w:val="00416C58"/>
    <w:rsid w:val="00417D1E"/>
    <w:rsid w:val="00420FFA"/>
    <w:rsid w:val="00421446"/>
    <w:rsid w:val="00424051"/>
    <w:rsid w:val="00424323"/>
    <w:rsid w:val="00425799"/>
    <w:rsid w:val="004268E2"/>
    <w:rsid w:val="00426E9A"/>
    <w:rsid w:val="00426F97"/>
    <w:rsid w:val="0043142D"/>
    <w:rsid w:val="004317E7"/>
    <w:rsid w:val="00432736"/>
    <w:rsid w:val="0043381E"/>
    <w:rsid w:val="00435B92"/>
    <w:rsid w:val="00436E43"/>
    <w:rsid w:val="00437AE7"/>
    <w:rsid w:val="00437BA0"/>
    <w:rsid w:val="00437C5D"/>
    <w:rsid w:val="004401E6"/>
    <w:rsid w:val="004419D5"/>
    <w:rsid w:val="00442011"/>
    <w:rsid w:val="004427CF"/>
    <w:rsid w:val="004455BA"/>
    <w:rsid w:val="004459F7"/>
    <w:rsid w:val="00445B35"/>
    <w:rsid w:val="00445C70"/>
    <w:rsid w:val="00446E1E"/>
    <w:rsid w:val="00447892"/>
    <w:rsid w:val="00447F55"/>
    <w:rsid w:val="00451B81"/>
    <w:rsid w:val="00451D9F"/>
    <w:rsid w:val="004522CB"/>
    <w:rsid w:val="00453AA2"/>
    <w:rsid w:val="00454315"/>
    <w:rsid w:val="0045656D"/>
    <w:rsid w:val="004614F7"/>
    <w:rsid w:val="0046476B"/>
    <w:rsid w:val="00465CDD"/>
    <w:rsid w:val="00465F11"/>
    <w:rsid w:val="00465F7C"/>
    <w:rsid w:val="00466070"/>
    <w:rsid w:val="0047069C"/>
    <w:rsid w:val="00471BD4"/>
    <w:rsid w:val="00471D17"/>
    <w:rsid w:val="00476676"/>
    <w:rsid w:val="00477B76"/>
    <w:rsid w:val="0048066D"/>
    <w:rsid w:val="00480CEB"/>
    <w:rsid w:val="00482B8A"/>
    <w:rsid w:val="00482E33"/>
    <w:rsid w:val="00483D89"/>
    <w:rsid w:val="00484475"/>
    <w:rsid w:val="00484733"/>
    <w:rsid w:val="004858DE"/>
    <w:rsid w:val="00486709"/>
    <w:rsid w:val="00487D32"/>
    <w:rsid w:val="00490D07"/>
    <w:rsid w:val="00491C58"/>
    <w:rsid w:val="004921D5"/>
    <w:rsid w:val="00493228"/>
    <w:rsid w:val="00493ED4"/>
    <w:rsid w:val="004957E9"/>
    <w:rsid w:val="00495868"/>
    <w:rsid w:val="00496F1D"/>
    <w:rsid w:val="004974F4"/>
    <w:rsid w:val="004A16A4"/>
    <w:rsid w:val="004A41E3"/>
    <w:rsid w:val="004A5616"/>
    <w:rsid w:val="004A5666"/>
    <w:rsid w:val="004A58D1"/>
    <w:rsid w:val="004A69D0"/>
    <w:rsid w:val="004A7634"/>
    <w:rsid w:val="004B0D20"/>
    <w:rsid w:val="004B1788"/>
    <w:rsid w:val="004B1AB5"/>
    <w:rsid w:val="004B2AB5"/>
    <w:rsid w:val="004B2BC9"/>
    <w:rsid w:val="004B3154"/>
    <w:rsid w:val="004B4238"/>
    <w:rsid w:val="004C2B9D"/>
    <w:rsid w:val="004C349E"/>
    <w:rsid w:val="004C4436"/>
    <w:rsid w:val="004C581E"/>
    <w:rsid w:val="004C6485"/>
    <w:rsid w:val="004C6B74"/>
    <w:rsid w:val="004D04E2"/>
    <w:rsid w:val="004D07D7"/>
    <w:rsid w:val="004D0B93"/>
    <w:rsid w:val="004D11C3"/>
    <w:rsid w:val="004D179A"/>
    <w:rsid w:val="004D2B04"/>
    <w:rsid w:val="004D414B"/>
    <w:rsid w:val="004D7E88"/>
    <w:rsid w:val="004E012C"/>
    <w:rsid w:val="004E1DBE"/>
    <w:rsid w:val="004E2483"/>
    <w:rsid w:val="004E24CF"/>
    <w:rsid w:val="004E42A4"/>
    <w:rsid w:val="004E44EA"/>
    <w:rsid w:val="004E503B"/>
    <w:rsid w:val="004E5961"/>
    <w:rsid w:val="004E6DFD"/>
    <w:rsid w:val="004F01A1"/>
    <w:rsid w:val="004F045F"/>
    <w:rsid w:val="004F075F"/>
    <w:rsid w:val="004F10EF"/>
    <w:rsid w:val="004F240C"/>
    <w:rsid w:val="004F2539"/>
    <w:rsid w:val="004F28E9"/>
    <w:rsid w:val="004F43A8"/>
    <w:rsid w:val="004F54F7"/>
    <w:rsid w:val="004F68C4"/>
    <w:rsid w:val="004F76A3"/>
    <w:rsid w:val="00501811"/>
    <w:rsid w:val="0050337A"/>
    <w:rsid w:val="00504579"/>
    <w:rsid w:val="0050661D"/>
    <w:rsid w:val="00506BC8"/>
    <w:rsid w:val="00506C1E"/>
    <w:rsid w:val="00507CBE"/>
    <w:rsid w:val="00510770"/>
    <w:rsid w:val="00511D90"/>
    <w:rsid w:val="005121D1"/>
    <w:rsid w:val="00512B60"/>
    <w:rsid w:val="005133B5"/>
    <w:rsid w:val="00514459"/>
    <w:rsid w:val="0051447F"/>
    <w:rsid w:val="005154B9"/>
    <w:rsid w:val="00516174"/>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3CC"/>
    <w:rsid w:val="00543C68"/>
    <w:rsid w:val="00546269"/>
    <w:rsid w:val="00546EDD"/>
    <w:rsid w:val="00547212"/>
    <w:rsid w:val="00552ABB"/>
    <w:rsid w:val="00552EA0"/>
    <w:rsid w:val="0055353A"/>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706CD"/>
    <w:rsid w:val="00570D9C"/>
    <w:rsid w:val="00570E72"/>
    <w:rsid w:val="00570EC0"/>
    <w:rsid w:val="00571862"/>
    <w:rsid w:val="00571CB9"/>
    <w:rsid w:val="00573577"/>
    <w:rsid w:val="00573A22"/>
    <w:rsid w:val="0057520F"/>
    <w:rsid w:val="005779C2"/>
    <w:rsid w:val="00580930"/>
    <w:rsid w:val="00580CF8"/>
    <w:rsid w:val="0058321A"/>
    <w:rsid w:val="00584671"/>
    <w:rsid w:val="005854F9"/>
    <w:rsid w:val="00585ECA"/>
    <w:rsid w:val="0058688D"/>
    <w:rsid w:val="00587EA1"/>
    <w:rsid w:val="00590E48"/>
    <w:rsid w:val="00591701"/>
    <w:rsid w:val="00591B49"/>
    <w:rsid w:val="0059391C"/>
    <w:rsid w:val="00594CC3"/>
    <w:rsid w:val="00596D1A"/>
    <w:rsid w:val="0059729D"/>
    <w:rsid w:val="00597D00"/>
    <w:rsid w:val="005A032A"/>
    <w:rsid w:val="005A1166"/>
    <w:rsid w:val="005A16E9"/>
    <w:rsid w:val="005A171B"/>
    <w:rsid w:val="005A1749"/>
    <w:rsid w:val="005A1AE3"/>
    <w:rsid w:val="005A4568"/>
    <w:rsid w:val="005A6BC2"/>
    <w:rsid w:val="005A70A6"/>
    <w:rsid w:val="005A77B9"/>
    <w:rsid w:val="005B0456"/>
    <w:rsid w:val="005B0707"/>
    <w:rsid w:val="005B0BAC"/>
    <w:rsid w:val="005B174E"/>
    <w:rsid w:val="005B2D1A"/>
    <w:rsid w:val="005B403B"/>
    <w:rsid w:val="005B4BA6"/>
    <w:rsid w:val="005B5EA9"/>
    <w:rsid w:val="005B63F0"/>
    <w:rsid w:val="005B6506"/>
    <w:rsid w:val="005B6591"/>
    <w:rsid w:val="005B65F0"/>
    <w:rsid w:val="005C04B0"/>
    <w:rsid w:val="005C1540"/>
    <w:rsid w:val="005C18C3"/>
    <w:rsid w:val="005C1CF1"/>
    <w:rsid w:val="005C31A9"/>
    <w:rsid w:val="005C4CDC"/>
    <w:rsid w:val="005C61D7"/>
    <w:rsid w:val="005C6F27"/>
    <w:rsid w:val="005D054C"/>
    <w:rsid w:val="005D27B4"/>
    <w:rsid w:val="005D35A3"/>
    <w:rsid w:val="005D4050"/>
    <w:rsid w:val="005D419C"/>
    <w:rsid w:val="005D5E45"/>
    <w:rsid w:val="005D6BB5"/>
    <w:rsid w:val="005E2F8C"/>
    <w:rsid w:val="005E322A"/>
    <w:rsid w:val="005E3B8F"/>
    <w:rsid w:val="005E3F8F"/>
    <w:rsid w:val="005E420F"/>
    <w:rsid w:val="005E46DB"/>
    <w:rsid w:val="005E665B"/>
    <w:rsid w:val="005E699B"/>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2DA"/>
    <w:rsid w:val="006037B8"/>
    <w:rsid w:val="00603F0D"/>
    <w:rsid w:val="00604EA4"/>
    <w:rsid w:val="0060511B"/>
    <w:rsid w:val="0060590D"/>
    <w:rsid w:val="00607E41"/>
    <w:rsid w:val="0061378B"/>
    <w:rsid w:val="00613888"/>
    <w:rsid w:val="006139FA"/>
    <w:rsid w:val="00616808"/>
    <w:rsid w:val="006203C0"/>
    <w:rsid w:val="00620A28"/>
    <w:rsid w:val="00620A80"/>
    <w:rsid w:val="00621E59"/>
    <w:rsid w:val="00622772"/>
    <w:rsid w:val="0062285F"/>
    <w:rsid w:val="006234FF"/>
    <w:rsid w:val="00624FCF"/>
    <w:rsid w:val="00625A26"/>
    <w:rsid w:val="006260CE"/>
    <w:rsid w:val="006260F8"/>
    <w:rsid w:val="0063008E"/>
    <w:rsid w:val="00630818"/>
    <w:rsid w:val="0063242E"/>
    <w:rsid w:val="0063311F"/>
    <w:rsid w:val="00633456"/>
    <w:rsid w:val="0063383D"/>
    <w:rsid w:val="00633C40"/>
    <w:rsid w:val="00634861"/>
    <w:rsid w:val="00634A29"/>
    <w:rsid w:val="00634D33"/>
    <w:rsid w:val="00634E90"/>
    <w:rsid w:val="00635858"/>
    <w:rsid w:val="00635CB7"/>
    <w:rsid w:val="00636FAA"/>
    <w:rsid w:val="00637372"/>
    <w:rsid w:val="0063744B"/>
    <w:rsid w:val="00637601"/>
    <w:rsid w:val="00637824"/>
    <w:rsid w:val="00640F23"/>
    <w:rsid w:val="00641930"/>
    <w:rsid w:val="00641BC0"/>
    <w:rsid w:val="00643125"/>
    <w:rsid w:val="00647178"/>
    <w:rsid w:val="00647698"/>
    <w:rsid w:val="00647E4C"/>
    <w:rsid w:val="00647E9E"/>
    <w:rsid w:val="0065015C"/>
    <w:rsid w:val="00651357"/>
    <w:rsid w:val="00654941"/>
    <w:rsid w:val="006549FF"/>
    <w:rsid w:val="006554AB"/>
    <w:rsid w:val="00656A25"/>
    <w:rsid w:val="00657881"/>
    <w:rsid w:val="00657A98"/>
    <w:rsid w:val="0066094D"/>
    <w:rsid w:val="006627A7"/>
    <w:rsid w:val="0066438F"/>
    <w:rsid w:val="00665CA9"/>
    <w:rsid w:val="00666BD8"/>
    <w:rsid w:val="006671B2"/>
    <w:rsid w:val="006700EB"/>
    <w:rsid w:val="00670489"/>
    <w:rsid w:val="00671B9B"/>
    <w:rsid w:val="006726FB"/>
    <w:rsid w:val="0067272A"/>
    <w:rsid w:val="00672D5A"/>
    <w:rsid w:val="0067310C"/>
    <w:rsid w:val="00674080"/>
    <w:rsid w:val="006754D5"/>
    <w:rsid w:val="00675F54"/>
    <w:rsid w:val="00676DE9"/>
    <w:rsid w:val="006772FC"/>
    <w:rsid w:val="00680135"/>
    <w:rsid w:val="0068066B"/>
    <w:rsid w:val="00681037"/>
    <w:rsid w:val="006819DE"/>
    <w:rsid w:val="00682641"/>
    <w:rsid w:val="006832EE"/>
    <w:rsid w:val="00683475"/>
    <w:rsid w:val="00683D44"/>
    <w:rsid w:val="00683E9C"/>
    <w:rsid w:val="00684B1A"/>
    <w:rsid w:val="0068626B"/>
    <w:rsid w:val="00687E1E"/>
    <w:rsid w:val="00690DED"/>
    <w:rsid w:val="0069142C"/>
    <w:rsid w:val="00692771"/>
    <w:rsid w:val="006939A2"/>
    <w:rsid w:val="00694022"/>
    <w:rsid w:val="00694ED0"/>
    <w:rsid w:val="00695726"/>
    <w:rsid w:val="006962D7"/>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72FC"/>
    <w:rsid w:val="006B797F"/>
    <w:rsid w:val="006C09B8"/>
    <w:rsid w:val="006C1052"/>
    <w:rsid w:val="006C2C62"/>
    <w:rsid w:val="006C319B"/>
    <w:rsid w:val="006C34CB"/>
    <w:rsid w:val="006C4687"/>
    <w:rsid w:val="006C5C78"/>
    <w:rsid w:val="006C61E6"/>
    <w:rsid w:val="006C7548"/>
    <w:rsid w:val="006C78AD"/>
    <w:rsid w:val="006D14C1"/>
    <w:rsid w:val="006D14EC"/>
    <w:rsid w:val="006D15B1"/>
    <w:rsid w:val="006D1E8A"/>
    <w:rsid w:val="006D3905"/>
    <w:rsid w:val="006D3D1D"/>
    <w:rsid w:val="006D3F3A"/>
    <w:rsid w:val="006D56D4"/>
    <w:rsid w:val="006D709B"/>
    <w:rsid w:val="006D7950"/>
    <w:rsid w:val="006D797C"/>
    <w:rsid w:val="006E0668"/>
    <w:rsid w:val="006E0FB2"/>
    <w:rsid w:val="006E3C9A"/>
    <w:rsid w:val="006E4225"/>
    <w:rsid w:val="006E4752"/>
    <w:rsid w:val="006E4BA1"/>
    <w:rsid w:val="006E6710"/>
    <w:rsid w:val="006E6A4C"/>
    <w:rsid w:val="006E6C49"/>
    <w:rsid w:val="006E746C"/>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DFA"/>
    <w:rsid w:val="00706EC1"/>
    <w:rsid w:val="00707768"/>
    <w:rsid w:val="00710653"/>
    <w:rsid w:val="00710759"/>
    <w:rsid w:val="00712178"/>
    <w:rsid w:val="0071239E"/>
    <w:rsid w:val="00712606"/>
    <w:rsid w:val="007133D1"/>
    <w:rsid w:val="00714ABF"/>
    <w:rsid w:val="0071619A"/>
    <w:rsid w:val="00716363"/>
    <w:rsid w:val="00717115"/>
    <w:rsid w:val="0072046F"/>
    <w:rsid w:val="007207EC"/>
    <w:rsid w:val="007224DE"/>
    <w:rsid w:val="007226BD"/>
    <w:rsid w:val="007234E6"/>
    <w:rsid w:val="0072594D"/>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6D0"/>
    <w:rsid w:val="0075187E"/>
    <w:rsid w:val="00752269"/>
    <w:rsid w:val="00752480"/>
    <w:rsid w:val="00752ED0"/>
    <w:rsid w:val="0075313B"/>
    <w:rsid w:val="00753930"/>
    <w:rsid w:val="00753B92"/>
    <w:rsid w:val="0075418A"/>
    <w:rsid w:val="00756516"/>
    <w:rsid w:val="00756CCA"/>
    <w:rsid w:val="00757B6D"/>
    <w:rsid w:val="00757D92"/>
    <w:rsid w:val="0076152D"/>
    <w:rsid w:val="00761FB9"/>
    <w:rsid w:val="007632A8"/>
    <w:rsid w:val="007635F6"/>
    <w:rsid w:val="00764320"/>
    <w:rsid w:val="00764F27"/>
    <w:rsid w:val="00765210"/>
    <w:rsid w:val="00765F03"/>
    <w:rsid w:val="00765F9E"/>
    <w:rsid w:val="00766973"/>
    <w:rsid w:val="0076715E"/>
    <w:rsid w:val="007745E5"/>
    <w:rsid w:val="0077482E"/>
    <w:rsid w:val="0077501D"/>
    <w:rsid w:val="00775636"/>
    <w:rsid w:val="00776892"/>
    <w:rsid w:val="00776FDA"/>
    <w:rsid w:val="00781213"/>
    <w:rsid w:val="00781411"/>
    <w:rsid w:val="00781690"/>
    <w:rsid w:val="00782980"/>
    <w:rsid w:val="00783043"/>
    <w:rsid w:val="0078393B"/>
    <w:rsid w:val="007849F9"/>
    <w:rsid w:val="00784ACD"/>
    <w:rsid w:val="00784C5B"/>
    <w:rsid w:val="0078589A"/>
    <w:rsid w:val="00785D74"/>
    <w:rsid w:val="0078790B"/>
    <w:rsid w:val="00787E95"/>
    <w:rsid w:val="00791E51"/>
    <w:rsid w:val="007928DE"/>
    <w:rsid w:val="00792CE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02E8"/>
    <w:rsid w:val="007B49B6"/>
    <w:rsid w:val="007B6782"/>
    <w:rsid w:val="007B6957"/>
    <w:rsid w:val="007B7581"/>
    <w:rsid w:val="007B7A7A"/>
    <w:rsid w:val="007C06C1"/>
    <w:rsid w:val="007C070F"/>
    <w:rsid w:val="007C1AF4"/>
    <w:rsid w:val="007C29E7"/>
    <w:rsid w:val="007C4B87"/>
    <w:rsid w:val="007C56ED"/>
    <w:rsid w:val="007C60BE"/>
    <w:rsid w:val="007C60F0"/>
    <w:rsid w:val="007D0947"/>
    <w:rsid w:val="007D0B3A"/>
    <w:rsid w:val="007D20BA"/>
    <w:rsid w:val="007D5851"/>
    <w:rsid w:val="007D64F5"/>
    <w:rsid w:val="007D6A4B"/>
    <w:rsid w:val="007D6FBB"/>
    <w:rsid w:val="007D71D0"/>
    <w:rsid w:val="007D7F76"/>
    <w:rsid w:val="007D7FF3"/>
    <w:rsid w:val="007E0534"/>
    <w:rsid w:val="007E0753"/>
    <w:rsid w:val="007E26E2"/>
    <w:rsid w:val="007E3865"/>
    <w:rsid w:val="007E3C27"/>
    <w:rsid w:val="007E429C"/>
    <w:rsid w:val="007E49E1"/>
    <w:rsid w:val="007E744F"/>
    <w:rsid w:val="007E7F70"/>
    <w:rsid w:val="007F17DD"/>
    <w:rsid w:val="007F1C6F"/>
    <w:rsid w:val="007F25B0"/>
    <w:rsid w:val="007F276A"/>
    <w:rsid w:val="007F4DC9"/>
    <w:rsid w:val="007F706B"/>
    <w:rsid w:val="007F79AC"/>
    <w:rsid w:val="008003F4"/>
    <w:rsid w:val="00800589"/>
    <w:rsid w:val="008011EA"/>
    <w:rsid w:val="0080152B"/>
    <w:rsid w:val="00802223"/>
    <w:rsid w:val="0080224E"/>
    <w:rsid w:val="00802793"/>
    <w:rsid w:val="008029D0"/>
    <w:rsid w:val="00804BE0"/>
    <w:rsid w:val="0080519A"/>
    <w:rsid w:val="00805ED6"/>
    <w:rsid w:val="00806538"/>
    <w:rsid w:val="00806C45"/>
    <w:rsid w:val="00806D1E"/>
    <w:rsid w:val="00810151"/>
    <w:rsid w:val="008102A6"/>
    <w:rsid w:val="0081109E"/>
    <w:rsid w:val="00811498"/>
    <w:rsid w:val="00811534"/>
    <w:rsid w:val="00811A5B"/>
    <w:rsid w:val="008124F4"/>
    <w:rsid w:val="00812F77"/>
    <w:rsid w:val="008157EC"/>
    <w:rsid w:val="0081608B"/>
    <w:rsid w:val="00816811"/>
    <w:rsid w:val="00816CE0"/>
    <w:rsid w:val="008203CF"/>
    <w:rsid w:val="008205E9"/>
    <w:rsid w:val="00821304"/>
    <w:rsid w:val="00823286"/>
    <w:rsid w:val="0082334C"/>
    <w:rsid w:val="00823B5C"/>
    <w:rsid w:val="00823CA2"/>
    <w:rsid w:val="008259DF"/>
    <w:rsid w:val="00825F4A"/>
    <w:rsid w:val="00826726"/>
    <w:rsid w:val="00826CA7"/>
    <w:rsid w:val="008271D6"/>
    <w:rsid w:val="00827430"/>
    <w:rsid w:val="008276D2"/>
    <w:rsid w:val="00830CAF"/>
    <w:rsid w:val="00831529"/>
    <w:rsid w:val="00833019"/>
    <w:rsid w:val="008336DD"/>
    <w:rsid w:val="00834325"/>
    <w:rsid w:val="00834875"/>
    <w:rsid w:val="008352A7"/>
    <w:rsid w:val="00836421"/>
    <w:rsid w:val="00836F18"/>
    <w:rsid w:val="00837129"/>
    <w:rsid w:val="008372A1"/>
    <w:rsid w:val="00837B3D"/>
    <w:rsid w:val="008433DF"/>
    <w:rsid w:val="008442F5"/>
    <w:rsid w:val="0084438E"/>
    <w:rsid w:val="00844992"/>
    <w:rsid w:val="0084555C"/>
    <w:rsid w:val="008472D0"/>
    <w:rsid w:val="0085064A"/>
    <w:rsid w:val="00850BF8"/>
    <w:rsid w:val="00851C99"/>
    <w:rsid w:val="00851FD3"/>
    <w:rsid w:val="00852341"/>
    <w:rsid w:val="00852D66"/>
    <w:rsid w:val="00852E1C"/>
    <w:rsid w:val="00855A34"/>
    <w:rsid w:val="0085630A"/>
    <w:rsid w:val="0085641F"/>
    <w:rsid w:val="008613BF"/>
    <w:rsid w:val="00861A3A"/>
    <w:rsid w:val="00861E51"/>
    <w:rsid w:val="0086276F"/>
    <w:rsid w:val="00862E13"/>
    <w:rsid w:val="00863349"/>
    <w:rsid w:val="00863DAF"/>
    <w:rsid w:val="0086487A"/>
    <w:rsid w:val="00864B11"/>
    <w:rsid w:val="00864B81"/>
    <w:rsid w:val="0086689F"/>
    <w:rsid w:val="0087310F"/>
    <w:rsid w:val="00873693"/>
    <w:rsid w:val="00873CD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6EA"/>
    <w:rsid w:val="00890CDB"/>
    <w:rsid w:val="00891CF0"/>
    <w:rsid w:val="00891FDB"/>
    <w:rsid w:val="008920E3"/>
    <w:rsid w:val="00893041"/>
    <w:rsid w:val="00895031"/>
    <w:rsid w:val="00895E8A"/>
    <w:rsid w:val="00897D5C"/>
    <w:rsid w:val="008A053A"/>
    <w:rsid w:val="008A13D2"/>
    <w:rsid w:val="008A1623"/>
    <w:rsid w:val="008A3ED4"/>
    <w:rsid w:val="008A4555"/>
    <w:rsid w:val="008A5B6E"/>
    <w:rsid w:val="008A6029"/>
    <w:rsid w:val="008A6FC2"/>
    <w:rsid w:val="008A7F18"/>
    <w:rsid w:val="008B07CC"/>
    <w:rsid w:val="008B0DBE"/>
    <w:rsid w:val="008B156A"/>
    <w:rsid w:val="008B1576"/>
    <w:rsid w:val="008B25C0"/>
    <w:rsid w:val="008B272B"/>
    <w:rsid w:val="008B3BC9"/>
    <w:rsid w:val="008B462F"/>
    <w:rsid w:val="008B6ED2"/>
    <w:rsid w:val="008B797B"/>
    <w:rsid w:val="008C034F"/>
    <w:rsid w:val="008C0421"/>
    <w:rsid w:val="008C130F"/>
    <w:rsid w:val="008C4022"/>
    <w:rsid w:val="008C55B9"/>
    <w:rsid w:val="008D00A2"/>
    <w:rsid w:val="008D00B7"/>
    <w:rsid w:val="008D046B"/>
    <w:rsid w:val="008D04A2"/>
    <w:rsid w:val="008D1C72"/>
    <w:rsid w:val="008D360C"/>
    <w:rsid w:val="008D479D"/>
    <w:rsid w:val="008D5CBB"/>
    <w:rsid w:val="008D6ABE"/>
    <w:rsid w:val="008E02C4"/>
    <w:rsid w:val="008E0A2E"/>
    <w:rsid w:val="008E1B77"/>
    <w:rsid w:val="008E2F9B"/>
    <w:rsid w:val="008E3170"/>
    <w:rsid w:val="008E33C0"/>
    <w:rsid w:val="008E3C50"/>
    <w:rsid w:val="008E4920"/>
    <w:rsid w:val="008E5F12"/>
    <w:rsid w:val="008E5F49"/>
    <w:rsid w:val="008F0D41"/>
    <w:rsid w:val="008F11D8"/>
    <w:rsid w:val="008F52E0"/>
    <w:rsid w:val="008F6392"/>
    <w:rsid w:val="008F6ADC"/>
    <w:rsid w:val="008F6EE5"/>
    <w:rsid w:val="008F73A7"/>
    <w:rsid w:val="008F758D"/>
    <w:rsid w:val="009004AA"/>
    <w:rsid w:val="00900647"/>
    <w:rsid w:val="00900F7A"/>
    <w:rsid w:val="009013F5"/>
    <w:rsid w:val="00902A76"/>
    <w:rsid w:val="00904623"/>
    <w:rsid w:val="009049C8"/>
    <w:rsid w:val="00905CDF"/>
    <w:rsid w:val="0090625E"/>
    <w:rsid w:val="0090788B"/>
    <w:rsid w:val="009117F0"/>
    <w:rsid w:val="0091193B"/>
    <w:rsid w:val="00912B3D"/>
    <w:rsid w:val="0091317C"/>
    <w:rsid w:val="00913433"/>
    <w:rsid w:val="00913F76"/>
    <w:rsid w:val="0091421D"/>
    <w:rsid w:val="009143F7"/>
    <w:rsid w:val="00914F44"/>
    <w:rsid w:val="00915DDC"/>
    <w:rsid w:val="009160D7"/>
    <w:rsid w:val="00920723"/>
    <w:rsid w:val="00920C04"/>
    <w:rsid w:val="0092240B"/>
    <w:rsid w:val="00922908"/>
    <w:rsid w:val="00922BEA"/>
    <w:rsid w:val="00923797"/>
    <w:rsid w:val="00927DBB"/>
    <w:rsid w:val="00930445"/>
    <w:rsid w:val="009311CE"/>
    <w:rsid w:val="00932222"/>
    <w:rsid w:val="00932C70"/>
    <w:rsid w:val="00932DC8"/>
    <w:rsid w:val="00932DE9"/>
    <w:rsid w:val="00934232"/>
    <w:rsid w:val="00934D58"/>
    <w:rsid w:val="00934EB1"/>
    <w:rsid w:val="00934FDB"/>
    <w:rsid w:val="009352A6"/>
    <w:rsid w:val="009358D9"/>
    <w:rsid w:val="00935F05"/>
    <w:rsid w:val="00937073"/>
    <w:rsid w:val="009411B9"/>
    <w:rsid w:val="00944DC6"/>
    <w:rsid w:val="009468BF"/>
    <w:rsid w:val="00947005"/>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801CE"/>
    <w:rsid w:val="00981726"/>
    <w:rsid w:val="00981943"/>
    <w:rsid w:val="00982EFE"/>
    <w:rsid w:val="00984EDD"/>
    <w:rsid w:val="0098612C"/>
    <w:rsid w:val="009864DF"/>
    <w:rsid w:val="0098686E"/>
    <w:rsid w:val="00986907"/>
    <w:rsid w:val="00990BF0"/>
    <w:rsid w:val="00994A9A"/>
    <w:rsid w:val="00995D4D"/>
    <w:rsid w:val="00995E92"/>
    <w:rsid w:val="00996AAC"/>
    <w:rsid w:val="009970F9"/>
    <w:rsid w:val="0099780E"/>
    <w:rsid w:val="009A03A3"/>
    <w:rsid w:val="009A4935"/>
    <w:rsid w:val="009A4E27"/>
    <w:rsid w:val="009A5625"/>
    <w:rsid w:val="009A6A61"/>
    <w:rsid w:val="009B19B4"/>
    <w:rsid w:val="009B1E6D"/>
    <w:rsid w:val="009B30B8"/>
    <w:rsid w:val="009B4696"/>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16E"/>
    <w:rsid w:val="009E250E"/>
    <w:rsid w:val="009E2B8F"/>
    <w:rsid w:val="009E38A0"/>
    <w:rsid w:val="009E3F27"/>
    <w:rsid w:val="009E40CD"/>
    <w:rsid w:val="009E5144"/>
    <w:rsid w:val="009E7854"/>
    <w:rsid w:val="009F2B81"/>
    <w:rsid w:val="009F3412"/>
    <w:rsid w:val="009F399F"/>
    <w:rsid w:val="009F41E5"/>
    <w:rsid w:val="009F4B84"/>
    <w:rsid w:val="009F5B76"/>
    <w:rsid w:val="009F5CCB"/>
    <w:rsid w:val="009F5E85"/>
    <w:rsid w:val="009F62BD"/>
    <w:rsid w:val="009F667A"/>
    <w:rsid w:val="009F68EE"/>
    <w:rsid w:val="00A01768"/>
    <w:rsid w:val="00A0269F"/>
    <w:rsid w:val="00A029B0"/>
    <w:rsid w:val="00A02F0F"/>
    <w:rsid w:val="00A049C6"/>
    <w:rsid w:val="00A0555E"/>
    <w:rsid w:val="00A0603A"/>
    <w:rsid w:val="00A077C5"/>
    <w:rsid w:val="00A07E9F"/>
    <w:rsid w:val="00A108FA"/>
    <w:rsid w:val="00A109FF"/>
    <w:rsid w:val="00A1275A"/>
    <w:rsid w:val="00A13DED"/>
    <w:rsid w:val="00A15467"/>
    <w:rsid w:val="00A15859"/>
    <w:rsid w:val="00A16706"/>
    <w:rsid w:val="00A167A3"/>
    <w:rsid w:val="00A16E45"/>
    <w:rsid w:val="00A171F5"/>
    <w:rsid w:val="00A208C7"/>
    <w:rsid w:val="00A220A2"/>
    <w:rsid w:val="00A23AB7"/>
    <w:rsid w:val="00A24EC6"/>
    <w:rsid w:val="00A255E0"/>
    <w:rsid w:val="00A25D98"/>
    <w:rsid w:val="00A30D22"/>
    <w:rsid w:val="00A3223A"/>
    <w:rsid w:val="00A32571"/>
    <w:rsid w:val="00A35C44"/>
    <w:rsid w:val="00A35F46"/>
    <w:rsid w:val="00A35FEB"/>
    <w:rsid w:val="00A36AC4"/>
    <w:rsid w:val="00A37F08"/>
    <w:rsid w:val="00A40F4A"/>
    <w:rsid w:val="00A41855"/>
    <w:rsid w:val="00A42474"/>
    <w:rsid w:val="00A43113"/>
    <w:rsid w:val="00A43A56"/>
    <w:rsid w:val="00A469B1"/>
    <w:rsid w:val="00A46BAE"/>
    <w:rsid w:val="00A47406"/>
    <w:rsid w:val="00A474ED"/>
    <w:rsid w:val="00A47AD1"/>
    <w:rsid w:val="00A502C7"/>
    <w:rsid w:val="00A5101E"/>
    <w:rsid w:val="00A518E4"/>
    <w:rsid w:val="00A54E3C"/>
    <w:rsid w:val="00A55D34"/>
    <w:rsid w:val="00A56331"/>
    <w:rsid w:val="00A56429"/>
    <w:rsid w:val="00A5693F"/>
    <w:rsid w:val="00A57BB5"/>
    <w:rsid w:val="00A6108A"/>
    <w:rsid w:val="00A62654"/>
    <w:rsid w:val="00A630C4"/>
    <w:rsid w:val="00A63499"/>
    <w:rsid w:val="00A6698E"/>
    <w:rsid w:val="00A66C44"/>
    <w:rsid w:val="00A702A0"/>
    <w:rsid w:val="00A70D62"/>
    <w:rsid w:val="00A7204F"/>
    <w:rsid w:val="00A728B6"/>
    <w:rsid w:val="00A748D2"/>
    <w:rsid w:val="00A76340"/>
    <w:rsid w:val="00A766C3"/>
    <w:rsid w:val="00A769FE"/>
    <w:rsid w:val="00A7717F"/>
    <w:rsid w:val="00A77BAE"/>
    <w:rsid w:val="00A80990"/>
    <w:rsid w:val="00A80E75"/>
    <w:rsid w:val="00A81DF9"/>
    <w:rsid w:val="00A83BC7"/>
    <w:rsid w:val="00A84238"/>
    <w:rsid w:val="00A861EE"/>
    <w:rsid w:val="00A8751B"/>
    <w:rsid w:val="00A875A2"/>
    <w:rsid w:val="00A90D25"/>
    <w:rsid w:val="00A93235"/>
    <w:rsid w:val="00A96347"/>
    <w:rsid w:val="00A97E9A"/>
    <w:rsid w:val="00AA3A64"/>
    <w:rsid w:val="00AA6479"/>
    <w:rsid w:val="00AB14A9"/>
    <w:rsid w:val="00AB2AB5"/>
    <w:rsid w:val="00AB337B"/>
    <w:rsid w:val="00AB4000"/>
    <w:rsid w:val="00AB6B96"/>
    <w:rsid w:val="00AB7470"/>
    <w:rsid w:val="00AB7AA7"/>
    <w:rsid w:val="00AC0E4C"/>
    <w:rsid w:val="00AC11C4"/>
    <w:rsid w:val="00AC133B"/>
    <w:rsid w:val="00AC1564"/>
    <w:rsid w:val="00AC227D"/>
    <w:rsid w:val="00AC2CDC"/>
    <w:rsid w:val="00AC590D"/>
    <w:rsid w:val="00AC5D5D"/>
    <w:rsid w:val="00AC6E35"/>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3D23"/>
    <w:rsid w:val="00AF4FDD"/>
    <w:rsid w:val="00AF608F"/>
    <w:rsid w:val="00AF6F59"/>
    <w:rsid w:val="00B0053A"/>
    <w:rsid w:val="00B006B9"/>
    <w:rsid w:val="00B00D1B"/>
    <w:rsid w:val="00B00EE7"/>
    <w:rsid w:val="00B01140"/>
    <w:rsid w:val="00B02045"/>
    <w:rsid w:val="00B04931"/>
    <w:rsid w:val="00B051F8"/>
    <w:rsid w:val="00B0667C"/>
    <w:rsid w:val="00B068E5"/>
    <w:rsid w:val="00B06B06"/>
    <w:rsid w:val="00B07984"/>
    <w:rsid w:val="00B107CE"/>
    <w:rsid w:val="00B118EB"/>
    <w:rsid w:val="00B126F7"/>
    <w:rsid w:val="00B13DF4"/>
    <w:rsid w:val="00B15A48"/>
    <w:rsid w:val="00B15CA4"/>
    <w:rsid w:val="00B16DBE"/>
    <w:rsid w:val="00B17B0D"/>
    <w:rsid w:val="00B20715"/>
    <w:rsid w:val="00B21427"/>
    <w:rsid w:val="00B22CD8"/>
    <w:rsid w:val="00B22E62"/>
    <w:rsid w:val="00B24A34"/>
    <w:rsid w:val="00B25BB7"/>
    <w:rsid w:val="00B26AF9"/>
    <w:rsid w:val="00B26CC0"/>
    <w:rsid w:val="00B26E58"/>
    <w:rsid w:val="00B30DF0"/>
    <w:rsid w:val="00B315FB"/>
    <w:rsid w:val="00B33824"/>
    <w:rsid w:val="00B341BA"/>
    <w:rsid w:val="00B342BA"/>
    <w:rsid w:val="00B342FA"/>
    <w:rsid w:val="00B37006"/>
    <w:rsid w:val="00B40C36"/>
    <w:rsid w:val="00B42732"/>
    <w:rsid w:val="00B43126"/>
    <w:rsid w:val="00B43723"/>
    <w:rsid w:val="00B45322"/>
    <w:rsid w:val="00B4661E"/>
    <w:rsid w:val="00B46C01"/>
    <w:rsid w:val="00B5065C"/>
    <w:rsid w:val="00B516D4"/>
    <w:rsid w:val="00B51B91"/>
    <w:rsid w:val="00B52274"/>
    <w:rsid w:val="00B54DE5"/>
    <w:rsid w:val="00B554CA"/>
    <w:rsid w:val="00B556DA"/>
    <w:rsid w:val="00B561AB"/>
    <w:rsid w:val="00B56359"/>
    <w:rsid w:val="00B56B85"/>
    <w:rsid w:val="00B56E8B"/>
    <w:rsid w:val="00B60541"/>
    <w:rsid w:val="00B6066B"/>
    <w:rsid w:val="00B60A22"/>
    <w:rsid w:val="00B61A7B"/>
    <w:rsid w:val="00B63D00"/>
    <w:rsid w:val="00B646F2"/>
    <w:rsid w:val="00B64F5F"/>
    <w:rsid w:val="00B677AF"/>
    <w:rsid w:val="00B70836"/>
    <w:rsid w:val="00B71B3B"/>
    <w:rsid w:val="00B724A6"/>
    <w:rsid w:val="00B72AEA"/>
    <w:rsid w:val="00B73D63"/>
    <w:rsid w:val="00B740DB"/>
    <w:rsid w:val="00B75C2D"/>
    <w:rsid w:val="00B76378"/>
    <w:rsid w:val="00B76523"/>
    <w:rsid w:val="00B779A3"/>
    <w:rsid w:val="00B77B9A"/>
    <w:rsid w:val="00B77DF3"/>
    <w:rsid w:val="00B8145D"/>
    <w:rsid w:val="00B821C4"/>
    <w:rsid w:val="00B82347"/>
    <w:rsid w:val="00B826A6"/>
    <w:rsid w:val="00B83A29"/>
    <w:rsid w:val="00B83BD6"/>
    <w:rsid w:val="00B84E01"/>
    <w:rsid w:val="00B8757A"/>
    <w:rsid w:val="00B939FD"/>
    <w:rsid w:val="00B952DD"/>
    <w:rsid w:val="00B9593D"/>
    <w:rsid w:val="00B96024"/>
    <w:rsid w:val="00B96E45"/>
    <w:rsid w:val="00B9729F"/>
    <w:rsid w:val="00B97F8A"/>
    <w:rsid w:val="00BA006E"/>
    <w:rsid w:val="00BA110C"/>
    <w:rsid w:val="00BA1E89"/>
    <w:rsid w:val="00BA3DFB"/>
    <w:rsid w:val="00BA4DAF"/>
    <w:rsid w:val="00BA53AB"/>
    <w:rsid w:val="00BA5875"/>
    <w:rsid w:val="00BA59FB"/>
    <w:rsid w:val="00BA6D80"/>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278D"/>
    <w:rsid w:val="00BC2F60"/>
    <w:rsid w:val="00BC3DF7"/>
    <w:rsid w:val="00BC3FF0"/>
    <w:rsid w:val="00BC4E3A"/>
    <w:rsid w:val="00BC55E1"/>
    <w:rsid w:val="00BC5879"/>
    <w:rsid w:val="00BC5E68"/>
    <w:rsid w:val="00BC5FA2"/>
    <w:rsid w:val="00BC726E"/>
    <w:rsid w:val="00BD0140"/>
    <w:rsid w:val="00BD19BF"/>
    <w:rsid w:val="00BD444B"/>
    <w:rsid w:val="00BD45A1"/>
    <w:rsid w:val="00BD4933"/>
    <w:rsid w:val="00BD5A28"/>
    <w:rsid w:val="00BD5EE3"/>
    <w:rsid w:val="00BD7907"/>
    <w:rsid w:val="00BE0730"/>
    <w:rsid w:val="00BE1986"/>
    <w:rsid w:val="00BE211C"/>
    <w:rsid w:val="00BE3047"/>
    <w:rsid w:val="00BE38C9"/>
    <w:rsid w:val="00BE42FB"/>
    <w:rsid w:val="00BE5756"/>
    <w:rsid w:val="00BE6F02"/>
    <w:rsid w:val="00BF2D5C"/>
    <w:rsid w:val="00BF35F0"/>
    <w:rsid w:val="00BF3C85"/>
    <w:rsid w:val="00BF425F"/>
    <w:rsid w:val="00BF668F"/>
    <w:rsid w:val="00C03C87"/>
    <w:rsid w:val="00C04A80"/>
    <w:rsid w:val="00C05571"/>
    <w:rsid w:val="00C05A72"/>
    <w:rsid w:val="00C07480"/>
    <w:rsid w:val="00C07E3A"/>
    <w:rsid w:val="00C10DF4"/>
    <w:rsid w:val="00C1119D"/>
    <w:rsid w:val="00C11BC3"/>
    <w:rsid w:val="00C11BEE"/>
    <w:rsid w:val="00C12446"/>
    <w:rsid w:val="00C134C5"/>
    <w:rsid w:val="00C13584"/>
    <w:rsid w:val="00C139EE"/>
    <w:rsid w:val="00C13CE0"/>
    <w:rsid w:val="00C145D4"/>
    <w:rsid w:val="00C15381"/>
    <w:rsid w:val="00C16FF4"/>
    <w:rsid w:val="00C20CEA"/>
    <w:rsid w:val="00C217A5"/>
    <w:rsid w:val="00C22B4F"/>
    <w:rsid w:val="00C23BAD"/>
    <w:rsid w:val="00C24526"/>
    <w:rsid w:val="00C24702"/>
    <w:rsid w:val="00C247B9"/>
    <w:rsid w:val="00C24833"/>
    <w:rsid w:val="00C256EE"/>
    <w:rsid w:val="00C25700"/>
    <w:rsid w:val="00C26927"/>
    <w:rsid w:val="00C27899"/>
    <w:rsid w:val="00C300AC"/>
    <w:rsid w:val="00C31FD3"/>
    <w:rsid w:val="00C324DA"/>
    <w:rsid w:val="00C34488"/>
    <w:rsid w:val="00C402B6"/>
    <w:rsid w:val="00C4087E"/>
    <w:rsid w:val="00C40F41"/>
    <w:rsid w:val="00C430F8"/>
    <w:rsid w:val="00C439E9"/>
    <w:rsid w:val="00C4424F"/>
    <w:rsid w:val="00C46B02"/>
    <w:rsid w:val="00C47A39"/>
    <w:rsid w:val="00C47D70"/>
    <w:rsid w:val="00C50235"/>
    <w:rsid w:val="00C52B39"/>
    <w:rsid w:val="00C53C26"/>
    <w:rsid w:val="00C547B7"/>
    <w:rsid w:val="00C54B6B"/>
    <w:rsid w:val="00C55C55"/>
    <w:rsid w:val="00C55E58"/>
    <w:rsid w:val="00C56346"/>
    <w:rsid w:val="00C57013"/>
    <w:rsid w:val="00C5739B"/>
    <w:rsid w:val="00C57F58"/>
    <w:rsid w:val="00C62DCD"/>
    <w:rsid w:val="00C63540"/>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B218A"/>
    <w:rsid w:val="00CB2CC0"/>
    <w:rsid w:val="00CB2DFD"/>
    <w:rsid w:val="00CB344D"/>
    <w:rsid w:val="00CB514A"/>
    <w:rsid w:val="00CB73B5"/>
    <w:rsid w:val="00CB76EF"/>
    <w:rsid w:val="00CC046B"/>
    <w:rsid w:val="00CC0931"/>
    <w:rsid w:val="00CC22A7"/>
    <w:rsid w:val="00CC31E2"/>
    <w:rsid w:val="00CC4AA6"/>
    <w:rsid w:val="00CC5170"/>
    <w:rsid w:val="00CC5EDE"/>
    <w:rsid w:val="00CC6182"/>
    <w:rsid w:val="00CC6DD5"/>
    <w:rsid w:val="00CD0F83"/>
    <w:rsid w:val="00CD24EB"/>
    <w:rsid w:val="00CD3235"/>
    <w:rsid w:val="00CD451A"/>
    <w:rsid w:val="00CD52B2"/>
    <w:rsid w:val="00CD554B"/>
    <w:rsid w:val="00CD5B8F"/>
    <w:rsid w:val="00CD6E99"/>
    <w:rsid w:val="00CE05C9"/>
    <w:rsid w:val="00CE0ED0"/>
    <w:rsid w:val="00CE1DA5"/>
    <w:rsid w:val="00CE2C2E"/>
    <w:rsid w:val="00CE3183"/>
    <w:rsid w:val="00CE35FC"/>
    <w:rsid w:val="00CE47AB"/>
    <w:rsid w:val="00CE4DB8"/>
    <w:rsid w:val="00CE539F"/>
    <w:rsid w:val="00CE55D8"/>
    <w:rsid w:val="00CE5783"/>
    <w:rsid w:val="00CE5E93"/>
    <w:rsid w:val="00CE61F4"/>
    <w:rsid w:val="00CF0592"/>
    <w:rsid w:val="00CF15BC"/>
    <w:rsid w:val="00CF15F2"/>
    <w:rsid w:val="00CF16D6"/>
    <w:rsid w:val="00CF199B"/>
    <w:rsid w:val="00CF277D"/>
    <w:rsid w:val="00CF3B96"/>
    <w:rsid w:val="00CF59C9"/>
    <w:rsid w:val="00CF5E5C"/>
    <w:rsid w:val="00D03123"/>
    <w:rsid w:val="00D033EA"/>
    <w:rsid w:val="00D037DA"/>
    <w:rsid w:val="00D03987"/>
    <w:rsid w:val="00D03DA8"/>
    <w:rsid w:val="00D04B94"/>
    <w:rsid w:val="00D04CB7"/>
    <w:rsid w:val="00D06043"/>
    <w:rsid w:val="00D12D8B"/>
    <w:rsid w:val="00D136E5"/>
    <w:rsid w:val="00D148F1"/>
    <w:rsid w:val="00D149E0"/>
    <w:rsid w:val="00D15962"/>
    <w:rsid w:val="00D15F89"/>
    <w:rsid w:val="00D16F8F"/>
    <w:rsid w:val="00D172DA"/>
    <w:rsid w:val="00D1781A"/>
    <w:rsid w:val="00D17D37"/>
    <w:rsid w:val="00D21943"/>
    <w:rsid w:val="00D22F72"/>
    <w:rsid w:val="00D231D5"/>
    <w:rsid w:val="00D2493A"/>
    <w:rsid w:val="00D24A86"/>
    <w:rsid w:val="00D24E76"/>
    <w:rsid w:val="00D24F4A"/>
    <w:rsid w:val="00D272C3"/>
    <w:rsid w:val="00D27520"/>
    <w:rsid w:val="00D27F0C"/>
    <w:rsid w:val="00D31565"/>
    <w:rsid w:val="00D31645"/>
    <w:rsid w:val="00D32165"/>
    <w:rsid w:val="00D3443F"/>
    <w:rsid w:val="00D34687"/>
    <w:rsid w:val="00D34911"/>
    <w:rsid w:val="00D36541"/>
    <w:rsid w:val="00D366F4"/>
    <w:rsid w:val="00D36D40"/>
    <w:rsid w:val="00D37962"/>
    <w:rsid w:val="00D40EDC"/>
    <w:rsid w:val="00D410EF"/>
    <w:rsid w:val="00D4270C"/>
    <w:rsid w:val="00D42972"/>
    <w:rsid w:val="00D450F3"/>
    <w:rsid w:val="00D45610"/>
    <w:rsid w:val="00D45E85"/>
    <w:rsid w:val="00D46012"/>
    <w:rsid w:val="00D46484"/>
    <w:rsid w:val="00D46F34"/>
    <w:rsid w:val="00D507B7"/>
    <w:rsid w:val="00D51093"/>
    <w:rsid w:val="00D5168B"/>
    <w:rsid w:val="00D51A51"/>
    <w:rsid w:val="00D52894"/>
    <w:rsid w:val="00D54C4A"/>
    <w:rsid w:val="00D5574D"/>
    <w:rsid w:val="00D56236"/>
    <w:rsid w:val="00D563AE"/>
    <w:rsid w:val="00D57DB7"/>
    <w:rsid w:val="00D60FAC"/>
    <w:rsid w:val="00D61312"/>
    <w:rsid w:val="00D61D31"/>
    <w:rsid w:val="00D6265D"/>
    <w:rsid w:val="00D63A1D"/>
    <w:rsid w:val="00D649CF"/>
    <w:rsid w:val="00D64FB1"/>
    <w:rsid w:val="00D6637C"/>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829"/>
    <w:rsid w:val="00D90C06"/>
    <w:rsid w:val="00D91250"/>
    <w:rsid w:val="00D92E24"/>
    <w:rsid w:val="00D93FAE"/>
    <w:rsid w:val="00D94043"/>
    <w:rsid w:val="00D95AA6"/>
    <w:rsid w:val="00D95BBB"/>
    <w:rsid w:val="00D95DA2"/>
    <w:rsid w:val="00D9634B"/>
    <w:rsid w:val="00D974BE"/>
    <w:rsid w:val="00DA051D"/>
    <w:rsid w:val="00DA0556"/>
    <w:rsid w:val="00DA0E91"/>
    <w:rsid w:val="00DA2ED0"/>
    <w:rsid w:val="00DA5FF8"/>
    <w:rsid w:val="00DA63A1"/>
    <w:rsid w:val="00DA6755"/>
    <w:rsid w:val="00DA6AE3"/>
    <w:rsid w:val="00DA6D39"/>
    <w:rsid w:val="00DA72A4"/>
    <w:rsid w:val="00DB0086"/>
    <w:rsid w:val="00DB05C0"/>
    <w:rsid w:val="00DB0846"/>
    <w:rsid w:val="00DB0EC9"/>
    <w:rsid w:val="00DB1945"/>
    <w:rsid w:val="00DB1A45"/>
    <w:rsid w:val="00DB39CD"/>
    <w:rsid w:val="00DB42A5"/>
    <w:rsid w:val="00DB4CA5"/>
    <w:rsid w:val="00DB5579"/>
    <w:rsid w:val="00DB582C"/>
    <w:rsid w:val="00DB7514"/>
    <w:rsid w:val="00DB7B99"/>
    <w:rsid w:val="00DC0526"/>
    <w:rsid w:val="00DC05CD"/>
    <w:rsid w:val="00DC15AA"/>
    <w:rsid w:val="00DC16A9"/>
    <w:rsid w:val="00DC1B4A"/>
    <w:rsid w:val="00DC26F3"/>
    <w:rsid w:val="00DC2833"/>
    <w:rsid w:val="00DC3031"/>
    <w:rsid w:val="00DC53B9"/>
    <w:rsid w:val="00DC54D4"/>
    <w:rsid w:val="00DC5D39"/>
    <w:rsid w:val="00DC6DA6"/>
    <w:rsid w:val="00DC6F1D"/>
    <w:rsid w:val="00DC72BA"/>
    <w:rsid w:val="00DC7749"/>
    <w:rsid w:val="00DC790A"/>
    <w:rsid w:val="00DC7C03"/>
    <w:rsid w:val="00DD012A"/>
    <w:rsid w:val="00DD0630"/>
    <w:rsid w:val="00DD2540"/>
    <w:rsid w:val="00DD2DF9"/>
    <w:rsid w:val="00DD61C1"/>
    <w:rsid w:val="00DD65CD"/>
    <w:rsid w:val="00DE0A1B"/>
    <w:rsid w:val="00DE109D"/>
    <w:rsid w:val="00DE1D00"/>
    <w:rsid w:val="00DE2114"/>
    <w:rsid w:val="00DE2151"/>
    <w:rsid w:val="00DE2A5D"/>
    <w:rsid w:val="00DE5966"/>
    <w:rsid w:val="00DE7D85"/>
    <w:rsid w:val="00DF053D"/>
    <w:rsid w:val="00DF1E1E"/>
    <w:rsid w:val="00DF45F7"/>
    <w:rsid w:val="00DF5B27"/>
    <w:rsid w:val="00DF5E62"/>
    <w:rsid w:val="00DF62EB"/>
    <w:rsid w:val="00E00BB5"/>
    <w:rsid w:val="00E02523"/>
    <w:rsid w:val="00E02546"/>
    <w:rsid w:val="00E026BA"/>
    <w:rsid w:val="00E03417"/>
    <w:rsid w:val="00E03B14"/>
    <w:rsid w:val="00E04368"/>
    <w:rsid w:val="00E044E3"/>
    <w:rsid w:val="00E047B3"/>
    <w:rsid w:val="00E04897"/>
    <w:rsid w:val="00E060F9"/>
    <w:rsid w:val="00E075B9"/>
    <w:rsid w:val="00E105AC"/>
    <w:rsid w:val="00E112D0"/>
    <w:rsid w:val="00E1258A"/>
    <w:rsid w:val="00E12D6F"/>
    <w:rsid w:val="00E130B4"/>
    <w:rsid w:val="00E13BAE"/>
    <w:rsid w:val="00E13CF8"/>
    <w:rsid w:val="00E13E4E"/>
    <w:rsid w:val="00E13F06"/>
    <w:rsid w:val="00E14465"/>
    <w:rsid w:val="00E14935"/>
    <w:rsid w:val="00E21913"/>
    <w:rsid w:val="00E2231A"/>
    <w:rsid w:val="00E22407"/>
    <w:rsid w:val="00E23031"/>
    <w:rsid w:val="00E23901"/>
    <w:rsid w:val="00E2498C"/>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76A3"/>
    <w:rsid w:val="00E47FCC"/>
    <w:rsid w:val="00E51172"/>
    <w:rsid w:val="00E51AD3"/>
    <w:rsid w:val="00E51E14"/>
    <w:rsid w:val="00E528A5"/>
    <w:rsid w:val="00E55C6C"/>
    <w:rsid w:val="00E56D4D"/>
    <w:rsid w:val="00E60005"/>
    <w:rsid w:val="00E601B8"/>
    <w:rsid w:val="00E60F0A"/>
    <w:rsid w:val="00E663FB"/>
    <w:rsid w:val="00E6700A"/>
    <w:rsid w:val="00E6764C"/>
    <w:rsid w:val="00E71FF3"/>
    <w:rsid w:val="00E73423"/>
    <w:rsid w:val="00E73754"/>
    <w:rsid w:val="00E73DC0"/>
    <w:rsid w:val="00E74672"/>
    <w:rsid w:val="00E74E8C"/>
    <w:rsid w:val="00E75E13"/>
    <w:rsid w:val="00E76521"/>
    <w:rsid w:val="00E7663C"/>
    <w:rsid w:val="00E772D4"/>
    <w:rsid w:val="00E77F4C"/>
    <w:rsid w:val="00E80493"/>
    <w:rsid w:val="00E806C6"/>
    <w:rsid w:val="00E8208F"/>
    <w:rsid w:val="00E82255"/>
    <w:rsid w:val="00E82757"/>
    <w:rsid w:val="00E85DE8"/>
    <w:rsid w:val="00E85E6C"/>
    <w:rsid w:val="00E912F1"/>
    <w:rsid w:val="00E91320"/>
    <w:rsid w:val="00E919C6"/>
    <w:rsid w:val="00E924E8"/>
    <w:rsid w:val="00E96EB7"/>
    <w:rsid w:val="00EA0577"/>
    <w:rsid w:val="00EA0E02"/>
    <w:rsid w:val="00EA1C8E"/>
    <w:rsid w:val="00EA2950"/>
    <w:rsid w:val="00EA297D"/>
    <w:rsid w:val="00EA2CD4"/>
    <w:rsid w:val="00EA30F0"/>
    <w:rsid w:val="00EA39AF"/>
    <w:rsid w:val="00EA439C"/>
    <w:rsid w:val="00EA6802"/>
    <w:rsid w:val="00EA69AA"/>
    <w:rsid w:val="00EA6A11"/>
    <w:rsid w:val="00EA6C77"/>
    <w:rsid w:val="00EA7EC3"/>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3ABB"/>
    <w:rsid w:val="00EC3AD3"/>
    <w:rsid w:val="00EC4DE6"/>
    <w:rsid w:val="00EC5F94"/>
    <w:rsid w:val="00EC61CF"/>
    <w:rsid w:val="00EC7B38"/>
    <w:rsid w:val="00EC7BDB"/>
    <w:rsid w:val="00EC7C78"/>
    <w:rsid w:val="00ED00C4"/>
    <w:rsid w:val="00ED224C"/>
    <w:rsid w:val="00ED2B5D"/>
    <w:rsid w:val="00ED4501"/>
    <w:rsid w:val="00ED48C9"/>
    <w:rsid w:val="00ED6D16"/>
    <w:rsid w:val="00ED7773"/>
    <w:rsid w:val="00ED7950"/>
    <w:rsid w:val="00EE1978"/>
    <w:rsid w:val="00EE2014"/>
    <w:rsid w:val="00EE2781"/>
    <w:rsid w:val="00EE2CDE"/>
    <w:rsid w:val="00EE3A25"/>
    <w:rsid w:val="00EE3A3D"/>
    <w:rsid w:val="00EE3DD7"/>
    <w:rsid w:val="00EE5CCC"/>
    <w:rsid w:val="00EE72DF"/>
    <w:rsid w:val="00EE7B1A"/>
    <w:rsid w:val="00EF18CB"/>
    <w:rsid w:val="00EF23AF"/>
    <w:rsid w:val="00EF25F7"/>
    <w:rsid w:val="00EF2E9C"/>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4E2B"/>
    <w:rsid w:val="00F053DC"/>
    <w:rsid w:val="00F05948"/>
    <w:rsid w:val="00F07324"/>
    <w:rsid w:val="00F102AD"/>
    <w:rsid w:val="00F1092C"/>
    <w:rsid w:val="00F10A55"/>
    <w:rsid w:val="00F1179A"/>
    <w:rsid w:val="00F1180A"/>
    <w:rsid w:val="00F120C8"/>
    <w:rsid w:val="00F123CA"/>
    <w:rsid w:val="00F12549"/>
    <w:rsid w:val="00F12723"/>
    <w:rsid w:val="00F12E46"/>
    <w:rsid w:val="00F133F1"/>
    <w:rsid w:val="00F13A83"/>
    <w:rsid w:val="00F169DB"/>
    <w:rsid w:val="00F170B0"/>
    <w:rsid w:val="00F1772A"/>
    <w:rsid w:val="00F218A0"/>
    <w:rsid w:val="00F21EBF"/>
    <w:rsid w:val="00F21F0F"/>
    <w:rsid w:val="00F23F12"/>
    <w:rsid w:val="00F252D3"/>
    <w:rsid w:val="00F256D1"/>
    <w:rsid w:val="00F27459"/>
    <w:rsid w:val="00F27705"/>
    <w:rsid w:val="00F30CC0"/>
    <w:rsid w:val="00F32BFD"/>
    <w:rsid w:val="00F33E79"/>
    <w:rsid w:val="00F344EE"/>
    <w:rsid w:val="00F34EAD"/>
    <w:rsid w:val="00F34ED7"/>
    <w:rsid w:val="00F353D2"/>
    <w:rsid w:val="00F363B2"/>
    <w:rsid w:val="00F4208D"/>
    <w:rsid w:val="00F42E84"/>
    <w:rsid w:val="00F44026"/>
    <w:rsid w:val="00F45B43"/>
    <w:rsid w:val="00F4678A"/>
    <w:rsid w:val="00F46982"/>
    <w:rsid w:val="00F46A7D"/>
    <w:rsid w:val="00F5054D"/>
    <w:rsid w:val="00F51153"/>
    <w:rsid w:val="00F53669"/>
    <w:rsid w:val="00F54B1C"/>
    <w:rsid w:val="00F55DEA"/>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264F"/>
    <w:rsid w:val="00F73412"/>
    <w:rsid w:val="00F737C8"/>
    <w:rsid w:val="00F76357"/>
    <w:rsid w:val="00F776F8"/>
    <w:rsid w:val="00F77FCE"/>
    <w:rsid w:val="00F81D07"/>
    <w:rsid w:val="00F821DB"/>
    <w:rsid w:val="00F83579"/>
    <w:rsid w:val="00F85263"/>
    <w:rsid w:val="00F85772"/>
    <w:rsid w:val="00F85F67"/>
    <w:rsid w:val="00F86353"/>
    <w:rsid w:val="00F86C95"/>
    <w:rsid w:val="00F86DE0"/>
    <w:rsid w:val="00F8706F"/>
    <w:rsid w:val="00F90448"/>
    <w:rsid w:val="00F90D29"/>
    <w:rsid w:val="00F917FF"/>
    <w:rsid w:val="00F93A03"/>
    <w:rsid w:val="00F94D99"/>
    <w:rsid w:val="00FA0819"/>
    <w:rsid w:val="00FA1BC0"/>
    <w:rsid w:val="00FA2298"/>
    <w:rsid w:val="00FA2786"/>
    <w:rsid w:val="00FA2DAD"/>
    <w:rsid w:val="00FA41CF"/>
    <w:rsid w:val="00FA440B"/>
    <w:rsid w:val="00FA5F67"/>
    <w:rsid w:val="00FA5FF1"/>
    <w:rsid w:val="00FA6D4D"/>
    <w:rsid w:val="00FA705E"/>
    <w:rsid w:val="00FA73CC"/>
    <w:rsid w:val="00FB0362"/>
    <w:rsid w:val="00FB052F"/>
    <w:rsid w:val="00FB132D"/>
    <w:rsid w:val="00FB1BC9"/>
    <w:rsid w:val="00FB1FEE"/>
    <w:rsid w:val="00FB27C0"/>
    <w:rsid w:val="00FB4401"/>
    <w:rsid w:val="00FB544C"/>
    <w:rsid w:val="00FB5AA2"/>
    <w:rsid w:val="00FB7A30"/>
    <w:rsid w:val="00FC0BF9"/>
    <w:rsid w:val="00FC435B"/>
    <w:rsid w:val="00FC474F"/>
    <w:rsid w:val="00FC5466"/>
    <w:rsid w:val="00FC54F6"/>
    <w:rsid w:val="00FC5E3E"/>
    <w:rsid w:val="00FC628B"/>
    <w:rsid w:val="00FC6339"/>
    <w:rsid w:val="00FC7DA5"/>
    <w:rsid w:val="00FC7E91"/>
    <w:rsid w:val="00FD0473"/>
    <w:rsid w:val="00FD0780"/>
    <w:rsid w:val="00FD0E83"/>
    <w:rsid w:val="00FD2B5C"/>
    <w:rsid w:val="00FD3120"/>
    <w:rsid w:val="00FD3B9C"/>
    <w:rsid w:val="00FD4102"/>
    <w:rsid w:val="00FD6993"/>
    <w:rsid w:val="00FD6A65"/>
    <w:rsid w:val="00FD7A36"/>
    <w:rsid w:val="00FE0E49"/>
    <w:rsid w:val="00FE0EA2"/>
    <w:rsid w:val="00FE443A"/>
    <w:rsid w:val="00FE4954"/>
    <w:rsid w:val="00FE4B61"/>
    <w:rsid w:val="00FE4BBD"/>
    <w:rsid w:val="00FE5FB5"/>
    <w:rsid w:val="00FE61E2"/>
    <w:rsid w:val="00FE6A57"/>
    <w:rsid w:val="00FE6D30"/>
    <w:rsid w:val="00FE77E4"/>
    <w:rsid w:val="00FF01C2"/>
    <w:rsid w:val="00FF0FFF"/>
    <w:rsid w:val="00FF1124"/>
    <w:rsid w:val="00FF22EF"/>
    <w:rsid w:val="00FF2B31"/>
    <w:rsid w:val="00FF35D4"/>
    <w:rsid w:val="00FF55FD"/>
    <w:rsid w:val="00FF6BF5"/>
    <w:rsid w:val="00FF7280"/>
    <w:rsid w:val="04FE7541"/>
    <w:rsid w:val="078C7496"/>
    <w:rsid w:val="095C563D"/>
    <w:rsid w:val="09E00862"/>
    <w:rsid w:val="0B9E129E"/>
    <w:rsid w:val="0EA855E3"/>
    <w:rsid w:val="0FA46603"/>
    <w:rsid w:val="127F190D"/>
    <w:rsid w:val="13CA5C8C"/>
    <w:rsid w:val="15320BB2"/>
    <w:rsid w:val="169D2E74"/>
    <w:rsid w:val="19951957"/>
    <w:rsid w:val="1B221863"/>
    <w:rsid w:val="226739C8"/>
    <w:rsid w:val="26567DF3"/>
    <w:rsid w:val="2B927EA7"/>
    <w:rsid w:val="3482711C"/>
    <w:rsid w:val="3A0C6803"/>
    <w:rsid w:val="46695900"/>
    <w:rsid w:val="48BF47B5"/>
    <w:rsid w:val="4B0300B5"/>
    <w:rsid w:val="53925898"/>
    <w:rsid w:val="570766A5"/>
    <w:rsid w:val="574F4FFF"/>
    <w:rsid w:val="62340FAB"/>
    <w:rsid w:val="63E24966"/>
    <w:rsid w:val="6ADA247E"/>
    <w:rsid w:val="6EA514DC"/>
    <w:rsid w:val="745B1150"/>
    <w:rsid w:val="777811D4"/>
    <w:rsid w:val="7C3E654E"/>
    <w:rsid w:val="7E5762B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unhideWhenUsed/>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Balloon Text Char"/>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Heading 1 Char"/>
    <w:link w:val="2"/>
    <w:qFormat/>
    <w:uiPriority w:val="0"/>
    <w:rPr>
      <w:rFonts w:cs="Arial"/>
      <w:b/>
      <w:bCs/>
      <w:kern w:val="32"/>
      <w:sz w:val="24"/>
      <w:szCs w:val="32"/>
      <w:lang w:val="en-GB" w:eastAsia="ja-JP"/>
    </w:rPr>
  </w:style>
  <w:style w:type="character" w:customStyle="1" w:styleId="124">
    <w:name w:val="Heading 4 Char"/>
    <w:basedOn w:val="28"/>
    <w:link w:val="5"/>
    <w:qFormat/>
    <w:uiPriority w:val="0"/>
    <w:rPr>
      <w:rFonts w:ascii="Cambria" w:hAnsi="Cambria" w:eastAsia="宋体"/>
      <w:b/>
      <w:bCs/>
      <w:snapToGrid/>
      <w:kern w:val="2"/>
      <w:sz w:val="28"/>
      <w:szCs w:val="28"/>
      <w:lang w:val="zh-CN" w:eastAsia="zh-CN"/>
    </w:rPr>
  </w:style>
  <w:style w:type="character" w:customStyle="1" w:styleId="125">
    <w:name w:val="Body Text Char"/>
    <w:basedOn w:val="28"/>
    <w:link w:val="10"/>
    <w:qFormat/>
    <w:uiPriority w:val="0"/>
    <w:rPr>
      <w:rFonts w:ascii="Times New Roman" w:hAnsi="Times New Roman" w:eastAsia="宋体"/>
      <w:snapToGrid/>
      <w:kern w:val="2"/>
      <w:sz w:val="21"/>
      <w:szCs w:val="24"/>
    </w:rPr>
  </w:style>
  <w:style w:type="character" w:customStyle="1" w:styleId="126">
    <w:name w:val="Body Text Indent Char"/>
    <w:basedOn w:val="28"/>
    <w:link w:val="11"/>
    <w:qFormat/>
    <w:uiPriority w:val="0"/>
    <w:rPr>
      <w:rFonts w:ascii="汉仪楷体简" w:hAnsi="Times New Roman" w:eastAsia="汉仪楷体简"/>
      <w:snapToGrid/>
      <w:color w:val="000000"/>
      <w:sz w:val="18"/>
    </w:rPr>
  </w:style>
  <w:style w:type="character" w:customStyle="1" w:styleId="127">
    <w:name w:val="Body Text 2 Char"/>
    <w:basedOn w:val="28"/>
    <w:link w:val="23"/>
    <w:qFormat/>
    <w:uiPriority w:val="0"/>
    <w:rPr>
      <w:rFonts w:ascii="Times New Roman" w:hAnsi="Times New Roman" w:eastAsia="汉仪楷体简"/>
      <w:snapToGrid/>
      <w:sz w:val="18"/>
      <w:szCs w:val="24"/>
    </w:rPr>
  </w:style>
  <w:style w:type="character" w:customStyle="1" w:styleId="128">
    <w:name w:val="Body Text 3 Char"/>
    <w:basedOn w:val="28"/>
    <w:link w:val="9"/>
    <w:qFormat/>
    <w:uiPriority w:val="0"/>
    <w:rPr>
      <w:rFonts w:ascii="汉仪楷体简" w:hAnsi="Times New Roman" w:eastAsia="汉仪楷体简"/>
      <w:snapToGrid/>
      <w:color w:val="000000"/>
      <w:sz w:val="18"/>
    </w:rPr>
  </w:style>
  <w:style w:type="character" w:customStyle="1" w:styleId="129">
    <w:name w:val="Body Text Indent 2 Char"/>
    <w:basedOn w:val="28"/>
    <w:link w:val="15"/>
    <w:qFormat/>
    <w:uiPriority w:val="0"/>
    <w:rPr>
      <w:rFonts w:ascii="楷体_GB2312" w:hAnsi="Times New Roman" w:eastAsia="楷体_GB2312"/>
      <w:snapToGrid/>
      <w:sz w:val="24"/>
      <w:szCs w:val="24"/>
    </w:rPr>
  </w:style>
  <w:style w:type="character" w:customStyle="1" w:styleId="130">
    <w:name w:val="Body Text Indent 3 Char"/>
    <w:basedOn w:val="28"/>
    <w:link w:val="20"/>
    <w:qFormat/>
    <w:uiPriority w:val="0"/>
    <w:rPr>
      <w:rFonts w:ascii="楷体_GB2312" w:hAnsi="Times New Roman" w:eastAsia="楷体_GB2312"/>
      <w:snapToGrid/>
      <w:color w:val="000000"/>
      <w:kern w:val="2"/>
      <w:sz w:val="24"/>
      <w:szCs w:val="24"/>
    </w:rPr>
  </w:style>
  <w:style w:type="character" w:customStyle="1" w:styleId="131">
    <w:name w:val="Date Char"/>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Comment Text Char"/>
    <w:basedOn w:val="28"/>
    <w:link w:val="8"/>
    <w:qFormat/>
    <w:uiPriority w:val="0"/>
    <w:rPr>
      <w:rFonts w:ascii="Times New Roman" w:hAnsi="Times New Roman" w:eastAsia="宋体"/>
      <w:snapToGrid/>
      <w:kern w:val="2"/>
      <w:sz w:val="21"/>
      <w:szCs w:val="24"/>
      <w:lang w:val="zh-CN" w:eastAsia="zh-CN"/>
    </w:rPr>
  </w:style>
  <w:style w:type="character" w:customStyle="1" w:styleId="137">
    <w:name w:val="Comment Subject Char"/>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Heading 3 Char"/>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table" w:customStyle="1" w:styleId="155">
    <w:name w:val="Common"/>
    <w:basedOn w:val="27"/>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houlinhong\AppData\Roaming\EFA\Macro%20note%20-%20HTI.dotx" TargetMode="External"/></Relationships>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897B2F-D567-4463-8BC9-F5D2ABA75856}">
  <ds:schemaRefs/>
</ds:datastoreItem>
</file>

<file path=docProps/app.xml><?xml version="1.0" encoding="utf-8"?>
<Properties xmlns="http://schemas.openxmlformats.org/officeDocument/2006/extended-properties" xmlns:vt="http://schemas.openxmlformats.org/officeDocument/2006/docPropsVTypes">
  <Template>Macro note - HTI.dotx</Template>
  <Company>Japaninvest</Company>
  <Pages>6</Pages>
  <Words>5369</Words>
  <Characters>13202</Characters>
  <Lines>109</Lines>
  <Paragraphs>30</Paragraphs>
  <TotalTime>3</TotalTime>
  <ScaleCrop>false</ScaleCrop>
  <LinksUpToDate>false</LinksUpToDate>
  <CharactersWithSpaces>14858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2026-03-01T02:50:00Z</dcterms:created>
  <dc:creator>zhoulinhong</dc:creator>
  <cp:lastModifiedBy>微信用户</cp:lastModifiedBy>
  <cp:lastPrinted>2026-03-01T02:55:00Z</cp:lastPrinted>
  <dcterms:modified xsi:type="dcterms:W3CDTF">2026-03-17T08:30:04Z</dcterms:modified>
  <dc:title>Sector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3</vt:lpwstr>
  </property>
  <property fmtid="{D5CDD505-2E9C-101B-9397-08002B2CF9AE}" pid="50" name="versiontype">
    <vt:lpwstr>HTI_Macro_CN</vt:lpwstr>
  </property>
  <property fmtid="{D5CDD505-2E9C-101B-9397-08002B2CF9AE}" pid="51" name="version">
    <vt:lpwstr>1.0</vt:lpwstr>
  </property>
  <property fmtid="{D5CDD505-2E9C-101B-9397-08002B2CF9AE}" pid="52" name="typeId">
    <vt:lpwstr>3</vt:lpwstr>
  </property>
  <property fmtid="{D5CDD505-2E9C-101B-9397-08002B2CF9AE}" pid="53" name="reporttitle">
    <vt:lpwstr/>
  </property>
  <property fmtid="{D5CDD505-2E9C-101B-9397-08002B2CF9AE}" pid="54" name="regionCn">
    <vt:lpwstr>中国</vt:lpwstr>
  </property>
  <property fmtid="{D5CDD505-2E9C-101B-9397-08002B2CF9AE}" pid="55" name="regionEn">
    <vt:lpwstr>China</vt:lpwstr>
  </property>
  <property fmtid="{D5CDD505-2E9C-101B-9397-08002B2CF9AE}" pid="56" name="analysts">
    <vt:lpwstr>System.Collections.ArrayList</vt:lpwstr>
  </property>
  <property fmtid="{D5CDD505-2E9C-101B-9397-08002B2CF9AE}" pid="57" name="typeName">
    <vt:lpwstr>Macro</vt:lpwstr>
  </property>
  <property fmtid="{D5CDD505-2E9C-101B-9397-08002B2CF9AE}" pid="58" name="analystids">
    <vt:lpwstr>3,117</vt:lpwstr>
  </property>
  <property fmtid="{D5CDD505-2E9C-101B-9397-08002B2CF9AE}" pid="59" name="reportid">
    <vt:lpwstr/>
  </property>
  <property fmtid="{D5CDD505-2E9C-101B-9397-08002B2CF9AE}" pid="60" name="typeChineseName">
    <vt:lpwstr>宏观</vt:lpwstr>
  </property>
  <property fmtid="{D5CDD505-2E9C-101B-9397-08002B2CF9AE}" pid="61" name="KSOTemplateDocerSaveRecord">
    <vt:lpwstr>eyJoZGlkIjoiN2YzNjBkOTgyNWQ1YTMxYzM3MzMwNWFiODNmOWIzYWMiLCJ1c2VySWQiOiIxMjgyNzI4NjcyIn0=</vt:lpwstr>
  </property>
  <property fmtid="{D5CDD505-2E9C-101B-9397-08002B2CF9AE}" pid="62" name="KSOProductBuildVer">
    <vt:lpwstr>2052-12.1.0.24034</vt:lpwstr>
  </property>
  <property fmtid="{D5CDD505-2E9C-101B-9397-08002B2CF9AE}" pid="63" name="ICV">
    <vt:lpwstr>E26B4D8F4C1347B8BA063E6C47B44D5D_12</vt:lpwstr>
  </property>
</Properties>
</file>