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研究报告</w:t>
      </w:r>
    </w:p>
    <w:p>
      <w:r>
        <w:t>公司：威胜控股</w:t>
      </w:r>
    </w:p>
    <w:p>
      <w:r>
        <w:t>股票代码：3393.HK</w:t>
      </w:r>
    </w:p>
    <w:p>
      <w:r>
        <w:t>以下是报告摘要：</w:t>
      </w:r>
      <w:r>
        <w:t>{{ABSTRACT}}</w:t>
      </w:r>
    </w:p>
    <w:p>
      <w:r>
        <w:t>评级：买入</w:t>
      </w:r>
    </w:p>
    <w:p>
      <w:r>
        <w:t>目标价：15.60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