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西锐飞机 (2507.HK) - 首次覆盖：深度研究报告</w:t>
      </w:r>
    </w:p>
    <w:p>
      <w:r>
        <w:t>21 Oct 2025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t>公司信息</w:t>
              <w:br/>
            </w:r>
          </w:p>
          <w:p>
            <w:r>
              <w:t>公司：西锐飞机</w:t>
            </w:r>
          </w:p>
          <w:p>
            <w:r>
              <w:t>股票代码：2507.HK</w:t>
            </w:r>
          </w:p>
          <w:p>
            <w:r>
              <w:t>报告日期：21 Oct 2025</w:t>
            </w:r>
          </w:p>
          <w:p>
            <w:r>
              <w:t>评级：买入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67"/>
              <w:gridCol w:w="2267"/>
            </w:tblGrid>
            <w:tr>
              <w:tc>
                <w:tcPr>
                  <w:tcW w:type="dxa" w:w="2267"/>
                </w:tcPr>
                <w:p>
                  <w:r>
                    <w:t>分析师</w:t>
                  </w:r>
                </w:p>
              </w:tc>
              <w:tc>
                <w:tcPr>
                  <w:tcW w:type="dxa" w:w="2267"/>
                </w:tcPr>
                <w:p>
                  <w:r>
                    <w:t>杨斌</w:t>
                  </w:r>
                </w:p>
              </w:tc>
            </w:tr>
            <w:tr>
              <w:tc>
                <w:tcPr>
                  <w:tcW w:type="dxa" w:w="2267"/>
                </w:tcPr>
                <w:p>
                  <w:r>
                    <w:t>Email</w:t>
                  </w:r>
                </w:p>
              </w:tc>
              <w:tc>
                <w:tcPr>
                  <w:tcW w:type="dxa" w:w="2267"/>
                </w:tcPr>
                <w:p>
                  <w:r>
                    <w:t>yangbin@example.com</w:t>
                  </w:r>
                </w:p>
              </w:tc>
            </w:tr>
            <w:tr>
              <w:tc>
                <w:tcPr>
                  <w:tcW w:type="dxa" w:w="2267"/>
                </w:tcPr>
                <w:p>
                  <w:r>
                    <w:t>认证</w:t>
                  </w:r>
                </w:p>
              </w:tc>
              <w:tc>
                <w:tcPr>
                  <w:tcW w:type="dxa" w:w="2267"/>
                </w:tcPr>
                <w:p>
                  <w:r>
                    <w:t>SFC:BSQ313</w:t>
                  </w:r>
                </w:p>
              </w:tc>
            </w:tr>
          </w:tbl>
          <w:p/>
        </w:tc>
        <w:tc>
          <w:tcPr>
            <w:tcW w:type="dxa" w:w="4535"/>
          </w:tcPr>
          <w:p>
            <w:r>
              <w:t>财务数据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67"/>
              <w:gridCol w:w="2267"/>
            </w:tblGrid>
            <w:tr>
              <w:tc>
                <w:tcPr>
                  <w:tcW w:type="dxa" w:w="2267"/>
                </w:tcPr>
                <w:p>
                  <w:r>
                    <w:t>当前价格</w:t>
                  </w:r>
                </w:p>
              </w:tc>
              <w:tc>
                <w:tcPr>
                  <w:tcW w:type="dxa" w:w="2267"/>
                </w:tcPr>
                <w:p>
                  <w:r>
                    <w:t>12.50</w:t>
                  </w:r>
                </w:p>
              </w:tc>
            </w:tr>
            <w:tr>
              <w:tc>
                <w:tcPr>
                  <w:tcW w:type="dxa" w:w="2267"/>
                </w:tcPr>
                <w:p>
                  <w:r>
                    <w:t>目标价格</w:t>
                  </w:r>
                </w:p>
              </w:tc>
              <w:tc>
                <w:tcPr>
                  <w:tcW w:type="dxa" w:w="2267"/>
                </w:tcPr>
                <w:p>
                  <w:r>
                    <w:t>15.60</w:t>
                  </w:r>
                </w:p>
              </w:tc>
            </w:tr>
            <w:tr>
              <w:tc>
                <w:tcPr>
                  <w:tcW w:type="dxa" w:w="2267"/>
                </w:tcPr>
                <w:p>
                  <w:r>
                    <w:t>潜在涨幅</w:t>
                  </w:r>
                </w:p>
              </w:tc>
              <w:tc>
                <w:tcPr>
                  <w:tcW w:type="dxa" w:w="2267"/>
                </w:tcPr>
                <w:p>
                  <w:r>
                    <w:t>24.8%</w:t>
                  </w:r>
                </w:p>
              </w:tc>
            </w:tr>
            <w:tr>
              <w:tc>
                <w:tcPr>
                  <w:tcW w:type="dxa" w:w="2267"/>
                </w:tcPr>
                <w:p>
                  <w:r>
                    <w:t>市值（亿元）</w:t>
                  </w:r>
                </w:p>
              </w:tc>
              <w:tc>
                <w:tcPr>
                  <w:tcW w:type="dxa" w:w="2267"/>
                </w:tcPr>
                <w:p>
                  <w:r>
                    <w:t>22.11bn</w:t>
                  </w:r>
                </w:p>
              </w:tc>
            </w:tr>
            <w:tr>
              <w:tc>
                <w:tcPr>
                  <w:tcW w:type="dxa" w:w="2267"/>
                </w:tcPr>
                <w:p>
                  <w:r>
                    <w:t>52周最高</w:t>
                  </w:r>
                </w:p>
              </w:tc>
              <w:tc>
                <w:tcPr>
                  <w:tcW w:type="dxa" w:w="2267"/>
                </w:tcPr>
                <w:p>
                  <w:r>
                    <w:t>14.50</w:t>
                  </w:r>
                </w:p>
              </w:tc>
            </w:tr>
            <w:tr>
              <w:tc>
                <w:tcPr>
                  <w:tcW w:type="dxa" w:w="2267"/>
                </w:tcPr>
                <w:p>
                  <w:r>
                    <w:t>52周最低</w:t>
                  </w:r>
                </w:p>
              </w:tc>
              <w:tc>
                <w:tcPr>
                  <w:tcW w:type="dxa" w:w="2267"/>
                </w:tcPr>
                <w:p>
                  <w:r>
                    <w:t>8.30</w:t>
                  </w:r>
                </w:p>
              </w:tc>
            </w:tr>
          </w:tbl>
          <w:p/>
        </w:tc>
      </w:tr>
    </w:tbl>
    <w:p/>
    <w:p>
      <w:r>
        <w:rPr>
          <w:b/>
        </w:rPr>
        <w:t>投资摘要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详细财务数据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指标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2023A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2024E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2025E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营收（亿元）</w:t>
                  </w:r>
                </w:p>
              </w:tc>
              <w:tc>
                <w:tcPr>
                  <w:tcW w:type="dxa" w:w="2160"/>
                </w:tcPr>
                <w:p>
                  <w:r>
                    <w:t>15.2</w:t>
                  </w:r>
                </w:p>
              </w:tc>
              <w:tc>
                <w:tcPr>
                  <w:tcW w:type="dxa" w:w="2160"/>
                </w:tcPr>
                <w:p>
                  <w:r>
                    <w:t>18.5</w:t>
                  </w:r>
                </w:p>
              </w:tc>
              <w:tc>
                <w:tcPr>
                  <w:tcW w:type="dxa" w:w="2160"/>
                </w:tcPr>
                <w:p>
                  <w:r>
                    <w:t>22.1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净利润（亿元）</w:t>
                  </w:r>
                </w:p>
              </w:tc>
              <w:tc>
                <w:tcPr>
                  <w:tcW w:type="dxa" w:w="2160"/>
                </w:tcPr>
                <w:p>
                  <w:r>
                    <w:t>2.1</w:t>
                  </w:r>
                </w:p>
              </w:tc>
              <w:tc>
                <w:tcPr>
                  <w:tcW w:type="dxa" w:w="2160"/>
                </w:tcPr>
                <w:p>
                  <w:r>
                    <w:t>2.8</w:t>
                  </w:r>
                </w:p>
              </w:tc>
              <w:tc>
                <w:tcPr>
                  <w:tcW w:type="dxa" w:w="2160"/>
                </w:tcPr>
                <w:p>
                  <w:r>
                    <w:t>3.5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EPS（元）</w:t>
                  </w:r>
                </w:p>
              </w:tc>
              <w:tc>
                <w:tcPr>
                  <w:tcW w:type="dxa" w:w="2160"/>
                </w:tcPr>
                <w:p>
                  <w:r>
                    <w:t>0.85</w:t>
                  </w:r>
                </w:p>
              </w:tc>
              <w:tc>
                <w:tcPr>
                  <w:tcW w:type="dxa" w:w="2160"/>
                </w:tcPr>
                <w:p>
                  <w:r>
                    <w:t>1.12</w:t>
                  </w:r>
                </w:p>
              </w:tc>
              <w:tc>
                <w:tcPr>
                  <w:tcW w:type="dxa" w:w="2160"/>
                </w:tcPr>
                <w:p>
                  <w:r>
                    <w:t>1.40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t>备注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注：数据来源为公司财报和估算</w:t>
                  </w:r>
                </w:p>
              </w:tc>
            </w:tr>
            <w:tr>
              <w:tc>
                <w:tcPr>
                  <w:tcW w:type="dxa" w:w="8640"/>
                </w:tcPr>
                <w:p>
                  <w:r>
                    <w:t>current_price_date: 21 Oct 2025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