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eastAsia="楷体" w:asciiTheme="minorHAnsi" w:hAnsiTheme="minorHAnsi" w:cstheme="minorHAnsi"/>
          <w:b/>
          <w:snapToGrid w:val="0"/>
          <w:color w:val="23558C"/>
          <w:lang w:eastAsia="zh-CN"/>
        </w:rPr>
        <w:t>西锐飞机是私人航空业的先驱和全球领导者。</w:t>
      </w:r>
      <w:r>
        <w:rPr>
          <w:rFonts w:hint="eastAsia" w:ascii="楷体" w:hAnsi="楷体" w:eastAsia="楷体" w:cs="Calibri"/>
          <w:lang w:eastAsia="zh-CN"/>
        </w:rPr>
        <w:t>自</w:t>
      </w:r>
      <w:r>
        <w:rPr>
          <w:rFonts w:ascii="楷体" w:hAnsi="楷体" w:eastAsia="楷体" w:cs="Calibri"/>
          <w:lang w:eastAsia="zh-CN"/>
        </w:rPr>
        <w:t>1984</w:t>
      </w:r>
      <w:r>
        <w:rPr>
          <w:rFonts w:hint="eastAsia" w:ascii="楷体" w:hAnsi="楷体" w:eastAsia="楷体" w:cs="Calibri"/>
          <w:lang w:eastAsia="zh-CN"/>
        </w:rPr>
        <w:t>年成立以来，西锐飞机彻底革新了个人航空领域，在全球范围内累计交付了超过</w:t>
      </w:r>
      <w:r>
        <w:rPr>
          <w:rFonts w:ascii="楷体" w:hAnsi="楷体" w:eastAsia="楷体" w:cs="Calibri"/>
          <w:lang w:eastAsia="zh-CN"/>
        </w:rPr>
        <w:t>10,000</w:t>
      </w:r>
      <w:r>
        <w:rPr>
          <w:rFonts w:hint="eastAsia" w:ascii="楷体" w:hAnsi="楷体" w:eastAsia="楷体" w:cs="Calibri"/>
          <w:lang w:eastAsia="zh-CN"/>
        </w:rPr>
        <w:t>架</w:t>
      </w:r>
      <w:r>
        <w:rPr>
          <w:rFonts w:ascii="楷体" w:hAnsi="楷体" w:eastAsia="楷体" w:cs="Calibri"/>
          <w:lang w:eastAsia="zh-CN"/>
        </w:rPr>
        <w:t>SR2X</w:t>
      </w:r>
      <w:r>
        <w:rPr>
          <w:rFonts w:hint="eastAsia" w:ascii="楷体" w:hAnsi="楷体" w:eastAsia="楷体" w:cs="Calibri"/>
          <w:lang w:eastAsia="zh-CN"/>
        </w:rPr>
        <w:t>系列飞机和超过</w:t>
      </w:r>
      <w:r>
        <w:rPr>
          <w:rFonts w:ascii="楷体" w:hAnsi="楷体" w:eastAsia="楷体" w:cs="Calibri"/>
          <w:lang w:eastAsia="zh-CN"/>
        </w:rPr>
        <w:t>600</w:t>
      </w:r>
      <w:r>
        <w:rPr>
          <w:rFonts w:hint="eastAsia" w:ascii="楷体" w:hAnsi="楷体" w:eastAsia="楷体" w:cs="Calibri"/>
          <w:lang w:eastAsia="zh-CN"/>
        </w:rPr>
        <w:t>架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。截至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年底，该公司在私人航空领域占据主导地位，市场份额高达</w:t>
      </w:r>
      <w:r>
        <w:rPr>
          <w:rFonts w:ascii="楷体" w:hAnsi="楷体" w:eastAsia="楷体" w:cs="Calibri"/>
          <w:lang w:eastAsia="zh-CN"/>
        </w:rPr>
        <w:t>23.2%</w:t>
      </w:r>
      <w:r>
        <w:rPr>
          <w:rFonts w:hint="eastAsia" w:ascii="楷体" w:hAnsi="楷体" w:eastAsia="楷体" w:cs="Calibri"/>
          <w:lang w:eastAsia="zh-CN"/>
        </w:rPr>
        <w:t>。在财务表现方面，西锐展现出强劲的营收增长能力，从</w:t>
      </w:r>
      <w:r>
        <w:rPr>
          <w:rFonts w:ascii="楷体" w:hAnsi="楷体" w:eastAsia="楷体" w:cs="Calibri"/>
          <w:lang w:eastAsia="zh-CN"/>
        </w:rPr>
        <w:t>2020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5.87</w:t>
      </w:r>
      <w:r>
        <w:rPr>
          <w:rFonts w:hint="eastAsia" w:ascii="楷体" w:hAnsi="楷体" w:eastAsia="楷体" w:cs="Calibri"/>
          <w:lang w:eastAsia="zh-CN"/>
        </w:rPr>
        <w:t>亿美元大幅增长至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11.97</w:t>
      </w:r>
      <w:r>
        <w:rPr>
          <w:rFonts w:hint="eastAsia" w:ascii="楷体" w:hAnsi="楷体" w:eastAsia="楷体" w:cs="Calibri"/>
          <w:lang w:eastAsia="zh-CN"/>
        </w:rPr>
        <w:t>亿美元；净利润同期从</w:t>
      </w:r>
      <w:r>
        <w:rPr>
          <w:rFonts w:ascii="楷体" w:hAnsi="楷体" w:eastAsia="楷体" w:cs="Calibri"/>
          <w:lang w:eastAsia="zh-CN"/>
        </w:rPr>
        <w:t>2020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3600</w:t>
      </w:r>
      <w:r>
        <w:rPr>
          <w:rFonts w:hint="eastAsia" w:ascii="楷体" w:hAnsi="楷体" w:eastAsia="楷体" w:cs="Calibri"/>
          <w:lang w:eastAsia="zh-CN"/>
        </w:rPr>
        <w:t>万美元飙升至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1.21</w:t>
      </w:r>
      <w:r>
        <w:rPr>
          <w:rFonts w:hint="eastAsia" w:ascii="楷体" w:hAnsi="楷体" w:eastAsia="楷体" w:cs="Calibri"/>
          <w:lang w:eastAsia="zh-CN"/>
        </w:rPr>
        <w:t>亿美元，净利润复合年均增长率（</w:t>
      </w:r>
      <w:r>
        <w:rPr>
          <w:rFonts w:ascii="楷体" w:hAnsi="楷体" w:eastAsia="楷体" w:cs="Calibri"/>
          <w:lang w:eastAsia="zh-CN"/>
        </w:rPr>
        <w:t>CAGR</w:t>
      </w:r>
      <w:r>
        <w:rPr>
          <w:rFonts w:hint="eastAsia" w:ascii="楷体" w:hAnsi="楷体" w:eastAsia="楷体" w:cs="Calibri"/>
          <w:lang w:eastAsia="zh-CN"/>
        </w:rPr>
        <w:t>）高达</w:t>
      </w:r>
      <w:r>
        <w:rPr>
          <w:rFonts w:ascii="楷体" w:hAnsi="楷体" w:eastAsia="楷体" w:cs="Calibri"/>
          <w:lang w:eastAsia="zh-CN"/>
        </w:rPr>
        <w:t>32.3%</w:t>
      </w:r>
      <w:r>
        <w:rPr>
          <w:rFonts w:hint="eastAsia" w:ascii="楷体" w:hAnsi="楷体" w:eastAsia="楷体" w:cs="Calibri"/>
          <w:lang w:eastAsia="zh-CN"/>
        </w:rPr>
        <w:t>。净利率也从</w:t>
      </w:r>
      <w:r>
        <w:rPr>
          <w:rFonts w:ascii="楷体" w:hAnsi="楷体" w:eastAsia="楷体" w:cs="Calibri"/>
          <w:lang w:eastAsia="zh-CN"/>
        </w:rPr>
        <w:t>202</w:t>
      </w:r>
      <w:r>
        <w:rPr>
          <w:rFonts w:hint="eastAsia" w:ascii="楷体" w:hAnsi="楷体" w:eastAsia="楷体" w:cs="Calibri"/>
          <w:lang w:eastAsia="zh-CN"/>
        </w:rPr>
        <w:t>0年的6.2%提高到2024年的10.1%。</w:t>
      </w:r>
    </w:p>
    <w:p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消费者导向场景下私人飞机需求稳健增长。</w:t>
      </w:r>
      <w:r>
        <w:rPr>
          <w:rFonts w:hint="eastAsia" w:ascii="楷体" w:hAnsi="楷体" w:eastAsia="楷体" w:cs="Calibri"/>
          <w:lang w:eastAsia="zh-CN"/>
        </w:rPr>
        <w:t>通用航空涵盖除军事和定期商业航班之外的所有航空活动，包括私人飞行和专业航空。全球私人飞机市场在交付量和价值方面均实现了稳健增长，平均销售价格也呈现上升趋势。全球私人飞机交付量的持续增长，一方面得益于高净值人群（</w:t>
      </w:r>
      <w:r>
        <w:rPr>
          <w:rFonts w:ascii="楷体" w:hAnsi="楷体" w:eastAsia="楷体" w:cs="Calibri"/>
          <w:lang w:eastAsia="zh-CN"/>
        </w:rPr>
        <w:t>HNWIs</w:t>
      </w:r>
      <w:r>
        <w:rPr>
          <w:rFonts w:hint="eastAsia" w:ascii="楷体" w:hAnsi="楷体" w:eastAsia="楷体" w:cs="Calibri"/>
          <w:lang w:eastAsia="zh-CN"/>
        </w:rPr>
        <w:t>）和飞行学员数量的扩张，另一方面也受到持续基础设施建设的推动。该行业的集中度相当高，西锐尤其在活塞式飞机领域占据领先地位。其两大主要机型系列的市场份额均呈现上升趋势。.</w:t>
      </w:r>
    </w:p>
    <w:p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西锐凭借行业领先的安全性能和全面“产品</w:t>
      </w:r>
      <w:r>
        <w:rPr>
          <w:rFonts w:ascii="楷体" w:hAnsi="楷体" w:eastAsia="楷体" w:cs="Calibri"/>
          <w:b/>
          <w:bCs/>
          <w:color w:val="23558C"/>
          <w:lang w:eastAsia="zh-CN"/>
        </w:rPr>
        <w:t>+</w:t>
      </w: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服务”生态系统实现差异化。</w:t>
      </w:r>
      <w:r>
        <w:rPr>
          <w:rFonts w:hint="eastAsia" w:ascii="楷体" w:hAnsi="楷体" w:eastAsia="楷体" w:cs="Calibri"/>
          <w:lang w:eastAsia="zh-CN"/>
        </w:rPr>
        <w:t xml:space="preserve"> 西锐的产品线，从</w:t>
      </w:r>
      <w:r>
        <w:rPr>
          <w:rFonts w:ascii="楷体" w:hAnsi="楷体" w:eastAsia="楷体" w:cs="Calibri"/>
          <w:lang w:eastAsia="zh-CN"/>
        </w:rPr>
        <w:t>SR2X</w:t>
      </w:r>
      <w:r>
        <w:rPr>
          <w:rFonts w:hint="eastAsia" w:ascii="楷体" w:hAnsi="楷体" w:eastAsia="楷体" w:cs="Calibri"/>
          <w:lang w:eastAsia="zh-CN"/>
        </w:rPr>
        <w:t>系列到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，满足了多样化的市场需求，其中</w:t>
      </w:r>
      <w:r>
        <w:rPr>
          <w:rFonts w:ascii="楷体" w:hAnsi="楷体" w:eastAsia="楷体" w:cs="Calibri"/>
          <w:lang w:eastAsia="zh-CN"/>
        </w:rPr>
        <w:t>SR</w:t>
      </w:r>
      <w:r>
        <w:rPr>
          <w:rFonts w:hint="eastAsia" w:ascii="楷体" w:hAnsi="楷体" w:eastAsia="楷体" w:cs="Calibri"/>
          <w:lang w:eastAsia="zh-CN"/>
        </w:rPr>
        <w:t>系列定位于高端活塞式飞机市场，而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则作为涡轮式飞机类别中的高性价比选择。公司的竞争优势源于其开创性的安全功能，包括挽救生命的“整机降落伞系统（</w:t>
      </w:r>
      <w:r>
        <w:rPr>
          <w:rFonts w:ascii="楷体" w:hAnsi="楷体" w:eastAsia="楷体" w:cs="Calibri"/>
          <w:lang w:eastAsia="zh-CN"/>
        </w:rPr>
        <w:t>CAPS</w:t>
      </w:r>
      <w:r>
        <w:rPr>
          <w:rFonts w:hint="eastAsia" w:ascii="楷体" w:hAnsi="楷体" w:eastAsia="楷体" w:cs="Calibri"/>
          <w:lang w:eastAsia="zh-CN"/>
        </w:rPr>
        <w:t>）”和革命性的“安全返航紧急自动着陆系统（</w:t>
      </w:r>
      <w:r>
        <w:rPr>
          <w:rFonts w:ascii="楷体" w:hAnsi="楷体" w:eastAsia="楷体" w:cs="Calibri"/>
          <w:lang w:eastAsia="zh-CN"/>
        </w:rPr>
        <w:t>Safe Return Emergency Autoland</w:t>
      </w:r>
      <w:r>
        <w:rPr>
          <w:rFonts w:hint="eastAsia" w:ascii="楷体" w:hAnsi="楷体" w:eastAsia="楷体" w:cs="Calibri"/>
          <w:lang w:eastAsia="zh-CN"/>
        </w:rPr>
        <w:t>）”。关键在于，西锐已超越传统制造业务，发展成为提供全面“产品</w:t>
      </w:r>
      <w:r>
        <w:rPr>
          <w:rFonts w:ascii="楷体" w:hAnsi="楷体" w:eastAsia="楷体" w:cs="Calibri"/>
          <w:lang w:eastAsia="zh-CN"/>
        </w:rPr>
        <w:t>+</w:t>
      </w:r>
      <w:r>
        <w:rPr>
          <w:rFonts w:hint="eastAsia" w:ascii="楷体" w:hAnsi="楷体" w:eastAsia="楷体" w:cs="Calibri"/>
          <w:lang w:eastAsia="zh-CN"/>
        </w:rPr>
        <w:t>服务”生态系统的企业，涵盖飞行培训、飞机管理和融资等服务。这种高客户留存模式创造了经常性收入并增强了品牌忠诚度，同时带来了高复购率和强大的定价权。</w:t>
      </w:r>
      <w:r>
        <w:rPr>
          <w:rFonts w:ascii="楷体" w:hAnsi="楷体" w:eastAsia="楷体" w:cs="Calibri"/>
          <w:lang w:eastAsia="zh-CN"/>
        </w:rPr>
        <w:t xml:space="preserve"> </w:t>
      </w:r>
    </w:p>
    <w:p>
      <w:pPr>
        <w:pStyle w:val="56"/>
        <w:jc w:val="both"/>
        <w:rPr>
          <w:rFonts w:hint="eastAsia" w:ascii="楷体" w:hAnsi="楷体" w:eastAsia="楷体" w:cs="Calibri"/>
          <w:b/>
          <w:bCs/>
          <w:color w:val="23558C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估值与建议</w:t>
      </w:r>
    </w:p>
    <w:p>
      <w:pPr>
        <w:pStyle w:val="44"/>
        <w:jc w:val="both"/>
        <w:rPr>
          <w:rFonts w:hint="eastAsia" w:ascii="楷体" w:hAnsi="楷体" w:eastAsia="楷体" w:cs="Calibri"/>
          <w:snapToGrid/>
          <w:szCs w:val="20"/>
          <w:lang w:eastAsia="zh-CN"/>
        </w:rPr>
      </w:pPr>
      <w:r>
        <w:rPr>
          <w:rFonts w:ascii="楷体" w:hAnsi="楷体" w:eastAsia="楷体" w:cs="Calibri"/>
          <w:snapToGrid/>
          <w:szCs w:val="20"/>
          <w:lang w:eastAsia="zh-CN"/>
        </w:rPr>
        <w:t>我们预计西锐飞机在2025年至2027年期间的收入将分别达到14.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26/</w:t>
      </w:r>
      <w:r>
        <w:rPr>
          <w:rFonts w:ascii="楷体" w:hAnsi="楷体" w:eastAsia="楷体" w:cs="Calibri"/>
          <w:snapToGrid/>
          <w:szCs w:val="20"/>
          <w:lang w:eastAsia="zh-CN"/>
        </w:rPr>
        <w:t>16.46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/</w:t>
      </w:r>
      <w:r>
        <w:rPr>
          <w:rFonts w:ascii="楷体" w:hAnsi="楷体" w:eastAsia="楷体" w:cs="Calibri"/>
          <w:snapToGrid/>
          <w:szCs w:val="20"/>
          <w:lang w:eastAsia="zh-CN"/>
        </w:rPr>
        <w:t>19.28亿美元，净利润分别为1.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62/</w:t>
      </w:r>
      <w:r>
        <w:rPr>
          <w:rFonts w:ascii="楷体" w:hAnsi="楷体" w:eastAsia="楷体" w:cs="Calibri"/>
          <w:snapToGrid/>
          <w:szCs w:val="20"/>
          <w:lang w:eastAsia="zh-CN"/>
        </w:rPr>
        <w:t>1.9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9/</w:t>
      </w:r>
      <w:r>
        <w:rPr>
          <w:rFonts w:ascii="楷体" w:hAnsi="楷体" w:eastAsia="楷体" w:cs="Calibri"/>
          <w:snapToGrid/>
          <w:szCs w:val="20"/>
          <w:lang w:eastAsia="zh-CN"/>
        </w:rPr>
        <w:t>2.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42</w:t>
      </w:r>
      <w:r>
        <w:rPr>
          <w:rFonts w:ascii="楷体" w:hAnsi="楷体" w:eastAsia="楷体" w:cs="Calibri"/>
          <w:snapToGrid/>
          <w:szCs w:val="20"/>
          <w:lang w:eastAsia="zh-CN"/>
        </w:rPr>
        <w:t>亿美元。基于贴现现金流（DCF）估值模型，我们首次覆盖并给予“优于大市”评级，目标价为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11.12美元（对应港币86.72元）。</w:t>
      </w:r>
    </w:p>
    <w:p>
      <w:pPr>
        <w:pStyle w:val="56"/>
        <w:jc w:val="both"/>
        <w:rPr>
          <w:rFonts w:hint="eastAsia" w:ascii="楷体" w:hAnsi="楷体" w:eastAsia="楷体" w:cs="Calibri"/>
          <w:b/>
          <w:bCs/>
          <w:color w:val="23558C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风险提示</w:t>
      </w:r>
    </w:p>
    <w:p>
      <w:pPr>
        <w:pStyle w:val="55"/>
        <w:jc w:val="both"/>
        <w:rPr>
          <w:rFonts w:hint="default" w:ascii="楷体" w:hAnsi="楷体" w:eastAsia="楷体" w:cs="Calibri"/>
          <w:snapToGrid/>
          <w:sz w:val="20"/>
          <w:szCs w:val="20"/>
          <w:lang w:val="en-IE" w:eastAsia="zh-CN"/>
        </w:rPr>
      </w:pPr>
      <w:r>
        <w:rPr>
          <w:rFonts w:ascii="楷体" w:hAnsi="楷体" w:eastAsia="楷体" w:cs="Calibri"/>
          <w:snapToGrid/>
          <w:sz w:val="20"/>
          <w:szCs w:val="20"/>
        </w:rPr>
        <w:t>原材料价格波动；供应链中断；市场竞争加剧；客户需求变化；政策变化.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