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colors9.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harts/style9.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2.xml" ContentType="application/vnd.openxmlformats-officedocument.themeOverride+xml"/>
  <Override PartName="/word/theme/themeOverride3.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1"/>
        <w:tblpPr w:leftFromText="180" w:rightFromText="180" w:vertAnchor="text" w:tblpXSpec="right" w:tblpY="1"/>
        <w:tblOverlap w:val="never"/>
        <w:tblW w:w="10711" w:type="dxa"/>
        <w:tblCaption w:val="[Table_Main]"/>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30" w:type="dxa"/>
          <w:bottom w:w="0" w:type="dxa"/>
          <w:right w:w="40" w:type="dxa"/>
        </w:tblCellMar>
      </w:tblPr>
      <w:tblGrid>
        <w:gridCol w:w="188"/>
        <w:gridCol w:w="4269"/>
        <w:gridCol w:w="1974"/>
        <w:gridCol w:w="1218"/>
        <w:gridCol w:w="3062"/>
        <w:gridCol w:w="63"/>
      </w:tblGrid>
      <w:tr w14:paraId="495B36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23" w:hRule="exact"/>
        </w:trPr>
        <w:tc>
          <w:tcPr>
            <w:tcW w:w="6431" w:type="dxa"/>
            <w:gridSpan w:val="3"/>
            <w:tcMar>
              <w:top w:w="60" w:type="dxa"/>
              <w:left w:w="120" w:type="dxa"/>
            </w:tcMar>
          </w:tcPr>
          <w:p w14:paraId="0C39ADED">
            <w:pPr>
              <w:pStyle w:val="62"/>
              <w:rPr>
                <w:rFonts w:eastAsia="楷体_GB2312" w:cs="Calibri"/>
                <w:color w:val="FFFFFF" w:themeColor="background1"/>
                <w:sz w:val="21"/>
                <w:szCs w:val="21"/>
                <w:lang w:eastAsia="zh-CN"/>
                <w14:textFill>
                  <w14:solidFill>
                    <w14:schemeClr w14:val="bg1"/>
                  </w14:solidFill>
                </w14:textFill>
              </w:rPr>
            </w:pPr>
            <w:r>
              <w:rPr>
                <w:rFonts w:eastAsia="楷体_GB2312" w:cs="Calibri"/>
                <w:color w:val="FFFFFF" w:themeColor="background1"/>
                <w:sz w:val="21"/>
                <w:szCs w:val="21"/>
                <w:lang w:eastAsia="zh-CN"/>
                <w14:textFill>
                  <w14:solidFill>
                    <w14:schemeClr w14:val="bg1"/>
                  </w14:solidFill>
                </w14:textFill>
              </w:rPr>
              <w:t>[Table_Main]</w:t>
            </w:r>
          </w:p>
        </w:tc>
        <w:tc>
          <w:tcPr>
            <w:tcW w:w="1218" w:type="dxa"/>
            <w:vAlign w:val="center"/>
          </w:tcPr>
          <w:p w14:paraId="1BD217D8">
            <w:pPr>
              <w:pStyle w:val="48"/>
              <w:framePr w:wrap="auto" w:vAnchor="margin" w:hAnchor="text" w:xAlign="left" w:yAlign="inline"/>
              <w:rPr>
                <w:rFonts w:eastAsia="楷体_GB2312" w:cs="Calibri"/>
                <w:highlight w:val="yellow"/>
              </w:rPr>
            </w:pPr>
          </w:p>
        </w:tc>
        <w:tc>
          <w:tcPr>
            <w:tcW w:w="3062" w:type="dxa"/>
          </w:tcPr>
          <w:p w14:paraId="65E97C87">
            <w:pPr>
              <w:pStyle w:val="47"/>
              <w:framePr w:wrap="auto" w:vAnchor="margin" w:hAnchor="text" w:xAlign="left" w:yAlign="inline"/>
              <w:rPr>
                <w:rFonts w:eastAsia="楷体_GB2312" w:cs="Calibri"/>
                <w:highlight w:val="yellow"/>
              </w:rPr>
            </w:pPr>
          </w:p>
        </w:tc>
      </w:tr>
      <w:tr w14:paraId="68AA9B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318" w:hRule="exact"/>
        </w:trPr>
        <w:tc>
          <w:tcPr>
            <w:tcW w:w="6431" w:type="dxa"/>
            <w:gridSpan w:val="3"/>
            <w:tcMar>
              <w:top w:w="60" w:type="dxa"/>
              <w:left w:w="119" w:type="dxa"/>
              <w:right w:w="0" w:type="dxa"/>
            </w:tcMar>
            <w:vAlign w:val="center"/>
          </w:tcPr>
          <w:p w14:paraId="4B4DCA24">
            <w:pPr>
              <w:pStyle w:val="48"/>
              <w:framePr w:wrap="auto" w:vAnchor="margin" w:hAnchor="text" w:xAlign="left" w:yAlign="inline"/>
              <w:rPr>
                <w:rFonts w:eastAsia="楷体_GB2312" w:cs="Calibri"/>
                <w:b w:val="0"/>
                <w:sz w:val="16"/>
                <w:lang w:eastAsia="zh-CN"/>
              </w:rPr>
            </w:pPr>
            <w:r>
              <w:rPr>
                <w:rFonts w:eastAsia="楷体_GB2312" w:cs="Calibri"/>
                <w:b w:val="0"/>
                <w:sz w:val="16"/>
                <w:lang w:eastAsia="zh-CN"/>
              </w:rPr>
              <w:t>Research Report</w:t>
            </w:r>
          </w:p>
        </w:tc>
        <w:tc>
          <w:tcPr>
            <w:tcW w:w="4280" w:type="dxa"/>
            <w:gridSpan w:val="2"/>
          </w:tcPr>
          <w:p w14:paraId="02509682">
            <w:pPr>
              <w:pStyle w:val="62"/>
              <w:rPr>
                <w:rFonts w:eastAsia="楷体_GB2312" w:cs="Calibri"/>
                <w:color w:val="23558C"/>
                <w:sz w:val="16"/>
                <w:szCs w:val="16"/>
                <w:lang w:eastAsia="zh-CN"/>
              </w:rPr>
            </w:pPr>
          </w:p>
        </w:tc>
      </w:tr>
      <w:tr w14:paraId="79E3C3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276" w:hRule="exact"/>
        </w:trPr>
        <w:tc>
          <w:tcPr>
            <w:tcW w:w="6431" w:type="dxa"/>
            <w:gridSpan w:val="3"/>
            <w:tcMar>
              <w:top w:w="60" w:type="dxa"/>
              <w:left w:w="119" w:type="dxa"/>
              <w:right w:w="0" w:type="dxa"/>
            </w:tcMar>
            <w:vAlign w:val="center"/>
          </w:tcPr>
          <w:p w14:paraId="7409E595">
            <w:pPr>
              <w:pStyle w:val="48"/>
              <w:framePr w:wrap="auto" w:vAnchor="margin" w:hAnchor="text" w:xAlign="left" w:yAlign="inline"/>
              <w:rPr>
                <w:rFonts w:eastAsia="楷体_GB2312" w:cs="Calibri"/>
                <w:b w:val="0"/>
                <w:sz w:val="20"/>
                <w:szCs w:val="20"/>
              </w:rPr>
            </w:pPr>
            <w:r>
              <w:rPr>
                <w:rFonts w:hint="eastAsia" w:eastAsia="楷体_GB2312" w:cs="Calibri"/>
                <w:b w:val="0"/>
                <w:sz w:val="20"/>
                <w:szCs w:val="20"/>
                <w:lang w:eastAsia="zh-CN"/>
              </w:rPr>
              <w:t>30</w:t>
            </w:r>
            <w:r>
              <w:rPr>
                <w:rFonts w:eastAsia="楷体_GB2312" w:cs="Calibri"/>
                <w:b w:val="0"/>
                <w:sz w:val="20"/>
                <w:szCs w:val="20"/>
              </w:rPr>
              <w:t xml:space="preserve"> </w:t>
            </w:r>
            <w:r>
              <w:rPr>
                <w:rFonts w:eastAsia="楷体_GB2312" w:cs="Calibri"/>
                <w:b w:val="0"/>
                <w:sz w:val="20"/>
                <w:szCs w:val="20"/>
                <w:lang w:eastAsia="zh-CN"/>
              </w:rPr>
              <w:t xml:space="preserve">Dec </w:t>
            </w:r>
            <w:r>
              <w:rPr>
                <w:rFonts w:eastAsia="楷体_GB2312" w:cs="Calibri"/>
                <w:b w:val="0"/>
                <w:sz w:val="20"/>
                <w:szCs w:val="20"/>
              </w:rPr>
              <w:t>2025</w:t>
            </w:r>
          </w:p>
        </w:tc>
        <w:tc>
          <w:tcPr>
            <w:tcW w:w="4280" w:type="dxa"/>
            <w:gridSpan w:val="2"/>
          </w:tcPr>
          <w:p w14:paraId="3AB98302">
            <w:pPr>
              <w:pStyle w:val="62"/>
              <w:rPr>
                <w:rFonts w:eastAsia="楷体_GB2312" w:cs="Calibri"/>
                <w:color w:val="23558C"/>
                <w:sz w:val="16"/>
                <w:szCs w:val="16"/>
                <w:lang w:eastAsia="zh-CN"/>
              </w:rPr>
            </w:pPr>
          </w:p>
        </w:tc>
      </w:tr>
      <w:tr w14:paraId="66C888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57" w:hRule="exact"/>
        </w:trPr>
        <w:tc>
          <w:tcPr>
            <w:tcW w:w="10711" w:type="dxa"/>
            <w:gridSpan w:val="5"/>
            <w:tcMar>
              <w:top w:w="60" w:type="dxa"/>
              <w:left w:w="119" w:type="dxa"/>
              <w:right w:w="0" w:type="dxa"/>
            </w:tcMar>
          </w:tcPr>
          <w:p w14:paraId="31D22B01">
            <w:pPr>
              <w:pStyle w:val="47"/>
              <w:framePr w:wrap="auto" w:vAnchor="margin" w:hAnchor="text" w:xAlign="left" w:yAlign="inline"/>
              <w:jc w:val="left"/>
              <w:rPr>
                <w:rFonts w:eastAsia="楷体_GB2312" w:cs="Calibri"/>
                <w:sz w:val="40"/>
                <w:szCs w:val="40"/>
                <w:lang w:eastAsia="zh-CN"/>
              </w:rPr>
            </w:pPr>
          </w:p>
        </w:tc>
      </w:tr>
      <w:tr w14:paraId="448479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586" w:hRule="exact"/>
        </w:trPr>
        <w:tc>
          <w:tcPr>
            <w:tcW w:w="10711" w:type="dxa"/>
            <w:gridSpan w:val="5"/>
            <w:tcMar>
              <w:top w:w="60" w:type="dxa"/>
              <w:left w:w="119" w:type="dxa"/>
              <w:right w:w="0" w:type="dxa"/>
            </w:tcMar>
          </w:tcPr>
          <w:p w14:paraId="361B0765">
            <w:pPr>
              <w:pStyle w:val="47"/>
              <w:framePr w:wrap="auto" w:vAnchor="margin" w:hAnchor="text" w:xAlign="left" w:yAlign="inline"/>
              <w:jc w:val="left"/>
              <w:rPr>
                <w:rFonts w:eastAsia="楷体_GB2312" w:cs="Calibri"/>
                <w:sz w:val="40"/>
                <w:szCs w:val="40"/>
                <w:lang w:eastAsia="zh-CN"/>
              </w:rPr>
            </w:pPr>
            <w:r>
              <w:rPr>
                <w:rFonts w:eastAsia="楷体_GB2312" w:cs="Calibri"/>
                <w:sz w:val="40"/>
                <w:szCs w:val="40"/>
                <w:lang w:eastAsia="zh-CN"/>
              </w:rPr>
              <w:t>Bloom Energy Corporation (BE</w:t>
            </w:r>
            <w:r>
              <w:rPr>
                <w:rFonts w:hint="eastAsia" w:eastAsia="楷体_GB2312" w:cs="Calibri"/>
                <w:sz w:val="40"/>
                <w:szCs w:val="40"/>
                <w:lang w:eastAsia="zh-CN"/>
              </w:rPr>
              <w:t xml:space="preserve"> US</w:t>
            </w:r>
            <w:r>
              <w:rPr>
                <w:rFonts w:eastAsia="楷体_GB2312" w:cs="Calibri"/>
                <w:sz w:val="40"/>
                <w:szCs w:val="40"/>
                <w:lang w:eastAsia="zh-CN"/>
              </w:rPr>
              <w:t>)</w:t>
            </w:r>
          </w:p>
          <w:p w14:paraId="45F78A61">
            <w:pPr>
              <w:pStyle w:val="47"/>
              <w:framePr w:wrap="auto" w:vAnchor="margin" w:hAnchor="text" w:xAlign="left" w:yAlign="inline"/>
              <w:jc w:val="left"/>
              <w:rPr>
                <w:rFonts w:eastAsia="楷体_GB2312" w:cs="Calibri"/>
                <w:sz w:val="40"/>
                <w:szCs w:val="40"/>
                <w:lang w:eastAsia="zh-CN"/>
              </w:rPr>
            </w:pPr>
          </w:p>
        </w:tc>
      </w:tr>
      <w:tr w14:paraId="285108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851" w:hRule="exact"/>
        </w:trPr>
        <w:tc>
          <w:tcPr>
            <w:tcW w:w="10711" w:type="dxa"/>
            <w:gridSpan w:val="5"/>
            <w:tcMar>
              <w:top w:w="60" w:type="dxa"/>
              <w:left w:w="119" w:type="dxa"/>
              <w:right w:w="0" w:type="dxa"/>
            </w:tcMar>
          </w:tcPr>
          <w:p w14:paraId="29291681">
            <w:pPr>
              <w:pStyle w:val="62"/>
              <w:rPr>
                <w:rFonts w:eastAsia="楷体_GB2312" w:cs="Calibri"/>
                <w:b w:val="0"/>
                <w:color w:val="23558C"/>
                <w:lang w:eastAsia="zh-CN"/>
              </w:rPr>
            </w:pPr>
            <w:r>
              <w:rPr>
                <w:rFonts w:eastAsia="楷体_GB2312" w:cs="Calibri"/>
                <w:b w:val="0"/>
                <w:color w:val="23558C"/>
                <w:lang w:eastAsia="zh-CN"/>
              </w:rPr>
              <w:t>A Solid Oxide Fuel Cell Player Set To Bloom In The Opportunity Of AI-Driven Onsite Power Generation Solutions: Initiation</w:t>
            </w:r>
          </w:p>
        </w:tc>
      </w:tr>
      <w:tr w14:paraId="50AA3C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453" w:hRule="atLeast"/>
        </w:trPr>
        <w:tc>
          <w:tcPr>
            <w:tcW w:w="10711" w:type="dxa"/>
            <w:gridSpan w:val="5"/>
            <w:tcMar>
              <w:top w:w="60" w:type="dxa"/>
              <w:left w:w="119" w:type="dxa"/>
              <w:right w:w="0" w:type="dxa"/>
            </w:tcMar>
          </w:tcPr>
          <w:p w14:paraId="47D1A4C0">
            <w:pPr>
              <w:pStyle w:val="47"/>
              <w:framePr w:wrap="auto" w:vAnchor="margin" w:hAnchor="text" w:xAlign="left" w:yAlign="inline"/>
              <w:rPr>
                <w:rFonts w:eastAsia="楷体_GB2312" w:cs="Calibri"/>
                <w:szCs w:val="24"/>
                <w:lang w:eastAsia="zh-CN"/>
              </w:rPr>
            </w:pPr>
          </w:p>
        </w:tc>
      </w:tr>
      <w:tr w14:paraId="2A64EE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113" w:hRule="exact"/>
        </w:trPr>
        <w:tc>
          <w:tcPr>
            <w:tcW w:w="10711" w:type="dxa"/>
            <w:gridSpan w:val="5"/>
            <w:tcMar>
              <w:left w:w="119" w:type="dxa"/>
            </w:tcMar>
          </w:tcPr>
          <w:p w14:paraId="2DDA4A66">
            <w:pPr>
              <w:pStyle w:val="47"/>
              <w:framePr w:wrap="auto" w:vAnchor="margin" w:hAnchor="text" w:xAlign="left" w:yAlign="inline"/>
              <w:rPr>
                <w:rFonts w:eastAsia="楷体_GB2312" w:cs="Calibri"/>
              </w:rPr>
            </w:pPr>
          </w:p>
        </w:tc>
      </w:tr>
      <w:tr w14:paraId="03F6E7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Before w:val="1"/>
          <w:wBefore w:w="125" w:type="dxa"/>
          <w:trHeight w:val="227" w:hRule="atLeast"/>
        </w:trPr>
        <w:tc>
          <w:tcPr>
            <w:tcW w:w="4269" w:type="dxa"/>
            <w:tcMar>
              <w:left w:w="57" w:type="dxa"/>
            </w:tcMar>
          </w:tcPr>
          <w:tbl>
            <w:tblPr>
              <w:tblStyle w:val="21"/>
              <w:tblW w:w="4071" w:type="dxa"/>
              <w:tblCaption w:val="[Table_Info]"/>
              <w:tblDescription w:val="表格隐藏唯一标识（请勿删除或修改）"/>
              <w:tblInd w:w="0" w:type="dxa"/>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Layout w:type="fixed"/>
              <w:tblCellMar>
                <w:top w:w="0" w:type="dxa"/>
                <w:left w:w="0" w:type="dxa"/>
                <w:bottom w:w="0" w:type="dxa"/>
                <w:right w:w="0" w:type="dxa"/>
              </w:tblCellMar>
            </w:tblPr>
            <w:tblGrid>
              <w:gridCol w:w="1724"/>
              <w:gridCol w:w="2347"/>
            </w:tblGrid>
            <w:tr w14:paraId="63EC9C25">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90" w:hRule="exact"/>
              </w:trPr>
              <w:tc>
                <w:tcPr>
                  <w:tcW w:w="4071" w:type="dxa"/>
                  <w:gridSpan w:val="2"/>
                  <w:tcBorders>
                    <w:top w:val="nil"/>
                    <w:left w:val="nil"/>
                    <w:bottom w:val="nil"/>
                    <w:right w:val="nil"/>
                  </w:tcBorders>
                </w:tcPr>
                <w:p w14:paraId="7D23DD45">
                  <w:pPr>
                    <w:pStyle w:val="52"/>
                    <w:framePr w:w="0" w:hRule="auto" w:hSpace="0" w:wrap="auto" w:vAnchor="margin" w:hAnchor="text" w:xAlign="left" w:yAlign="inline"/>
                    <w:rPr>
                      <w:rFonts w:eastAsia="楷体_GB2312" w:cs="Calibri"/>
                      <w:sz w:val="21"/>
                      <w:szCs w:val="21"/>
                    </w:rPr>
                  </w:pPr>
                  <w:r>
                    <w:rPr>
                      <w:rFonts w:eastAsia="楷体_GB2312" w:cs="Calibri"/>
                      <w:color w:val="FFFFFF" w:themeColor="background1"/>
                      <w:sz w:val="21"/>
                      <w:szCs w:val="21"/>
                      <w14:textFill>
                        <w14:solidFill>
                          <w14:schemeClr w14:val="bg1"/>
                        </w14:solidFill>
                      </w14:textFill>
                    </w:rPr>
                    <w:t>[Table_Info]</w:t>
                  </w:r>
                </w:p>
              </w:tc>
            </w:tr>
            <w:tr w14:paraId="384B9410">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84" w:hRule="exact"/>
              </w:trPr>
              <w:tc>
                <w:tcPr>
                  <w:tcW w:w="4071" w:type="dxa"/>
                  <w:gridSpan w:val="2"/>
                  <w:tcBorders>
                    <w:top w:val="nil"/>
                  </w:tcBorders>
                  <w:shd w:val="clear" w:color="auto" w:fill="23558C"/>
                  <w:tcMar>
                    <w:left w:w="0" w:type="dxa"/>
                  </w:tcMar>
                </w:tcPr>
                <w:p w14:paraId="072F2FDB">
                  <w:pPr>
                    <w:pStyle w:val="51"/>
                    <w:framePr w:w="0" w:hRule="auto" w:hSpace="0" w:wrap="auto" w:vAnchor="margin" w:hAnchor="text" w:xAlign="left" w:yAlign="inline"/>
                    <w:tabs>
                      <w:tab w:val="center" w:pos="2090"/>
                      <w:tab w:val="right" w:pos="3976"/>
                    </w:tabs>
                    <w:ind w:right="85" w:firstLine="85"/>
                    <w:rPr>
                      <w:rFonts w:eastAsia="楷体_GB2312" w:cs="Calibri"/>
                      <w:i/>
                      <w:sz w:val="22"/>
                      <w:szCs w:val="22"/>
                    </w:rPr>
                  </w:pPr>
                  <w:r>
                    <w:rPr>
                      <w:rFonts w:hint="eastAsia" w:eastAsia="楷体_GB2312" w:cs="Calibri"/>
                      <w:i/>
                      <w:color w:val="FFFFFF" w:themeColor="background1"/>
                      <w:sz w:val="22"/>
                      <w:szCs w:val="22"/>
                      <w:shd w:val="clear" w:color="auto" w:fill="23558C"/>
                      <w14:textFill>
                        <w14:solidFill>
                          <w14:schemeClr w14:val="bg1"/>
                        </w14:solidFill>
                      </w14:textFill>
                    </w:rPr>
                    <w:tab/>
                  </w:r>
                  <w:r>
                    <w:rPr>
                      <w:rFonts w:eastAsia="楷体_GB2312" w:cs="Calibri"/>
                      <w:i/>
                      <w:color w:val="FFFFFF" w:themeColor="background1"/>
                      <w:sz w:val="22"/>
                      <w:szCs w:val="22"/>
                      <w:shd w:val="clear" w:color="auto" w:fill="23558C"/>
                      <w14:textFill>
                        <w14:solidFill>
                          <w14:schemeClr w14:val="bg1"/>
                        </w14:solidFill>
                      </w14:textFill>
                    </w:rPr>
                    <w:t>Initiate with OUTPERFORM</w:t>
                  </w:r>
                  <w:r>
                    <w:rPr>
                      <w:rFonts w:hint="eastAsia" w:eastAsia="楷体_GB2312" w:cs="Calibri"/>
                      <w:i/>
                      <w:sz w:val="22"/>
                      <w:szCs w:val="22"/>
                      <w:shd w:val="clear" w:color="auto" w:fill="23558C"/>
                    </w:rPr>
                    <w:tab/>
                  </w:r>
                </w:p>
              </w:tc>
            </w:tr>
            <w:tr w14:paraId="1F90A4BD">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70" w:hRule="exact"/>
              </w:trPr>
              <w:tc>
                <w:tcPr>
                  <w:tcW w:w="4071" w:type="dxa"/>
                  <w:gridSpan w:val="2"/>
                  <w:tcMar>
                    <w:left w:w="0" w:type="dxa"/>
                  </w:tcMar>
                </w:tcPr>
                <w:p w14:paraId="467C09CC">
                  <w:pPr>
                    <w:pStyle w:val="51"/>
                    <w:framePr w:w="0" w:hRule="auto" w:hSpace="0" w:wrap="auto" w:vAnchor="margin" w:hAnchor="text" w:xAlign="left" w:yAlign="inline"/>
                    <w:ind w:right="85" w:firstLine="85"/>
                    <w:rPr>
                      <w:rFonts w:eastAsia="楷体_GB2312" w:cs="Calibri"/>
                    </w:rPr>
                  </w:pPr>
                </w:p>
              </w:tc>
            </w:tr>
            <w:tr w14:paraId="441D6903">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0B0CA108">
                  <w:pPr>
                    <w:pStyle w:val="51"/>
                    <w:framePr w:w="0" w:hRule="auto" w:hSpace="0" w:wrap="auto" w:vAnchor="margin" w:hAnchor="text" w:xAlign="left" w:yAlign="inline"/>
                    <w:ind w:right="85" w:firstLine="85"/>
                    <w:rPr>
                      <w:rFonts w:eastAsia="楷体_GB2312" w:cs="Calibri"/>
                      <w:b w:val="0"/>
                    </w:rPr>
                  </w:pPr>
                  <w:r>
                    <w:rPr>
                      <w:rFonts w:eastAsia="楷体_GB2312" w:cs="Calibri"/>
                      <w:b w:val="0"/>
                    </w:rPr>
                    <w:t>Rating</w:t>
                  </w:r>
                </w:p>
                <w:p w14:paraId="7E8A767C">
                  <w:pPr>
                    <w:pStyle w:val="51"/>
                    <w:framePr w:w="0" w:hRule="auto" w:hSpace="0" w:wrap="auto" w:vAnchor="margin" w:hAnchor="text" w:xAlign="left" w:yAlign="inline"/>
                    <w:ind w:right="85" w:firstLine="85"/>
                    <w:rPr>
                      <w:rFonts w:eastAsia="楷体_GB2312" w:cs="Calibri"/>
                      <w:b w:val="0"/>
                    </w:rPr>
                  </w:pPr>
                </w:p>
              </w:tc>
              <w:tc>
                <w:tcPr>
                  <w:tcW w:w="2347" w:type="dxa"/>
                </w:tcPr>
                <w:p w14:paraId="20F0774C">
                  <w:pPr>
                    <w:pStyle w:val="50"/>
                    <w:framePr w:w="0" w:hRule="auto" w:hSpace="0" w:wrap="auto" w:vAnchor="margin" w:hAnchor="text" w:xAlign="left" w:yAlign="inline"/>
                    <w:ind w:right="85" w:firstLine="85"/>
                    <w:rPr>
                      <w:rFonts w:eastAsia="楷体_GB2312" w:cs="Calibri"/>
                      <w:color w:val="23558C"/>
                    </w:rPr>
                  </w:pPr>
                  <w:r>
                    <w:rPr>
                      <w:rFonts w:hint="eastAsia" w:eastAsia="楷体_GB2312" w:cs="Calibri"/>
                      <w:color w:val="23558C"/>
                    </w:rPr>
                    <w:t>OUTPERFORM</w:t>
                  </w:r>
                </w:p>
              </w:tc>
            </w:tr>
            <w:tr w14:paraId="524C9BB8">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37528017">
                  <w:pPr>
                    <w:pStyle w:val="51"/>
                    <w:framePr w:w="0" w:hRule="auto" w:hSpace="0" w:wrap="auto" w:vAnchor="margin" w:hAnchor="text" w:xAlign="left" w:yAlign="inline"/>
                    <w:ind w:right="85" w:firstLine="85"/>
                    <w:rPr>
                      <w:rFonts w:eastAsia="楷体_GB2312" w:cs="Calibri"/>
                      <w:b w:val="0"/>
                    </w:rPr>
                  </w:pPr>
                  <w:r>
                    <w:rPr>
                      <w:rFonts w:eastAsia="楷体_GB2312" w:cs="Calibri"/>
                      <w:b w:val="0"/>
                    </w:rPr>
                    <w:t>Current Price</w:t>
                  </w:r>
                </w:p>
                <w:p w14:paraId="7308D0B0">
                  <w:pPr>
                    <w:pStyle w:val="51"/>
                    <w:framePr w:w="0" w:hRule="auto" w:hSpace="0" w:wrap="auto" w:vAnchor="margin" w:hAnchor="text" w:xAlign="left" w:yAlign="inline"/>
                    <w:ind w:right="85" w:firstLine="85"/>
                    <w:rPr>
                      <w:rFonts w:eastAsia="楷体_GB2312" w:cs="Calibri"/>
                      <w:b w:val="0"/>
                    </w:rPr>
                  </w:pPr>
                </w:p>
              </w:tc>
              <w:tc>
                <w:tcPr>
                  <w:tcW w:w="2347" w:type="dxa"/>
                </w:tcPr>
                <w:p w14:paraId="343AE414">
                  <w:pPr>
                    <w:pStyle w:val="50"/>
                    <w:framePr w:w="0" w:hRule="auto" w:hSpace="0" w:wrap="auto" w:vAnchor="margin" w:hAnchor="text" w:xAlign="left" w:yAlign="inline"/>
                    <w:ind w:right="85" w:firstLine="85"/>
                    <w:rPr>
                      <w:rFonts w:eastAsia="楷体_GB2312" w:cs="Calibri"/>
                      <w:color w:val="23558C"/>
                    </w:rPr>
                  </w:pPr>
                  <w:r>
                    <w:rPr>
                      <w:rFonts w:hint="eastAsia" w:eastAsia="楷体_GB2312" w:cs="Calibri"/>
                      <w:color w:val="23558C"/>
                    </w:rPr>
                    <w:t>91.43</w:t>
                  </w:r>
                </w:p>
              </w:tc>
            </w:tr>
            <w:tr w14:paraId="6A2EBC0C">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5FFED47B">
                  <w:pPr>
                    <w:pStyle w:val="51"/>
                    <w:framePr w:w="0" w:hRule="auto" w:hSpace="0" w:wrap="auto" w:vAnchor="margin" w:hAnchor="text" w:xAlign="left" w:yAlign="inline"/>
                    <w:ind w:right="85" w:firstLine="85"/>
                    <w:rPr>
                      <w:rFonts w:eastAsia="楷体_GB2312" w:cs="Calibri"/>
                      <w:b w:val="0"/>
                    </w:rPr>
                  </w:pPr>
                  <w:r>
                    <w:rPr>
                      <w:rFonts w:eastAsia="楷体_GB2312" w:cs="Calibri"/>
                      <w:b w:val="0"/>
                    </w:rPr>
                    <w:t>Target Price</w:t>
                  </w:r>
                </w:p>
                <w:p w14:paraId="4E2A6F70">
                  <w:pPr>
                    <w:pStyle w:val="51"/>
                    <w:framePr w:w="0" w:hRule="auto" w:hSpace="0" w:wrap="auto" w:vAnchor="margin" w:hAnchor="text" w:xAlign="left" w:yAlign="inline"/>
                    <w:ind w:right="85" w:firstLine="85"/>
                    <w:rPr>
                      <w:rFonts w:eastAsia="楷体_GB2312" w:cs="Calibri"/>
                      <w:b w:val="0"/>
                    </w:rPr>
                  </w:pPr>
                </w:p>
              </w:tc>
              <w:tc>
                <w:tcPr>
                  <w:tcW w:w="2347" w:type="dxa"/>
                </w:tcPr>
                <w:p w14:paraId="4D020616">
                  <w:pPr>
                    <w:pStyle w:val="50"/>
                    <w:framePr w:w="0" w:hRule="auto" w:hSpace="0" w:wrap="auto" w:vAnchor="margin" w:hAnchor="text" w:xAlign="left" w:yAlign="inline"/>
                    <w:ind w:right="85" w:firstLine="85"/>
                    <w:rPr>
                      <w:rFonts w:eastAsia="楷体_GB2312" w:cs="Calibri"/>
                      <w:color w:val="23558C"/>
                    </w:rPr>
                  </w:pPr>
                  <w:r>
                    <w:rPr>
                      <w:rFonts w:hint="eastAsia" w:eastAsia="楷体_GB2312" w:cs="Calibri"/>
                      <w:color w:val="23558C"/>
                    </w:rPr>
                    <w:t>137.81</w:t>
                  </w:r>
                </w:p>
                <w:p w14:paraId="61B05122">
                  <w:pPr>
                    <w:pStyle w:val="50"/>
                    <w:framePr w:w="0" w:hRule="auto" w:hSpace="0" w:wrap="auto" w:vAnchor="margin" w:hAnchor="text" w:xAlign="left" w:yAlign="inline"/>
                    <w:ind w:right="85" w:firstLine="85"/>
                    <w:rPr>
                      <w:rFonts w:eastAsia="楷体_GB2312" w:cs="Calibri"/>
                      <w:color w:val="23558C"/>
                    </w:rPr>
                  </w:pPr>
                </w:p>
                <w:p w14:paraId="442568B5">
                  <w:pPr>
                    <w:pStyle w:val="50"/>
                    <w:framePr w:w="0" w:hRule="auto" w:hSpace="0" w:wrap="auto" w:vAnchor="margin" w:hAnchor="text" w:xAlign="left" w:yAlign="inline"/>
                    <w:ind w:right="85" w:firstLine="85"/>
                    <w:rPr>
                      <w:rFonts w:eastAsia="楷体_GB2312" w:cs="Calibri"/>
                      <w:color w:val="23558C"/>
                    </w:rPr>
                  </w:pPr>
                </w:p>
              </w:tc>
            </w:tr>
            <w:tr w14:paraId="74E6427C">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1DF0FF77">
                  <w:pPr>
                    <w:pStyle w:val="51"/>
                    <w:framePr w:w="0" w:hRule="auto" w:hSpace="0" w:wrap="auto" w:vAnchor="margin" w:hAnchor="text" w:xAlign="left" w:yAlign="inline"/>
                    <w:ind w:right="85" w:firstLine="85"/>
                    <w:rPr>
                      <w:rFonts w:eastAsia="楷体_GB2312" w:cs="Calibri"/>
                      <w:b w:val="0"/>
                    </w:rPr>
                  </w:pPr>
                  <w:r>
                    <w:rPr>
                      <w:rFonts w:eastAsia="楷体_GB2312" w:cs="Calibri"/>
                      <w:b w:val="0"/>
                    </w:rPr>
                    <w:t>Market cap</w:t>
                  </w:r>
                </w:p>
                <w:p w14:paraId="4185294F">
                  <w:pPr>
                    <w:pStyle w:val="51"/>
                    <w:framePr w:w="0" w:hRule="auto" w:hSpace="0" w:wrap="auto" w:vAnchor="margin" w:hAnchor="text" w:xAlign="left" w:yAlign="inline"/>
                    <w:ind w:right="85" w:firstLine="85"/>
                    <w:rPr>
                      <w:rFonts w:eastAsia="楷体_GB2312" w:cs="Calibri"/>
                      <w:b w:val="0"/>
                    </w:rPr>
                  </w:pPr>
                </w:p>
              </w:tc>
              <w:tc>
                <w:tcPr>
                  <w:tcW w:w="2347" w:type="dxa"/>
                </w:tcPr>
                <w:p w14:paraId="2C8E9491">
                  <w:pPr>
                    <w:pStyle w:val="50"/>
                    <w:framePr w:w="0" w:hRule="auto" w:hSpace="0" w:wrap="auto" w:vAnchor="margin" w:hAnchor="text" w:xAlign="left" w:yAlign="inline"/>
                    <w:ind w:right="85" w:firstLine="85"/>
                    <w:rPr>
                      <w:rFonts w:eastAsia="楷体_GB2312" w:cs="Calibri"/>
                      <w:color w:val="23558C"/>
                    </w:rPr>
                  </w:pPr>
                  <w:r>
                    <w:rPr>
                      <w:rFonts w:hint="eastAsia" w:eastAsia="楷体_GB2312" w:cs="Calibri"/>
                      <w:color w:val="23558C"/>
                    </w:rPr>
                    <w:t>21.624bn</w:t>
                  </w:r>
                </w:p>
              </w:tc>
            </w:tr>
            <w:tr w14:paraId="53C857FA">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409177A6">
                  <w:pPr>
                    <w:pStyle w:val="51"/>
                    <w:framePr w:w="0" w:hRule="auto" w:hSpace="0" w:wrap="auto" w:vAnchor="margin" w:hAnchor="text" w:xAlign="left" w:yAlign="inline"/>
                    <w:ind w:right="85" w:firstLine="85"/>
                    <w:rPr>
                      <w:rFonts w:eastAsia="楷体_GB2312" w:cs="Calibri"/>
                      <w:b w:val="0"/>
                    </w:rPr>
                  </w:pPr>
                  <w:r>
                    <w:rPr>
                      <w:rFonts w:eastAsia="楷体_GB2312" w:cs="Calibri"/>
                      <w:b w:val="0"/>
                    </w:rPr>
                    <w:t>Shares in issue</w:t>
                  </w:r>
                </w:p>
                <w:p w14:paraId="27A7E4A9">
                  <w:pPr>
                    <w:pStyle w:val="51"/>
                    <w:framePr w:w="0" w:hRule="auto" w:hSpace="0" w:wrap="auto" w:vAnchor="margin" w:hAnchor="text" w:xAlign="left" w:yAlign="inline"/>
                    <w:ind w:right="85" w:firstLine="85"/>
                    <w:rPr>
                      <w:rFonts w:eastAsia="楷体_GB2312" w:cs="Calibri"/>
                      <w:b w:val="0"/>
                    </w:rPr>
                  </w:pPr>
                </w:p>
              </w:tc>
              <w:tc>
                <w:tcPr>
                  <w:tcW w:w="2347" w:type="dxa"/>
                </w:tcPr>
                <w:p w14:paraId="6EFBFA90">
                  <w:pPr>
                    <w:pStyle w:val="50"/>
                    <w:framePr w:w="0" w:hRule="auto" w:hSpace="0" w:wrap="auto" w:vAnchor="margin" w:hAnchor="text" w:xAlign="left" w:yAlign="inline"/>
                    <w:ind w:right="85" w:firstLine="85"/>
                    <w:rPr>
                      <w:rFonts w:eastAsia="楷体_GB2312" w:cs="Calibri"/>
                      <w:color w:val="23558C"/>
                    </w:rPr>
                  </w:pPr>
                  <w:r>
                    <w:rPr>
                      <w:rFonts w:hint="eastAsia" w:eastAsia="楷体_GB2312" w:cs="Calibri"/>
                      <w:color w:val="23558C"/>
                    </w:rPr>
                    <w:t>237mn</w:t>
                  </w:r>
                </w:p>
              </w:tc>
            </w:tr>
            <w:tr w14:paraId="18183715">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47E400CA">
                  <w:pPr>
                    <w:pStyle w:val="51"/>
                    <w:framePr w:w="0" w:hRule="auto" w:hSpace="0" w:wrap="auto" w:vAnchor="margin" w:hAnchor="text" w:xAlign="left" w:yAlign="inline"/>
                    <w:ind w:right="85" w:firstLine="85"/>
                    <w:rPr>
                      <w:rFonts w:eastAsia="楷体_GB2312" w:cs="Calibri"/>
                      <w:b w:val="0"/>
                    </w:rPr>
                  </w:pPr>
                  <w:r>
                    <w:rPr>
                      <w:rFonts w:eastAsia="楷体_GB2312" w:cs="Calibri"/>
                      <w:b w:val="0"/>
                    </w:rPr>
                    <w:t>1 yr high - low</w:t>
                  </w:r>
                </w:p>
                <w:p w14:paraId="10FF1F9A">
                  <w:pPr>
                    <w:pStyle w:val="51"/>
                    <w:framePr w:w="0" w:hRule="auto" w:hSpace="0" w:wrap="auto" w:vAnchor="margin" w:hAnchor="text" w:xAlign="left" w:yAlign="inline"/>
                    <w:ind w:right="85" w:firstLine="85"/>
                    <w:rPr>
                      <w:rFonts w:eastAsia="楷体_GB2312" w:cs="Calibri"/>
                      <w:b w:val="0"/>
                    </w:rPr>
                  </w:pPr>
                </w:p>
              </w:tc>
              <w:tc>
                <w:tcPr>
                  <w:tcW w:w="2347" w:type="dxa"/>
                </w:tcPr>
                <w:p w14:paraId="266BFEBC">
                  <w:pPr>
                    <w:pStyle w:val="50"/>
                    <w:framePr w:w="0" w:hRule="auto" w:hSpace="0" w:wrap="auto" w:vAnchor="margin" w:hAnchor="text" w:xAlign="left" w:yAlign="inline"/>
                    <w:ind w:right="85" w:firstLine="85"/>
                    <w:rPr>
                      <w:rFonts w:eastAsia="楷体_GB2312" w:cs="Calibri"/>
                      <w:color w:val="23558C"/>
                    </w:rPr>
                  </w:pPr>
                  <w:r>
                    <w:rPr>
                      <w:rFonts w:hint="eastAsia" w:eastAsia="楷体_GB2312" w:cs="Calibri"/>
                      <w:color w:val="23558C"/>
                    </w:rPr>
                    <w:t>142.37-16.32</w:t>
                  </w:r>
                </w:p>
              </w:tc>
            </w:tr>
            <w:tr w14:paraId="1037074F">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8" w:hRule="exact"/>
              </w:trPr>
              <w:tc>
                <w:tcPr>
                  <w:tcW w:w="4071" w:type="dxa"/>
                  <w:gridSpan w:val="2"/>
                </w:tcPr>
                <w:p w14:paraId="7405F0B9">
                  <w:pPr>
                    <w:pStyle w:val="52"/>
                    <w:framePr w:w="0" w:hRule="auto" w:hSpace="0" w:wrap="auto" w:vAnchor="margin" w:hAnchor="text" w:xAlign="left" w:yAlign="inline"/>
                    <w:ind w:left="85"/>
                    <w:rPr>
                      <w:rFonts w:eastAsia="楷体_GB2312" w:cs="Calibri"/>
                      <w:i/>
                      <w:iCs/>
                      <w:sz w:val="12"/>
                      <w:szCs w:val="12"/>
                    </w:rPr>
                  </w:pPr>
                  <w:r>
                    <w:rPr>
                      <w:rFonts w:eastAsia="楷体_GB2312" w:cs="Calibri"/>
                      <w:i/>
                      <w:iCs/>
                      <w:sz w:val="12"/>
                      <w:szCs w:val="12"/>
                    </w:rPr>
                    <w:t xml:space="preserve">Note: Current Price 356.36 is the close price on </w:t>
                  </w:r>
                  <w:r>
                    <w:rPr>
                      <w:rFonts w:hint="eastAsia" w:eastAsia="楷体_GB2312" w:cs="Calibri"/>
                      <w:i/>
                      <w:iCs/>
                      <w:sz w:val="12"/>
                      <w:szCs w:val="12"/>
                    </w:rPr>
                    <w:t>23</w:t>
                  </w:r>
                  <w:r>
                    <w:rPr>
                      <w:rFonts w:eastAsia="楷体_GB2312" w:cs="Calibri"/>
                      <w:i/>
                      <w:iCs/>
                      <w:sz w:val="12"/>
                      <w:szCs w:val="12"/>
                    </w:rPr>
                    <w:t xml:space="preserve"> Dec 2025</w:t>
                  </w:r>
                </w:p>
                <w:p w14:paraId="22F0F014">
                  <w:pPr>
                    <w:pStyle w:val="52"/>
                    <w:framePr w:w="0" w:hRule="auto" w:hSpace="0" w:wrap="auto" w:vAnchor="margin" w:hAnchor="text" w:xAlign="left" w:yAlign="inline"/>
                    <w:ind w:left="85"/>
                    <w:rPr>
                      <w:rFonts w:eastAsia="楷体_GB2312" w:cs="Calibri"/>
                      <w:i/>
                      <w:iCs/>
                    </w:rPr>
                  </w:pPr>
                </w:p>
              </w:tc>
            </w:tr>
            <w:tr w14:paraId="2E4EB4B3">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8" w:hRule="exact"/>
              </w:trPr>
              <w:tc>
                <w:tcPr>
                  <w:tcW w:w="4071" w:type="dxa"/>
                  <w:gridSpan w:val="2"/>
                </w:tcPr>
                <w:p w14:paraId="2A202596">
                  <w:pPr>
                    <w:pStyle w:val="52"/>
                    <w:framePr w:w="0" w:hRule="auto" w:hSpace="0" w:wrap="auto" w:vAnchor="margin" w:hAnchor="text" w:xAlign="left" w:yAlign="inline"/>
                    <w:ind w:left="85"/>
                    <w:rPr>
                      <w:rFonts w:eastAsia="楷体_GB2312" w:cs="Calibri"/>
                    </w:rPr>
                  </w:pPr>
                </w:p>
              </w:tc>
            </w:tr>
            <w:tr w14:paraId="1BB869E3">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4698" w:hRule="atLeast"/>
              </w:trPr>
              <w:tc>
                <w:tcPr>
                  <w:tcW w:w="4071" w:type="dxa"/>
                  <w:gridSpan w:val="2"/>
                  <w:vAlign w:val="center"/>
                </w:tcPr>
                <w:p w14:paraId="1C76FC43">
                  <w:pPr>
                    <w:jc w:val="both"/>
                    <w:rPr>
                      <w:rFonts w:eastAsia="楷体_GB2312" w:cs="Calibri"/>
                    </w:rPr>
                  </w:pPr>
                  <w:r>
                    <w:rPr>
                      <w:rFonts w:cs="等线"/>
                    </w:rPr>
                    <w:drawing>
                      <wp:inline distT="0" distB="0" distL="114300" distR="114300">
                        <wp:extent cx="2576830" cy="1459230"/>
                        <wp:effectExtent l="0" t="0" r="0" b="0"/>
                        <wp:docPr id="51"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r>
                    <w:rPr>
                      <w:rFonts w:cs="等线"/>
                    </w:rPr>
                    <w:drawing>
                      <wp:inline distT="0" distB="0" distL="114300" distR="114300">
                        <wp:extent cx="2576830" cy="1632585"/>
                        <wp:effectExtent l="4445" t="4445" r="9525" b="8890"/>
                        <wp:docPr id="17"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tc>
            </w:tr>
            <w:tr w14:paraId="2DADD82D">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90" w:hRule="atLeast"/>
              </w:trPr>
              <w:tc>
                <w:tcPr>
                  <w:tcW w:w="4071" w:type="dxa"/>
                  <w:gridSpan w:val="2"/>
                  <w:vAlign w:val="center"/>
                </w:tcPr>
                <w:p w14:paraId="0CC2F140">
                  <w:pPr>
                    <w:jc w:val="both"/>
                    <w:rPr>
                      <w:rFonts w:eastAsia="楷体_GB2312" w:cs="Calibri"/>
                      <w:lang w:eastAsia="zh-CN"/>
                    </w:rPr>
                  </w:pPr>
                  <w:r>
                    <w:rPr>
                      <w:rFonts w:hint="eastAsia" w:eastAsia="楷体_GB2312" w:cs="Calibri"/>
                      <w:sz w:val="2"/>
                      <w:szCs w:val="2"/>
                      <w:lang w:eastAsia="zh-CN"/>
                    </w:rPr>
                    <w:t xml:space="preserve">  </w:t>
                  </w:r>
                  <w:r>
                    <w:rPr>
                      <w:rFonts w:hint="eastAsia" w:eastAsia="楷体_GB2312" w:cs="Calibri"/>
                      <w:i/>
                      <w:iCs/>
                      <w:sz w:val="12"/>
                      <w:szCs w:val="12"/>
                      <w:lang w:eastAsia="zh-CN"/>
                    </w:rPr>
                    <w:t>Source: Company, HFI</w:t>
                  </w:r>
                </w:p>
              </w:tc>
            </w:tr>
            <w:tr w14:paraId="3703BB42">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80" w:hRule="exact"/>
              </w:trPr>
              <w:tc>
                <w:tcPr>
                  <w:tcW w:w="4071" w:type="dxa"/>
                  <w:gridSpan w:val="2"/>
                </w:tcPr>
                <w:p w14:paraId="014B0B78">
                  <w:pPr>
                    <w:pStyle w:val="53"/>
                    <w:framePr w:wrap="auto" w:vAnchor="margin" w:hAnchor="text" w:yAlign="inline"/>
                    <w:ind w:right="85" w:firstLine="85"/>
                    <w:rPr>
                      <w:rFonts w:eastAsia="楷体_GB2312" w:cs="Calibri"/>
                      <w:i/>
                      <w:iCs/>
                    </w:rPr>
                  </w:pPr>
                </w:p>
              </w:tc>
            </w:tr>
            <w:tr w14:paraId="49125B3A">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27" w:hRule="exact"/>
              </w:trPr>
              <w:tc>
                <w:tcPr>
                  <w:tcW w:w="4071" w:type="dxa"/>
                  <w:gridSpan w:val="2"/>
                  <w:tcMar>
                    <w:top w:w="0" w:type="dxa"/>
                    <w:left w:w="0" w:type="dxa"/>
                  </w:tcMar>
                </w:tcPr>
                <w:p w14:paraId="2533A374">
                  <w:pPr>
                    <w:pStyle w:val="52"/>
                    <w:framePr w:w="0" w:hRule="auto" w:hSpace="0" w:wrap="auto" w:vAnchor="margin" w:hAnchor="text" w:xAlign="left" w:yAlign="inline"/>
                    <w:ind w:right="85" w:firstLine="85"/>
                    <w:rPr>
                      <w:rFonts w:eastAsia="楷体_GB2312" w:cs="Calibri"/>
                    </w:rPr>
                  </w:pPr>
                </w:p>
              </w:tc>
            </w:tr>
            <w:tr w14:paraId="18A9381C">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c>
                <w:tcPr>
                  <w:tcW w:w="4071" w:type="dxa"/>
                  <w:gridSpan w:val="2"/>
                </w:tcPr>
                <w:tbl>
                  <w:tblPr>
                    <w:tblStyle w:val="21"/>
                    <w:tblW w:w="4071" w:type="dxa"/>
                    <w:tblCaption w:val="[Table_Profit]"/>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60"/>
                    <w:gridCol w:w="703"/>
                    <w:gridCol w:w="53"/>
                    <w:gridCol w:w="721"/>
                    <w:gridCol w:w="30"/>
                    <w:gridCol w:w="738"/>
                    <w:gridCol w:w="14"/>
                    <w:gridCol w:w="752"/>
                  </w:tblGrid>
                  <w:tr w14:paraId="1207AB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exact"/>
                    </w:trPr>
                    <w:tc>
                      <w:tcPr>
                        <w:tcW w:w="1060" w:type="dxa"/>
                        <w:vAlign w:val="center"/>
                      </w:tcPr>
                      <w:p w14:paraId="6042A1DA">
                        <w:pPr>
                          <w:ind w:right="85"/>
                          <w:rPr>
                            <w:rFonts w:eastAsia="楷体_GB2312" w:cs="Calibri"/>
                          </w:rPr>
                        </w:pPr>
                        <w:r>
                          <w:rPr>
                            <w:rFonts w:eastAsia="楷体_GB2312" w:cs="Calibri"/>
                            <w:color w:val="FFFFFF" w:themeColor="background1"/>
                            <w14:textFill>
                              <w14:solidFill>
                                <w14:schemeClr w14:val="bg1"/>
                              </w14:solidFill>
                            </w14:textFill>
                          </w:rPr>
                          <w:t>[Table_Profit]</w:t>
                        </w:r>
                      </w:p>
                    </w:tc>
                    <w:tc>
                      <w:tcPr>
                        <w:tcW w:w="703" w:type="dxa"/>
                        <w:vAlign w:val="center"/>
                      </w:tcPr>
                      <w:p w14:paraId="7748039B">
                        <w:pPr>
                          <w:ind w:right="85"/>
                          <w:jc w:val="right"/>
                          <w:rPr>
                            <w:rFonts w:eastAsia="楷体_GB2312" w:cs="Calibri"/>
                            <w:b/>
                            <w:bCs/>
                            <w:color w:val="000000"/>
                            <w:sz w:val="14"/>
                            <w:szCs w:val="14"/>
                          </w:rPr>
                        </w:pPr>
                      </w:p>
                    </w:tc>
                    <w:tc>
                      <w:tcPr>
                        <w:tcW w:w="774" w:type="dxa"/>
                        <w:gridSpan w:val="2"/>
                        <w:vAlign w:val="center"/>
                      </w:tcPr>
                      <w:p w14:paraId="20BF423A">
                        <w:pPr>
                          <w:ind w:right="85"/>
                          <w:jc w:val="right"/>
                          <w:rPr>
                            <w:rFonts w:eastAsia="楷体_GB2312" w:cs="Calibri"/>
                            <w:b/>
                            <w:bCs/>
                            <w:color w:val="000000"/>
                            <w:sz w:val="14"/>
                            <w:szCs w:val="14"/>
                          </w:rPr>
                        </w:pPr>
                      </w:p>
                    </w:tc>
                    <w:tc>
                      <w:tcPr>
                        <w:tcW w:w="768" w:type="dxa"/>
                        <w:gridSpan w:val="2"/>
                        <w:vAlign w:val="center"/>
                      </w:tcPr>
                      <w:p w14:paraId="645C7AB8">
                        <w:pPr>
                          <w:ind w:right="85"/>
                          <w:jc w:val="right"/>
                          <w:rPr>
                            <w:rFonts w:eastAsia="楷体_GB2312" w:cs="Calibri"/>
                            <w:b/>
                            <w:bCs/>
                            <w:color w:val="000000"/>
                            <w:sz w:val="14"/>
                            <w:szCs w:val="14"/>
                          </w:rPr>
                        </w:pPr>
                      </w:p>
                    </w:tc>
                    <w:tc>
                      <w:tcPr>
                        <w:tcW w:w="766" w:type="dxa"/>
                        <w:gridSpan w:val="2"/>
                        <w:vAlign w:val="center"/>
                      </w:tcPr>
                      <w:p w14:paraId="4ADCC1E8">
                        <w:pPr>
                          <w:ind w:right="85"/>
                          <w:jc w:val="right"/>
                          <w:rPr>
                            <w:rFonts w:eastAsia="楷体_GB2312" w:cs="Calibri"/>
                            <w:b/>
                            <w:bCs/>
                            <w:color w:val="000000"/>
                            <w:sz w:val="14"/>
                            <w:szCs w:val="14"/>
                          </w:rPr>
                        </w:pPr>
                      </w:p>
                    </w:tc>
                  </w:tr>
                  <w:tr w14:paraId="1705DE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trPr>
                    <w:tc>
                      <w:tcPr>
                        <w:tcW w:w="1060" w:type="dxa"/>
                        <w:vAlign w:val="center"/>
                      </w:tcPr>
                      <w:p w14:paraId="4B524093">
                        <w:pPr>
                          <w:pStyle w:val="51"/>
                          <w:framePr w:w="0" w:hRule="auto" w:hSpace="0" w:wrap="auto" w:vAnchor="margin" w:hAnchor="text" w:xAlign="left" w:yAlign="inline"/>
                          <w:ind w:right="85"/>
                          <w:rPr>
                            <w:rFonts w:eastAsia="楷体_GB2312" w:cs="Calibri"/>
                            <w:b w:val="0"/>
                            <w:color w:val="A7242B"/>
                            <w:sz w:val="14"/>
                          </w:rPr>
                        </w:pPr>
                      </w:p>
                    </w:tc>
                    <w:tc>
                      <w:tcPr>
                        <w:tcW w:w="756" w:type="dxa"/>
                        <w:gridSpan w:val="2"/>
                        <w:vAlign w:val="center"/>
                      </w:tcPr>
                      <w:p w14:paraId="2D8425BD">
                        <w:pPr>
                          <w:jc w:val="right"/>
                          <w:rPr>
                            <w:rFonts w:eastAsia="楷体_GB2312" w:cs="Calibri"/>
                            <w:color w:val="23558C"/>
                            <w:sz w:val="14"/>
                            <w:szCs w:val="14"/>
                            <w:lang w:eastAsia="zh-CN"/>
                          </w:rPr>
                        </w:pPr>
                        <w:r>
                          <w:rPr>
                            <w:rFonts w:eastAsia="楷体_GB2312" w:cs="Calibri"/>
                            <w:color w:val="23558C"/>
                            <w:sz w:val="14"/>
                            <w:szCs w:val="14"/>
                            <w:lang w:eastAsia="zh-CN"/>
                          </w:rPr>
                          <w:t>Dec-24A</w:t>
                        </w:r>
                      </w:p>
                    </w:tc>
                    <w:tc>
                      <w:tcPr>
                        <w:tcW w:w="751" w:type="dxa"/>
                        <w:gridSpan w:val="2"/>
                        <w:vAlign w:val="center"/>
                      </w:tcPr>
                      <w:p w14:paraId="41A89170">
                        <w:pPr>
                          <w:jc w:val="right"/>
                          <w:rPr>
                            <w:rFonts w:eastAsia="楷体_GB2312" w:cs="Calibri"/>
                            <w:color w:val="23558C"/>
                            <w:sz w:val="14"/>
                            <w:szCs w:val="14"/>
                            <w:lang w:eastAsia="zh-CN"/>
                          </w:rPr>
                        </w:pPr>
                        <w:r>
                          <w:rPr>
                            <w:rFonts w:eastAsia="楷体_GB2312" w:cs="Calibri"/>
                            <w:color w:val="23558C"/>
                            <w:sz w:val="14"/>
                            <w:szCs w:val="14"/>
                            <w:lang w:eastAsia="zh-CN"/>
                          </w:rPr>
                          <w:t>Dec-25E</w:t>
                        </w:r>
                      </w:p>
                    </w:tc>
                    <w:tc>
                      <w:tcPr>
                        <w:tcW w:w="752" w:type="dxa"/>
                        <w:gridSpan w:val="2"/>
                        <w:vAlign w:val="center"/>
                      </w:tcPr>
                      <w:p w14:paraId="7AE03DFD">
                        <w:pPr>
                          <w:jc w:val="right"/>
                          <w:rPr>
                            <w:rFonts w:eastAsia="楷体_GB2312" w:cs="Calibri"/>
                            <w:color w:val="23558C"/>
                            <w:sz w:val="14"/>
                            <w:szCs w:val="14"/>
                            <w:lang w:eastAsia="zh-CN"/>
                          </w:rPr>
                        </w:pPr>
                        <w:r>
                          <w:rPr>
                            <w:rFonts w:eastAsia="楷体_GB2312" w:cs="Calibri"/>
                            <w:color w:val="23558C"/>
                            <w:sz w:val="14"/>
                            <w:szCs w:val="14"/>
                            <w:lang w:eastAsia="zh-CN"/>
                          </w:rPr>
                          <w:t>Dec-2</w:t>
                        </w:r>
                        <w:r>
                          <w:rPr>
                            <w:rFonts w:hint="eastAsia" w:eastAsia="楷体_GB2312" w:cs="Calibri"/>
                            <w:color w:val="23558C"/>
                            <w:sz w:val="14"/>
                            <w:szCs w:val="14"/>
                            <w:lang w:eastAsia="zh-CN"/>
                          </w:rPr>
                          <w:t>6</w:t>
                        </w:r>
                        <w:r>
                          <w:rPr>
                            <w:rFonts w:eastAsia="楷体_GB2312" w:cs="Calibri"/>
                            <w:color w:val="23558C"/>
                            <w:sz w:val="14"/>
                            <w:szCs w:val="14"/>
                            <w:lang w:eastAsia="zh-CN"/>
                          </w:rPr>
                          <w:t>E</w:t>
                        </w:r>
                      </w:p>
                    </w:tc>
                    <w:tc>
                      <w:tcPr>
                        <w:tcW w:w="752" w:type="dxa"/>
                        <w:vAlign w:val="center"/>
                      </w:tcPr>
                      <w:p w14:paraId="07B71DFB">
                        <w:pPr>
                          <w:jc w:val="right"/>
                          <w:rPr>
                            <w:rFonts w:eastAsia="楷体_GB2312" w:cs="Calibri"/>
                            <w:color w:val="23558C"/>
                            <w:sz w:val="14"/>
                            <w:szCs w:val="14"/>
                            <w:lang w:eastAsia="zh-CN"/>
                          </w:rPr>
                        </w:pPr>
                        <w:r>
                          <w:rPr>
                            <w:rFonts w:eastAsia="楷体_GB2312" w:cs="Calibri"/>
                            <w:color w:val="23558C"/>
                            <w:sz w:val="14"/>
                            <w:szCs w:val="14"/>
                            <w:lang w:eastAsia="zh-CN"/>
                          </w:rPr>
                          <w:t>Dec-2</w:t>
                        </w:r>
                        <w:r>
                          <w:rPr>
                            <w:rFonts w:hint="eastAsia" w:eastAsia="楷体_GB2312" w:cs="Calibri"/>
                            <w:color w:val="23558C"/>
                            <w:sz w:val="14"/>
                            <w:szCs w:val="14"/>
                            <w:lang w:eastAsia="zh-CN"/>
                          </w:rPr>
                          <w:t>7</w:t>
                        </w:r>
                        <w:r>
                          <w:rPr>
                            <w:rFonts w:eastAsia="楷体_GB2312" w:cs="Calibri"/>
                            <w:color w:val="23558C"/>
                            <w:sz w:val="14"/>
                            <w:szCs w:val="14"/>
                            <w:lang w:eastAsia="zh-CN"/>
                          </w:rPr>
                          <w:t>E</w:t>
                        </w:r>
                      </w:p>
                    </w:tc>
                  </w:tr>
                  <w:tr w14:paraId="323BA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060" w:type="dxa"/>
                        <w:tcMar>
                          <w:right w:w="0" w:type="dxa"/>
                        </w:tcMar>
                        <w:vAlign w:val="center"/>
                      </w:tcPr>
                      <w:p w14:paraId="5733F1CA">
                        <w:pPr>
                          <w:pStyle w:val="51"/>
                          <w:framePr w:w="0" w:hRule="auto" w:hSpace="0" w:wrap="auto" w:vAnchor="margin" w:hAnchor="text" w:xAlign="left" w:yAlign="inline"/>
                          <w:rPr>
                            <w:rFonts w:eastAsia="楷体_GB2312" w:cs="Calibri"/>
                            <w:b w:val="0"/>
                            <w:sz w:val="14"/>
                          </w:rPr>
                        </w:pPr>
                        <w:r>
                          <w:rPr>
                            <w:rFonts w:eastAsia="楷体_GB2312" w:cs="Calibri"/>
                            <w:b w:val="0"/>
                            <w:sz w:val="14"/>
                          </w:rPr>
                          <w:t>Revenue</w:t>
                        </w:r>
                      </w:p>
                    </w:tc>
                    <w:tc>
                      <w:tcPr>
                        <w:tcW w:w="756" w:type="dxa"/>
                        <w:gridSpan w:val="2"/>
                        <w:vAlign w:val="bottom"/>
                      </w:tcPr>
                      <w:p w14:paraId="7ECFB090">
                        <w:pPr>
                          <w:jc w:val="right"/>
                          <w:textAlignment w:val="bottom"/>
                          <w:rPr>
                            <w:rFonts w:eastAsia="楷体_GB2312" w:cs="Calibri"/>
                            <w:sz w:val="14"/>
                            <w:szCs w:val="14"/>
                            <w:lang w:eastAsia="zh-CN"/>
                          </w:rPr>
                        </w:pPr>
                        <w:r>
                          <w:rPr>
                            <w:rFonts w:eastAsia="楷体_GB2312" w:cs="Calibri"/>
                            <w:sz w:val="14"/>
                            <w:szCs w:val="14"/>
                            <w:lang w:eastAsia="zh-CN"/>
                          </w:rPr>
                          <w:t>1,473.9</w:t>
                        </w:r>
                      </w:p>
                    </w:tc>
                    <w:tc>
                      <w:tcPr>
                        <w:tcW w:w="751" w:type="dxa"/>
                        <w:gridSpan w:val="2"/>
                        <w:vAlign w:val="bottom"/>
                      </w:tcPr>
                      <w:p w14:paraId="00B590E2">
                        <w:pPr>
                          <w:jc w:val="right"/>
                          <w:textAlignment w:val="bottom"/>
                          <w:rPr>
                            <w:rFonts w:eastAsia="楷体_GB2312" w:cs="Calibri"/>
                            <w:sz w:val="14"/>
                            <w:szCs w:val="14"/>
                            <w:lang w:eastAsia="zh-CN"/>
                          </w:rPr>
                        </w:pPr>
                        <w:r>
                          <w:rPr>
                            <w:rFonts w:eastAsia="楷体_GB2312" w:cs="Calibri"/>
                            <w:sz w:val="14"/>
                            <w:szCs w:val="14"/>
                            <w:lang w:eastAsia="zh-CN"/>
                          </w:rPr>
                          <w:t>1,858.7</w:t>
                        </w:r>
                      </w:p>
                    </w:tc>
                    <w:tc>
                      <w:tcPr>
                        <w:tcW w:w="752" w:type="dxa"/>
                        <w:gridSpan w:val="2"/>
                        <w:vAlign w:val="bottom"/>
                      </w:tcPr>
                      <w:p w14:paraId="5083D849">
                        <w:pPr>
                          <w:jc w:val="right"/>
                          <w:textAlignment w:val="bottom"/>
                          <w:rPr>
                            <w:rFonts w:eastAsia="楷体_GB2312" w:cs="Calibri"/>
                            <w:sz w:val="14"/>
                            <w:szCs w:val="14"/>
                            <w:lang w:eastAsia="zh-CN"/>
                          </w:rPr>
                        </w:pPr>
                        <w:r>
                          <w:rPr>
                            <w:rFonts w:eastAsia="宋体" w:cs="Calibri"/>
                            <w:color w:val="000000"/>
                            <w:lang w:eastAsia="zh-CN" w:bidi="ar"/>
                          </w:rPr>
                          <w:t>2,341.6</w:t>
                        </w:r>
                      </w:p>
                    </w:tc>
                    <w:tc>
                      <w:tcPr>
                        <w:tcW w:w="752" w:type="dxa"/>
                        <w:vAlign w:val="bottom"/>
                      </w:tcPr>
                      <w:p w14:paraId="6D0D4C79">
                        <w:pPr>
                          <w:jc w:val="right"/>
                          <w:textAlignment w:val="bottom"/>
                          <w:rPr>
                            <w:rFonts w:eastAsia="楷体_GB2312" w:cs="Calibri"/>
                            <w:sz w:val="14"/>
                            <w:szCs w:val="14"/>
                            <w:lang w:eastAsia="zh-CN"/>
                          </w:rPr>
                        </w:pPr>
                        <w:r>
                          <w:rPr>
                            <w:rFonts w:eastAsia="宋体" w:cs="Calibri"/>
                            <w:color w:val="000000"/>
                            <w:lang w:eastAsia="zh-CN" w:bidi="ar"/>
                          </w:rPr>
                          <w:t>4,556.6</w:t>
                        </w:r>
                      </w:p>
                    </w:tc>
                  </w:tr>
                  <w:tr w14:paraId="7141DA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060" w:type="dxa"/>
                        <w:tcMar>
                          <w:right w:w="0" w:type="dxa"/>
                        </w:tcMar>
                        <w:vAlign w:val="center"/>
                      </w:tcPr>
                      <w:p w14:paraId="36B936B6">
                        <w:pPr>
                          <w:pStyle w:val="51"/>
                          <w:framePr w:w="0" w:hRule="auto" w:hSpace="0" w:wrap="auto" w:vAnchor="margin" w:hAnchor="text" w:xAlign="left" w:yAlign="inline"/>
                          <w:rPr>
                            <w:rFonts w:eastAsia="楷体_GB2312" w:cs="Calibri"/>
                            <w:b w:val="0"/>
                            <w:sz w:val="14"/>
                          </w:rPr>
                        </w:pPr>
                        <w:r>
                          <w:rPr>
                            <w:rFonts w:eastAsia="楷体_GB2312" w:cs="Calibri"/>
                            <w:b w:val="0"/>
                            <w:sz w:val="14"/>
                          </w:rPr>
                          <w:t>(+/-)</w:t>
                        </w:r>
                      </w:p>
                    </w:tc>
                    <w:tc>
                      <w:tcPr>
                        <w:tcW w:w="756" w:type="dxa"/>
                        <w:gridSpan w:val="2"/>
                        <w:vAlign w:val="bottom"/>
                      </w:tcPr>
                      <w:p w14:paraId="7A74BBC8">
                        <w:pPr>
                          <w:jc w:val="right"/>
                          <w:textAlignment w:val="bottom"/>
                          <w:rPr>
                            <w:rFonts w:eastAsia="楷体_GB2312" w:cs="Calibri"/>
                            <w:sz w:val="14"/>
                            <w:szCs w:val="14"/>
                            <w:lang w:eastAsia="zh-CN"/>
                          </w:rPr>
                        </w:pPr>
                        <w:r>
                          <w:rPr>
                            <w:rFonts w:eastAsia="楷体_GB2312" w:cs="Calibri"/>
                            <w:sz w:val="14"/>
                            <w:szCs w:val="14"/>
                            <w:lang w:eastAsia="zh-CN"/>
                          </w:rPr>
                          <w:t>10.5%</w:t>
                        </w:r>
                      </w:p>
                    </w:tc>
                    <w:tc>
                      <w:tcPr>
                        <w:tcW w:w="751" w:type="dxa"/>
                        <w:gridSpan w:val="2"/>
                        <w:vAlign w:val="bottom"/>
                      </w:tcPr>
                      <w:p w14:paraId="6B54D56D">
                        <w:pPr>
                          <w:jc w:val="right"/>
                          <w:textAlignment w:val="bottom"/>
                          <w:rPr>
                            <w:rFonts w:eastAsia="楷体_GB2312" w:cs="Calibri"/>
                            <w:sz w:val="14"/>
                            <w:szCs w:val="14"/>
                            <w:lang w:eastAsia="zh-CN"/>
                          </w:rPr>
                        </w:pPr>
                        <w:r>
                          <w:rPr>
                            <w:rFonts w:eastAsia="楷体_GB2312" w:cs="Calibri"/>
                            <w:sz w:val="14"/>
                            <w:szCs w:val="14"/>
                            <w:lang w:eastAsia="zh-CN"/>
                          </w:rPr>
                          <w:t>26.1%</w:t>
                        </w:r>
                      </w:p>
                    </w:tc>
                    <w:tc>
                      <w:tcPr>
                        <w:tcW w:w="752" w:type="dxa"/>
                        <w:gridSpan w:val="2"/>
                        <w:vAlign w:val="bottom"/>
                      </w:tcPr>
                      <w:p w14:paraId="308C947C">
                        <w:pPr>
                          <w:jc w:val="right"/>
                          <w:textAlignment w:val="bottom"/>
                          <w:rPr>
                            <w:rFonts w:eastAsia="楷体_GB2312" w:cs="Calibri"/>
                            <w:sz w:val="14"/>
                            <w:szCs w:val="14"/>
                            <w:lang w:eastAsia="zh-CN"/>
                          </w:rPr>
                        </w:pPr>
                        <w:r>
                          <w:rPr>
                            <w:rFonts w:eastAsia="宋体" w:cs="Calibri"/>
                            <w:color w:val="000000"/>
                            <w:lang w:eastAsia="zh-CN" w:bidi="ar"/>
                          </w:rPr>
                          <w:t>26.0%</w:t>
                        </w:r>
                      </w:p>
                    </w:tc>
                    <w:tc>
                      <w:tcPr>
                        <w:tcW w:w="752" w:type="dxa"/>
                        <w:vAlign w:val="bottom"/>
                      </w:tcPr>
                      <w:p w14:paraId="1C292374">
                        <w:pPr>
                          <w:jc w:val="right"/>
                          <w:textAlignment w:val="bottom"/>
                          <w:rPr>
                            <w:rFonts w:eastAsia="楷体_GB2312" w:cs="Calibri"/>
                            <w:sz w:val="14"/>
                            <w:szCs w:val="14"/>
                            <w:lang w:eastAsia="zh-CN"/>
                          </w:rPr>
                        </w:pPr>
                        <w:r>
                          <w:rPr>
                            <w:rFonts w:eastAsia="宋体" w:cs="Calibri"/>
                            <w:color w:val="000000"/>
                            <w:lang w:eastAsia="zh-CN" w:bidi="ar"/>
                          </w:rPr>
                          <w:t>94.6%</w:t>
                        </w:r>
                      </w:p>
                    </w:tc>
                  </w:tr>
                  <w:tr w14:paraId="4E46A4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060" w:type="dxa"/>
                        <w:tcMar>
                          <w:right w:w="0" w:type="dxa"/>
                        </w:tcMar>
                        <w:vAlign w:val="center"/>
                      </w:tcPr>
                      <w:p w14:paraId="0672E2A2">
                        <w:pPr>
                          <w:pStyle w:val="51"/>
                          <w:framePr w:w="0" w:hRule="auto" w:hSpace="0" w:wrap="auto" w:vAnchor="margin" w:hAnchor="text" w:xAlign="left" w:yAlign="inline"/>
                          <w:rPr>
                            <w:rFonts w:eastAsia="楷体_GB2312" w:cs="Calibri"/>
                            <w:b w:val="0"/>
                            <w:sz w:val="14"/>
                          </w:rPr>
                        </w:pPr>
                        <w:r>
                          <w:rPr>
                            <w:rFonts w:hint="eastAsia" w:eastAsia="楷体_GB2312" w:cs="Calibri"/>
                            <w:b w:val="0"/>
                            <w:sz w:val="14"/>
                          </w:rPr>
                          <w:t>Net Profit</w:t>
                        </w:r>
                      </w:p>
                    </w:tc>
                    <w:tc>
                      <w:tcPr>
                        <w:tcW w:w="756" w:type="dxa"/>
                        <w:gridSpan w:val="2"/>
                        <w:vAlign w:val="bottom"/>
                      </w:tcPr>
                      <w:p w14:paraId="006D0858">
                        <w:pPr>
                          <w:jc w:val="right"/>
                          <w:textAlignment w:val="bottom"/>
                          <w:rPr>
                            <w:rFonts w:eastAsia="楷体_GB2312" w:cs="Calibri"/>
                            <w:sz w:val="14"/>
                            <w:szCs w:val="14"/>
                            <w:lang w:eastAsia="zh-CN"/>
                          </w:rPr>
                        </w:pPr>
                        <w:r>
                          <w:rPr>
                            <w:rFonts w:eastAsia="楷体_GB2312" w:cs="Calibri"/>
                            <w:sz w:val="14"/>
                            <w:szCs w:val="14"/>
                            <w:lang w:eastAsia="zh-CN"/>
                          </w:rPr>
                          <w:t>64.6</w:t>
                        </w:r>
                      </w:p>
                    </w:tc>
                    <w:tc>
                      <w:tcPr>
                        <w:tcW w:w="751" w:type="dxa"/>
                        <w:gridSpan w:val="2"/>
                        <w:vAlign w:val="bottom"/>
                      </w:tcPr>
                      <w:p w14:paraId="71E5C0E0">
                        <w:pPr>
                          <w:jc w:val="right"/>
                          <w:textAlignment w:val="bottom"/>
                          <w:rPr>
                            <w:rFonts w:eastAsia="楷体_GB2312" w:cs="Calibri"/>
                            <w:sz w:val="14"/>
                            <w:szCs w:val="14"/>
                            <w:lang w:eastAsia="zh-CN"/>
                          </w:rPr>
                        </w:pPr>
                        <w:r>
                          <w:rPr>
                            <w:rFonts w:eastAsia="楷体_GB2312" w:cs="Calibri"/>
                            <w:sz w:val="14"/>
                            <w:szCs w:val="14"/>
                            <w:lang w:eastAsia="zh-CN"/>
                          </w:rPr>
                          <w:t>115.6</w:t>
                        </w:r>
                      </w:p>
                    </w:tc>
                    <w:tc>
                      <w:tcPr>
                        <w:tcW w:w="752" w:type="dxa"/>
                        <w:gridSpan w:val="2"/>
                        <w:vAlign w:val="bottom"/>
                      </w:tcPr>
                      <w:p w14:paraId="16255853">
                        <w:pPr>
                          <w:jc w:val="right"/>
                          <w:textAlignment w:val="bottom"/>
                          <w:rPr>
                            <w:rFonts w:eastAsia="楷体_GB2312" w:cs="Calibri"/>
                            <w:sz w:val="14"/>
                            <w:szCs w:val="14"/>
                            <w:lang w:eastAsia="zh-CN"/>
                          </w:rPr>
                        </w:pPr>
                        <w:r>
                          <w:rPr>
                            <w:rFonts w:eastAsia="宋体" w:cs="Calibri"/>
                            <w:color w:val="000000"/>
                            <w:lang w:eastAsia="zh-CN" w:bidi="ar"/>
                          </w:rPr>
                          <w:t>243.0</w:t>
                        </w:r>
                      </w:p>
                    </w:tc>
                    <w:tc>
                      <w:tcPr>
                        <w:tcW w:w="752" w:type="dxa"/>
                        <w:vAlign w:val="bottom"/>
                      </w:tcPr>
                      <w:p w14:paraId="31BA2C6A">
                        <w:pPr>
                          <w:jc w:val="right"/>
                          <w:textAlignment w:val="bottom"/>
                          <w:rPr>
                            <w:rFonts w:eastAsia="楷体_GB2312" w:cs="Calibri"/>
                            <w:sz w:val="14"/>
                            <w:szCs w:val="14"/>
                            <w:lang w:eastAsia="zh-CN"/>
                          </w:rPr>
                        </w:pPr>
                        <w:r>
                          <w:rPr>
                            <w:rFonts w:eastAsia="宋体" w:cs="Calibri"/>
                            <w:color w:val="000000"/>
                            <w:lang w:eastAsia="zh-CN" w:bidi="ar"/>
                          </w:rPr>
                          <w:t>1,070.4</w:t>
                        </w:r>
                      </w:p>
                    </w:tc>
                  </w:tr>
                  <w:tr w14:paraId="23F26F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060" w:type="dxa"/>
                        <w:tcMar>
                          <w:right w:w="0" w:type="dxa"/>
                        </w:tcMar>
                        <w:vAlign w:val="center"/>
                      </w:tcPr>
                      <w:p w14:paraId="0715C2CC">
                        <w:pPr>
                          <w:pStyle w:val="51"/>
                          <w:framePr w:w="0" w:hRule="auto" w:hSpace="0" w:wrap="auto" w:vAnchor="margin" w:hAnchor="text" w:xAlign="left" w:yAlign="inline"/>
                          <w:rPr>
                            <w:rFonts w:eastAsia="楷体_GB2312" w:cs="Calibri"/>
                            <w:b w:val="0"/>
                            <w:sz w:val="14"/>
                          </w:rPr>
                        </w:pPr>
                        <w:r>
                          <w:rPr>
                            <w:rFonts w:eastAsia="楷体_GB2312" w:cs="Calibri"/>
                            <w:b w:val="0"/>
                            <w:sz w:val="14"/>
                          </w:rPr>
                          <w:t>(+/-)</w:t>
                        </w:r>
                      </w:p>
                    </w:tc>
                    <w:tc>
                      <w:tcPr>
                        <w:tcW w:w="756" w:type="dxa"/>
                        <w:gridSpan w:val="2"/>
                        <w:vAlign w:val="center"/>
                      </w:tcPr>
                      <w:p w14:paraId="68DEBB2A">
                        <w:pPr>
                          <w:jc w:val="right"/>
                          <w:textAlignment w:val="bottom"/>
                          <w:rPr>
                            <w:rFonts w:eastAsia="楷体_GB2312" w:cs="Calibri"/>
                            <w:sz w:val="14"/>
                            <w:szCs w:val="14"/>
                            <w:lang w:eastAsia="zh-CN"/>
                          </w:rPr>
                        </w:pPr>
                        <w:r>
                          <w:rPr>
                            <w:rFonts w:hint="eastAsia" w:eastAsia="楷体_GB2312" w:cs="Calibri"/>
                            <w:sz w:val="14"/>
                            <w:szCs w:val="14"/>
                            <w:lang w:eastAsia="zh-CN"/>
                          </w:rPr>
                          <w:t>-</w:t>
                        </w:r>
                      </w:p>
                    </w:tc>
                    <w:tc>
                      <w:tcPr>
                        <w:tcW w:w="751" w:type="dxa"/>
                        <w:gridSpan w:val="2"/>
                        <w:vAlign w:val="bottom"/>
                      </w:tcPr>
                      <w:p w14:paraId="43BF16CB">
                        <w:pPr>
                          <w:jc w:val="right"/>
                          <w:textAlignment w:val="bottom"/>
                          <w:rPr>
                            <w:rFonts w:eastAsia="楷体_GB2312" w:cs="Calibri"/>
                            <w:sz w:val="14"/>
                            <w:szCs w:val="14"/>
                            <w:lang w:eastAsia="zh-CN"/>
                          </w:rPr>
                        </w:pPr>
                        <w:r>
                          <w:rPr>
                            <w:rFonts w:eastAsia="楷体_GB2312" w:cs="Calibri"/>
                            <w:sz w:val="14"/>
                            <w:szCs w:val="14"/>
                            <w:lang w:eastAsia="zh-CN"/>
                          </w:rPr>
                          <w:t>79%</w:t>
                        </w:r>
                      </w:p>
                    </w:tc>
                    <w:tc>
                      <w:tcPr>
                        <w:tcW w:w="752" w:type="dxa"/>
                        <w:gridSpan w:val="2"/>
                        <w:vAlign w:val="bottom"/>
                      </w:tcPr>
                      <w:p w14:paraId="14DA501A">
                        <w:pPr>
                          <w:jc w:val="right"/>
                          <w:textAlignment w:val="bottom"/>
                          <w:rPr>
                            <w:rFonts w:eastAsia="楷体_GB2312" w:cs="Calibri"/>
                            <w:sz w:val="14"/>
                            <w:szCs w:val="14"/>
                            <w:lang w:eastAsia="zh-CN"/>
                          </w:rPr>
                        </w:pPr>
                        <w:r>
                          <w:rPr>
                            <w:rFonts w:eastAsia="宋体" w:cs="Calibri"/>
                            <w:color w:val="000000"/>
                            <w:lang w:eastAsia="zh-CN" w:bidi="ar"/>
                          </w:rPr>
                          <w:t>110%</w:t>
                        </w:r>
                      </w:p>
                    </w:tc>
                    <w:tc>
                      <w:tcPr>
                        <w:tcW w:w="752" w:type="dxa"/>
                        <w:vAlign w:val="bottom"/>
                      </w:tcPr>
                      <w:p w14:paraId="163FAD92">
                        <w:pPr>
                          <w:jc w:val="right"/>
                          <w:textAlignment w:val="bottom"/>
                          <w:rPr>
                            <w:rFonts w:eastAsia="楷体_GB2312" w:cs="Calibri"/>
                            <w:sz w:val="14"/>
                            <w:szCs w:val="14"/>
                            <w:lang w:eastAsia="zh-CN"/>
                          </w:rPr>
                        </w:pPr>
                        <w:r>
                          <w:rPr>
                            <w:rFonts w:eastAsia="宋体" w:cs="Calibri"/>
                            <w:color w:val="000000"/>
                            <w:lang w:eastAsia="zh-CN" w:bidi="ar"/>
                          </w:rPr>
                          <w:t>341%</w:t>
                        </w:r>
                      </w:p>
                    </w:tc>
                  </w:tr>
                  <w:tr w14:paraId="4215BE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060" w:type="dxa"/>
                        <w:tcMar>
                          <w:right w:w="0" w:type="dxa"/>
                        </w:tcMar>
                        <w:vAlign w:val="center"/>
                      </w:tcPr>
                      <w:p w14:paraId="26A80F65">
                        <w:pPr>
                          <w:pStyle w:val="51"/>
                          <w:framePr w:w="0" w:hRule="auto" w:hSpace="0" w:wrap="auto" w:vAnchor="margin" w:hAnchor="text" w:xAlign="left" w:yAlign="inline"/>
                          <w:rPr>
                            <w:rFonts w:eastAsia="楷体_GB2312" w:cs="Calibri"/>
                            <w:b w:val="0"/>
                            <w:sz w:val="14"/>
                          </w:rPr>
                        </w:pPr>
                        <w:r>
                          <w:rPr>
                            <w:rFonts w:eastAsia="楷体_GB2312" w:cs="Calibri"/>
                            <w:b w:val="0"/>
                            <w:sz w:val="14"/>
                          </w:rPr>
                          <w:t>EPS</w:t>
                        </w:r>
                      </w:p>
                    </w:tc>
                    <w:tc>
                      <w:tcPr>
                        <w:tcW w:w="756" w:type="dxa"/>
                        <w:gridSpan w:val="2"/>
                        <w:vAlign w:val="bottom"/>
                      </w:tcPr>
                      <w:p w14:paraId="186354C9">
                        <w:pPr>
                          <w:jc w:val="right"/>
                          <w:textAlignment w:val="bottom"/>
                          <w:rPr>
                            <w:rFonts w:eastAsia="楷体_GB2312" w:cs="Calibri"/>
                            <w:sz w:val="14"/>
                            <w:szCs w:val="14"/>
                          </w:rPr>
                        </w:pPr>
                        <w:r>
                          <w:rPr>
                            <w:rFonts w:hint="eastAsia" w:eastAsia="楷体_GB2312" w:cs="Calibri"/>
                            <w:sz w:val="14"/>
                            <w:szCs w:val="14"/>
                            <w:lang w:eastAsia="zh-CN"/>
                          </w:rPr>
                          <w:t>0.28</w:t>
                        </w:r>
                      </w:p>
                    </w:tc>
                    <w:tc>
                      <w:tcPr>
                        <w:tcW w:w="751" w:type="dxa"/>
                        <w:gridSpan w:val="2"/>
                        <w:vAlign w:val="bottom"/>
                      </w:tcPr>
                      <w:p w14:paraId="35B85440">
                        <w:pPr>
                          <w:jc w:val="right"/>
                          <w:textAlignment w:val="bottom"/>
                          <w:rPr>
                            <w:rFonts w:eastAsia="楷体_GB2312" w:cs="Calibri"/>
                            <w:sz w:val="14"/>
                            <w:szCs w:val="14"/>
                          </w:rPr>
                        </w:pPr>
                        <w:r>
                          <w:rPr>
                            <w:rFonts w:hint="eastAsia" w:eastAsia="楷体_GB2312" w:cs="Calibri"/>
                            <w:sz w:val="14"/>
                            <w:szCs w:val="14"/>
                            <w:lang w:eastAsia="zh-CN"/>
                          </w:rPr>
                          <w:t>0.38</w:t>
                        </w:r>
                      </w:p>
                    </w:tc>
                    <w:tc>
                      <w:tcPr>
                        <w:tcW w:w="752" w:type="dxa"/>
                        <w:gridSpan w:val="2"/>
                        <w:vAlign w:val="bottom"/>
                      </w:tcPr>
                      <w:p w14:paraId="7B84DBAF">
                        <w:pPr>
                          <w:jc w:val="right"/>
                          <w:textAlignment w:val="bottom"/>
                          <w:rPr>
                            <w:rFonts w:eastAsia="楷体_GB2312" w:cs="Calibri"/>
                            <w:sz w:val="14"/>
                            <w:szCs w:val="14"/>
                          </w:rPr>
                        </w:pPr>
                        <w:r>
                          <w:rPr>
                            <w:rFonts w:eastAsia="宋体" w:cs="Calibri"/>
                            <w:color w:val="000000"/>
                            <w:lang w:eastAsia="zh-CN" w:bidi="ar"/>
                          </w:rPr>
                          <w:t xml:space="preserve">0.78 </w:t>
                        </w:r>
                      </w:p>
                    </w:tc>
                    <w:tc>
                      <w:tcPr>
                        <w:tcW w:w="752" w:type="dxa"/>
                        <w:vAlign w:val="bottom"/>
                      </w:tcPr>
                      <w:p w14:paraId="32ECD0DF">
                        <w:pPr>
                          <w:jc w:val="right"/>
                          <w:textAlignment w:val="bottom"/>
                          <w:rPr>
                            <w:rFonts w:eastAsia="楷体_GB2312" w:cs="Calibri"/>
                            <w:sz w:val="14"/>
                            <w:szCs w:val="14"/>
                          </w:rPr>
                        </w:pPr>
                        <w:r>
                          <w:rPr>
                            <w:rFonts w:eastAsia="宋体" w:cs="Calibri"/>
                            <w:color w:val="000000"/>
                            <w:lang w:eastAsia="zh-CN" w:bidi="ar"/>
                          </w:rPr>
                          <w:t xml:space="preserve">3.40 </w:t>
                        </w:r>
                      </w:p>
                    </w:tc>
                  </w:tr>
                  <w:tr w14:paraId="0186A2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060" w:type="dxa"/>
                        <w:tcMar>
                          <w:right w:w="0" w:type="dxa"/>
                        </w:tcMar>
                        <w:vAlign w:val="center"/>
                      </w:tcPr>
                      <w:p w14:paraId="5729A82E">
                        <w:pPr>
                          <w:pStyle w:val="51"/>
                          <w:framePr w:w="0" w:hRule="auto" w:hSpace="0" w:wrap="auto" w:vAnchor="margin" w:hAnchor="text" w:xAlign="left" w:yAlign="inline"/>
                          <w:rPr>
                            <w:rFonts w:eastAsia="楷体_GB2312" w:cs="Calibri"/>
                            <w:b w:val="0"/>
                            <w:sz w:val="14"/>
                          </w:rPr>
                        </w:pPr>
                        <w:r>
                          <w:rPr>
                            <w:rFonts w:hint="eastAsia" w:eastAsia="楷体_GB2312" w:cs="Calibri"/>
                            <w:b w:val="0"/>
                            <w:sz w:val="14"/>
                          </w:rPr>
                          <w:t>GPM</w:t>
                        </w:r>
                      </w:p>
                    </w:tc>
                    <w:tc>
                      <w:tcPr>
                        <w:tcW w:w="756" w:type="dxa"/>
                        <w:gridSpan w:val="2"/>
                        <w:vAlign w:val="bottom"/>
                      </w:tcPr>
                      <w:p w14:paraId="7425DF46">
                        <w:pPr>
                          <w:jc w:val="right"/>
                          <w:textAlignment w:val="bottom"/>
                          <w:rPr>
                            <w:rFonts w:eastAsia="楷体_GB2312" w:cs="Calibri"/>
                            <w:sz w:val="14"/>
                            <w:szCs w:val="14"/>
                          </w:rPr>
                        </w:pPr>
                        <w:r>
                          <w:rPr>
                            <w:rFonts w:eastAsia="楷体_GB2312" w:cs="Calibri"/>
                            <w:sz w:val="14"/>
                            <w:szCs w:val="14"/>
                            <w:lang w:eastAsia="zh-CN"/>
                          </w:rPr>
                          <w:t>28.7%</w:t>
                        </w:r>
                      </w:p>
                    </w:tc>
                    <w:tc>
                      <w:tcPr>
                        <w:tcW w:w="751" w:type="dxa"/>
                        <w:gridSpan w:val="2"/>
                        <w:vAlign w:val="bottom"/>
                      </w:tcPr>
                      <w:p w14:paraId="6BF37637">
                        <w:pPr>
                          <w:jc w:val="right"/>
                          <w:textAlignment w:val="bottom"/>
                          <w:rPr>
                            <w:rFonts w:eastAsia="楷体_GB2312" w:cs="Calibri"/>
                            <w:sz w:val="14"/>
                            <w:szCs w:val="14"/>
                          </w:rPr>
                        </w:pPr>
                        <w:r>
                          <w:rPr>
                            <w:rFonts w:eastAsia="楷体_GB2312" w:cs="Calibri"/>
                            <w:sz w:val="14"/>
                            <w:szCs w:val="14"/>
                            <w:lang w:eastAsia="zh-CN"/>
                          </w:rPr>
                          <w:t>29.6%</w:t>
                        </w:r>
                      </w:p>
                    </w:tc>
                    <w:tc>
                      <w:tcPr>
                        <w:tcW w:w="752" w:type="dxa"/>
                        <w:gridSpan w:val="2"/>
                        <w:vAlign w:val="bottom"/>
                      </w:tcPr>
                      <w:p w14:paraId="760B0A7F">
                        <w:pPr>
                          <w:jc w:val="right"/>
                          <w:textAlignment w:val="bottom"/>
                          <w:rPr>
                            <w:rFonts w:eastAsia="楷体_GB2312" w:cs="Calibri"/>
                            <w:sz w:val="14"/>
                            <w:szCs w:val="14"/>
                          </w:rPr>
                        </w:pPr>
                        <w:r>
                          <w:rPr>
                            <w:rFonts w:eastAsia="宋体" w:cs="Calibri"/>
                            <w:color w:val="000000"/>
                            <w:lang w:eastAsia="zh-CN" w:bidi="ar"/>
                          </w:rPr>
                          <w:t>32.4%</w:t>
                        </w:r>
                      </w:p>
                    </w:tc>
                    <w:tc>
                      <w:tcPr>
                        <w:tcW w:w="752" w:type="dxa"/>
                        <w:vAlign w:val="bottom"/>
                      </w:tcPr>
                      <w:p w14:paraId="209EA758">
                        <w:pPr>
                          <w:jc w:val="right"/>
                          <w:textAlignment w:val="bottom"/>
                          <w:rPr>
                            <w:rFonts w:eastAsia="楷体_GB2312" w:cs="Calibri"/>
                            <w:sz w:val="14"/>
                            <w:szCs w:val="14"/>
                          </w:rPr>
                        </w:pPr>
                        <w:r>
                          <w:rPr>
                            <w:rFonts w:eastAsia="宋体" w:cs="Calibri"/>
                            <w:color w:val="000000"/>
                            <w:lang w:eastAsia="zh-CN" w:bidi="ar"/>
                          </w:rPr>
                          <w:t>35.5%</w:t>
                        </w:r>
                      </w:p>
                    </w:tc>
                  </w:tr>
                  <w:tr w14:paraId="5BC59C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060" w:type="dxa"/>
                        <w:tcMar>
                          <w:right w:w="0" w:type="dxa"/>
                        </w:tcMar>
                        <w:vAlign w:val="center"/>
                      </w:tcPr>
                      <w:p w14:paraId="2515DA6E">
                        <w:pPr>
                          <w:pStyle w:val="51"/>
                          <w:framePr w:w="0" w:hRule="auto" w:hSpace="0" w:wrap="auto" w:vAnchor="margin" w:hAnchor="text" w:xAlign="left" w:yAlign="inline"/>
                          <w:rPr>
                            <w:rFonts w:eastAsia="楷体_GB2312" w:cs="Calibri"/>
                            <w:b w:val="0"/>
                            <w:sz w:val="14"/>
                          </w:rPr>
                        </w:pPr>
                        <w:r>
                          <w:rPr>
                            <w:rFonts w:hint="eastAsia" w:eastAsia="楷体_GB2312" w:cs="Calibri"/>
                            <w:b w:val="0"/>
                            <w:sz w:val="14"/>
                          </w:rPr>
                          <w:t>ROE</w:t>
                        </w:r>
                      </w:p>
                    </w:tc>
                    <w:tc>
                      <w:tcPr>
                        <w:tcW w:w="756" w:type="dxa"/>
                        <w:gridSpan w:val="2"/>
                        <w:vAlign w:val="bottom"/>
                      </w:tcPr>
                      <w:p w14:paraId="52696914">
                        <w:pPr>
                          <w:jc w:val="right"/>
                          <w:textAlignment w:val="bottom"/>
                          <w:rPr>
                            <w:rFonts w:eastAsia="楷体_GB2312" w:cs="Calibri"/>
                            <w:sz w:val="14"/>
                            <w:szCs w:val="14"/>
                            <w:lang w:eastAsia="zh-CN"/>
                          </w:rPr>
                        </w:pPr>
                        <w:r>
                          <w:rPr>
                            <w:rFonts w:eastAsia="宋体" w:cs="Calibri"/>
                            <w:color w:val="000000"/>
                            <w:lang w:eastAsia="zh-CN" w:bidi="ar"/>
                          </w:rPr>
                          <w:t>-1.4%</w:t>
                        </w:r>
                      </w:p>
                    </w:tc>
                    <w:tc>
                      <w:tcPr>
                        <w:tcW w:w="751" w:type="dxa"/>
                        <w:gridSpan w:val="2"/>
                        <w:vAlign w:val="bottom"/>
                      </w:tcPr>
                      <w:p w14:paraId="30F115AC">
                        <w:pPr>
                          <w:jc w:val="right"/>
                          <w:textAlignment w:val="bottom"/>
                          <w:rPr>
                            <w:rFonts w:eastAsia="楷体_GB2312" w:cs="Calibri"/>
                            <w:sz w:val="14"/>
                            <w:szCs w:val="14"/>
                            <w:lang w:eastAsia="zh-CN"/>
                          </w:rPr>
                        </w:pPr>
                        <w:r>
                          <w:rPr>
                            <w:rFonts w:eastAsia="宋体" w:cs="Calibri"/>
                            <w:color w:val="000000"/>
                            <w:lang w:eastAsia="zh-CN" w:bidi="ar"/>
                          </w:rPr>
                          <w:t>-2.6%</w:t>
                        </w:r>
                      </w:p>
                    </w:tc>
                    <w:tc>
                      <w:tcPr>
                        <w:tcW w:w="752" w:type="dxa"/>
                        <w:gridSpan w:val="2"/>
                        <w:vAlign w:val="bottom"/>
                      </w:tcPr>
                      <w:p w14:paraId="2BD92AC6">
                        <w:pPr>
                          <w:jc w:val="right"/>
                          <w:textAlignment w:val="bottom"/>
                          <w:rPr>
                            <w:rFonts w:eastAsia="楷体_GB2312" w:cs="Calibri"/>
                            <w:sz w:val="14"/>
                            <w:szCs w:val="14"/>
                            <w:lang w:eastAsia="zh-CN"/>
                          </w:rPr>
                        </w:pPr>
                        <w:r>
                          <w:rPr>
                            <w:rFonts w:eastAsia="宋体" w:cs="Calibri"/>
                            <w:color w:val="000000"/>
                            <w:lang w:eastAsia="zh-CN" w:bidi="ar"/>
                          </w:rPr>
                          <w:t>3.9%</w:t>
                        </w:r>
                      </w:p>
                    </w:tc>
                    <w:tc>
                      <w:tcPr>
                        <w:tcW w:w="752" w:type="dxa"/>
                        <w:vAlign w:val="bottom"/>
                      </w:tcPr>
                      <w:p w14:paraId="454AA5C0">
                        <w:pPr>
                          <w:jc w:val="right"/>
                          <w:textAlignment w:val="bottom"/>
                          <w:rPr>
                            <w:rFonts w:eastAsia="楷体_GB2312" w:cs="Calibri"/>
                            <w:sz w:val="14"/>
                            <w:szCs w:val="14"/>
                            <w:lang w:eastAsia="zh-CN"/>
                          </w:rPr>
                        </w:pPr>
                        <w:r>
                          <w:rPr>
                            <w:rFonts w:eastAsia="宋体" w:cs="Calibri"/>
                            <w:color w:val="000000"/>
                            <w:lang w:eastAsia="zh-CN" w:bidi="ar"/>
                          </w:rPr>
                          <w:t>16.9%</w:t>
                        </w:r>
                      </w:p>
                    </w:tc>
                  </w:tr>
                  <w:tr w14:paraId="6E6BB0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060" w:type="dxa"/>
                        <w:tcMar>
                          <w:right w:w="0" w:type="dxa"/>
                        </w:tcMar>
                        <w:vAlign w:val="center"/>
                      </w:tcPr>
                      <w:p w14:paraId="47230D30">
                        <w:pPr>
                          <w:pStyle w:val="51"/>
                          <w:framePr w:w="0" w:hRule="auto" w:hSpace="0" w:wrap="auto" w:vAnchor="margin" w:hAnchor="text" w:xAlign="left" w:yAlign="inline"/>
                          <w:rPr>
                            <w:rFonts w:eastAsia="楷体_GB2312" w:cs="Calibri"/>
                            <w:b w:val="0"/>
                            <w:sz w:val="14"/>
                          </w:rPr>
                        </w:pPr>
                        <w:r>
                          <w:rPr>
                            <w:rFonts w:hint="eastAsia" w:eastAsia="楷体_GB2312" w:cs="Calibri"/>
                            <w:b w:val="0"/>
                            <w:sz w:val="14"/>
                          </w:rPr>
                          <w:t>P/E</w:t>
                        </w:r>
                      </w:p>
                    </w:tc>
                    <w:tc>
                      <w:tcPr>
                        <w:tcW w:w="756" w:type="dxa"/>
                        <w:gridSpan w:val="2"/>
                        <w:vAlign w:val="center"/>
                      </w:tcPr>
                      <w:p w14:paraId="26BDCE65">
                        <w:pPr>
                          <w:jc w:val="right"/>
                          <w:textAlignment w:val="bottom"/>
                          <w:rPr>
                            <w:rFonts w:eastAsia="楷体_GB2312" w:cs="Calibri"/>
                            <w:sz w:val="14"/>
                            <w:szCs w:val="14"/>
                            <w:lang w:eastAsia="zh-CN"/>
                          </w:rPr>
                        </w:pPr>
                        <w:r>
                          <w:rPr>
                            <w:rFonts w:hint="eastAsia" w:eastAsia="楷体_GB2312" w:cs="Calibri"/>
                            <w:sz w:val="14"/>
                            <w:szCs w:val="14"/>
                            <w:lang w:eastAsia="zh-CN"/>
                          </w:rPr>
                          <w:t>327</w:t>
                        </w:r>
                      </w:p>
                    </w:tc>
                    <w:tc>
                      <w:tcPr>
                        <w:tcW w:w="751" w:type="dxa"/>
                        <w:gridSpan w:val="2"/>
                        <w:vAlign w:val="center"/>
                      </w:tcPr>
                      <w:p w14:paraId="5AA3B801">
                        <w:pPr>
                          <w:jc w:val="right"/>
                          <w:textAlignment w:val="bottom"/>
                          <w:rPr>
                            <w:rFonts w:eastAsia="楷体_GB2312" w:cs="Calibri"/>
                            <w:sz w:val="14"/>
                            <w:szCs w:val="14"/>
                            <w:lang w:eastAsia="zh-CN"/>
                          </w:rPr>
                        </w:pPr>
                        <w:r>
                          <w:rPr>
                            <w:rFonts w:hint="eastAsia" w:eastAsia="楷体_GB2312" w:cs="Calibri"/>
                            <w:sz w:val="14"/>
                            <w:szCs w:val="14"/>
                            <w:lang w:eastAsia="zh-CN"/>
                          </w:rPr>
                          <w:t>240</w:t>
                        </w:r>
                      </w:p>
                    </w:tc>
                    <w:tc>
                      <w:tcPr>
                        <w:tcW w:w="752" w:type="dxa"/>
                        <w:gridSpan w:val="2"/>
                        <w:vAlign w:val="center"/>
                      </w:tcPr>
                      <w:p w14:paraId="55D6EADC">
                        <w:pPr>
                          <w:jc w:val="right"/>
                          <w:textAlignment w:val="bottom"/>
                          <w:rPr>
                            <w:rFonts w:eastAsia="楷体_GB2312" w:cs="Calibri"/>
                            <w:sz w:val="14"/>
                            <w:szCs w:val="14"/>
                            <w:lang w:eastAsia="zh-CN"/>
                          </w:rPr>
                        </w:pPr>
                        <w:r>
                          <w:rPr>
                            <w:rFonts w:hint="eastAsia" w:eastAsia="楷体_GB2312" w:cs="Calibri"/>
                            <w:sz w:val="14"/>
                            <w:szCs w:val="14"/>
                            <w:lang w:eastAsia="zh-CN"/>
                          </w:rPr>
                          <w:t>118</w:t>
                        </w:r>
                      </w:p>
                    </w:tc>
                    <w:tc>
                      <w:tcPr>
                        <w:tcW w:w="752" w:type="dxa"/>
                        <w:vAlign w:val="center"/>
                      </w:tcPr>
                      <w:p w14:paraId="30FCD45D">
                        <w:pPr>
                          <w:jc w:val="right"/>
                          <w:textAlignment w:val="bottom"/>
                          <w:rPr>
                            <w:rFonts w:eastAsia="楷体_GB2312" w:cs="Calibri"/>
                            <w:sz w:val="14"/>
                            <w:szCs w:val="14"/>
                            <w:lang w:eastAsia="zh-CN"/>
                          </w:rPr>
                        </w:pPr>
                        <w:r>
                          <w:rPr>
                            <w:rFonts w:hint="eastAsia" w:eastAsia="楷体_GB2312" w:cs="Calibri"/>
                            <w:sz w:val="14"/>
                            <w:szCs w:val="14"/>
                            <w:lang w:eastAsia="zh-CN"/>
                          </w:rPr>
                          <w:t>27</w:t>
                        </w:r>
                      </w:p>
                    </w:tc>
                  </w:tr>
                </w:tbl>
                <w:p w14:paraId="345E171B">
                  <w:pPr>
                    <w:ind w:right="85" w:firstLine="85"/>
                    <w:rPr>
                      <w:rFonts w:eastAsia="楷体_GB2312" w:cs="Calibri"/>
                    </w:rPr>
                  </w:pPr>
                </w:p>
              </w:tc>
            </w:tr>
            <w:tr w14:paraId="05F1B5AE">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16" w:hRule="atLeast"/>
              </w:trPr>
              <w:tc>
                <w:tcPr>
                  <w:tcW w:w="4071" w:type="dxa"/>
                  <w:gridSpan w:val="2"/>
                  <w:tcBorders>
                    <w:bottom w:val="single" w:color="23558C" w:sz="4" w:space="0"/>
                  </w:tcBorders>
                </w:tcPr>
                <w:p w14:paraId="2EDA40B9">
                  <w:pPr>
                    <w:ind w:right="85" w:firstLine="85"/>
                    <w:rPr>
                      <w:rFonts w:eastAsia="楷体_GB2312" w:cs="Calibri"/>
                      <w:i/>
                      <w:iCs/>
                      <w:color w:val="000000"/>
                      <w:sz w:val="12"/>
                      <w:lang w:eastAsia="zh-CN"/>
                    </w:rPr>
                  </w:pPr>
                  <w:r>
                    <w:rPr>
                      <w:rFonts w:hint="eastAsia" w:eastAsia="楷体_GB2312" w:cs="Calibri"/>
                      <w:i/>
                      <w:iCs/>
                      <w:sz w:val="12"/>
                      <w:szCs w:val="12"/>
                      <w:lang w:eastAsia="zh-CN"/>
                    </w:rPr>
                    <w:t>Source: Company, HFI</w:t>
                  </w:r>
                </w:p>
              </w:tc>
            </w:tr>
          </w:tbl>
          <w:p w14:paraId="24D377BB">
            <w:pPr>
              <w:pStyle w:val="64"/>
              <w:spacing w:line="360" w:lineRule="exact"/>
              <w:rPr>
                <w:rFonts w:cs="Calibri"/>
                <w:color w:val="23558C"/>
                <w:lang w:eastAsia="zh-CN"/>
              </w:rPr>
            </w:pPr>
          </w:p>
        </w:tc>
        <w:tc>
          <w:tcPr>
            <w:tcW w:w="6317" w:type="dxa"/>
            <w:gridSpan w:val="4"/>
          </w:tcPr>
          <w:p w14:paraId="5FA4F827">
            <w:pPr>
              <w:pStyle w:val="58"/>
              <w:jc w:val="both"/>
              <w:rPr>
                <w:rFonts w:eastAsia="楷体_GB2312" w:cs="Calibri"/>
                <w:b/>
                <w:bCs/>
                <w:color w:val="A7242B"/>
                <w:kern w:val="28"/>
              </w:rPr>
            </w:pPr>
            <w:r>
              <w:rPr>
                <w:rFonts w:eastAsia="楷体_GB2312" w:cs="Calibri"/>
                <w:b/>
                <w:bCs/>
                <w:color w:val="23558C"/>
                <w:kern w:val="28"/>
                <w:lang w:eastAsia="zh-CN"/>
              </w:rPr>
              <w:t>Bloom</w:t>
            </w:r>
            <w:r>
              <w:rPr>
                <w:rFonts w:eastAsia="楷体_GB2312" w:cs="Calibri"/>
                <w:b/>
                <w:bCs/>
                <w:color w:val="23558C"/>
                <w:kern w:val="28"/>
              </w:rPr>
              <w:t xml:space="preserve"> Energy (BE) is positioned as a premier provider of Solid Oxide Fuel Cell (SOFC) technology, which is uniquely suited to address the </w:t>
            </w:r>
            <w:r>
              <w:rPr>
                <w:rFonts w:eastAsia="楷体_GB2312" w:cs="Calibri"/>
                <w:b/>
                <w:bCs/>
                <w:color w:val="23558C"/>
                <w:kern w:val="28"/>
                <w:lang w:eastAsia="zh-CN"/>
              </w:rPr>
              <w:t xml:space="preserve">surging </w:t>
            </w:r>
            <w:r>
              <w:rPr>
                <w:rFonts w:eastAsia="楷体_GB2312" w:cs="Calibri"/>
                <w:b/>
                <w:bCs/>
                <w:color w:val="23558C"/>
                <w:kern w:val="28"/>
              </w:rPr>
              <w:t xml:space="preserve">power </w:t>
            </w:r>
            <w:r>
              <w:rPr>
                <w:rFonts w:hint="eastAsia" w:eastAsia="楷体_GB2312" w:cs="Calibri"/>
                <w:b/>
                <w:bCs/>
                <w:color w:val="23558C"/>
                <w:kern w:val="28"/>
                <w:lang w:eastAsia="zh-CN"/>
              </w:rPr>
              <w:t>demand from</w:t>
            </w:r>
            <w:r>
              <w:rPr>
                <w:rFonts w:eastAsia="楷体_GB2312" w:cs="Calibri"/>
                <w:b/>
                <w:bCs/>
                <w:color w:val="23558C"/>
                <w:kern w:val="28"/>
              </w:rPr>
              <w:t xml:space="preserve"> the AI data center (AIDC) sector. </w:t>
            </w:r>
            <w:r>
              <w:rPr>
                <w:rFonts w:eastAsia="楷体_GB2312" w:cs="Calibri"/>
              </w:rPr>
              <w:t xml:space="preserve">As </w:t>
            </w:r>
            <w:r>
              <w:rPr>
                <w:rFonts w:hint="eastAsia" w:eastAsia="楷体_GB2312" w:cs="Calibri"/>
                <w:lang w:eastAsia="zh-CN"/>
              </w:rPr>
              <w:t>US</w:t>
            </w:r>
            <w:r>
              <w:rPr>
                <w:rFonts w:eastAsia="楷体_GB2312" w:cs="Calibri"/>
              </w:rPr>
              <w:t xml:space="preserve"> electricity demand is projected to surge by up to 25% by 2030, the grid is failing to keep pace due to aging infrastructure and interconnection delays that can exceed nine years. </w:t>
            </w:r>
            <w:r>
              <w:rPr>
                <w:rFonts w:eastAsia="楷体_GB2312" w:cs="Calibri"/>
                <w:lang w:eastAsia="zh-CN"/>
              </w:rPr>
              <w:t xml:space="preserve">BE’s </w:t>
            </w:r>
            <w:r>
              <w:rPr>
                <w:rFonts w:eastAsia="楷体_GB2312" w:cs="Calibri"/>
              </w:rPr>
              <w:t>time-to-power advantage allows for deployment in as little as 55 days, offering a alternative to multi-year utility wait times. This immediate scalability, combined with fuel cells</w:t>
            </w:r>
            <w:r>
              <w:rPr>
                <w:rFonts w:eastAsia="楷体_GB2312" w:cs="Calibri"/>
                <w:lang w:eastAsia="zh-CN"/>
              </w:rPr>
              <w:t xml:space="preserve">’ </w:t>
            </w:r>
            <w:r>
              <w:rPr>
                <w:rFonts w:eastAsia="楷体_GB2312" w:cs="Calibri"/>
              </w:rPr>
              <w:t>superior electrical efficiency (exceeding 60%), makes BE a leading choice for hyperscalers requiring reliable, 24/7/365 constant full-load power.</w:t>
            </w:r>
          </w:p>
          <w:p w14:paraId="56D0EB59">
            <w:pPr>
              <w:pStyle w:val="58"/>
              <w:jc w:val="both"/>
              <w:rPr>
                <w:rFonts w:eastAsia="楷体_GB2312" w:cs="Calibri"/>
                <w:b/>
                <w:bCs/>
                <w:color w:val="A7242B"/>
                <w:kern w:val="28"/>
              </w:rPr>
            </w:pPr>
            <w:r>
              <w:rPr>
                <w:rFonts w:eastAsia="楷体_GB2312" w:cs="Calibri"/>
                <w:b/>
                <w:bCs/>
                <w:color w:val="23558C"/>
                <w:kern w:val="28"/>
              </w:rPr>
              <w:t>The company</w:t>
            </w:r>
            <w:r>
              <w:rPr>
                <w:rFonts w:eastAsia="楷体_GB2312" w:cs="Calibri"/>
                <w:b/>
                <w:bCs/>
                <w:color w:val="23558C"/>
                <w:kern w:val="28"/>
                <w:lang w:eastAsia="zh-CN"/>
              </w:rPr>
              <w:t>’</w:t>
            </w:r>
            <w:r>
              <w:rPr>
                <w:rFonts w:eastAsia="楷体_GB2312" w:cs="Calibri"/>
                <w:b/>
                <w:bCs/>
                <w:color w:val="23558C"/>
                <w:kern w:val="28"/>
              </w:rPr>
              <w:t xml:space="preserve">s strategic pivot toward the AI ecosystem is validated by a high-profile </w:t>
            </w:r>
            <w:r>
              <w:rPr>
                <w:rFonts w:eastAsia="楷体_GB2312" w:cs="Calibri"/>
                <w:b/>
                <w:bCs/>
                <w:color w:val="23558C"/>
                <w:kern w:val="28"/>
                <w:lang w:eastAsia="zh-CN"/>
              </w:rPr>
              <w:t>“</w:t>
            </w:r>
            <w:r>
              <w:rPr>
                <w:rFonts w:eastAsia="楷体_GB2312" w:cs="Calibri"/>
                <w:b/>
                <w:bCs/>
                <w:color w:val="23558C"/>
                <w:kern w:val="28"/>
              </w:rPr>
              <w:t>lighthouse</w:t>
            </w:r>
            <w:r>
              <w:rPr>
                <w:rFonts w:eastAsia="楷体_GB2312" w:cs="Calibri"/>
                <w:b/>
                <w:bCs/>
                <w:color w:val="23558C"/>
                <w:kern w:val="28"/>
                <w:lang w:eastAsia="zh-CN"/>
              </w:rPr>
              <w:t>”</w:t>
            </w:r>
            <w:r>
              <w:rPr>
                <w:rFonts w:eastAsia="楷体_GB2312" w:cs="Calibri"/>
                <w:b/>
                <w:bCs/>
                <w:color w:val="23558C"/>
                <w:kern w:val="28"/>
              </w:rPr>
              <w:t xml:space="preserve"> customer base,</w:t>
            </w:r>
            <w:r>
              <w:rPr>
                <w:rFonts w:eastAsia="楷体_GB2312" w:cs="Calibri"/>
              </w:rPr>
              <w:t xml:space="preserve"> including Oracle, Equinix, and a landmark $5 billion partnership with Brookfield Asset Management. Financial momentum is accelerating, evidenced by record Q3 2025 revenue of $519 million—a 57% year-over-year increase—and expanding non-GAAP gross margins of 30.4%. To meet this surging backlog, BE is doubling its manufacturing capacity to 2 GW by 2026, with further scalability up to 5 GW.</w:t>
            </w:r>
          </w:p>
          <w:p w14:paraId="27E1A6DA">
            <w:pPr>
              <w:pStyle w:val="58"/>
              <w:jc w:val="both"/>
              <w:rPr>
                <w:rFonts w:eastAsia="楷体_GB2312" w:cs="Calibri"/>
                <w:lang w:eastAsia="zh-CN"/>
              </w:rPr>
            </w:pPr>
            <w:r>
              <w:rPr>
                <w:rFonts w:eastAsia="楷体_GB2312" w:cs="Calibri"/>
                <w:b/>
                <w:bCs/>
                <w:color w:val="23558C"/>
                <w:kern w:val="28"/>
              </w:rPr>
              <w:t xml:space="preserve">A bullish outlook for 2026. </w:t>
            </w:r>
            <w:r>
              <w:rPr>
                <w:rFonts w:eastAsia="楷体_GB2312" w:cs="Calibri"/>
              </w:rPr>
              <w:t>Beyond data centers, BE is successfully penetrating new verticals, such as gas</w:t>
            </w:r>
            <w:r>
              <w:rPr>
                <w:rFonts w:eastAsia="楷体_GB2312" w:cs="Calibri"/>
                <w:lang w:eastAsia="zh-CN"/>
              </w:rPr>
              <w:t xml:space="preserve"> providers</w:t>
            </w:r>
            <w:r>
              <w:rPr>
                <w:rFonts w:eastAsia="楷体_GB2312" w:cs="Calibri"/>
              </w:rPr>
              <w:t xml:space="preserve">, through innovative </w:t>
            </w:r>
            <w:r>
              <w:rPr>
                <w:rFonts w:eastAsia="楷体_GB2312" w:cs="Calibri"/>
                <w:lang w:eastAsia="zh-CN"/>
              </w:rPr>
              <w:t>“</w:t>
            </w:r>
            <w:r>
              <w:rPr>
                <w:rFonts w:eastAsia="楷体_GB2312" w:cs="Calibri"/>
              </w:rPr>
              <w:t>go-to-market</w:t>
            </w:r>
            <w:r>
              <w:rPr>
                <w:rFonts w:eastAsia="楷体_GB2312" w:cs="Calibri"/>
                <w:lang w:eastAsia="zh-CN"/>
              </w:rPr>
              <w:t>”</w:t>
            </w:r>
            <w:r>
              <w:rPr>
                <w:rFonts w:eastAsia="楷体_GB2312" w:cs="Calibri"/>
              </w:rPr>
              <w:t xml:space="preserve"> strategies. </w:t>
            </w:r>
            <w:r>
              <w:rPr>
                <w:rFonts w:eastAsia="楷体_GB2312" w:cs="Calibri"/>
                <w:lang w:eastAsia="zh-CN"/>
              </w:rPr>
              <w:t xml:space="preserve">BE’s </w:t>
            </w:r>
            <w:r>
              <w:rPr>
                <w:rFonts w:eastAsia="楷体_GB2312" w:cs="Calibri"/>
              </w:rPr>
              <w:t>modular architecture and leadership by industry veterans provide a stable foundation for growth. As on-site power generation transitions from a niche solution to a primary requirement for 27% of data centers by 2030, Bloom Energy is set for significant long-term expansion</w:t>
            </w:r>
            <w:r>
              <w:rPr>
                <w:rFonts w:eastAsia="楷体_GB2312" w:cs="Calibri"/>
                <w:lang w:eastAsia="zh-CN"/>
              </w:rPr>
              <w:t>.</w:t>
            </w:r>
          </w:p>
          <w:p w14:paraId="16CAB3CB">
            <w:pPr>
              <w:pStyle w:val="58"/>
              <w:jc w:val="both"/>
              <w:rPr>
                <w:rFonts w:eastAsia="楷体_GB2312" w:cs="Calibri"/>
                <w:b/>
                <w:bCs/>
                <w:color w:val="A7242B"/>
                <w:kern w:val="28"/>
                <w:sz w:val="2"/>
                <w:szCs w:val="2"/>
                <w:lang w:eastAsia="zh-CN"/>
              </w:rPr>
            </w:pPr>
            <w:r>
              <w:rPr>
                <w:rFonts w:eastAsia="楷体_GB2312" w:cs="Calibri"/>
                <w:b/>
                <w:bCs/>
                <w:color w:val="A7242B"/>
                <w:kern w:val="28"/>
                <w:sz w:val="2"/>
                <w:szCs w:val="2"/>
                <w:lang w:eastAsia="zh-CN"/>
              </w:rPr>
              <w:t xml:space="preserve"> </w:t>
            </w:r>
          </w:p>
          <w:p w14:paraId="796027DE">
            <w:pPr>
              <w:pStyle w:val="58"/>
              <w:jc w:val="both"/>
              <w:rPr>
                <w:rFonts w:eastAsia="楷体_GB2312" w:cs="Calibri"/>
                <w:b/>
                <w:bCs/>
                <w:color w:val="23558C"/>
                <w:kern w:val="28"/>
                <w:sz w:val="22"/>
                <w:szCs w:val="22"/>
              </w:rPr>
            </w:pPr>
            <w:r>
              <w:rPr>
                <w:rFonts w:eastAsia="楷体_GB2312" w:cs="Calibri"/>
                <w:b/>
                <w:bCs/>
                <w:color w:val="23558C"/>
                <w:kern w:val="28"/>
                <w:sz w:val="22"/>
                <w:szCs w:val="22"/>
              </w:rPr>
              <w:t>Valuation&amp; recommendation</w:t>
            </w:r>
          </w:p>
          <w:p w14:paraId="78E66788">
            <w:pPr>
              <w:pStyle w:val="46"/>
              <w:jc w:val="both"/>
              <w:rPr>
                <w:rFonts w:eastAsia="楷体_GB2312" w:cs="Calibri"/>
                <w:snapToGrid/>
                <w:szCs w:val="20"/>
                <w:lang w:eastAsia="zh-CN"/>
              </w:rPr>
            </w:pPr>
            <w:r>
              <w:rPr>
                <w:rFonts w:eastAsia="楷体_GB2312" w:cs="Calibri"/>
                <w:snapToGrid/>
                <w:szCs w:val="20"/>
                <w:lang w:eastAsia="zh-CN"/>
              </w:rPr>
              <w:t xml:space="preserve">We initiate coverage on Bloom Energy with “Outperform”. Our </w:t>
            </w:r>
            <w:r>
              <w:rPr>
                <w:rFonts w:hint="eastAsia" w:eastAsia="楷体_GB2312" w:cs="Calibri"/>
                <w:snapToGrid/>
                <w:szCs w:val="20"/>
                <w:lang w:eastAsia="zh-CN"/>
              </w:rPr>
              <w:t>12-month</w:t>
            </w:r>
            <w:r>
              <w:rPr>
                <w:rFonts w:eastAsia="楷体_GB2312" w:cs="Calibri"/>
                <w:snapToGrid/>
                <w:szCs w:val="20"/>
                <w:lang w:eastAsia="zh-CN"/>
              </w:rPr>
              <w:t xml:space="preserve"> price target is USD 1</w:t>
            </w:r>
            <w:r>
              <w:rPr>
                <w:rFonts w:hint="eastAsia" w:eastAsia="楷体_GB2312" w:cs="Calibri"/>
                <w:snapToGrid/>
                <w:szCs w:val="20"/>
                <w:lang w:eastAsia="zh-CN"/>
              </w:rPr>
              <w:t>38</w:t>
            </w:r>
            <w:r>
              <w:rPr>
                <w:rFonts w:eastAsia="楷体_GB2312" w:cs="Calibri"/>
                <w:snapToGrid/>
                <w:szCs w:val="20"/>
                <w:lang w:eastAsia="zh-CN"/>
              </w:rPr>
              <w:t>. We estimate the Non-GAAP EBITDA of BE from year 2025 to 202</w:t>
            </w:r>
            <w:r>
              <w:rPr>
                <w:rFonts w:hint="eastAsia" w:eastAsia="楷体_GB2312" w:cs="Calibri"/>
                <w:snapToGrid/>
                <w:szCs w:val="20"/>
                <w:lang w:eastAsia="zh-CN"/>
              </w:rPr>
              <w:t>8</w:t>
            </w:r>
            <w:r>
              <w:rPr>
                <w:rFonts w:eastAsia="楷体_GB2312" w:cs="Calibri"/>
                <w:snapToGrid/>
                <w:szCs w:val="20"/>
                <w:lang w:eastAsia="zh-CN"/>
              </w:rPr>
              <w:t xml:space="preserve"> will be USD 215/ 3</w:t>
            </w:r>
            <w:r>
              <w:rPr>
                <w:rFonts w:hint="eastAsia" w:eastAsia="楷体_GB2312" w:cs="Calibri"/>
                <w:snapToGrid/>
                <w:szCs w:val="20"/>
                <w:lang w:eastAsia="zh-CN"/>
              </w:rPr>
              <w:t>79</w:t>
            </w:r>
            <w:r>
              <w:rPr>
                <w:rFonts w:eastAsia="楷体_GB2312" w:cs="Calibri"/>
                <w:snapToGrid/>
                <w:szCs w:val="20"/>
                <w:lang w:eastAsia="zh-CN"/>
              </w:rPr>
              <w:t>/ 1,</w:t>
            </w:r>
            <w:r>
              <w:rPr>
                <w:rFonts w:hint="eastAsia" w:eastAsia="楷体_GB2312" w:cs="Calibri"/>
                <w:snapToGrid/>
                <w:szCs w:val="20"/>
                <w:lang w:eastAsia="zh-CN"/>
              </w:rPr>
              <w:t>221/2,122</w:t>
            </w:r>
            <w:r>
              <w:rPr>
                <w:rFonts w:eastAsia="楷体_GB2312" w:cs="Calibri"/>
                <w:snapToGrid/>
                <w:szCs w:val="20"/>
                <w:lang w:eastAsia="zh-CN"/>
              </w:rPr>
              <w:t xml:space="preserve"> million, reflecting upsides to expectations for ramping revenue and margin. We assign a </w:t>
            </w:r>
            <w:r>
              <w:rPr>
                <w:rFonts w:hint="eastAsia" w:eastAsia="楷体_GB2312" w:cs="Calibri"/>
                <w:snapToGrid/>
                <w:szCs w:val="20"/>
                <w:lang w:eastAsia="zh-CN"/>
              </w:rPr>
              <w:t>26</w:t>
            </w:r>
            <w:r>
              <w:rPr>
                <w:rFonts w:eastAsia="楷体_GB2312" w:cs="Calibri"/>
                <w:snapToGrid/>
                <w:szCs w:val="20"/>
                <w:lang w:eastAsia="zh-CN"/>
              </w:rPr>
              <w:t>X FY2</w:t>
            </w:r>
            <w:r>
              <w:rPr>
                <w:rFonts w:hint="eastAsia" w:eastAsia="楷体_GB2312" w:cs="Calibri"/>
                <w:snapToGrid/>
                <w:szCs w:val="20"/>
                <w:lang w:eastAsia="zh-CN"/>
              </w:rPr>
              <w:t>8</w:t>
            </w:r>
            <w:r>
              <w:rPr>
                <w:rFonts w:eastAsia="楷体_GB2312" w:cs="Calibri"/>
                <w:snapToGrid/>
                <w:szCs w:val="20"/>
                <w:lang w:eastAsia="zh-CN"/>
              </w:rPr>
              <w:t>E EV/EBITDA to our FY2</w:t>
            </w:r>
            <w:r>
              <w:rPr>
                <w:rFonts w:hint="eastAsia" w:eastAsia="楷体_GB2312" w:cs="Calibri"/>
                <w:snapToGrid/>
                <w:szCs w:val="20"/>
                <w:lang w:eastAsia="zh-CN"/>
              </w:rPr>
              <w:t>8</w:t>
            </w:r>
            <w:r>
              <w:rPr>
                <w:rFonts w:eastAsia="楷体_GB2312" w:cs="Calibri"/>
                <w:snapToGrid/>
                <w:szCs w:val="20"/>
                <w:lang w:eastAsia="zh-CN"/>
              </w:rPr>
              <w:t xml:space="preserve">E Non-GAAP EBITDA, as we believe a premium is justified given elevated power demand needs with continued execution and order announcements with improving visibility from recent deals, including the Brookfield partnership. </w:t>
            </w:r>
          </w:p>
          <w:p w14:paraId="3A1EBE39">
            <w:pPr>
              <w:pStyle w:val="46"/>
              <w:jc w:val="both"/>
              <w:rPr>
                <w:rFonts w:eastAsia="楷体_GB2312" w:cs="Calibri"/>
                <w:snapToGrid/>
                <w:szCs w:val="20"/>
              </w:rPr>
            </w:pPr>
          </w:p>
          <w:p w14:paraId="48746740">
            <w:pPr>
              <w:pStyle w:val="58"/>
              <w:jc w:val="both"/>
              <w:rPr>
                <w:rFonts w:eastAsia="楷体_GB2312" w:cs="Calibri"/>
                <w:b/>
                <w:bCs/>
                <w:color w:val="23558C"/>
                <w:kern w:val="28"/>
                <w:sz w:val="22"/>
                <w:szCs w:val="22"/>
                <w:lang w:eastAsia="zh-CN"/>
              </w:rPr>
            </w:pPr>
            <w:r>
              <w:rPr>
                <w:rFonts w:eastAsia="楷体_GB2312" w:cs="Calibri"/>
                <w:b/>
                <w:bCs/>
                <w:color w:val="23558C"/>
                <w:kern w:val="28"/>
                <w:sz w:val="22"/>
                <w:szCs w:val="22"/>
                <w:lang w:eastAsia="zh-CN"/>
              </w:rPr>
              <w:t>Risks</w:t>
            </w:r>
          </w:p>
          <w:p w14:paraId="34A9D439">
            <w:pPr>
              <w:pStyle w:val="57"/>
              <w:jc w:val="both"/>
              <w:rPr>
                <w:rFonts w:eastAsia="楷体_GB2312" w:cs="Calibri"/>
                <w:sz w:val="20"/>
                <w:szCs w:val="20"/>
              </w:rPr>
            </w:pPr>
            <w:r>
              <w:rPr>
                <w:rFonts w:eastAsia="楷体_GB2312" w:cs="Calibri"/>
                <w:sz w:val="20"/>
                <w:szCs w:val="20"/>
              </w:rPr>
              <w:t>Change of base-load power supply bottleneck status; Regulatory limits; Concerns around future cost-savings.</w:t>
            </w:r>
          </w:p>
          <w:p w14:paraId="723F5D9B">
            <w:pPr>
              <w:pStyle w:val="58"/>
              <w:jc w:val="both"/>
              <w:rPr>
                <w:rFonts w:eastAsia="楷体_GB2312" w:cs="Calibri"/>
                <w:lang w:eastAsia="zh-CN"/>
              </w:rPr>
            </w:pPr>
          </w:p>
        </w:tc>
      </w:tr>
      <w:tr w14:paraId="065290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1112" w:hRule="atLeast"/>
        </w:trPr>
        <w:tc>
          <w:tcPr>
            <w:tcW w:w="10711" w:type="dxa"/>
            <w:gridSpan w:val="5"/>
            <w:tcMar>
              <w:left w:w="57" w:type="dxa"/>
            </w:tcMar>
          </w:tcPr>
          <w:p w14:paraId="32189AC3">
            <w:pPr>
              <w:pStyle w:val="58"/>
              <w:spacing w:after="0"/>
              <w:jc w:val="both"/>
              <w:rPr>
                <w:rFonts w:eastAsia="楷体_GB2312" w:cs="Calibri"/>
                <w:bCs/>
                <w:kern w:val="28"/>
                <w:lang w:eastAsia="zh-CN"/>
              </w:rPr>
            </w:pPr>
          </w:p>
          <w:tbl>
            <w:tblPr>
              <w:tblStyle w:val="21"/>
              <w:tblW w:w="0" w:type="auto"/>
              <w:tblCaption w:val="[Table_Author]"/>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694"/>
              <w:gridCol w:w="2551"/>
              <w:gridCol w:w="2693"/>
              <w:gridCol w:w="2694"/>
            </w:tblGrid>
            <w:tr w14:paraId="1BBCC0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3" w:hRule="exact"/>
              </w:trPr>
              <w:tc>
                <w:tcPr>
                  <w:tcW w:w="2694" w:type="dxa"/>
                  <w:tcMar>
                    <w:right w:w="60" w:type="dxa"/>
                  </w:tcMar>
                </w:tcPr>
                <w:p w14:paraId="74F5E8BA">
                  <w:pPr>
                    <w:pStyle w:val="55"/>
                    <w:framePr w:wrap="auto" w:vAnchor="margin" w:hAnchor="text" w:yAlign="inline"/>
                    <w:rPr>
                      <w:rFonts w:eastAsia="宋体" w:cs="Calibri"/>
                      <w:color w:val="FFFFFF" w:themeColor="background1"/>
                      <w14:textFill>
                        <w14:solidFill>
                          <w14:schemeClr w14:val="bg1"/>
                        </w14:solidFill>
                      </w14:textFill>
                    </w:rPr>
                  </w:pPr>
                  <w:r>
                    <w:rPr>
                      <w:rFonts w:eastAsia="宋体" w:cs="Calibri"/>
                      <w:color w:val="FFFFFF" w:themeColor="background1"/>
                      <w14:textFill>
                        <w14:solidFill>
                          <w14:schemeClr w14:val="bg1"/>
                        </w14:solidFill>
                      </w14:textFill>
                    </w:rPr>
                    <w:t>[Table_Author]</w:t>
                  </w:r>
                </w:p>
              </w:tc>
              <w:tc>
                <w:tcPr>
                  <w:tcW w:w="2551" w:type="dxa"/>
                </w:tcPr>
                <w:p w14:paraId="18EE2920">
                  <w:pPr>
                    <w:pStyle w:val="55"/>
                    <w:framePr w:wrap="auto" w:vAnchor="margin" w:hAnchor="text" w:yAlign="inline"/>
                    <w:rPr>
                      <w:rFonts w:eastAsia="MS Gothic" w:cs="Calibri"/>
                      <w:color w:val="FFFFFF" w:themeColor="background1"/>
                      <w14:textFill>
                        <w14:solidFill>
                          <w14:schemeClr w14:val="bg1"/>
                        </w14:solidFill>
                      </w14:textFill>
                    </w:rPr>
                  </w:pPr>
                </w:p>
              </w:tc>
              <w:tc>
                <w:tcPr>
                  <w:tcW w:w="2693" w:type="dxa"/>
                </w:tcPr>
                <w:p w14:paraId="03AC665A">
                  <w:pPr>
                    <w:pStyle w:val="55"/>
                    <w:framePr w:wrap="auto" w:vAnchor="margin" w:hAnchor="text" w:yAlign="inline"/>
                    <w:rPr>
                      <w:rFonts w:eastAsia="MS Gothic" w:cs="Calibri"/>
                      <w:color w:val="FFFFFF" w:themeColor="background1"/>
                      <w14:textFill>
                        <w14:solidFill>
                          <w14:schemeClr w14:val="bg1"/>
                        </w14:solidFill>
                      </w14:textFill>
                    </w:rPr>
                  </w:pPr>
                </w:p>
              </w:tc>
              <w:tc>
                <w:tcPr>
                  <w:tcW w:w="2694" w:type="dxa"/>
                </w:tcPr>
                <w:p w14:paraId="07DF473E">
                  <w:pPr>
                    <w:pStyle w:val="55"/>
                    <w:framePr w:wrap="auto" w:vAnchor="margin" w:hAnchor="text" w:yAlign="inline"/>
                    <w:rPr>
                      <w:rFonts w:eastAsia="MS Gothic" w:cs="Calibri"/>
                      <w:color w:val="FFFFFF" w:themeColor="background1"/>
                      <w14:textFill>
                        <w14:solidFill>
                          <w14:schemeClr w14:val="bg1"/>
                        </w14:solidFill>
                      </w14:textFill>
                    </w:rPr>
                  </w:pPr>
                </w:p>
              </w:tc>
            </w:tr>
            <w:tr w14:paraId="5CCEAD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331EE631">
                  <w:pPr>
                    <w:pStyle w:val="54"/>
                    <w:framePr w:wrap="auto" w:vAnchor="margin" w:hAnchor="text" w:yAlign="inline"/>
                    <w:rPr>
                      <w:rFonts w:eastAsia="楷体_GB2312" w:cs="Calibri"/>
                    </w:rPr>
                  </w:pPr>
                  <w:r>
                    <w:rPr>
                      <w:rFonts w:eastAsia="楷体_GB2312" w:cs="Calibri"/>
                    </w:rPr>
                    <w:t>Bin Yang</w:t>
                  </w:r>
                </w:p>
              </w:tc>
              <w:tc>
                <w:tcPr>
                  <w:tcW w:w="2551" w:type="dxa"/>
                </w:tcPr>
                <w:p w14:paraId="4371BAFF">
                  <w:pPr>
                    <w:pStyle w:val="54"/>
                    <w:framePr w:wrap="auto" w:vAnchor="margin" w:hAnchor="text" w:yAlign="inline"/>
                    <w:rPr>
                      <w:rFonts w:eastAsia="楷体_GB2312" w:cs="Calibri"/>
                    </w:rPr>
                  </w:pPr>
                </w:p>
              </w:tc>
              <w:tc>
                <w:tcPr>
                  <w:tcW w:w="2693" w:type="dxa"/>
                </w:tcPr>
                <w:p w14:paraId="7D1F9044">
                  <w:pPr>
                    <w:pStyle w:val="54"/>
                    <w:framePr w:wrap="auto" w:vAnchor="margin" w:hAnchor="text" w:yAlign="inline"/>
                    <w:rPr>
                      <w:rFonts w:eastAsia="楷体_GB2312" w:cs="Calibri"/>
                    </w:rPr>
                  </w:pPr>
                </w:p>
              </w:tc>
              <w:tc>
                <w:tcPr>
                  <w:tcW w:w="2694" w:type="dxa"/>
                </w:tcPr>
                <w:p w14:paraId="3EEE736B">
                  <w:pPr>
                    <w:pStyle w:val="54"/>
                    <w:framePr w:wrap="auto" w:vAnchor="margin" w:hAnchor="text" w:yAlign="inline"/>
                    <w:rPr>
                      <w:rFonts w:eastAsia="楷体_GB2312" w:cs="Calibri"/>
                    </w:rPr>
                  </w:pPr>
                </w:p>
              </w:tc>
            </w:tr>
            <w:tr w14:paraId="1E77AF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84" w:hRule="atLeast"/>
              </w:trPr>
              <w:tc>
                <w:tcPr>
                  <w:tcW w:w="2694" w:type="dxa"/>
                </w:tcPr>
                <w:p w14:paraId="7FDB7694">
                  <w:pPr>
                    <w:pStyle w:val="54"/>
                    <w:framePr w:wrap="auto" w:vAnchor="margin" w:hAnchor="text" w:yAlign="inline"/>
                    <w:rPr>
                      <w:rFonts w:eastAsia="楷体_GB2312" w:cs="Calibri"/>
                      <w:b w:val="0"/>
                    </w:rPr>
                  </w:pPr>
                  <w:r>
                    <w:rPr>
                      <w:rFonts w:eastAsia="楷体_GB2312" w:cs="Calibri"/>
                      <w:b w:val="0"/>
                    </w:rPr>
                    <w:t>harryyang@hfisec.com.hk</w:t>
                  </w:r>
                </w:p>
              </w:tc>
              <w:tc>
                <w:tcPr>
                  <w:tcW w:w="2551" w:type="dxa"/>
                </w:tcPr>
                <w:p w14:paraId="21610587">
                  <w:pPr>
                    <w:pStyle w:val="54"/>
                    <w:framePr w:wrap="auto" w:vAnchor="margin" w:hAnchor="text" w:yAlign="inline"/>
                    <w:rPr>
                      <w:rFonts w:eastAsia="楷体_GB2312" w:cs="Calibri"/>
                      <w:b w:val="0"/>
                    </w:rPr>
                  </w:pPr>
                </w:p>
              </w:tc>
              <w:tc>
                <w:tcPr>
                  <w:tcW w:w="2693" w:type="dxa"/>
                </w:tcPr>
                <w:p w14:paraId="221DC5F7">
                  <w:pPr>
                    <w:pStyle w:val="54"/>
                    <w:framePr w:wrap="auto" w:vAnchor="margin" w:hAnchor="text" w:yAlign="inline"/>
                    <w:rPr>
                      <w:rFonts w:eastAsia="楷体_GB2312" w:cs="Calibri"/>
                      <w:b w:val="0"/>
                    </w:rPr>
                  </w:pPr>
                </w:p>
              </w:tc>
              <w:tc>
                <w:tcPr>
                  <w:tcW w:w="2694" w:type="dxa"/>
                </w:tcPr>
                <w:p w14:paraId="6B4057DD">
                  <w:pPr>
                    <w:pStyle w:val="54"/>
                    <w:framePr w:wrap="auto" w:vAnchor="margin" w:hAnchor="text" w:yAlign="inline"/>
                    <w:rPr>
                      <w:rFonts w:eastAsia="楷体_GB2312" w:cs="Calibri"/>
                      <w:b w:val="0"/>
                    </w:rPr>
                  </w:pPr>
                </w:p>
              </w:tc>
            </w:tr>
            <w:tr w14:paraId="7E6CB1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70A3D2B5">
                  <w:pPr>
                    <w:pStyle w:val="54"/>
                    <w:framePr w:wrap="auto" w:vAnchor="margin" w:hAnchor="text" w:yAlign="inline"/>
                    <w:rPr>
                      <w:rFonts w:eastAsia="楷体_GB2312" w:cs="Calibri"/>
                      <w:b w:val="0"/>
                    </w:rPr>
                  </w:pPr>
                </w:p>
              </w:tc>
              <w:tc>
                <w:tcPr>
                  <w:tcW w:w="2551" w:type="dxa"/>
                </w:tcPr>
                <w:p w14:paraId="57D766E2">
                  <w:pPr>
                    <w:pStyle w:val="54"/>
                    <w:framePr w:wrap="auto" w:vAnchor="margin" w:hAnchor="text" w:yAlign="inline"/>
                    <w:rPr>
                      <w:rFonts w:eastAsia="楷体_GB2312" w:cs="Calibri"/>
                      <w:b w:val="0"/>
                    </w:rPr>
                  </w:pPr>
                </w:p>
              </w:tc>
              <w:tc>
                <w:tcPr>
                  <w:tcW w:w="2693" w:type="dxa"/>
                </w:tcPr>
                <w:p w14:paraId="7D92D320">
                  <w:pPr>
                    <w:pStyle w:val="54"/>
                    <w:framePr w:wrap="auto" w:vAnchor="margin" w:hAnchor="text" w:yAlign="inline"/>
                    <w:rPr>
                      <w:rFonts w:eastAsia="楷体_GB2312" w:cs="Calibri"/>
                      <w:b w:val="0"/>
                    </w:rPr>
                  </w:pPr>
                </w:p>
              </w:tc>
              <w:tc>
                <w:tcPr>
                  <w:tcW w:w="2694" w:type="dxa"/>
                </w:tcPr>
                <w:p w14:paraId="04BA6977">
                  <w:pPr>
                    <w:pStyle w:val="54"/>
                    <w:framePr w:wrap="auto" w:vAnchor="margin" w:hAnchor="text" w:yAlign="inline"/>
                    <w:rPr>
                      <w:rFonts w:eastAsia="楷体_GB2312" w:cs="Calibri"/>
                      <w:b w:val="0"/>
                    </w:rPr>
                  </w:pPr>
                </w:p>
              </w:tc>
            </w:tr>
            <w:tr w14:paraId="35C191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2ACF44BD">
                  <w:pPr>
                    <w:pStyle w:val="54"/>
                    <w:framePr w:wrap="auto" w:vAnchor="margin" w:hAnchor="text" w:yAlign="inline"/>
                    <w:rPr>
                      <w:rFonts w:eastAsia="楷体_GB2312" w:cs="Calibri"/>
                      <w:b w:val="0"/>
                    </w:rPr>
                  </w:pPr>
                </w:p>
              </w:tc>
              <w:tc>
                <w:tcPr>
                  <w:tcW w:w="2551" w:type="dxa"/>
                </w:tcPr>
                <w:p w14:paraId="6C8CC453">
                  <w:pPr>
                    <w:pStyle w:val="54"/>
                    <w:framePr w:wrap="auto" w:vAnchor="margin" w:hAnchor="text" w:yAlign="inline"/>
                    <w:rPr>
                      <w:rFonts w:eastAsia="楷体_GB2312" w:cs="Calibri"/>
                      <w:b w:val="0"/>
                    </w:rPr>
                  </w:pPr>
                </w:p>
              </w:tc>
              <w:tc>
                <w:tcPr>
                  <w:tcW w:w="2693" w:type="dxa"/>
                </w:tcPr>
                <w:p w14:paraId="6F5490CC">
                  <w:pPr>
                    <w:pStyle w:val="54"/>
                    <w:framePr w:wrap="auto" w:vAnchor="margin" w:hAnchor="text" w:yAlign="inline"/>
                    <w:rPr>
                      <w:rFonts w:eastAsia="楷体_GB2312" w:cs="Calibri"/>
                      <w:b w:val="0"/>
                    </w:rPr>
                  </w:pPr>
                </w:p>
              </w:tc>
              <w:tc>
                <w:tcPr>
                  <w:tcW w:w="2694" w:type="dxa"/>
                </w:tcPr>
                <w:p w14:paraId="1A43CAA3">
                  <w:pPr>
                    <w:pStyle w:val="54"/>
                    <w:framePr w:wrap="auto" w:vAnchor="margin" w:hAnchor="text" w:yAlign="inline"/>
                    <w:rPr>
                      <w:rFonts w:eastAsia="楷体_GB2312" w:cs="Calibri"/>
                      <w:b w:val="0"/>
                    </w:rPr>
                  </w:pPr>
                </w:p>
              </w:tc>
            </w:tr>
          </w:tbl>
          <w:p w14:paraId="5DFE781B">
            <w:pPr>
              <w:pStyle w:val="58"/>
              <w:spacing w:after="0"/>
              <w:jc w:val="both"/>
              <w:rPr>
                <w:rFonts w:eastAsia="楷体_GB2312" w:cs="Calibri"/>
                <w:bCs/>
                <w:kern w:val="28"/>
                <w:lang w:eastAsia="zh-CN"/>
              </w:rPr>
            </w:pPr>
          </w:p>
        </w:tc>
      </w:tr>
    </w:tbl>
    <w:p w14:paraId="2890B99D">
      <w:pPr>
        <w:ind w:left="-160" w:leftChars="-100"/>
        <w:rPr>
          <w:rFonts w:cs="Calibri" w:eastAsiaTheme="minorEastAsia"/>
          <w:color w:val="23558C"/>
          <w:highlight w:val="yellow"/>
          <w:lang w:eastAsia="zh-CN"/>
        </w:rPr>
        <w:sectPr>
          <w:headerReference r:id="rId5" w:type="first"/>
          <w:footerReference r:id="rId8" w:type="first"/>
          <w:headerReference r:id="rId3" w:type="default"/>
          <w:footerReference r:id="rId6" w:type="default"/>
          <w:headerReference r:id="rId4" w:type="even"/>
          <w:footerReference r:id="rId7" w:type="even"/>
          <w:type w:val="continuous"/>
          <w:pgSz w:w="11910" w:h="16840"/>
          <w:pgMar w:top="567" w:right="567" w:bottom="1021" w:left="567" w:header="567" w:footer="918" w:gutter="0"/>
          <w:cols w:space="425" w:num="1"/>
          <w:docGrid w:linePitch="299" w:charSpace="0"/>
        </w:sectPr>
      </w:pPr>
      <w:r>
        <w:rPr>
          <w:rFonts w:cs="Calibri" w:eastAsiaTheme="minorEastAsia"/>
          <w:color w:val="23558C"/>
          <w:highlight w:val="yellow"/>
          <w:lang w:eastAsia="zh-CN"/>
        </w:rPr>
        <w:drawing>
          <wp:anchor distT="0" distB="0" distL="114300" distR="114300" simplePos="0" relativeHeight="251659264" behindDoc="1" locked="0" layoutInCell="1" allowOverlap="1">
            <wp:simplePos x="0" y="0"/>
            <wp:positionH relativeFrom="column">
              <wp:posOffset>-134620</wp:posOffset>
            </wp:positionH>
            <wp:positionV relativeFrom="paragraph">
              <wp:posOffset>9153525</wp:posOffset>
            </wp:positionV>
            <wp:extent cx="7106285" cy="129540"/>
            <wp:effectExtent l="0" t="0" r="10795" b="7620"/>
            <wp:wrapTight wrapText="bothSides">
              <wp:wrapPolygon>
                <wp:start x="0" y="0"/>
                <wp:lineTo x="0" y="19482"/>
                <wp:lineTo x="21540" y="19482"/>
                <wp:lineTo x="21540" y="0"/>
                <wp:lineTo x="0" y="0"/>
              </wp:wrapPolygon>
            </wp:wrapTight>
            <wp:docPr id="1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8"/>
                    <pic:cNvPicPr>
                      <a:picLocks noChangeAspect="1"/>
                    </pic:cNvPicPr>
                  </pic:nvPicPr>
                  <pic:blipFill>
                    <a:blip r:embed="rId26"/>
                    <a:stretch>
                      <a:fillRect/>
                    </a:stretch>
                  </pic:blipFill>
                  <pic:spPr>
                    <a:xfrm>
                      <a:off x="0" y="0"/>
                      <a:ext cx="7106285" cy="129540"/>
                    </a:xfrm>
                    <a:prstGeom prst="rect">
                      <a:avLst/>
                    </a:prstGeom>
                    <a:noFill/>
                    <a:ln>
                      <a:noFill/>
                    </a:ln>
                  </pic:spPr>
                </pic:pic>
              </a:graphicData>
            </a:graphic>
          </wp:anchor>
        </w:drawing>
      </w:r>
    </w:p>
    <w:sdt>
      <w:sdtPr>
        <w:rPr>
          <w:rFonts w:eastAsia="宋体" w:cs="Calibri"/>
          <w:sz w:val="21"/>
        </w:rPr>
        <w:id w:val="147479176"/>
        <w15:color w:val="DBDBDB"/>
        <w:docPartObj>
          <w:docPartGallery w:val="Table of Contents"/>
          <w:docPartUnique/>
        </w:docPartObj>
      </w:sdtPr>
      <w:sdtEndPr>
        <w:rPr>
          <w:rFonts w:eastAsia="宋体" w:cs="Calibri"/>
          <w:sz w:val="21"/>
          <w:lang w:eastAsia="zh-CN"/>
        </w:rPr>
      </w:sdtEndPr>
      <w:sdtContent>
        <w:p w14:paraId="532D7A00">
          <w:pPr>
            <w:rPr>
              <w:rFonts w:eastAsia="宋体" w:cs="Calibri"/>
              <w:b/>
              <w:bCs/>
              <w:sz w:val="30"/>
              <w:szCs w:val="30"/>
              <w:lang w:eastAsia="zh-CN"/>
            </w:rPr>
          </w:pPr>
          <w:r>
            <w:rPr>
              <w:rFonts w:eastAsia="宋体" w:cs="Calibri"/>
              <w:b/>
              <w:bCs/>
              <w:sz w:val="30"/>
              <w:szCs w:val="30"/>
              <w:lang w:eastAsia="zh-CN"/>
            </w:rPr>
            <w:t>Contents</w:t>
          </w:r>
        </w:p>
        <w:p w14:paraId="12AE3429">
          <w:pPr>
            <w:rPr>
              <w:rFonts w:eastAsia="宋体" w:cs="Calibri"/>
              <w:b/>
              <w:bCs/>
              <w:sz w:val="30"/>
              <w:szCs w:val="30"/>
              <w:lang w:eastAsia="zh-CN"/>
            </w:rPr>
          </w:pPr>
        </w:p>
        <w:p w14:paraId="4013BA6C">
          <w:pPr>
            <w:pStyle w:val="15"/>
            <w:tabs>
              <w:tab w:val="right" w:leader="dot" w:pos="7743"/>
            </w:tabs>
            <w:rPr>
              <w:rFonts w:ascii="Calibri" w:hAnsi="Calibri" w:cs="Calibri"/>
            </w:rPr>
          </w:pPr>
          <w:r>
            <w:rPr>
              <w:rFonts w:ascii="Calibri" w:hAnsi="Calibri" w:eastAsia="宋体" w:cs="Calibri"/>
            </w:rPr>
            <w:fldChar w:fldCharType="begin"/>
          </w:r>
          <w:r>
            <w:rPr>
              <w:rFonts w:ascii="Calibri" w:hAnsi="Calibri" w:eastAsia="宋体" w:cs="Calibri"/>
            </w:rPr>
            <w:instrText xml:space="preserve">TOC \o "1-3" \h \u </w:instrText>
          </w:r>
          <w:r>
            <w:rPr>
              <w:rFonts w:ascii="Calibri" w:hAnsi="Calibri" w:eastAsia="宋体" w:cs="Calibri"/>
            </w:rPr>
            <w:fldChar w:fldCharType="separate"/>
          </w:r>
          <w:r>
            <w:fldChar w:fldCharType="begin"/>
          </w:r>
          <w:r>
            <w:instrText xml:space="preserve"> HYPERLINK \l "_Toc12228" </w:instrText>
          </w:r>
          <w:r>
            <w:fldChar w:fldCharType="separate"/>
          </w:r>
          <w:r>
            <w:rPr>
              <w:rFonts w:ascii="Calibri" w:hAnsi="Calibri" w:cs="Calibri"/>
              <w:bCs/>
              <w:szCs w:val="24"/>
            </w:rPr>
            <w:t xml:space="preserve">1. </w:t>
          </w:r>
          <w:r>
            <w:rPr>
              <w:rFonts w:ascii="Calibri" w:hAnsi="Calibri" w:cs="Calibri"/>
              <w:bCs/>
              <w:szCs w:val="28"/>
            </w:rPr>
            <w:t>Bloom Energy: Provides an Distributed Electric Power Generation Solution</w:t>
          </w:r>
          <w:r>
            <w:rPr>
              <w:rFonts w:ascii="Calibri" w:hAnsi="Calibri" w:cs="Calibri"/>
            </w:rPr>
            <w:tab/>
          </w:r>
          <w:r>
            <w:rPr>
              <w:rFonts w:ascii="Calibri" w:hAnsi="Calibri" w:cs="Calibri"/>
            </w:rPr>
            <w:fldChar w:fldCharType="begin"/>
          </w:r>
          <w:r>
            <w:rPr>
              <w:rFonts w:ascii="Calibri" w:hAnsi="Calibri" w:cs="Calibri"/>
            </w:rPr>
            <w:instrText xml:space="preserve"> PAGEREF _Toc12228 \h </w:instrText>
          </w:r>
          <w:r>
            <w:rPr>
              <w:rFonts w:ascii="Calibri" w:hAnsi="Calibri" w:cs="Calibri"/>
            </w:rPr>
            <w:fldChar w:fldCharType="separate"/>
          </w:r>
          <w:r>
            <w:rPr>
              <w:rFonts w:ascii="Calibri" w:hAnsi="Calibri" w:cs="Calibri"/>
            </w:rPr>
            <w:t>1</w:t>
          </w:r>
          <w:r>
            <w:rPr>
              <w:rFonts w:ascii="Calibri" w:hAnsi="Calibri" w:cs="Calibri"/>
            </w:rPr>
            <w:fldChar w:fldCharType="end"/>
          </w:r>
          <w:r>
            <w:rPr>
              <w:rFonts w:ascii="Calibri" w:hAnsi="Calibri" w:cs="Calibri"/>
            </w:rPr>
            <w:fldChar w:fldCharType="end"/>
          </w:r>
        </w:p>
        <w:p w14:paraId="4FE39D8C">
          <w:pPr>
            <w:pStyle w:val="17"/>
            <w:tabs>
              <w:tab w:val="right" w:leader="dot" w:pos="7743"/>
            </w:tabs>
            <w:rPr>
              <w:rFonts w:ascii="Calibri" w:hAnsi="Calibri" w:cs="Calibri"/>
            </w:rPr>
          </w:pPr>
          <w:r>
            <w:fldChar w:fldCharType="begin"/>
          </w:r>
          <w:r>
            <w:instrText xml:space="preserve"> HYPERLINK \l "_Toc16317" </w:instrText>
          </w:r>
          <w:r>
            <w:fldChar w:fldCharType="separate"/>
          </w:r>
          <w:r>
            <w:rPr>
              <w:rFonts w:ascii="Calibri" w:hAnsi="Calibri" w:cs="Calibri"/>
              <w:bCs/>
              <w:szCs w:val="24"/>
            </w:rPr>
            <w:t>1.1 Converting natural gas to electricity, without combustion</w:t>
          </w:r>
          <w:r>
            <w:rPr>
              <w:rFonts w:ascii="Calibri" w:hAnsi="Calibri" w:cs="Calibri"/>
            </w:rPr>
            <w:tab/>
          </w:r>
          <w:r>
            <w:rPr>
              <w:rFonts w:ascii="Calibri" w:hAnsi="Calibri" w:cs="Calibri"/>
            </w:rPr>
            <w:fldChar w:fldCharType="begin"/>
          </w:r>
          <w:r>
            <w:rPr>
              <w:rFonts w:ascii="Calibri" w:hAnsi="Calibri" w:cs="Calibri"/>
            </w:rPr>
            <w:instrText xml:space="preserve"> PAGEREF _Toc16317 \h </w:instrText>
          </w:r>
          <w:r>
            <w:rPr>
              <w:rFonts w:ascii="Calibri" w:hAnsi="Calibri" w:cs="Calibri"/>
            </w:rPr>
            <w:fldChar w:fldCharType="separate"/>
          </w:r>
          <w:r>
            <w:rPr>
              <w:rFonts w:ascii="Calibri" w:hAnsi="Calibri" w:cs="Calibri"/>
            </w:rPr>
            <w:t>1</w:t>
          </w:r>
          <w:r>
            <w:rPr>
              <w:rFonts w:ascii="Calibri" w:hAnsi="Calibri" w:cs="Calibri"/>
            </w:rPr>
            <w:fldChar w:fldCharType="end"/>
          </w:r>
          <w:r>
            <w:rPr>
              <w:rFonts w:ascii="Calibri" w:hAnsi="Calibri" w:cs="Calibri"/>
            </w:rPr>
            <w:fldChar w:fldCharType="end"/>
          </w:r>
        </w:p>
        <w:p w14:paraId="6A1FD54E">
          <w:pPr>
            <w:pStyle w:val="17"/>
            <w:tabs>
              <w:tab w:val="right" w:leader="dot" w:pos="7743"/>
            </w:tabs>
            <w:rPr>
              <w:rFonts w:ascii="Calibri" w:hAnsi="Calibri" w:cs="Calibri"/>
            </w:rPr>
          </w:pPr>
          <w:r>
            <w:fldChar w:fldCharType="begin"/>
          </w:r>
          <w:r>
            <w:instrText xml:space="preserve"> HYPERLINK \l "_Toc31447" </w:instrText>
          </w:r>
          <w:r>
            <w:fldChar w:fldCharType="separate"/>
          </w:r>
          <w:r>
            <w:rPr>
              <w:rFonts w:ascii="Calibri" w:hAnsi="Calibri" w:eastAsia="楷体_GB2312" w:cs="Calibri"/>
            </w:rPr>
            <w:t xml:space="preserve">1.2 </w:t>
          </w:r>
          <w:r>
            <w:rPr>
              <w:rFonts w:ascii="Calibri" w:hAnsi="Calibri" w:eastAsia="楷体" w:cs="Calibri"/>
            </w:rPr>
            <w:t>Financial performance highlights</w:t>
          </w:r>
          <w:r>
            <w:rPr>
              <w:rFonts w:ascii="Calibri" w:hAnsi="Calibri" w:cs="Calibri"/>
            </w:rPr>
            <w:tab/>
          </w:r>
          <w:r>
            <w:rPr>
              <w:rFonts w:ascii="Calibri" w:hAnsi="Calibri" w:cs="Calibri"/>
            </w:rPr>
            <w:fldChar w:fldCharType="begin"/>
          </w:r>
          <w:r>
            <w:rPr>
              <w:rFonts w:ascii="Calibri" w:hAnsi="Calibri" w:cs="Calibri"/>
            </w:rPr>
            <w:instrText xml:space="preserve"> PAGEREF _Toc31447 \h </w:instrText>
          </w:r>
          <w:r>
            <w:rPr>
              <w:rFonts w:ascii="Calibri" w:hAnsi="Calibri" w:cs="Calibri"/>
            </w:rPr>
            <w:fldChar w:fldCharType="separate"/>
          </w:r>
          <w:r>
            <w:rPr>
              <w:rFonts w:ascii="Calibri" w:hAnsi="Calibri" w:cs="Calibri"/>
            </w:rPr>
            <w:t>8</w:t>
          </w:r>
          <w:r>
            <w:rPr>
              <w:rFonts w:ascii="Calibri" w:hAnsi="Calibri" w:cs="Calibri"/>
            </w:rPr>
            <w:fldChar w:fldCharType="end"/>
          </w:r>
          <w:r>
            <w:rPr>
              <w:rFonts w:ascii="Calibri" w:hAnsi="Calibri" w:cs="Calibri"/>
            </w:rPr>
            <w:fldChar w:fldCharType="end"/>
          </w:r>
        </w:p>
        <w:p w14:paraId="6246FC2F">
          <w:pPr>
            <w:pStyle w:val="15"/>
            <w:tabs>
              <w:tab w:val="right" w:leader="dot" w:pos="7743"/>
            </w:tabs>
            <w:rPr>
              <w:rFonts w:ascii="Calibri" w:hAnsi="Calibri" w:cs="Calibri"/>
            </w:rPr>
          </w:pPr>
          <w:r>
            <w:fldChar w:fldCharType="begin"/>
          </w:r>
          <w:r>
            <w:instrText xml:space="preserve"> HYPERLINK \l "_Toc21031" </w:instrText>
          </w:r>
          <w:r>
            <w:fldChar w:fldCharType="separate"/>
          </w:r>
          <w:r>
            <w:rPr>
              <w:rFonts w:ascii="Calibri" w:hAnsi="Calibri" w:eastAsia="楷体" w:cs="Calibri"/>
              <w:bCs/>
              <w:szCs w:val="28"/>
            </w:rPr>
            <w:t>2 SOFC: A New Solution for AIDC Power Supply</w:t>
          </w:r>
          <w:r>
            <w:rPr>
              <w:rFonts w:ascii="Calibri" w:hAnsi="Calibri" w:cs="Calibri"/>
            </w:rPr>
            <w:tab/>
          </w:r>
          <w:r>
            <w:rPr>
              <w:rFonts w:ascii="Calibri" w:hAnsi="Calibri" w:cs="Calibri"/>
            </w:rPr>
            <w:fldChar w:fldCharType="begin"/>
          </w:r>
          <w:r>
            <w:rPr>
              <w:rFonts w:ascii="Calibri" w:hAnsi="Calibri" w:cs="Calibri"/>
            </w:rPr>
            <w:instrText xml:space="preserve"> PAGEREF _Toc21031 \h </w:instrText>
          </w:r>
          <w:r>
            <w:rPr>
              <w:rFonts w:ascii="Calibri" w:hAnsi="Calibri" w:cs="Calibri"/>
            </w:rPr>
            <w:fldChar w:fldCharType="separate"/>
          </w:r>
          <w:r>
            <w:rPr>
              <w:rFonts w:ascii="Calibri" w:hAnsi="Calibri" w:cs="Calibri"/>
            </w:rPr>
            <w:t>10</w:t>
          </w:r>
          <w:r>
            <w:rPr>
              <w:rFonts w:ascii="Calibri" w:hAnsi="Calibri" w:cs="Calibri"/>
            </w:rPr>
            <w:fldChar w:fldCharType="end"/>
          </w:r>
          <w:r>
            <w:rPr>
              <w:rFonts w:ascii="Calibri" w:hAnsi="Calibri" w:cs="Calibri"/>
            </w:rPr>
            <w:fldChar w:fldCharType="end"/>
          </w:r>
        </w:p>
        <w:p w14:paraId="584571A9">
          <w:pPr>
            <w:pStyle w:val="17"/>
            <w:tabs>
              <w:tab w:val="right" w:leader="dot" w:pos="7743"/>
            </w:tabs>
            <w:rPr>
              <w:rFonts w:ascii="Calibri" w:hAnsi="Calibri" w:cs="Calibri"/>
            </w:rPr>
          </w:pPr>
          <w:r>
            <w:fldChar w:fldCharType="begin"/>
          </w:r>
          <w:r>
            <w:instrText xml:space="preserve"> HYPERLINK \l "_Toc5457" </w:instrText>
          </w:r>
          <w:r>
            <w:fldChar w:fldCharType="separate"/>
          </w:r>
          <w:r>
            <w:rPr>
              <w:rFonts w:ascii="Calibri" w:hAnsi="Calibri" w:eastAsia="楷体_GB2312" w:cs="Calibri"/>
            </w:rPr>
            <w:t xml:space="preserve">2.1 </w:t>
          </w:r>
          <w:r>
            <w:rPr>
              <w:rFonts w:ascii="Calibri" w:hAnsi="Calibri" w:eastAsia="楷体" w:cs="Calibri"/>
            </w:rPr>
            <w:t>US hyperscalers resorting to on-site power</w:t>
          </w:r>
          <w:r>
            <w:rPr>
              <w:rFonts w:ascii="Calibri" w:hAnsi="Calibri" w:cs="Calibri"/>
            </w:rPr>
            <w:tab/>
          </w:r>
          <w:r>
            <w:rPr>
              <w:rFonts w:ascii="Calibri" w:hAnsi="Calibri" w:cs="Calibri"/>
            </w:rPr>
            <w:fldChar w:fldCharType="begin"/>
          </w:r>
          <w:r>
            <w:rPr>
              <w:rFonts w:ascii="Calibri" w:hAnsi="Calibri" w:cs="Calibri"/>
            </w:rPr>
            <w:instrText xml:space="preserve"> PAGEREF _Toc5457 \h </w:instrText>
          </w:r>
          <w:r>
            <w:rPr>
              <w:rFonts w:ascii="Calibri" w:hAnsi="Calibri" w:cs="Calibri"/>
            </w:rPr>
            <w:fldChar w:fldCharType="separate"/>
          </w:r>
          <w:r>
            <w:rPr>
              <w:rFonts w:ascii="Calibri" w:hAnsi="Calibri" w:cs="Calibri"/>
            </w:rPr>
            <w:t>10</w:t>
          </w:r>
          <w:r>
            <w:rPr>
              <w:rFonts w:ascii="Calibri" w:hAnsi="Calibri" w:cs="Calibri"/>
            </w:rPr>
            <w:fldChar w:fldCharType="end"/>
          </w:r>
          <w:r>
            <w:rPr>
              <w:rFonts w:ascii="Calibri" w:hAnsi="Calibri" w:cs="Calibri"/>
            </w:rPr>
            <w:fldChar w:fldCharType="end"/>
          </w:r>
        </w:p>
        <w:p w14:paraId="7B265162">
          <w:pPr>
            <w:pStyle w:val="17"/>
            <w:tabs>
              <w:tab w:val="right" w:leader="dot" w:pos="7743"/>
            </w:tabs>
            <w:rPr>
              <w:rFonts w:ascii="Calibri" w:hAnsi="Calibri" w:cs="Calibri"/>
            </w:rPr>
          </w:pPr>
          <w:r>
            <w:fldChar w:fldCharType="begin"/>
          </w:r>
          <w:r>
            <w:instrText xml:space="preserve"> HYPERLINK \l "_Toc1967" </w:instrText>
          </w:r>
          <w:r>
            <w:fldChar w:fldCharType="separate"/>
          </w:r>
          <w:r>
            <w:rPr>
              <w:rFonts w:ascii="Calibri" w:hAnsi="Calibri" w:eastAsia="楷体_GB2312" w:cs="Calibri"/>
            </w:rPr>
            <w:t>2.2 SOFC: an ideal o</w:t>
          </w:r>
          <w:r>
            <w:rPr>
              <w:rFonts w:ascii="Calibri" w:hAnsi="Calibri" w:eastAsia="楷体" w:cs="Calibri"/>
            </w:rPr>
            <w:t>nsite power generation solution</w:t>
          </w:r>
          <w:r>
            <w:rPr>
              <w:rFonts w:ascii="Calibri" w:hAnsi="Calibri" w:cs="Calibri"/>
            </w:rPr>
            <w:tab/>
          </w:r>
          <w:r>
            <w:rPr>
              <w:rFonts w:ascii="Calibri" w:hAnsi="Calibri" w:cs="Calibri"/>
            </w:rPr>
            <w:fldChar w:fldCharType="begin"/>
          </w:r>
          <w:r>
            <w:rPr>
              <w:rFonts w:ascii="Calibri" w:hAnsi="Calibri" w:cs="Calibri"/>
            </w:rPr>
            <w:instrText xml:space="preserve"> PAGEREF _Toc1967 \h </w:instrText>
          </w:r>
          <w:r>
            <w:rPr>
              <w:rFonts w:ascii="Calibri" w:hAnsi="Calibri" w:cs="Calibri"/>
            </w:rPr>
            <w:fldChar w:fldCharType="separate"/>
          </w:r>
          <w:r>
            <w:rPr>
              <w:rFonts w:ascii="Calibri" w:hAnsi="Calibri" w:cs="Calibri"/>
            </w:rPr>
            <w:t>13</w:t>
          </w:r>
          <w:r>
            <w:rPr>
              <w:rFonts w:ascii="Calibri" w:hAnsi="Calibri" w:cs="Calibri"/>
            </w:rPr>
            <w:fldChar w:fldCharType="end"/>
          </w:r>
          <w:r>
            <w:rPr>
              <w:rFonts w:ascii="Calibri" w:hAnsi="Calibri" w:cs="Calibri"/>
            </w:rPr>
            <w:fldChar w:fldCharType="end"/>
          </w:r>
        </w:p>
        <w:p w14:paraId="080D1983">
          <w:pPr>
            <w:pStyle w:val="15"/>
            <w:tabs>
              <w:tab w:val="right" w:leader="dot" w:pos="7743"/>
            </w:tabs>
            <w:rPr>
              <w:rFonts w:ascii="Calibri" w:hAnsi="Calibri" w:cs="Calibri"/>
            </w:rPr>
          </w:pPr>
          <w:r>
            <w:fldChar w:fldCharType="begin"/>
          </w:r>
          <w:r>
            <w:instrText xml:space="preserve"> HYPERLINK \l "_Toc30579" </w:instrText>
          </w:r>
          <w:r>
            <w:fldChar w:fldCharType="separate"/>
          </w:r>
          <w:r>
            <w:rPr>
              <w:rFonts w:ascii="Calibri" w:hAnsi="Calibri" w:eastAsia="楷体" w:cs="Calibri"/>
              <w:bCs/>
              <w:szCs w:val="28"/>
            </w:rPr>
            <w:t>3 Bloom Is Set to Bloom</w:t>
          </w:r>
          <w:r>
            <w:rPr>
              <w:rFonts w:ascii="Calibri" w:hAnsi="Calibri" w:cs="Calibri"/>
            </w:rPr>
            <w:tab/>
          </w:r>
          <w:r>
            <w:rPr>
              <w:rFonts w:ascii="Calibri" w:hAnsi="Calibri" w:cs="Calibri"/>
            </w:rPr>
            <w:fldChar w:fldCharType="begin"/>
          </w:r>
          <w:r>
            <w:rPr>
              <w:rFonts w:ascii="Calibri" w:hAnsi="Calibri" w:cs="Calibri"/>
            </w:rPr>
            <w:instrText xml:space="preserve"> PAGEREF _Toc30579 \h </w:instrText>
          </w:r>
          <w:r>
            <w:rPr>
              <w:rFonts w:ascii="Calibri" w:hAnsi="Calibri" w:cs="Calibri"/>
            </w:rPr>
            <w:fldChar w:fldCharType="separate"/>
          </w:r>
          <w:r>
            <w:rPr>
              <w:rFonts w:ascii="Calibri" w:hAnsi="Calibri" w:cs="Calibri"/>
            </w:rPr>
            <w:t>15</w:t>
          </w:r>
          <w:r>
            <w:rPr>
              <w:rFonts w:ascii="Calibri" w:hAnsi="Calibri" w:cs="Calibri"/>
            </w:rPr>
            <w:fldChar w:fldCharType="end"/>
          </w:r>
          <w:r>
            <w:rPr>
              <w:rFonts w:ascii="Calibri" w:hAnsi="Calibri" w:cs="Calibri"/>
            </w:rPr>
            <w:fldChar w:fldCharType="end"/>
          </w:r>
        </w:p>
        <w:p w14:paraId="79986245">
          <w:pPr>
            <w:pStyle w:val="17"/>
            <w:tabs>
              <w:tab w:val="right" w:leader="dot" w:pos="7743"/>
            </w:tabs>
            <w:rPr>
              <w:rFonts w:ascii="Calibri" w:hAnsi="Calibri" w:cs="Calibri"/>
            </w:rPr>
          </w:pPr>
          <w:r>
            <w:fldChar w:fldCharType="begin"/>
          </w:r>
          <w:r>
            <w:instrText xml:space="preserve"> HYPERLINK \l "_Toc9281" </w:instrText>
          </w:r>
          <w:r>
            <w:fldChar w:fldCharType="separate"/>
          </w:r>
          <w:r>
            <w:rPr>
              <w:rFonts w:ascii="Calibri" w:hAnsi="Calibri" w:eastAsia="楷体" w:cs="Calibri"/>
              <w:bCs/>
              <w:kern w:val="2"/>
              <w:szCs w:val="24"/>
            </w:rPr>
            <w:t>3.1 Building and executing on order backlog</w:t>
          </w:r>
          <w:r>
            <w:rPr>
              <w:rFonts w:ascii="Calibri" w:hAnsi="Calibri" w:cs="Calibri"/>
            </w:rPr>
            <w:tab/>
          </w:r>
          <w:r>
            <w:rPr>
              <w:rFonts w:ascii="Calibri" w:hAnsi="Calibri" w:cs="Calibri"/>
            </w:rPr>
            <w:fldChar w:fldCharType="begin"/>
          </w:r>
          <w:r>
            <w:rPr>
              <w:rFonts w:ascii="Calibri" w:hAnsi="Calibri" w:cs="Calibri"/>
            </w:rPr>
            <w:instrText xml:space="preserve"> PAGEREF _Toc9281 \h </w:instrText>
          </w:r>
          <w:r>
            <w:rPr>
              <w:rFonts w:ascii="Calibri" w:hAnsi="Calibri" w:cs="Calibri"/>
            </w:rPr>
            <w:fldChar w:fldCharType="separate"/>
          </w:r>
          <w:r>
            <w:rPr>
              <w:rFonts w:ascii="Calibri" w:hAnsi="Calibri" w:cs="Calibri"/>
            </w:rPr>
            <w:t>16</w:t>
          </w:r>
          <w:r>
            <w:rPr>
              <w:rFonts w:ascii="Calibri" w:hAnsi="Calibri" w:cs="Calibri"/>
            </w:rPr>
            <w:fldChar w:fldCharType="end"/>
          </w:r>
          <w:r>
            <w:rPr>
              <w:rFonts w:ascii="Calibri" w:hAnsi="Calibri" w:cs="Calibri"/>
            </w:rPr>
            <w:fldChar w:fldCharType="end"/>
          </w:r>
        </w:p>
        <w:p w14:paraId="65FEED4C">
          <w:pPr>
            <w:pStyle w:val="17"/>
            <w:tabs>
              <w:tab w:val="right" w:leader="dot" w:pos="7743"/>
            </w:tabs>
            <w:rPr>
              <w:rFonts w:ascii="Calibri" w:hAnsi="Calibri" w:cs="Calibri"/>
            </w:rPr>
          </w:pPr>
          <w:r>
            <w:fldChar w:fldCharType="begin"/>
          </w:r>
          <w:r>
            <w:instrText xml:space="preserve"> HYPERLINK \l "_Toc30584" </w:instrText>
          </w:r>
          <w:r>
            <w:fldChar w:fldCharType="separate"/>
          </w:r>
          <w:r>
            <w:rPr>
              <w:rFonts w:ascii="Calibri" w:hAnsi="Calibri" w:eastAsia="楷体" w:cs="Calibri"/>
              <w:bCs/>
              <w:kern w:val="2"/>
              <w:szCs w:val="24"/>
            </w:rPr>
            <w:t>3.2 A new “go-to-market” strategy</w:t>
          </w:r>
          <w:r>
            <w:rPr>
              <w:rFonts w:ascii="Calibri" w:hAnsi="Calibri" w:cs="Calibri"/>
            </w:rPr>
            <w:tab/>
          </w:r>
          <w:r>
            <w:rPr>
              <w:rFonts w:ascii="Calibri" w:hAnsi="Calibri" w:cs="Calibri"/>
            </w:rPr>
            <w:fldChar w:fldCharType="begin"/>
          </w:r>
          <w:r>
            <w:rPr>
              <w:rFonts w:ascii="Calibri" w:hAnsi="Calibri" w:cs="Calibri"/>
            </w:rPr>
            <w:instrText xml:space="preserve"> PAGEREF _Toc30584 \h </w:instrText>
          </w:r>
          <w:r>
            <w:rPr>
              <w:rFonts w:ascii="Calibri" w:hAnsi="Calibri" w:cs="Calibri"/>
            </w:rPr>
            <w:fldChar w:fldCharType="separate"/>
          </w:r>
          <w:r>
            <w:rPr>
              <w:rFonts w:ascii="Calibri" w:hAnsi="Calibri" w:cs="Calibri"/>
            </w:rPr>
            <w:t>16</w:t>
          </w:r>
          <w:r>
            <w:rPr>
              <w:rFonts w:ascii="Calibri" w:hAnsi="Calibri" w:cs="Calibri"/>
            </w:rPr>
            <w:fldChar w:fldCharType="end"/>
          </w:r>
          <w:r>
            <w:rPr>
              <w:rFonts w:ascii="Calibri" w:hAnsi="Calibri" w:cs="Calibri"/>
            </w:rPr>
            <w:fldChar w:fldCharType="end"/>
          </w:r>
        </w:p>
        <w:p w14:paraId="7FE25CBD">
          <w:pPr>
            <w:pStyle w:val="15"/>
            <w:tabs>
              <w:tab w:val="right" w:leader="dot" w:pos="7743"/>
            </w:tabs>
            <w:rPr>
              <w:rFonts w:ascii="Calibri" w:hAnsi="Calibri" w:cs="Calibri"/>
            </w:rPr>
          </w:pPr>
          <w:r>
            <w:fldChar w:fldCharType="begin"/>
          </w:r>
          <w:r>
            <w:instrText xml:space="preserve"> HYPERLINK \l "_Toc18210" </w:instrText>
          </w:r>
          <w:r>
            <w:fldChar w:fldCharType="separate"/>
          </w:r>
          <w:r>
            <w:rPr>
              <w:rFonts w:ascii="Calibri" w:hAnsi="Calibri" w:eastAsia="楷体_GB2312" w:cs="Calibri"/>
            </w:rPr>
            <w:t>4.</w:t>
          </w:r>
          <w:r>
            <w:rPr>
              <w:rFonts w:ascii="Calibri" w:hAnsi="Calibri" w:cs="Calibri"/>
            </w:rPr>
            <w:t xml:space="preserve"> </w:t>
          </w:r>
          <w:r>
            <w:rPr>
              <w:rFonts w:ascii="Calibri" w:hAnsi="Calibri" w:eastAsia="楷体" w:cs="Calibri"/>
            </w:rPr>
            <w:t>Valuation&amp; recommendation</w:t>
          </w:r>
          <w:r>
            <w:rPr>
              <w:rFonts w:ascii="Calibri" w:hAnsi="Calibri" w:cs="Calibri"/>
            </w:rPr>
            <w:tab/>
          </w:r>
          <w:r>
            <w:rPr>
              <w:rFonts w:ascii="Calibri" w:hAnsi="Calibri" w:cs="Calibri"/>
            </w:rPr>
            <w:fldChar w:fldCharType="begin"/>
          </w:r>
          <w:r>
            <w:rPr>
              <w:rFonts w:ascii="Calibri" w:hAnsi="Calibri" w:cs="Calibri"/>
            </w:rPr>
            <w:instrText xml:space="preserve"> PAGEREF _Toc18210 \h </w:instrText>
          </w:r>
          <w:r>
            <w:rPr>
              <w:rFonts w:ascii="Calibri" w:hAnsi="Calibri" w:cs="Calibri"/>
            </w:rPr>
            <w:fldChar w:fldCharType="separate"/>
          </w:r>
          <w:r>
            <w:rPr>
              <w:rFonts w:ascii="Calibri" w:hAnsi="Calibri" w:cs="Calibri"/>
            </w:rPr>
            <w:t>17</w:t>
          </w:r>
          <w:r>
            <w:rPr>
              <w:rFonts w:ascii="Calibri" w:hAnsi="Calibri" w:cs="Calibri"/>
            </w:rPr>
            <w:fldChar w:fldCharType="end"/>
          </w:r>
          <w:r>
            <w:rPr>
              <w:rFonts w:ascii="Calibri" w:hAnsi="Calibri" w:cs="Calibri"/>
            </w:rPr>
            <w:fldChar w:fldCharType="end"/>
          </w:r>
        </w:p>
        <w:p w14:paraId="2A0CC096">
          <w:pPr>
            <w:pStyle w:val="15"/>
            <w:tabs>
              <w:tab w:val="right" w:leader="dot" w:pos="7743"/>
            </w:tabs>
            <w:rPr>
              <w:rFonts w:ascii="Calibri" w:hAnsi="Calibri" w:cs="Calibri"/>
            </w:rPr>
          </w:pPr>
          <w:r>
            <w:fldChar w:fldCharType="begin"/>
          </w:r>
          <w:r>
            <w:instrText xml:space="preserve"> HYPERLINK \l "_Toc14754" </w:instrText>
          </w:r>
          <w:r>
            <w:fldChar w:fldCharType="separate"/>
          </w:r>
          <w:r>
            <w:rPr>
              <w:rFonts w:ascii="Calibri" w:hAnsi="Calibri" w:eastAsia="楷体_GB2312" w:cs="Calibri"/>
            </w:rPr>
            <w:t>5. Risks</w:t>
          </w:r>
          <w:r>
            <w:rPr>
              <w:rFonts w:ascii="Calibri" w:hAnsi="Calibri" w:cs="Calibri"/>
            </w:rPr>
            <w:tab/>
          </w:r>
          <w:r>
            <w:rPr>
              <w:rFonts w:ascii="Calibri" w:hAnsi="Calibri" w:cs="Calibri"/>
            </w:rPr>
            <w:fldChar w:fldCharType="begin"/>
          </w:r>
          <w:r>
            <w:rPr>
              <w:rFonts w:ascii="Calibri" w:hAnsi="Calibri" w:cs="Calibri"/>
            </w:rPr>
            <w:instrText xml:space="preserve"> PAGEREF _Toc14754 \h </w:instrText>
          </w:r>
          <w:r>
            <w:rPr>
              <w:rFonts w:ascii="Calibri" w:hAnsi="Calibri" w:cs="Calibri"/>
            </w:rPr>
            <w:fldChar w:fldCharType="separate"/>
          </w:r>
          <w:r>
            <w:rPr>
              <w:rFonts w:ascii="Calibri" w:hAnsi="Calibri" w:cs="Calibri"/>
            </w:rPr>
            <w:t>18</w:t>
          </w:r>
          <w:r>
            <w:rPr>
              <w:rFonts w:ascii="Calibri" w:hAnsi="Calibri" w:cs="Calibri"/>
            </w:rPr>
            <w:fldChar w:fldCharType="end"/>
          </w:r>
          <w:r>
            <w:rPr>
              <w:rFonts w:ascii="Calibri" w:hAnsi="Calibri" w:cs="Calibri"/>
            </w:rPr>
            <w:fldChar w:fldCharType="end"/>
          </w:r>
        </w:p>
        <w:p w14:paraId="46451322">
          <w:pPr>
            <w:pStyle w:val="46"/>
            <w:rPr>
              <w:rFonts w:eastAsia="宋体" w:cs="Calibri"/>
              <w:lang w:eastAsia="zh-CN"/>
            </w:rPr>
          </w:pPr>
          <w:r>
            <w:rPr>
              <w:rFonts w:eastAsia="宋体" w:cs="Calibri"/>
              <w:lang w:eastAsia="zh-CN"/>
            </w:rPr>
            <w:fldChar w:fldCharType="end"/>
          </w:r>
        </w:p>
      </w:sdtContent>
    </w:sdt>
    <w:p w14:paraId="62FBD49E">
      <w:pPr>
        <w:pStyle w:val="46"/>
        <w:rPr>
          <w:rFonts w:eastAsia="宋体" w:cs="Calibri"/>
          <w:lang w:eastAsia="zh-CN"/>
        </w:rPr>
      </w:pPr>
    </w:p>
    <w:p w14:paraId="7218A65C">
      <w:pPr>
        <w:rPr>
          <w:rFonts w:cs="Calibri" w:eastAsiaTheme="minorEastAsia"/>
          <w:lang w:eastAsia="zh-CN"/>
        </w:rPr>
      </w:pPr>
    </w:p>
    <w:p w14:paraId="36B30604">
      <w:pPr>
        <w:rPr>
          <w:rFonts w:cs="Calibri" w:eastAsiaTheme="minorEastAsia"/>
          <w:lang w:eastAsia="zh-CN"/>
        </w:rPr>
      </w:pPr>
    </w:p>
    <w:p w14:paraId="0CFAA531">
      <w:pPr>
        <w:rPr>
          <w:rFonts w:cs="Calibri" w:eastAsiaTheme="minorEastAsia"/>
          <w:lang w:eastAsia="zh-CN"/>
        </w:rPr>
      </w:pPr>
    </w:p>
    <w:p w14:paraId="06A00532">
      <w:pPr>
        <w:rPr>
          <w:rFonts w:cs="Calibri" w:eastAsiaTheme="minorEastAsia"/>
          <w:lang w:eastAsia="zh-CN"/>
        </w:rPr>
      </w:pPr>
    </w:p>
    <w:p w14:paraId="43F41213">
      <w:pPr>
        <w:rPr>
          <w:rFonts w:cs="Calibri" w:eastAsiaTheme="minorEastAsia"/>
          <w:lang w:eastAsia="zh-CN"/>
        </w:rPr>
      </w:pPr>
    </w:p>
    <w:p w14:paraId="0566449D">
      <w:pPr>
        <w:rPr>
          <w:rFonts w:cs="Calibri" w:eastAsiaTheme="minorEastAsia"/>
          <w:lang w:eastAsia="zh-CN"/>
        </w:rPr>
      </w:pPr>
    </w:p>
    <w:p w14:paraId="3F62E91E">
      <w:pPr>
        <w:rPr>
          <w:rFonts w:cs="Calibri" w:eastAsiaTheme="minorEastAsia"/>
          <w:lang w:eastAsia="zh-CN"/>
        </w:rPr>
        <w:sectPr>
          <w:headerReference r:id="rId10" w:type="first"/>
          <w:headerReference r:id="rId9" w:type="default"/>
          <w:pgSz w:w="11910" w:h="16840"/>
          <w:pgMar w:top="567" w:right="567" w:bottom="1021" w:left="3600" w:header="567" w:footer="919" w:gutter="0"/>
          <w:cols w:space="425" w:num="1"/>
          <w:titlePg/>
          <w:docGrid w:linePitch="299" w:charSpace="0"/>
        </w:sectPr>
      </w:pPr>
    </w:p>
    <w:p w14:paraId="5095F293">
      <w:pPr>
        <w:numPr>
          <w:ilvl w:val="0"/>
          <w:numId w:val="2"/>
        </w:numPr>
        <w:outlineLvl w:val="0"/>
        <w:rPr>
          <w:rFonts w:cs="Calibri" w:eastAsiaTheme="minorEastAsia"/>
          <w:b/>
          <w:bCs/>
          <w:color w:val="23558C"/>
          <w:sz w:val="24"/>
          <w:szCs w:val="24"/>
          <w:lang w:eastAsia="zh-CN"/>
        </w:rPr>
      </w:pPr>
      <w:bookmarkStart w:id="0" w:name="_Toc12228"/>
      <w:r>
        <w:rPr>
          <w:rFonts w:cs="Calibri" w:eastAsiaTheme="minorEastAsia"/>
          <w:b/>
          <w:bCs/>
          <w:color w:val="23558C"/>
          <w:sz w:val="28"/>
          <w:szCs w:val="28"/>
          <w:lang w:eastAsia="zh-CN"/>
        </w:rPr>
        <w:t>Bloom Energy: Provides an Distributed Electric Power Generation Solution</w:t>
      </w:r>
      <w:bookmarkEnd w:id="0"/>
    </w:p>
    <w:p w14:paraId="2387C09B">
      <w:pPr>
        <w:rPr>
          <w:rFonts w:cs="Calibri" w:eastAsiaTheme="minorEastAsia"/>
          <w:b/>
          <w:bCs/>
          <w:color w:val="23558C"/>
          <w:sz w:val="24"/>
          <w:szCs w:val="24"/>
          <w:lang w:eastAsia="zh-CN"/>
        </w:rPr>
      </w:pPr>
      <w:r>
        <w:rPr>
          <w:rFonts w:cs="Calibri" w:eastAsiaTheme="minorEastAsia"/>
          <w:b/>
          <w:bCs/>
          <w:color w:val="23558C"/>
          <w:sz w:val="28"/>
          <w:szCs w:val="28"/>
          <w:lang w:eastAsia="zh-CN"/>
        </w:rPr>
        <w:t xml:space="preserve"> </w:t>
      </w:r>
    </w:p>
    <w:p w14:paraId="29F4AD90">
      <w:pPr>
        <w:outlineLvl w:val="1"/>
        <w:rPr>
          <w:rFonts w:cs="Calibri" w:eastAsiaTheme="minorEastAsia"/>
          <w:b/>
          <w:bCs/>
          <w:color w:val="23558C"/>
          <w:sz w:val="24"/>
          <w:szCs w:val="24"/>
          <w:lang w:eastAsia="zh-CN"/>
        </w:rPr>
      </w:pPr>
      <w:bookmarkStart w:id="1" w:name="_Toc16317"/>
      <w:r>
        <w:rPr>
          <w:rFonts w:cs="Calibri" w:eastAsiaTheme="minorEastAsia"/>
          <w:b/>
          <w:bCs/>
          <w:color w:val="23558C"/>
          <w:sz w:val="24"/>
          <w:szCs w:val="24"/>
          <w:lang w:eastAsia="zh-CN"/>
        </w:rPr>
        <w:t>1.1 Converting natural gas to electricity, without combustion</w:t>
      </w:r>
      <w:bookmarkEnd w:id="1"/>
    </w:p>
    <w:p w14:paraId="2AB32A15">
      <w:pPr>
        <w:rPr>
          <w:rFonts w:cs="Calibri" w:eastAsiaTheme="minorEastAsia"/>
          <w:b/>
          <w:bCs/>
          <w:sz w:val="18"/>
          <w:szCs w:val="18"/>
          <w:lang w:eastAsia="zh-CN"/>
        </w:rPr>
      </w:pPr>
      <w:r>
        <w:rPr>
          <w:rFonts w:cs="Calibri" w:eastAsiaTheme="minorEastAsia"/>
          <w:b/>
          <w:bCs/>
          <w:sz w:val="18"/>
          <w:szCs w:val="18"/>
          <w:lang w:eastAsia="zh-CN"/>
        </w:rPr>
        <w:t xml:space="preserve"> </w:t>
      </w:r>
    </w:p>
    <w:p w14:paraId="36622705">
      <w:pPr>
        <w:rPr>
          <w:rFonts w:cs="Calibri" w:eastAsiaTheme="minorEastAsia"/>
          <w:sz w:val="22"/>
          <w:szCs w:val="22"/>
          <w:lang w:eastAsia="zh-CN"/>
        </w:rPr>
      </w:pPr>
      <w:r>
        <w:rPr>
          <w:rFonts w:cs="Calibri" w:eastAsiaTheme="minorEastAsia"/>
          <w:b/>
          <w:bCs/>
          <w:sz w:val="22"/>
          <w:szCs w:val="22"/>
          <w:lang w:eastAsia="zh-CN"/>
        </w:rPr>
        <w:t xml:space="preserve">Bloom Energy is an leading producer of solid oxide fuel cells (SOFC), </w:t>
      </w:r>
      <w:r>
        <w:rPr>
          <w:rFonts w:cs="Calibri" w:eastAsiaTheme="minorEastAsia"/>
          <w:sz w:val="22"/>
          <w:szCs w:val="22"/>
          <w:lang w:eastAsia="zh-CN"/>
        </w:rPr>
        <w:t>which run on natural gas to produce electric power without combustion.</w:t>
      </w:r>
      <w:r>
        <w:rPr>
          <w:rFonts w:hint="eastAsia" w:cs="Calibri" w:eastAsiaTheme="minorEastAsia"/>
          <w:sz w:val="22"/>
          <w:szCs w:val="22"/>
          <w:lang w:eastAsia="zh-CN"/>
        </w:rPr>
        <w:t xml:space="preserve"> The company is headquartered in San Jose, CA.</w:t>
      </w:r>
    </w:p>
    <w:p w14:paraId="6E7FB7EA">
      <w:pPr>
        <w:rPr>
          <w:rFonts w:cs="Calibri" w:eastAsiaTheme="minorEastAsia"/>
          <w:sz w:val="22"/>
          <w:szCs w:val="22"/>
          <w:lang w:eastAsia="zh-CN"/>
        </w:rPr>
      </w:pPr>
    </w:p>
    <w:p w14:paraId="34BF88B1">
      <w:pPr>
        <w:rPr>
          <w:rFonts w:cs="Calibri" w:eastAsiaTheme="minorEastAsia"/>
          <w:sz w:val="22"/>
          <w:szCs w:val="22"/>
          <w:lang w:eastAsia="zh-CN"/>
        </w:rPr>
      </w:pPr>
      <w:r>
        <w:rPr>
          <w:rFonts w:hint="eastAsia" w:cs="Calibri" w:eastAsiaTheme="minorEastAsia"/>
          <w:b/>
          <w:bCs/>
          <w:sz w:val="22"/>
          <w:szCs w:val="22"/>
          <w:lang w:eastAsia="zh-CN"/>
        </w:rPr>
        <w:t>Its flagship commercial offering is the Bloom Energy Server Series 10,</w:t>
      </w:r>
      <w:r>
        <w:rPr>
          <w:rFonts w:hint="eastAsia" w:cs="Calibri" w:eastAsiaTheme="minorEastAsia"/>
          <w:sz w:val="22"/>
          <w:szCs w:val="22"/>
          <w:lang w:eastAsia="zh-CN"/>
        </w:rPr>
        <w:t xml:space="preserve"> which is particularly tailored for the rapid-growth data center and large-scale industrial markets. The Series 10 is a modular 10 MW fuel cell block designed for unprecedented speed-to-market, </w:t>
      </w:r>
      <w:r>
        <w:rPr>
          <w:rFonts w:hint="eastAsia" w:cs="Calibri" w:eastAsiaTheme="minorEastAsia"/>
          <w:b/>
          <w:bCs/>
          <w:sz w:val="22"/>
          <w:szCs w:val="22"/>
          <w:lang w:eastAsia="zh-CN"/>
        </w:rPr>
        <w:t xml:space="preserve">capable of being shipped in as little as 50 days vs 9 to 12 months pre-2022. </w:t>
      </w:r>
      <w:r>
        <w:rPr>
          <w:rFonts w:hint="eastAsia" w:cs="Calibri" w:eastAsiaTheme="minorEastAsia"/>
          <w:sz w:val="22"/>
          <w:szCs w:val="22"/>
          <w:lang w:eastAsia="zh-CN"/>
        </w:rPr>
        <w:t>Technically, the Series 10 leverages BE</w:t>
      </w:r>
      <w:r>
        <w:rPr>
          <w:rFonts w:cs="Calibri" w:eastAsiaTheme="minorEastAsia"/>
          <w:sz w:val="22"/>
          <w:szCs w:val="22"/>
          <w:lang w:eastAsia="zh-CN"/>
        </w:rPr>
        <w:t>’</w:t>
      </w:r>
      <w:r>
        <w:rPr>
          <w:rFonts w:hint="eastAsia" w:cs="Calibri" w:eastAsiaTheme="minorEastAsia"/>
          <w:sz w:val="22"/>
          <w:szCs w:val="22"/>
          <w:lang w:eastAsia="zh-CN"/>
        </w:rPr>
        <w:t xml:space="preserve">s solid oxide technology to provide 24/7 </w:t>
      </w:r>
      <w:r>
        <w:rPr>
          <w:rFonts w:cs="Calibri" w:eastAsiaTheme="minorEastAsia"/>
          <w:sz w:val="22"/>
          <w:szCs w:val="22"/>
          <w:lang w:eastAsia="zh-CN"/>
        </w:rPr>
        <w:t>“</w:t>
      </w:r>
      <w:r>
        <w:rPr>
          <w:rFonts w:hint="eastAsia" w:cs="Calibri" w:eastAsiaTheme="minorEastAsia"/>
          <w:sz w:val="22"/>
          <w:szCs w:val="22"/>
          <w:lang w:eastAsia="zh-CN"/>
        </w:rPr>
        <w:t>AlwaysOn</w:t>
      </w:r>
      <w:r>
        <w:rPr>
          <w:rFonts w:cs="Calibri" w:eastAsiaTheme="minorEastAsia"/>
          <w:sz w:val="22"/>
          <w:szCs w:val="22"/>
          <w:lang w:eastAsia="zh-CN"/>
        </w:rPr>
        <w:t>”</w:t>
      </w:r>
      <w:r>
        <w:rPr>
          <w:rFonts w:hint="eastAsia" w:cs="Calibri" w:eastAsiaTheme="minorEastAsia"/>
          <w:sz w:val="22"/>
          <w:szCs w:val="22"/>
          <w:lang w:eastAsia="zh-CN"/>
        </w:rPr>
        <w:t xml:space="preserve"> power with 100% output guaranteed, is net-zero compliant, and is fuel-flexible—meaning it can run on natural gas today and transition to 100% hydrogen in the future without hardware changes.</w:t>
      </w:r>
    </w:p>
    <w:p w14:paraId="32EBAB5E">
      <w:pPr>
        <w:rPr>
          <w:rFonts w:cs="Calibri" w:eastAsiaTheme="minorEastAsia"/>
          <w:sz w:val="22"/>
          <w:szCs w:val="22"/>
          <w:lang w:eastAsia="zh-CN"/>
        </w:rPr>
      </w:pPr>
    </w:p>
    <w:tbl>
      <w:tblPr>
        <w:tblStyle w:val="21"/>
        <w:tblpPr w:leftFromText="180" w:rightFromText="180" w:vertAnchor="text" w:horzAnchor="page" w:tblpX="973" w:tblpY="38"/>
        <w:tblOverlap w:val="never"/>
        <w:tblW w:w="101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160"/>
      </w:tblGrid>
      <w:tr w14:paraId="00F46F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3" w:hRule="atLeast"/>
        </w:trPr>
        <w:tc>
          <w:tcPr>
            <w:tcW w:w="10160" w:type="dxa"/>
            <w:tcBorders>
              <w:bottom w:val="nil"/>
            </w:tcBorders>
          </w:tcPr>
          <w:p w14:paraId="161A106A">
            <w:pPr>
              <w:rPr>
                <w:rFonts w:cs="Calibri" w:eastAsiaTheme="minorEastAsia"/>
                <w:b/>
                <w:bCs/>
                <w:sz w:val="22"/>
                <w:szCs w:val="22"/>
                <w:lang w:eastAsia="zh-CN"/>
              </w:rPr>
            </w:pPr>
            <w:bookmarkStart w:id="18" w:name="_GoBack" w:colFirst="0" w:colLast="0"/>
            <w:bookmarkStart w:id="2" w:name="_Hlk216640996"/>
            <w:r>
              <w:rPr>
                <w:rFonts w:hint="eastAsia" w:cs="Calibri" w:eastAsiaTheme="minorEastAsia"/>
                <w:b/>
                <w:bCs/>
                <w:sz w:val="22"/>
                <w:szCs w:val="22"/>
                <w:lang w:eastAsia="zh-CN"/>
              </w:rPr>
              <w:t>Figure: BE’s SOFC converting natural gas to electricity, without combustion</w:t>
            </w:r>
          </w:p>
        </w:tc>
      </w:tr>
      <w:tr w14:paraId="159622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9" w:hRule="atLeast"/>
        </w:trPr>
        <w:tc>
          <w:tcPr>
            <w:tcW w:w="10160" w:type="dxa"/>
            <w:tcBorders>
              <w:top w:val="nil"/>
              <w:bottom w:val="nil"/>
            </w:tcBorders>
            <w:tcMar>
              <w:top w:w="28" w:type="dxa"/>
              <w:bottom w:w="28" w:type="dxa"/>
            </w:tcMar>
            <w:vAlign w:val="center"/>
          </w:tcPr>
          <w:p w14:paraId="3C57F671">
            <w:pPr>
              <w:rPr>
                <w:rFonts w:cs="Calibri" w:eastAsiaTheme="minorEastAsia"/>
                <w:b/>
                <w:bCs/>
                <w:sz w:val="22"/>
                <w:szCs w:val="22"/>
                <w:lang w:eastAsia="zh-CN"/>
              </w:rPr>
            </w:pPr>
            <w:r>
              <w:rPr>
                <w:rFonts w:hint="eastAsia" w:cs="Calibri" w:eastAsiaTheme="minorEastAsia"/>
                <w:b/>
                <w:bCs/>
                <w:sz w:val="22"/>
                <w:szCs w:val="22"/>
                <w:lang w:eastAsia="zh-CN"/>
              </w:rPr>
              <w:drawing>
                <wp:inline distT="0" distB="0" distL="114300" distR="114300">
                  <wp:extent cx="6343650" cy="2674620"/>
                  <wp:effectExtent l="0" t="0" r="11430" b="762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27"/>
                          <a:stretch>
                            <a:fillRect/>
                          </a:stretch>
                        </pic:blipFill>
                        <pic:spPr>
                          <a:xfrm>
                            <a:off x="0" y="0"/>
                            <a:ext cx="6343650" cy="2674620"/>
                          </a:xfrm>
                          <a:prstGeom prst="rect">
                            <a:avLst/>
                          </a:prstGeom>
                          <a:noFill/>
                          <a:ln>
                            <a:noFill/>
                          </a:ln>
                        </pic:spPr>
                      </pic:pic>
                    </a:graphicData>
                  </a:graphic>
                </wp:inline>
              </w:drawing>
            </w:r>
          </w:p>
        </w:tc>
      </w:tr>
      <w:tr w14:paraId="44C264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1" w:hRule="atLeast"/>
        </w:trPr>
        <w:tc>
          <w:tcPr>
            <w:tcW w:w="10160" w:type="dxa"/>
            <w:tcBorders>
              <w:top w:val="nil"/>
              <w:bottom w:val="nil"/>
            </w:tcBorders>
          </w:tcPr>
          <w:p w14:paraId="3BB25DB9">
            <w:pPr>
              <w:rPr>
                <w:rFonts w:cs="Calibri" w:eastAsiaTheme="minorEastAsia"/>
                <w:b/>
                <w:bCs/>
                <w:sz w:val="22"/>
                <w:szCs w:val="22"/>
                <w:lang w:eastAsia="zh-CN"/>
              </w:rPr>
            </w:pPr>
            <w:r>
              <w:rPr>
                <w:rFonts w:hint="eastAsia" w:cs="Calibri" w:eastAsiaTheme="minorEastAsia"/>
                <w:b/>
                <w:bCs/>
                <w:sz w:val="22"/>
                <w:szCs w:val="22"/>
                <w:lang w:eastAsia="zh-CN"/>
              </w:rPr>
              <w:t>Source: Company, HFI</w:t>
            </w:r>
          </w:p>
        </w:tc>
      </w:tr>
      <w:bookmarkEnd w:id="18"/>
      <w:tr w14:paraId="42F93F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2" w:hRule="atLeast"/>
        </w:trPr>
        <w:tc>
          <w:tcPr>
            <w:tcW w:w="10160" w:type="dxa"/>
            <w:tcBorders>
              <w:top w:val="nil"/>
            </w:tcBorders>
          </w:tcPr>
          <w:p w14:paraId="709C9B28">
            <w:pPr>
              <w:rPr>
                <w:rFonts w:cs="Calibri" w:eastAsiaTheme="minorEastAsia"/>
                <w:b/>
                <w:bCs/>
                <w:sz w:val="22"/>
                <w:szCs w:val="22"/>
                <w:lang w:eastAsia="zh-CN"/>
              </w:rPr>
            </w:pPr>
          </w:p>
        </w:tc>
      </w:tr>
      <w:bookmarkEnd w:id="2"/>
    </w:tbl>
    <w:p w14:paraId="6F0E6F26">
      <w:pPr>
        <w:rPr>
          <w:rFonts w:cs="Calibri" w:eastAsiaTheme="minorEastAsia"/>
          <w:b/>
          <w:bCs/>
          <w:sz w:val="22"/>
          <w:szCs w:val="22"/>
          <w:lang w:eastAsia="zh-CN"/>
        </w:rPr>
      </w:pPr>
    </w:p>
    <w:p w14:paraId="17CB07EF">
      <w:pPr>
        <w:rPr>
          <w:rFonts w:cs="Calibri" w:eastAsiaTheme="minorEastAsia"/>
          <w:b/>
          <w:bCs/>
          <w:sz w:val="22"/>
          <w:szCs w:val="22"/>
          <w:lang w:eastAsia="zh-CN"/>
        </w:rPr>
      </w:pPr>
    </w:p>
    <w:p w14:paraId="62FC0A81">
      <w:pPr>
        <w:rPr>
          <w:rFonts w:cs="Calibri" w:eastAsiaTheme="minorEastAsia"/>
          <w:b/>
          <w:bCs/>
          <w:sz w:val="22"/>
          <w:szCs w:val="22"/>
          <w:lang w:eastAsia="zh-CN"/>
        </w:rPr>
      </w:pPr>
    </w:p>
    <w:p w14:paraId="7A2BD6EB">
      <w:pPr>
        <w:rPr>
          <w:rFonts w:cs="Calibri" w:eastAsiaTheme="minorEastAsia"/>
          <w:b/>
          <w:bCs/>
          <w:sz w:val="22"/>
          <w:szCs w:val="22"/>
          <w:lang w:eastAsia="zh-CN"/>
        </w:rPr>
      </w:pPr>
    </w:p>
    <w:p w14:paraId="7EE0F053">
      <w:pPr>
        <w:rPr>
          <w:rFonts w:cs="Calibri" w:eastAsiaTheme="minorEastAsia"/>
          <w:b/>
          <w:bCs/>
          <w:sz w:val="22"/>
          <w:szCs w:val="22"/>
          <w:lang w:eastAsia="zh-CN"/>
        </w:rPr>
      </w:pPr>
    </w:p>
    <w:p w14:paraId="1670A334">
      <w:pPr>
        <w:rPr>
          <w:rFonts w:cs="Calibri" w:eastAsiaTheme="minorEastAsia"/>
          <w:b/>
          <w:bCs/>
          <w:sz w:val="22"/>
          <w:szCs w:val="22"/>
          <w:lang w:eastAsia="zh-CN"/>
        </w:rPr>
      </w:pPr>
    </w:p>
    <w:p w14:paraId="7A31CFE3">
      <w:pPr>
        <w:rPr>
          <w:rFonts w:cs="Calibri" w:eastAsiaTheme="minorEastAsia"/>
          <w:b/>
          <w:bCs/>
          <w:sz w:val="22"/>
          <w:szCs w:val="22"/>
          <w:lang w:eastAsia="zh-CN"/>
        </w:rPr>
      </w:pPr>
    </w:p>
    <w:p w14:paraId="64013B09">
      <w:pPr>
        <w:rPr>
          <w:rFonts w:cs="Calibri" w:eastAsiaTheme="minorEastAsia"/>
          <w:b/>
          <w:bCs/>
          <w:sz w:val="22"/>
          <w:szCs w:val="22"/>
          <w:lang w:eastAsia="zh-CN"/>
        </w:rPr>
      </w:pPr>
    </w:p>
    <w:p w14:paraId="1E42C6FA">
      <w:pPr>
        <w:rPr>
          <w:rFonts w:cs="Calibri" w:eastAsiaTheme="minorEastAsia"/>
          <w:b/>
          <w:bCs/>
          <w:sz w:val="22"/>
          <w:szCs w:val="22"/>
          <w:lang w:eastAsia="zh-CN"/>
        </w:rPr>
      </w:pPr>
    </w:p>
    <w:p w14:paraId="02D81E38">
      <w:pPr>
        <w:rPr>
          <w:rFonts w:cs="Calibri" w:eastAsiaTheme="minorEastAsia"/>
          <w:b/>
          <w:bCs/>
          <w:sz w:val="22"/>
          <w:szCs w:val="22"/>
          <w:lang w:eastAsia="zh-CN"/>
        </w:rPr>
      </w:pPr>
    </w:p>
    <w:p w14:paraId="380C0311">
      <w:pPr>
        <w:rPr>
          <w:rFonts w:cs="Calibri" w:eastAsiaTheme="minorEastAsia"/>
          <w:b/>
          <w:bCs/>
          <w:sz w:val="22"/>
          <w:szCs w:val="22"/>
          <w:lang w:eastAsia="zh-CN"/>
        </w:rPr>
      </w:pPr>
    </w:p>
    <w:p w14:paraId="3FDE69E9">
      <w:pPr>
        <w:rPr>
          <w:rFonts w:cs="Calibri" w:eastAsiaTheme="minorEastAsia"/>
          <w:b/>
          <w:bCs/>
          <w:sz w:val="22"/>
          <w:szCs w:val="22"/>
          <w:lang w:eastAsia="zh-CN"/>
        </w:rPr>
      </w:pPr>
    </w:p>
    <w:p w14:paraId="5291EC1B">
      <w:pPr>
        <w:rPr>
          <w:rFonts w:cs="Calibri" w:eastAsiaTheme="minorEastAsia"/>
          <w:b/>
          <w:bCs/>
          <w:sz w:val="22"/>
          <w:szCs w:val="22"/>
          <w:lang w:eastAsia="zh-CN"/>
        </w:rPr>
      </w:pPr>
    </w:p>
    <w:p w14:paraId="431BA731">
      <w:pPr>
        <w:rPr>
          <w:rFonts w:cs="Calibri" w:eastAsiaTheme="minorEastAsia"/>
          <w:b/>
          <w:bCs/>
          <w:sz w:val="22"/>
          <w:szCs w:val="22"/>
          <w:lang w:eastAsia="zh-CN"/>
        </w:rPr>
      </w:pPr>
    </w:p>
    <w:p w14:paraId="16E9E569">
      <w:pPr>
        <w:rPr>
          <w:rFonts w:cs="Calibri" w:eastAsiaTheme="minorEastAsia"/>
          <w:b/>
          <w:bCs/>
          <w:sz w:val="22"/>
          <w:szCs w:val="22"/>
          <w:lang w:eastAsia="zh-CN"/>
        </w:rPr>
        <w:sectPr>
          <w:footerReference r:id="rId12" w:type="first"/>
          <w:footerReference r:id="rId11" w:type="default"/>
          <w:pgSz w:w="11910" w:h="16840"/>
          <w:pgMar w:top="567" w:right="567" w:bottom="1021" w:left="3600" w:header="567" w:footer="919" w:gutter="0"/>
          <w:pgNumType w:start="1"/>
          <w:cols w:space="425" w:num="1"/>
          <w:titlePg/>
          <w:docGrid w:linePitch="299" w:charSpace="0"/>
        </w:sectPr>
      </w:pPr>
    </w:p>
    <w:tbl>
      <w:tblPr>
        <w:tblStyle w:val="20"/>
        <w:tblpPr w:leftFromText="180" w:rightFromText="180" w:vertAnchor="text" w:horzAnchor="page" w:tblpX="3594" w:tblpY="244"/>
        <w:tblOverlap w:val="never"/>
        <w:tblW w:w="7466" w:type="dxa"/>
        <w:tblInd w:w="0" w:type="dxa"/>
        <w:tblLayout w:type="fixed"/>
        <w:tblCellMar>
          <w:top w:w="0" w:type="dxa"/>
          <w:left w:w="108" w:type="dxa"/>
          <w:bottom w:w="0" w:type="dxa"/>
          <w:right w:w="108" w:type="dxa"/>
        </w:tblCellMar>
      </w:tblPr>
      <w:tblGrid>
        <w:gridCol w:w="7466"/>
      </w:tblGrid>
      <w:tr w14:paraId="33E242D9">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2612A21F">
            <w:pPr>
              <w:rPr>
                <w:rFonts w:cs="Calibri" w:eastAsiaTheme="minorEastAsia"/>
                <w:sz w:val="22"/>
                <w:szCs w:val="22"/>
                <w:lang w:eastAsia="zh-CN"/>
              </w:rPr>
            </w:pPr>
            <w:r>
              <w:rPr>
                <w:rFonts w:hint="eastAsia" w:cs="Calibri" w:eastAsiaTheme="minorEastAsia"/>
                <w:b/>
                <w:bCs/>
                <w:sz w:val="22"/>
                <w:szCs w:val="22"/>
                <w:lang w:eastAsia="zh-CN"/>
              </w:rPr>
              <w:t>Figure: Bloom Energy Server Series 10 specifications</w:t>
            </w:r>
          </w:p>
        </w:tc>
      </w:tr>
      <w:tr w14:paraId="3B09DAC3">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0A2B5288">
            <w:pPr>
              <w:ind w:left="-160" w:leftChars="-100"/>
              <w:rPr>
                <w:rFonts w:cs="Calibri" w:eastAsiaTheme="minorEastAsia"/>
                <w:sz w:val="22"/>
                <w:szCs w:val="22"/>
                <w:lang w:eastAsia="zh-CN"/>
              </w:rPr>
            </w:pPr>
            <w:r>
              <w:rPr>
                <w:rFonts w:hint="eastAsia" w:cs="Calibri" w:eastAsiaTheme="minorEastAsia"/>
                <w:sz w:val="22"/>
                <w:szCs w:val="22"/>
                <w:lang w:eastAsia="zh-CN"/>
              </w:rPr>
              <w:drawing>
                <wp:inline distT="0" distB="0" distL="114300" distR="114300">
                  <wp:extent cx="4757420" cy="2969895"/>
                  <wp:effectExtent l="0" t="0" r="12700" b="1905"/>
                  <wp:docPr id="2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0"/>
                          <pic:cNvPicPr>
                            <a:picLocks noChangeAspect="1"/>
                          </pic:cNvPicPr>
                        </pic:nvPicPr>
                        <pic:blipFill>
                          <a:blip r:embed="rId28"/>
                          <a:stretch>
                            <a:fillRect/>
                          </a:stretch>
                        </pic:blipFill>
                        <pic:spPr>
                          <a:xfrm>
                            <a:off x="0" y="0"/>
                            <a:ext cx="4757420" cy="2969895"/>
                          </a:xfrm>
                          <a:prstGeom prst="rect">
                            <a:avLst/>
                          </a:prstGeom>
                          <a:noFill/>
                          <a:ln>
                            <a:noFill/>
                          </a:ln>
                        </pic:spPr>
                      </pic:pic>
                    </a:graphicData>
                  </a:graphic>
                </wp:inline>
              </w:drawing>
            </w:r>
          </w:p>
        </w:tc>
      </w:tr>
      <w:tr w14:paraId="7D9EA654">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041A3CE4">
            <w:pPr>
              <w:rPr>
                <w:rFonts w:cs="Calibri" w:eastAsiaTheme="minorEastAsia"/>
                <w:sz w:val="22"/>
                <w:szCs w:val="22"/>
                <w:lang w:eastAsia="zh-CN"/>
              </w:rPr>
            </w:pPr>
            <w:r>
              <w:rPr>
                <w:rFonts w:hint="eastAsia" w:cs="Calibri" w:eastAsiaTheme="minorEastAsia"/>
                <w:b/>
                <w:bCs/>
                <w:sz w:val="22"/>
                <w:szCs w:val="22"/>
                <w:lang w:eastAsia="zh-CN"/>
              </w:rPr>
              <w:t>Source: Company, HFI</w:t>
            </w:r>
          </w:p>
        </w:tc>
      </w:tr>
    </w:tbl>
    <w:p w14:paraId="4A5FEADD">
      <w:pPr>
        <w:rPr>
          <w:rFonts w:cs="Calibri" w:eastAsiaTheme="minorEastAsia"/>
          <w:sz w:val="22"/>
          <w:szCs w:val="22"/>
          <w:lang w:eastAsia="zh-CN"/>
        </w:rPr>
      </w:pPr>
    </w:p>
    <w:p w14:paraId="5CC1EDFC">
      <w:pPr>
        <w:rPr>
          <w:rFonts w:cs="Calibri" w:eastAsiaTheme="minorEastAsia"/>
          <w:sz w:val="22"/>
          <w:szCs w:val="22"/>
          <w:lang w:eastAsia="zh-CN"/>
        </w:rPr>
      </w:pPr>
      <w:r>
        <w:rPr>
          <w:rFonts w:cs="Calibri" w:eastAsiaTheme="minorEastAsia"/>
          <w:b/>
          <w:bCs/>
          <w:sz w:val="22"/>
          <w:szCs w:val="22"/>
          <w:lang w:eastAsia="zh-CN"/>
        </w:rPr>
        <w:t xml:space="preserve">BE is also </w:t>
      </w:r>
      <w:r>
        <w:rPr>
          <w:rFonts w:hint="eastAsia" w:cs="Calibri" w:eastAsiaTheme="minorEastAsia"/>
          <w:b/>
          <w:bCs/>
          <w:sz w:val="22"/>
          <w:szCs w:val="22"/>
          <w:lang w:eastAsia="zh-CN"/>
        </w:rPr>
        <w:t xml:space="preserve">a producer of Solid Oxide Electrolyzers Cells (SOEC) with its product Bloom Electrolyzer, </w:t>
      </w:r>
      <w:r>
        <w:rPr>
          <w:rFonts w:hint="eastAsia" w:cs="Calibri" w:eastAsiaTheme="minorEastAsia"/>
          <w:sz w:val="22"/>
          <w:szCs w:val="22"/>
          <w:lang w:eastAsia="zh-CN"/>
        </w:rPr>
        <w:t>which generates hydrogen from electricity, providing clean, carbon-free fuel for power generation</w:t>
      </w:r>
      <w:r>
        <w:rPr>
          <w:rFonts w:cs="Calibri" w:eastAsiaTheme="minorEastAsia"/>
          <w:sz w:val="22"/>
          <w:szCs w:val="22"/>
          <w:lang w:eastAsia="zh-CN"/>
        </w:rPr>
        <w:t>. Running at high temperatures and high availability, the pilot results reveal the Bloom Electrolyzer is producing hydrogen at 37.5 kWh per kilogram of hydrogen at the system level. Alternative efficient electrolyzer technologies, such as PEM or Alkaline, consume as much as 52 – 54 kWh per kilogram of hydrogen produced.</w:t>
      </w:r>
    </w:p>
    <w:p w14:paraId="16D3C440">
      <w:pPr>
        <w:rPr>
          <w:rFonts w:cs="Calibri" w:eastAsiaTheme="minorEastAsia"/>
          <w:b/>
          <w:bCs/>
          <w:sz w:val="22"/>
          <w:szCs w:val="22"/>
          <w:lang w:eastAsia="zh-CN"/>
        </w:rPr>
      </w:pPr>
    </w:p>
    <w:p w14:paraId="551C8DB6">
      <w:pPr>
        <w:rPr>
          <w:rFonts w:cs="Calibri" w:eastAsiaTheme="minorEastAsia"/>
          <w:sz w:val="22"/>
          <w:szCs w:val="22"/>
          <w:lang w:eastAsia="zh-CN"/>
        </w:rPr>
      </w:pPr>
      <w:r>
        <w:rPr>
          <w:rFonts w:cs="Calibri" w:eastAsiaTheme="minorEastAsia"/>
          <w:b/>
          <w:bCs/>
          <w:sz w:val="22"/>
          <w:szCs w:val="22"/>
          <w:lang w:eastAsia="zh-CN"/>
        </w:rPr>
        <w:t>BE operates in four business segments:</w:t>
      </w:r>
      <w:r>
        <w:rPr>
          <w:rFonts w:cs="Calibri" w:eastAsiaTheme="minorEastAsia"/>
          <w:sz w:val="22"/>
          <w:szCs w:val="22"/>
          <w:lang w:eastAsia="zh-CN"/>
        </w:rPr>
        <w:t xml:space="preserve"> Product, Installation, Service and Electricity</w:t>
      </w:r>
      <w:r>
        <w:rPr>
          <w:rFonts w:hint="eastAsia" w:cs="Calibri" w:eastAsiaTheme="minorEastAsia"/>
          <w:sz w:val="22"/>
          <w:szCs w:val="22"/>
          <w:lang w:eastAsia="zh-CN"/>
        </w:rPr>
        <w:t>:</w:t>
      </w:r>
    </w:p>
    <w:p w14:paraId="43755D61">
      <w:pPr>
        <w:rPr>
          <w:rFonts w:cs="Calibri" w:eastAsiaTheme="minorEastAsia"/>
          <w:sz w:val="22"/>
          <w:szCs w:val="22"/>
          <w:lang w:eastAsia="zh-CN"/>
        </w:rPr>
      </w:pPr>
    </w:p>
    <w:p w14:paraId="088C190D">
      <w:pPr>
        <w:rPr>
          <w:rFonts w:cs="Calibri" w:eastAsiaTheme="minorEastAsia"/>
          <w:sz w:val="22"/>
          <w:szCs w:val="22"/>
          <w:lang w:eastAsia="zh-CN"/>
        </w:rPr>
      </w:pPr>
      <w:r>
        <w:rPr>
          <w:rFonts w:cs="Calibri" w:eastAsiaTheme="minorEastAsia"/>
          <w:b/>
          <w:bCs/>
          <w:sz w:val="22"/>
          <w:szCs w:val="22"/>
          <w:lang w:eastAsia="zh-CN"/>
        </w:rPr>
        <w:t xml:space="preserve">Product </w:t>
      </w:r>
      <w:r>
        <w:rPr>
          <w:rFonts w:hint="eastAsia" w:cs="Calibri" w:eastAsiaTheme="minorEastAsia"/>
          <w:b/>
          <w:bCs/>
          <w:sz w:val="22"/>
          <w:szCs w:val="22"/>
          <w:lang w:eastAsia="zh-CN"/>
        </w:rPr>
        <w:t xml:space="preserve">segment is </w:t>
      </w:r>
      <w:r>
        <w:rPr>
          <w:rFonts w:cs="Calibri" w:eastAsiaTheme="minorEastAsia"/>
          <w:b/>
          <w:bCs/>
          <w:sz w:val="22"/>
          <w:szCs w:val="22"/>
          <w:lang w:eastAsia="zh-CN"/>
        </w:rPr>
        <w:t>the primary engine</w:t>
      </w:r>
      <w:r>
        <w:rPr>
          <w:rFonts w:hint="eastAsia" w:cs="Calibri" w:eastAsiaTheme="minorEastAsia"/>
          <w:b/>
          <w:bCs/>
          <w:sz w:val="22"/>
          <w:szCs w:val="22"/>
          <w:lang w:eastAsia="zh-CN"/>
        </w:rPr>
        <w:t xml:space="preserve"> of revenue</w:t>
      </w:r>
      <w:r>
        <w:rPr>
          <w:rFonts w:cs="Calibri" w:eastAsiaTheme="minorEastAsia"/>
          <w:b/>
          <w:bCs/>
          <w:sz w:val="22"/>
          <w:szCs w:val="22"/>
          <w:lang w:eastAsia="zh-CN"/>
        </w:rPr>
        <w:t>,</w:t>
      </w:r>
      <w:r>
        <w:rPr>
          <w:rFonts w:cs="Calibri" w:eastAsiaTheme="minorEastAsia"/>
          <w:sz w:val="22"/>
          <w:szCs w:val="22"/>
          <w:lang w:eastAsia="zh-CN"/>
        </w:rPr>
        <w:t xml:space="preserve"> </w:t>
      </w:r>
      <w:r>
        <w:rPr>
          <w:rFonts w:hint="eastAsia" w:cs="Calibri" w:eastAsiaTheme="minorEastAsia"/>
          <w:sz w:val="22"/>
          <w:szCs w:val="22"/>
          <w:lang w:eastAsia="zh-CN"/>
        </w:rPr>
        <w:t xml:space="preserve">including two products: the Bloom Energy Server for generating electricity and the Bloom Electrolyzer for producing hydrogen. While the Bloom Electrolyzer is transitioning to commercial scale, nearly all of the product revenue has been attributable to sales of the Energy Server system. Overall, Product </w:t>
      </w:r>
      <w:r>
        <w:rPr>
          <w:rFonts w:cs="Calibri" w:eastAsiaTheme="minorEastAsia"/>
          <w:sz w:val="22"/>
          <w:szCs w:val="22"/>
          <w:lang w:eastAsia="zh-CN"/>
        </w:rPr>
        <w:t>contribut</w:t>
      </w:r>
      <w:r>
        <w:rPr>
          <w:rFonts w:hint="eastAsia" w:cs="Calibri" w:eastAsiaTheme="minorEastAsia"/>
          <w:sz w:val="22"/>
          <w:szCs w:val="22"/>
          <w:lang w:eastAsia="zh-CN"/>
        </w:rPr>
        <w:t>es</w:t>
      </w:r>
      <w:r>
        <w:rPr>
          <w:rFonts w:cs="Calibri" w:eastAsiaTheme="minorEastAsia"/>
          <w:sz w:val="22"/>
          <w:szCs w:val="22"/>
          <w:lang w:eastAsia="zh-CN"/>
        </w:rPr>
        <w:t xml:space="preserve"> over 70% of total revenue with non-GAAP gross margins expanding toward 36% as of </w:t>
      </w:r>
      <w:r>
        <w:rPr>
          <w:rFonts w:hint="eastAsia" w:cs="Calibri" w:eastAsiaTheme="minorEastAsia"/>
          <w:sz w:val="22"/>
          <w:szCs w:val="22"/>
          <w:lang w:eastAsia="zh-CN"/>
        </w:rPr>
        <w:t>3Q</w:t>
      </w:r>
      <w:r>
        <w:rPr>
          <w:rFonts w:cs="Calibri" w:eastAsiaTheme="minorEastAsia"/>
          <w:sz w:val="22"/>
          <w:szCs w:val="22"/>
          <w:lang w:eastAsia="zh-CN"/>
        </w:rPr>
        <w:t>25. This growth is driven by massive</w:t>
      </w:r>
      <w:r>
        <w:rPr>
          <w:rFonts w:hint="eastAsia" w:cs="Calibri" w:eastAsiaTheme="minorEastAsia"/>
          <w:sz w:val="22"/>
          <w:szCs w:val="22"/>
          <w:lang w:eastAsia="zh-CN"/>
        </w:rPr>
        <w:t xml:space="preserve"> </w:t>
      </w:r>
      <w:r>
        <w:rPr>
          <w:rFonts w:cs="Calibri" w:eastAsiaTheme="minorEastAsia"/>
          <w:sz w:val="22"/>
          <w:szCs w:val="22"/>
          <w:lang w:eastAsia="zh-CN"/>
        </w:rPr>
        <w:t>“gigawatt-scale” agreements, such as the $5 billion landmark partnership with</w:t>
      </w:r>
      <w:r>
        <w:rPr>
          <w:rFonts w:hint="eastAsia" w:cs="Calibri" w:eastAsiaTheme="minorEastAsia"/>
          <w:sz w:val="22"/>
          <w:szCs w:val="22"/>
          <w:lang w:eastAsia="zh-CN"/>
        </w:rPr>
        <w:t xml:space="preserve"> </w:t>
      </w:r>
      <w:r>
        <w:rPr>
          <w:rFonts w:cs="Calibri" w:eastAsiaTheme="minorEastAsia"/>
          <w:sz w:val="22"/>
          <w:szCs w:val="22"/>
          <w:lang w:eastAsia="zh-CN"/>
        </w:rPr>
        <w:t>Brookfield Asset Management.</w:t>
      </w:r>
      <w:r>
        <w:rPr>
          <w:rFonts w:hint="eastAsia" w:cs="Calibri" w:eastAsiaTheme="minorEastAsia"/>
          <w:sz w:val="22"/>
          <w:szCs w:val="22"/>
          <w:lang w:eastAsia="zh-CN"/>
        </w:rPr>
        <w:t xml:space="preserve"> We believe</w:t>
      </w:r>
      <w:r>
        <w:rPr>
          <w:rFonts w:cs="Calibri" w:eastAsiaTheme="minorEastAsia"/>
          <w:sz w:val="22"/>
          <w:szCs w:val="22"/>
          <w:lang w:eastAsia="zh-CN"/>
        </w:rPr>
        <w:t xml:space="preserve"> </w:t>
      </w:r>
      <w:r>
        <w:rPr>
          <w:rFonts w:hint="eastAsia" w:cs="Calibri" w:eastAsiaTheme="minorEastAsia"/>
          <w:sz w:val="22"/>
          <w:szCs w:val="22"/>
          <w:lang w:eastAsia="zh-CN"/>
        </w:rPr>
        <w:t>further manufacturing c</w:t>
      </w:r>
      <w:r>
        <w:rPr>
          <w:rFonts w:cs="Calibri" w:eastAsiaTheme="minorEastAsia"/>
          <w:sz w:val="22"/>
          <w:szCs w:val="22"/>
          <w:lang w:eastAsia="zh-CN"/>
        </w:rPr>
        <w:t>apacity additions</w:t>
      </w:r>
      <w:r>
        <w:rPr>
          <w:rFonts w:hint="eastAsia" w:cs="Calibri" w:eastAsiaTheme="minorEastAsia"/>
          <w:sz w:val="22"/>
          <w:szCs w:val="22"/>
          <w:lang w:eastAsia="zh-CN"/>
        </w:rPr>
        <w:t xml:space="preserve"> to capture the AI power demand bloom</w:t>
      </w:r>
      <w:r>
        <w:rPr>
          <w:rFonts w:cs="Calibri" w:eastAsiaTheme="minorEastAsia"/>
          <w:sz w:val="22"/>
          <w:szCs w:val="22"/>
          <w:lang w:eastAsia="zh-CN"/>
        </w:rPr>
        <w:t xml:space="preserve"> should drive revenues higher while margins should benefit from fixed</w:t>
      </w:r>
      <w:r>
        <w:rPr>
          <w:rFonts w:hint="eastAsia" w:cs="Calibri" w:eastAsiaTheme="minorEastAsia"/>
          <w:sz w:val="22"/>
          <w:szCs w:val="22"/>
          <w:lang w:eastAsia="zh-CN"/>
        </w:rPr>
        <w:t xml:space="preserve"> </w:t>
      </w:r>
      <w:r>
        <w:rPr>
          <w:rFonts w:cs="Calibri" w:eastAsiaTheme="minorEastAsia"/>
          <w:sz w:val="22"/>
          <w:szCs w:val="22"/>
          <w:lang w:eastAsia="zh-CN"/>
        </w:rPr>
        <w:t>cost absorption as utilization ramps up.</w:t>
      </w:r>
    </w:p>
    <w:p w14:paraId="01A9ADCA">
      <w:pPr>
        <w:rPr>
          <w:rFonts w:cs="Calibri" w:eastAsiaTheme="minorEastAsia"/>
          <w:sz w:val="22"/>
          <w:szCs w:val="22"/>
          <w:lang w:eastAsia="zh-CN"/>
        </w:rPr>
      </w:pPr>
    </w:p>
    <w:p w14:paraId="657CDC59">
      <w:pPr>
        <w:rPr>
          <w:rFonts w:cs="Calibri" w:eastAsiaTheme="minorEastAsia"/>
          <w:sz w:val="22"/>
          <w:szCs w:val="22"/>
          <w:lang w:eastAsia="zh-CN"/>
        </w:rPr>
      </w:pPr>
      <w:r>
        <w:rPr>
          <w:rFonts w:cs="Calibri" w:eastAsiaTheme="minorEastAsia"/>
          <w:b/>
          <w:bCs/>
          <w:sz w:val="22"/>
          <w:szCs w:val="22"/>
          <w:lang w:eastAsia="zh-CN"/>
        </w:rPr>
        <w:t>Installation is simply the extra costs associated with installing fuel cell systems at customers’ sites.</w:t>
      </w:r>
      <w:r>
        <w:rPr>
          <w:rFonts w:hint="eastAsia" w:cs="Calibri" w:eastAsiaTheme="minorEastAsia"/>
          <w:sz w:val="22"/>
          <w:szCs w:val="22"/>
          <w:lang w:eastAsia="zh-CN"/>
        </w:rPr>
        <w:t xml:space="preserve"> Installation contributes over 10% of total revenue. While historically a low-margin drag, the segment has a 10% gross margin as of 3Q25, as the costs are increasingly optimized through better plant designs and the rapid </w:t>
      </w:r>
      <w:r>
        <w:rPr>
          <w:rFonts w:cs="Calibri" w:eastAsiaTheme="minorEastAsia"/>
          <w:sz w:val="22"/>
          <w:szCs w:val="22"/>
          <w:lang w:eastAsia="zh-CN"/>
        </w:rPr>
        <w:t>“</w:t>
      </w:r>
      <w:r>
        <w:rPr>
          <w:rFonts w:hint="eastAsia" w:cs="Calibri" w:eastAsiaTheme="minorEastAsia"/>
          <w:sz w:val="22"/>
          <w:szCs w:val="22"/>
          <w:lang w:eastAsia="zh-CN"/>
        </w:rPr>
        <w:t>90-day</w:t>
      </w:r>
      <w:r>
        <w:rPr>
          <w:rFonts w:cs="Calibri" w:eastAsiaTheme="minorEastAsia"/>
          <w:sz w:val="22"/>
          <w:szCs w:val="22"/>
          <w:lang w:eastAsia="zh-CN"/>
        </w:rPr>
        <w:t>”</w:t>
      </w:r>
      <w:r>
        <w:rPr>
          <w:rFonts w:hint="eastAsia" w:cs="Calibri" w:eastAsiaTheme="minorEastAsia"/>
          <w:sz w:val="22"/>
          <w:szCs w:val="22"/>
          <w:lang w:eastAsia="zh-CN"/>
        </w:rPr>
        <w:t xml:space="preserve"> deployment strategy for high-load customers.</w:t>
      </w:r>
    </w:p>
    <w:p w14:paraId="021E247E">
      <w:pPr>
        <w:rPr>
          <w:rFonts w:cs="Calibri" w:eastAsiaTheme="minorEastAsia"/>
          <w:sz w:val="22"/>
          <w:szCs w:val="22"/>
          <w:lang w:eastAsia="zh-CN"/>
        </w:rPr>
      </w:pPr>
    </w:p>
    <w:p w14:paraId="596AB2C4">
      <w:pPr>
        <w:rPr>
          <w:rFonts w:cs="Calibri" w:eastAsiaTheme="minorEastAsia"/>
          <w:sz w:val="22"/>
          <w:szCs w:val="22"/>
          <w:lang w:eastAsia="zh-CN"/>
        </w:rPr>
        <w:sectPr>
          <w:footerReference r:id="rId14" w:type="first"/>
          <w:footerReference r:id="rId13" w:type="default"/>
          <w:pgSz w:w="11910" w:h="16840"/>
          <w:pgMar w:top="567" w:right="567" w:bottom="1021" w:left="3600" w:header="567" w:footer="919" w:gutter="0"/>
          <w:pgNumType w:start="4"/>
          <w:cols w:space="425" w:num="1"/>
          <w:titlePg/>
          <w:docGrid w:linePitch="299" w:charSpace="0"/>
        </w:sectPr>
      </w:pPr>
      <w:r>
        <w:rPr>
          <w:rFonts w:hint="eastAsia" w:cs="Calibri" w:eastAsiaTheme="minorEastAsia"/>
          <w:b/>
          <w:bCs/>
          <w:sz w:val="22"/>
          <w:szCs w:val="22"/>
          <w:lang w:eastAsia="zh-CN"/>
        </w:rPr>
        <w:t>S</w:t>
      </w:r>
      <w:r>
        <w:rPr>
          <w:rFonts w:cs="Calibri" w:eastAsiaTheme="minorEastAsia"/>
          <w:b/>
          <w:bCs/>
          <w:sz w:val="22"/>
          <w:szCs w:val="22"/>
          <w:lang w:eastAsia="zh-CN"/>
        </w:rPr>
        <w:t xml:space="preserve">ervice segment </w:t>
      </w:r>
      <w:r>
        <w:rPr>
          <w:rFonts w:hint="eastAsia" w:cs="Calibri" w:eastAsiaTheme="minorEastAsia"/>
          <w:b/>
          <w:bCs/>
          <w:sz w:val="22"/>
          <w:szCs w:val="22"/>
          <w:lang w:eastAsia="zh-CN"/>
        </w:rPr>
        <w:t xml:space="preserve">revenue </w:t>
      </w:r>
      <w:r>
        <w:rPr>
          <w:rFonts w:cs="Calibri" w:eastAsiaTheme="minorEastAsia"/>
          <w:b/>
          <w:bCs/>
          <w:sz w:val="22"/>
          <w:szCs w:val="22"/>
          <w:lang w:eastAsia="zh-CN"/>
        </w:rPr>
        <w:t>are driven by maintenance and repair work done on fuel cell</w:t>
      </w:r>
      <w:r>
        <w:rPr>
          <w:rFonts w:hint="eastAsia" w:cs="Calibri" w:eastAsiaTheme="minorEastAsia"/>
          <w:b/>
          <w:bCs/>
          <w:sz w:val="22"/>
          <w:szCs w:val="22"/>
          <w:lang w:eastAsia="zh-CN"/>
        </w:rPr>
        <w:t>.</w:t>
      </w:r>
      <w:r>
        <w:rPr>
          <w:rFonts w:hint="eastAsia" w:cs="Calibri" w:eastAsiaTheme="minorEastAsia"/>
          <w:sz w:val="22"/>
          <w:szCs w:val="22"/>
          <w:lang w:eastAsia="zh-CN"/>
        </w:rPr>
        <w:t xml:space="preserve"> Service accounts for more than 10% the total revenue and has undergone a successful turnaround, marking seven consecutive quarters of profitability by 3Q2025. The segment now generates double-digit non-GAAP gross margins (reaching 14.4% in </w:t>
      </w:r>
    </w:p>
    <w:p w14:paraId="6D58DD7F">
      <w:pPr>
        <w:rPr>
          <w:rFonts w:cs="Calibri" w:eastAsiaTheme="minorEastAsia"/>
          <w:sz w:val="22"/>
          <w:szCs w:val="22"/>
          <w:lang w:eastAsia="zh-CN"/>
        </w:rPr>
      </w:pPr>
      <w:r>
        <w:rPr>
          <w:rFonts w:hint="eastAsia" w:cs="Calibri" w:eastAsiaTheme="minorEastAsia"/>
          <w:sz w:val="22"/>
          <w:szCs w:val="22"/>
          <w:lang w:eastAsia="zh-CN"/>
        </w:rPr>
        <w:t>3Q25). This shift is the result of improved fleet reliability and the phasing out of older, high-maintenance legacy equipment in favor of newer, more efficient server generations.</w:t>
      </w:r>
    </w:p>
    <w:p w14:paraId="05364F3F">
      <w:pPr>
        <w:rPr>
          <w:rFonts w:cs="Calibri" w:eastAsiaTheme="minorEastAsia"/>
          <w:sz w:val="22"/>
          <w:szCs w:val="22"/>
          <w:lang w:eastAsia="zh-CN"/>
        </w:rPr>
      </w:pPr>
    </w:p>
    <w:p w14:paraId="0F8ACBFA">
      <w:pPr>
        <w:rPr>
          <w:rFonts w:cs="Calibri" w:eastAsiaTheme="minorEastAsia"/>
          <w:sz w:val="22"/>
          <w:szCs w:val="22"/>
          <w:lang w:eastAsia="zh-CN"/>
        </w:rPr>
      </w:pPr>
      <w:r>
        <w:rPr>
          <w:rFonts w:cs="Calibri" w:eastAsiaTheme="minorEastAsia"/>
          <w:b/>
          <w:bCs/>
          <w:sz w:val="22"/>
          <w:szCs w:val="22"/>
          <w:lang w:eastAsia="zh-CN"/>
        </w:rPr>
        <w:t>Lastly Electricity</w:t>
      </w:r>
      <w:r>
        <w:rPr>
          <w:rFonts w:hint="eastAsia" w:cs="Calibri" w:eastAsiaTheme="minorEastAsia"/>
          <w:b/>
          <w:bCs/>
          <w:sz w:val="22"/>
          <w:szCs w:val="22"/>
          <w:lang w:eastAsia="zh-CN"/>
        </w:rPr>
        <w:t xml:space="preserve"> contains the PPAs under which BE previously sold many of its fuel cell systems.</w:t>
      </w:r>
      <w:r>
        <w:rPr>
          <w:rFonts w:hint="eastAsia" w:cs="Calibri" w:eastAsiaTheme="minorEastAsia"/>
          <w:sz w:val="22"/>
          <w:szCs w:val="22"/>
          <w:lang w:eastAsia="zh-CN"/>
        </w:rPr>
        <w:t xml:space="preserve"> The customer would pay BE for the power rather than the fuel cell itself and BE would typically execute a sale-leaseback or tax equity finance the asset.</w:t>
      </w:r>
      <w:r>
        <w:rPr>
          <w:rFonts w:cs="Calibri" w:eastAsiaTheme="minorEastAsia"/>
          <w:sz w:val="22"/>
          <w:szCs w:val="22"/>
          <w:lang w:eastAsia="zh-CN"/>
        </w:rPr>
        <w:t xml:space="preserve"> This segment accounts for 2% of revenues and generates 43.5% gross margins in 3Q25.</w:t>
      </w:r>
      <w:r>
        <w:rPr>
          <w:rFonts w:hint="eastAsia" w:cs="Calibri" w:eastAsiaTheme="minorEastAsia"/>
          <w:sz w:val="22"/>
          <w:szCs w:val="22"/>
          <w:lang w:eastAsia="zh-CN"/>
        </w:rPr>
        <w:t xml:space="preserve"> </w:t>
      </w:r>
      <w:r>
        <w:rPr>
          <w:rFonts w:cs="Calibri" w:eastAsiaTheme="minorEastAsia"/>
          <w:sz w:val="22"/>
          <w:szCs w:val="22"/>
          <w:lang w:eastAsia="zh-CN"/>
        </w:rPr>
        <w:t>The company has moved away from PPAs and</w:t>
      </w:r>
      <w:r>
        <w:rPr>
          <w:rFonts w:hint="eastAsia" w:cs="Calibri" w:eastAsiaTheme="minorEastAsia"/>
          <w:sz w:val="22"/>
          <w:szCs w:val="22"/>
          <w:lang w:eastAsia="zh-CN"/>
        </w:rPr>
        <w:t xml:space="preserve"> </w:t>
      </w:r>
      <w:r>
        <w:rPr>
          <w:rFonts w:cs="Calibri" w:eastAsiaTheme="minorEastAsia"/>
          <w:sz w:val="22"/>
          <w:szCs w:val="22"/>
          <w:lang w:eastAsia="zh-CN"/>
        </w:rPr>
        <w:t>intends to simplify the remaining PPA structures over time.</w:t>
      </w:r>
    </w:p>
    <w:tbl>
      <w:tblPr>
        <w:tblStyle w:val="21"/>
        <w:tblpPr w:leftFromText="180" w:rightFromText="180" w:vertAnchor="text" w:horzAnchor="page" w:tblpX="1032" w:tblpY="255"/>
        <w:tblOverlap w:val="never"/>
        <w:tblW w:w="10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360"/>
      </w:tblGrid>
      <w:tr w14:paraId="106B6E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0360" w:type="dxa"/>
            <w:tcBorders>
              <w:bottom w:val="nil"/>
            </w:tcBorders>
          </w:tcPr>
          <w:p w14:paraId="5ABFF01D">
            <w:pPr>
              <w:rPr>
                <w:rFonts w:cs="Calibri" w:eastAsiaTheme="minorEastAsia"/>
                <w:b/>
                <w:bCs/>
                <w:sz w:val="22"/>
                <w:szCs w:val="22"/>
                <w:lang w:eastAsia="zh-CN"/>
              </w:rPr>
            </w:pPr>
            <w:r>
              <w:rPr>
                <w:rFonts w:cs="Calibri" w:eastAsiaTheme="minorEastAsia"/>
                <w:b/>
                <w:bCs/>
                <w:sz w:val="22"/>
                <w:szCs w:val="22"/>
                <w:lang w:eastAsia="zh-CN"/>
              </w:rPr>
              <w:t xml:space="preserve">Figure: BE’s </w:t>
            </w:r>
            <w:r>
              <w:rPr>
                <w:rFonts w:hint="eastAsia" w:cs="Calibri" w:eastAsiaTheme="minorEastAsia"/>
                <w:b/>
                <w:bCs/>
                <w:sz w:val="22"/>
                <w:szCs w:val="22"/>
                <w:lang w:eastAsia="zh-CN"/>
              </w:rPr>
              <w:t xml:space="preserve">revenue by segments and Non-GAAP gross profit by segments </w:t>
            </w:r>
          </w:p>
        </w:tc>
      </w:tr>
      <w:tr w14:paraId="0FF4AC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61" w:hRule="atLeast"/>
        </w:trPr>
        <w:tc>
          <w:tcPr>
            <w:tcW w:w="10360" w:type="dxa"/>
            <w:tcBorders>
              <w:top w:val="nil"/>
              <w:bottom w:val="nil"/>
            </w:tcBorders>
            <w:tcMar>
              <w:top w:w="28" w:type="dxa"/>
              <w:bottom w:w="28" w:type="dxa"/>
            </w:tcMar>
            <w:vAlign w:val="center"/>
          </w:tcPr>
          <w:p w14:paraId="047B799A">
            <w:pPr>
              <w:rPr>
                <w:rFonts w:cs="Calibri" w:eastAsiaTheme="minorEastAsia"/>
                <w:sz w:val="22"/>
                <w:szCs w:val="22"/>
                <w:lang w:eastAsia="zh-CN"/>
              </w:rPr>
            </w:pPr>
            <w:r>
              <w:rPr>
                <w:rFonts w:cs="等线"/>
              </w:rPr>
              <w:drawing>
                <wp:inline distT="0" distB="0" distL="114300" distR="114300">
                  <wp:extent cx="3177540" cy="2247900"/>
                  <wp:effectExtent l="4445" t="4445" r="18415" b="18415"/>
                  <wp:docPr id="2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r>
              <w:rPr>
                <w:rFonts w:cs="等线"/>
              </w:rPr>
              <w:drawing>
                <wp:inline distT="0" distB="0" distL="114300" distR="114300">
                  <wp:extent cx="3205480" cy="2271395"/>
                  <wp:effectExtent l="4445" t="4445" r="5715" b="10160"/>
                  <wp:docPr id="23"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tc>
      </w:tr>
      <w:tr w14:paraId="6A5C88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trPr>
        <w:tc>
          <w:tcPr>
            <w:tcW w:w="10360" w:type="dxa"/>
            <w:tcBorders>
              <w:top w:val="nil"/>
            </w:tcBorders>
          </w:tcPr>
          <w:p w14:paraId="388BE853">
            <w:pPr>
              <w:rPr>
                <w:rFonts w:cs="Calibri" w:eastAsiaTheme="minorEastAsia"/>
                <w:sz w:val="22"/>
                <w:szCs w:val="22"/>
                <w:lang w:eastAsia="zh-CN"/>
              </w:rPr>
            </w:pPr>
            <w:r>
              <w:rPr>
                <w:rFonts w:cs="Calibri" w:eastAsiaTheme="minorEastAsia"/>
                <w:b/>
                <w:bCs/>
                <w:sz w:val="22"/>
                <w:szCs w:val="22"/>
                <w:lang w:eastAsia="zh-CN"/>
              </w:rPr>
              <w:t>Source: Company, HFI</w:t>
            </w:r>
          </w:p>
        </w:tc>
      </w:tr>
    </w:tbl>
    <w:p w14:paraId="7AFADEB8">
      <w:pPr>
        <w:rPr>
          <w:rFonts w:cs="Calibri" w:eastAsiaTheme="minorEastAsia"/>
          <w:b/>
          <w:bCs/>
          <w:sz w:val="22"/>
          <w:szCs w:val="22"/>
          <w:lang w:eastAsia="zh-CN"/>
        </w:rPr>
      </w:pPr>
    </w:p>
    <w:p w14:paraId="053F3CA6">
      <w:pPr>
        <w:rPr>
          <w:rFonts w:cs="Calibri" w:eastAsiaTheme="minorEastAsia"/>
          <w:sz w:val="22"/>
          <w:szCs w:val="22"/>
          <w:lang w:eastAsia="zh-CN"/>
        </w:rPr>
      </w:pPr>
      <w:r>
        <w:rPr>
          <w:rFonts w:cs="Calibri" w:eastAsiaTheme="minorEastAsia"/>
          <w:b/>
          <w:bCs/>
          <w:sz w:val="22"/>
          <w:szCs w:val="22"/>
          <w:lang w:eastAsia="zh-CN"/>
        </w:rPr>
        <w:t xml:space="preserve">BE maintains a vast and diverse customer footprint, </w:t>
      </w:r>
      <w:r>
        <w:rPr>
          <w:rFonts w:cs="Calibri" w:eastAsiaTheme="minorEastAsia"/>
          <w:sz w:val="22"/>
          <w:szCs w:val="22"/>
          <w:lang w:eastAsia="zh-CN"/>
        </w:rPr>
        <w:t>covering not only data centers but also commercial and industrial (C&amp;I) users, with 1.5GW+ applications in 1200+ location as of end Q3 2025 globally. BE’s strategy is deliberate and simple. In each vertical, BE establish credibility with a lighthouse account and then build on that success with other tier-one customers. BE ran this playbook last decade in the telecom business, landing first AT&amp;T in 2011 and then competitors like T-Mobile to become “the standard for on-site power” in that industry. Today, BE are a go-to onsite power choice for U</w:t>
      </w:r>
      <w:r>
        <w:rPr>
          <w:rFonts w:hint="eastAsia" w:cs="Calibri" w:eastAsiaTheme="minorEastAsia"/>
          <w:sz w:val="22"/>
          <w:szCs w:val="22"/>
          <w:lang w:eastAsia="zh-CN"/>
        </w:rPr>
        <w:t>S</w:t>
      </w:r>
      <w:r>
        <w:rPr>
          <w:rFonts w:cs="Calibri" w:eastAsiaTheme="minorEastAsia"/>
          <w:sz w:val="22"/>
          <w:szCs w:val="22"/>
          <w:lang w:eastAsia="zh-CN"/>
        </w:rPr>
        <w:t xml:space="preserve"> telecom companies and it is following the same playbook to become the standard onsite power solution for AI. </w:t>
      </w:r>
    </w:p>
    <w:p w14:paraId="66064CE6">
      <w:pPr>
        <w:rPr>
          <w:rFonts w:cs="Calibri" w:eastAsiaTheme="minorEastAsia"/>
          <w:b/>
          <w:bCs/>
          <w:sz w:val="20"/>
          <w:szCs w:val="20"/>
          <w:lang w:eastAsia="zh-CN"/>
        </w:rPr>
        <w:sectPr>
          <w:footerReference r:id="rId16" w:type="first"/>
          <w:footerReference r:id="rId15" w:type="default"/>
          <w:pgSz w:w="11910" w:h="16840"/>
          <w:pgMar w:top="567" w:right="567" w:bottom="1021" w:left="3600" w:header="567" w:footer="919" w:gutter="0"/>
          <w:pgNumType w:start="5"/>
          <w:cols w:space="425" w:num="1"/>
          <w:titlePg/>
          <w:docGrid w:linePitch="299" w:charSpace="0"/>
        </w:sectPr>
      </w:pPr>
    </w:p>
    <w:tbl>
      <w:tblPr>
        <w:tblStyle w:val="21"/>
        <w:tblpPr w:leftFromText="180" w:rightFromText="180" w:vertAnchor="text" w:horzAnchor="page" w:tblpX="1032" w:tblpY="255"/>
        <w:tblOverlap w:val="never"/>
        <w:tblW w:w="102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15"/>
      </w:tblGrid>
      <w:tr w14:paraId="76742C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15" w:type="dxa"/>
            <w:tcBorders>
              <w:bottom w:val="nil"/>
            </w:tcBorders>
          </w:tcPr>
          <w:p w14:paraId="1AC0EDEC">
            <w:pPr>
              <w:rPr>
                <w:rFonts w:cs="Calibri" w:eastAsiaTheme="minorEastAsia"/>
                <w:b/>
                <w:bCs/>
                <w:sz w:val="20"/>
                <w:szCs w:val="20"/>
                <w:lang w:eastAsia="zh-CN"/>
              </w:rPr>
            </w:pPr>
            <w:r>
              <w:rPr>
                <w:rFonts w:cs="Calibri" w:eastAsiaTheme="minorEastAsia"/>
                <w:b/>
                <w:bCs/>
                <w:sz w:val="20"/>
                <w:szCs w:val="20"/>
                <w:lang w:eastAsia="zh-CN"/>
              </w:rPr>
              <w:t>Figure: BE’s diverse customer footprint, with Growing AI Concentration</w:t>
            </w:r>
          </w:p>
        </w:tc>
      </w:tr>
      <w:tr w14:paraId="12BDF7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5" w:hRule="atLeast"/>
        </w:trPr>
        <w:tc>
          <w:tcPr>
            <w:tcW w:w="10215" w:type="dxa"/>
            <w:tcBorders>
              <w:top w:val="nil"/>
              <w:bottom w:val="nil"/>
            </w:tcBorders>
            <w:tcMar>
              <w:top w:w="28" w:type="dxa"/>
              <w:bottom w:w="28" w:type="dxa"/>
            </w:tcMar>
            <w:vAlign w:val="center"/>
          </w:tcPr>
          <w:p w14:paraId="61DA6768">
            <w:pPr>
              <w:rPr>
                <w:rFonts w:cs="Calibri" w:eastAsiaTheme="minorEastAsia"/>
                <w:sz w:val="20"/>
                <w:szCs w:val="20"/>
                <w:lang w:eastAsia="zh-CN"/>
              </w:rPr>
            </w:pPr>
            <w:r>
              <w:rPr>
                <w:rFonts w:cs="Calibri" w:eastAsiaTheme="minorEastAsia"/>
                <w:sz w:val="20"/>
                <w:szCs w:val="20"/>
                <w:lang w:eastAsia="zh-CN"/>
              </w:rPr>
              <w:drawing>
                <wp:inline distT="0" distB="0" distL="114300" distR="114300">
                  <wp:extent cx="6343650" cy="2741295"/>
                  <wp:effectExtent l="0" t="0" r="11430" b="1905"/>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31"/>
                          <a:stretch>
                            <a:fillRect/>
                          </a:stretch>
                        </pic:blipFill>
                        <pic:spPr>
                          <a:xfrm>
                            <a:off x="0" y="0"/>
                            <a:ext cx="6343650" cy="2741295"/>
                          </a:xfrm>
                          <a:prstGeom prst="rect">
                            <a:avLst/>
                          </a:prstGeom>
                          <a:noFill/>
                          <a:ln>
                            <a:noFill/>
                          </a:ln>
                        </pic:spPr>
                      </pic:pic>
                    </a:graphicData>
                  </a:graphic>
                </wp:inline>
              </w:drawing>
            </w:r>
          </w:p>
        </w:tc>
      </w:tr>
      <w:tr w14:paraId="4ABFBB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15" w:type="dxa"/>
            <w:tcBorders>
              <w:top w:val="nil"/>
            </w:tcBorders>
          </w:tcPr>
          <w:p w14:paraId="1CDFA4BE">
            <w:pPr>
              <w:rPr>
                <w:rFonts w:cs="Calibri" w:eastAsiaTheme="minorEastAsia"/>
                <w:sz w:val="20"/>
                <w:szCs w:val="20"/>
                <w:lang w:eastAsia="zh-CN"/>
              </w:rPr>
            </w:pPr>
            <w:r>
              <w:rPr>
                <w:rFonts w:cs="Calibri" w:eastAsiaTheme="minorEastAsia"/>
                <w:b/>
                <w:bCs/>
                <w:sz w:val="20"/>
                <w:szCs w:val="20"/>
                <w:lang w:eastAsia="zh-CN"/>
              </w:rPr>
              <w:t>Source: Company, HFI</w:t>
            </w:r>
          </w:p>
        </w:tc>
      </w:tr>
    </w:tbl>
    <w:p w14:paraId="38968831">
      <w:pPr>
        <w:rPr>
          <w:rFonts w:cs="Calibri" w:eastAsiaTheme="minorEastAsia"/>
          <w:b/>
          <w:bCs/>
          <w:sz w:val="22"/>
          <w:szCs w:val="22"/>
          <w:lang w:eastAsia="zh-CN"/>
        </w:rPr>
      </w:pPr>
    </w:p>
    <w:p w14:paraId="01F38C28">
      <w:pPr>
        <w:rPr>
          <w:rFonts w:cs="Calibri" w:eastAsiaTheme="minorEastAsia"/>
          <w:sz w:val="22"/>
          <w:szCs w:val="22"/>
          <w:lang w:eastAsia="zh-CN"/>
        </w:rPr>
      </w:pPr>
      <w:r>
        <w:rPr>
          <w:rFonts w:cs="Calibri" w:eastAsiaTheme="minorEastAsia"/>
          <w:b/>
          <w:bCs/>
          <w:sz w:val="22"/>
          <w:szCs w:val="22"/>
          <w:lang w:eastAsia="zh-CN"/>
        </w:rPr>
        <w:t>With the AI up-cycle, the company has strategically pivoted toward the AI ecosystem, which has become its dominant growth engine.</w:t>
      </w:r>
      <w:r>
        <w:rPr>
          <w:rFonts w:cs="Calibri" w:eastAsiaTheme="minorEastAsia"/>
          <w:sz w:val="22"/>
          <w:szCs w:val="22"/>
          <w:lang w:eastAsia="zh-CN"/>
        </w:rPr>
        <w:t xml:space="preserve"> BE now has secured “lighthouse” partnerships with hyperscalers like Oracle; electricity providers like American Electric Power (AEP), which sells power to Amazon Web Services; colocation firms like Equinix, “neoclouds” like Coreweave, gas providers, and data center developers. In October, BE announced an $5 billion strategic AI infrastructure partnership with Brookfield Asset Management, signaling cooperation with large infrastructure funds. In addition, due to BE’s proprietary technology, there is a 100% attach rate of services to product sales. C&amp;I customers typically sign service agreements of approximately 15 years, while data center customers average closer to 5-6 years to more closely align with GPU depreciation schedules.</w:t>
      </w:r>
    </w:p>
    <w:p w14:paraId="77549187">
      <w:pPr>
        <w:rPr>
          <w:rFonts w:cs="Calibri" w:eastAsiaTheme="minorEastAsia"/>
          <w:sz w:val="22"/>
          <w:szCs w:val="22"/>
          <w:lang w:eastAsia="zh-CN"/>
        </w:rPr>
      </w:pPr>
    </w:p>
    <w:p w14:paraId="025FCE54">
      <w:pPr>
        <w:rPr>
          <w:rFonts w:cs="Calibri" w:eastAsiaTheme="minorEastAsia"/>
          <w:sz w:val="22"/>
          <w:szCs w:val="22"/>
          <w:lang w:eastAsia="zh-CN"/>
        </w:rPr>
      </w:pPr>
      <w:r>
        <w:rPr>
          <w:rFonts w:cs="Calibri" w:eastAsiaTheme="minorEastAsia"/>
          <w:b/>
          <w:bCs/>
          <w:sz w:val="22"/>
          <w:szCs w:val="22"/>
          <w:lang w:eastAsia="zh-CN"/>
        </w:rPr>
        <w:t>BE is doubling its manufacturing capacity to 2 GW by 2026 to support its AIDC concentration,</w:t>
      </w:r>
      <w:r>
        <w:rPr>
          <w:rFonts w:cs="Calibri" w:eastAsiaTheme="minorEastAsia"/>
          <w:sz w:val="22"/>
          <w:szCs w:val="22"/>
          <w:lang w:eastAsia="zh-CN"/>
        </w:rPr>
        <w:t xml:space="preserve"> positioning its SOFC as mission-critical infrastructure for the accelerating digital revolution. The process is expected to take 6-9 months. The company noted that the $100-150mm capex spend to expand capacity by to 2 GW can be potentially paid back in less than a year. We believe this relatively capex-light capacity expansion provides reason to believe the company can scale capacity as needed, based on sustained customer demand. In addition, the current facilities in Fremont, California and Newark, Delaware are designed to be scalable up to 5 GW as needed.</w:t>
      </w:r>
    </w:p>
    <w:p w14:paraId="307B0E4F">
      <w:pPr>
        <w:rPr>
          <w:rFonts w:cs="Calibri" w:eastAsiaTheme="minorEastAsia"/>
          <w:sz w:val="22"/>
          <w:szCs w:val="22"/>
          <w:lang w:eastAsia="zh-CN"/>
        </w:rPr>
      </w:pPr>
    </w:p>
    <w:p w14:paraId="7BE0C377">
      <w:pPr>
        <w:rPr>
          <w:rFonts w:cs="Calibri" w:eastAsiaTheme="minorEastAsia"/>
          <w:sz w:val="22"/>
          <w:szCs w:val="22"/>
          <w:lang w:eastAsia="zh-CN"/>
        </w:rPr>
      </w:pPr>
    </w:p>
    <w:p w14:paraId="78B7AA1B">
      <w:pPr>
        <w:rPr>
          <w:rFonts w:cs="Calibri" w:eastAsiaTheme="minorEastAsia"/>
          <w:sz w:val="22"/>
          <w:szCs w:val="22"/>
          <w:lang w:eastAsia="zh-CN"/>
        </w:rPr>
      </w:pPr>
    </w:p>
    <w:p w14:paraId="3905D402">
      <w:pPr>
        <w:rPr>
          <w:rFonts w:cs="Calibri" w:eastAsiaTheme="minorEastAsia"/>
          <w:sz w:val="22"/>
          <w:szCs w:val="22"/>
          <w:lang w:eastAsia="zh-CN"/>
        </w:rPr>
      </w:pPr>
    </w:p>
    <w:p w14:paraId="2FA3107E">
      <w:pPr>
        <w:rPr>
          <w:rFonts w:cs="Calibri" w:eastAsiaTheme="minorEastAsia"/>
          <w:sz w:val="22"/>
          <w:szCs w:val="22"/>
          <w:lang w:eastAsia="zh-CN"/>
        </w:rPr>
      </w:pPr>
    </w:p>
    <w:p w14:paraId="1DBC7B5B">
      <w:pPr>
        <w:rPr>
          <w:rFonts w:cs="Calibri" w:eastAsiaTheme="minorEastAsia"/>
          <w:sz w:val="22"/>
          <w:szCs w:val="22"/>
          <w:lang w:eastAsia="zh-CN"/>
        </w:rPr>
      </w:pPr>
    </w:p>
    <w:p w14:paraId="62D513C5">
      <w:pPr>
        <w:rPr>
          <w:rFonts w:cs="Calibri" w:eastAsiaTheme="minorEastAsia"/>
          <w:sz w:val="22"/>
          <w:szCs w:val="22"/>
          <w:lang w:eastAsia="zh-CN"/>
        </w:rPr>
      </w:pPr>
    </w:p>
    <w:p w14:paraId="236451DF">
      <w:pPr>
        <w:rPr>
          <w:rFonts w:cs="Calibri" w:eastAsiaTheme="minorEastAsia"/>
          <w:sz w:val="22"/>
          <w:szCs w:val="22"/>
          <w:lang w:eastAsia="zh-CN"/>
        </w:rPr>
      </w:pPr>
    </w:p>
    <w:p w14:paraId="5AA5A1AA">
      <w:pPr>
        <w:rPr>
          <w:rFonts w:cs="Calibri" w:eastAsiaTheme="minorEastAsia"/>
          <w:sz w:val="22"/>
          <w:szCs w:val="22"/>
          <w:lang w:eastAsia="zh-CN"/>
        </w:rPr>
      </w:pPr>
    </w:p>
    <w:p w14:paraId="1F37E5CE">
      <w:pPr>
        <w:rPr>
          <w:rFonts w:cs="Calibri" w:eastAsiaTheme="minorEastAsia"/>
          <w:sz w:val="22"/>
          <w:szCs w:val="22"/>
          <w:lang w:eastAsia="zh-CN"/>
        </w:rPr>
      </w:pPr>
    </w:p>
    <w:p w14:paraId="3E77CAA8">
      <w:pPr>
        <w:rPr>
          <w:rFonts w:cs="Calibri" w:eastAsiaTheme="minorEastAsia"/>
          <w:sz w:val="22"/>
          <w:szCs w:val="22"/>
          <w:lang w:eastAsia="zh-CN"/>
        </w:rPr>
      </w:pPr>
    </w:p>
    <w:p w14:paraId="14A65910">
      <w:pPr>
        <w:rPr>
          <w:rFonts w:cs="Calibri" w:eastAsiaTheme="minorEastAsia"/>
          <w:b/>
          <w:bCs/>
          <w:sz w:val="20"/>
          <w:szCs w:val="20"/>
          <w:lang w:eastAsia="zh-CN"/>
        </w:rPr>
        <w:sectPr>
          <w:pgSz w:w="11910" w:h="16840"/>
          <w:pgMar w:top="567" w:right="567" w:bottom="1021" w:left="3600" w:header="567" w:footer="919" w:gutter="0"/>
          <w:cols w:space="425" w:num="1"/>
          <w:titlePg/>
          <w:docGrid w:linePitch="299" w:charSpace="0"/>
        </w:sectPr>
      </w:pPr>
    </w:p>
    <w:tbl>
      <w:tblPr>
        <w:tblStyle w:val="20"/>
        <w:tblpPr w:leftFromText="180" w:rightFromText="180" w:vertAnchor="text" w:horzAnchor="page" w:tblpX="3594" w:tblpY="244"/>
        <w:tblOverlap w:val="never"/>
        <w:tblW w:w="7466" w:type="dxa"/>
        <w:tblInd w:w="0" w:type="dxa"/>
        <w:tblLayout w:type="fixed"/>
        <w:tblCellMar>
          <w:top w:w="0" w:type="dxa"/>
          <w:left w:w="108" w:type="dxa"/>
          <w:bottom w:w="0" w:type="dxa"/>
          <w:right w:w="108" w:type="dxa"/>
        </w:tblCellMar>
      </w:tblPr>
      <w:tblGrid>
        <w:gridCol w:w="7466"/>
      </w:tblGrid>
      <w:tr w14:paraId="1D414009">
        <w:trPr>
          <w:trHeight w:val="302" w:hRule="atLeast"/>
        </w:trPr>
        <w:tc>
          <w:tcPr>
            <w:tcW w:w="7466" w:type="dxa"/>
            <w:tcBorders>
              <w:top w:val="nil"/>
              <w:left w:val="nil"/>
              <w:bottom w:val="nil"/>
              <w:right w:val="nil"/>
            </w:tcBorders>
            <w:tcMar>
              <w:left w:w="0" w:type="dxa"/>
              <w:right w:w="28" w:type="dxa"/>
            </w:tcMar>
          </w:tcPr>
          <w:p w14:paraId="4CB37FF9">
            <w:pPr>
              <w:rPr>
                <w:rFonts w:cs="Calibri" w:eastAsiaTheme="minorEastAsia"/>
                <w:sz w:val="20"/>
                <w:szCs w:val="20"/>
                <w:lang w:eastAsia="zh-CN"/>
              </w:rPr>
            </w:pPr>
            <w:r>
              <w:rPr>
                <w:rFonts w:cs="Calibri" w:eastAsiaTheme="minorEastAsia"/>
                <w:b/>
                <w:bCs/>
                <w:sz w:val="20"/>
                <w:szCs w:val="20"/>
                <w:lang w:eastAsia="zh-CN"/>
              </w:rPr>
              <w:t>Table: BE's AI &amp; Data Center Milestones</w:t>
            </w:r>
          </w:p>
        </w:tc>
      </w:tr>
      <w:tr w14:paraId="6AB7AA31">
        <w:tblPrEx>
          <w:tblCellMar>
            <w:top w:w="0" w:type="dxa"/>
            <w:left w:w="108" w:type="dxa"/>
            <w:bottom w:w="0" w:type="dxa"/>
            <w:right w:w="108" w:type="dxa"/>
          </w:tblCellMar>
        </w:tblPrEx>
        <w:trPr>
          <w:trHeight w:val="856" w:hRule="atLeast"/>
        </w:trPr>
        <w:tc>
          <w:tcPr>
            <w:tcW w:w="7466" w:type="dxa"/>
            <w:tcBorders>
              <w:top w:val="nil"/>
              <w:left w:val="nil"/>
              <w:bottom w:val="nil"/>
              <w:right w:val="nil"/>
            </w:tcBorders>
            <w:vAlign w:val="center"/>
          </w:tcPr>
          <w:p w14:paraId="6B42652B">
            <w:pPr>
              <w:ind w:left="-160" w:leftChars="-100" w:firstLine="90"/>
              <w:rPr>
                <w:rFonts w:cs="Calibri" w:eastAsiaTheme="minorEastAsia"/>
                <w:sz w:val="20"/>
                <w:szCs w:val="20"/>
                <w:lang w:eastAsia="zh-CN"/>
              </w:rPr>
            </w:pPr>
            <w:r>
              <w:rPr>
                <w:rFonts w:cs="Calibri" w:eastAsiaTheme="minorEastAsia"/>
                <w:sz w:val="20"/>
                <w:szCs w:val="20"/>
                <w:lang w:eastAsia="zh-CN"/>
              </w:rPr>
              <w:drawing>
                <wp:inline distT="0" distB="0" distL="114300" distR="114300">
                  <wp:extent cx="4629785" cy="2287905"/>
                  <wp:effectExtent l="0" t="0" r="3175" b="1333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32"/>
                          <a:stretch>
                            <a:fillRect/>
                          </a:stretch>
                        </pic:blipFill>
                        <pic:spPr>
                          <a:xfrm>
                            <a:off x="0" y="0"/>
                            <a:ext cx="4629785" cy="2287905"/>
                          </a:xfrm>
                          <a:prstGeom prst="rect">
                            <a:avLst/>
                          </a:prstGeom>
                          <a:noFill/>
                          <a:ln>
                            <a:noFill/>
                          </a:ln>
                        </pic:spPr>
                      </pic:pic>
                    </a:graphicData>
                  </a:graphic>
                </wp:inline>
              </w:drawing>
            </w:r>
          </w:p>
          <w:p w14:paraId="6D3022E5">
            <w:pPr>
              <w:ind w:left="-160" w:leftChars="-100" w:firstLine="90"/>
              <w:rPr>
                <w:rFonts w:cs="Calibri" w:eastAsiaTheme="minorEastAsia"/>
                <w:sz w:val="20"/>
                <w:szCs w:val="20"/>
                <w:lang w:eastAsia="zh-CN"/>
              </w:rPr>
            </w:pPr>
          </w:p>
        </w:tc>
      </w:tr>
      <w:tr w14:paraId="2E8AF1CC">
        <w:trPr>
          <w:trHeight w:val="64" w:hRule="atLeast"/>
        </w:trPr>
        <w:tc>
          <w:tcPr>
            <w:tcW w:w="7466" w:type="dxa"/>
            <w:tcBorders>
              <w:top w:val="nil"/>
              <w:left w:val="nil"/>
              <w:bottom w:val="nil"/>
              <w:right w:val="nil"/>
            </w:tcBorders>
            <w:tcMar>
              <w:left w:w="0" w:type="dxa"/>
              <w:right w:w="28" w:type="dxa"/>
            </w:tcMar>
            <w:vAlign w:val="center"/>
          </w:tcPr>
          <w:p w14:paraId="23091582">
            <w:pPr>
              <w:rPr>
                <w:rFonts w:cs="Calibri" w:eastAsiaTheme="minorEastAsia"/>
                <w:sz w:val="20"/>
                <w:szCs w:val="20"/>
                <w:lang w:eastAsia="zh-CN"/>
              </w:rPr>
            </w:pPr>
            <w:r>
              <w:rPr>
                <w:rFonts w:cs="Calibri" w:eastAsiaTheme="minorEastAsia"/>
                <w:b/>
                <w:bCs/>
                <w:sz w:val="20"/>
                <w:szCs w:val="20"/>
                <w:lang w:eastAsia="zh-CN"/>
              </w:rPr>
              <w:t>Source: Finance Yahoo, HFI</w:t>
            </w:r>
          </w:p>
        </w:tc>
      </w:tr>
    </w:tbl>
    <w:p w14:paraId="236AE339">
      <w:pPr>
        <w:jc w:val="right"/>
        <w:rPr>
          <w:rFonts w:cs="Calibri" w:eastAsiaTheme="minorEastAsia"/>
          <w:sz w:val="22"/>
          <w:szCs w:val="22"/>
          <w:lang w:eastAsia="zh-CN"/>
        </w:rPr>
      </w:pPr>
    </w:p>
    <w:tbl>
      <w:tblPr>
        <w:tblStyle w:val="20"/>
        <w:tblW w:w="10158" w:type="dxa"/>
        <w:tblInd w:w="-2692" w:type="dxa"/>
        <w:tblLayout w:type="fixed"/>
        <w:tblCellMar>
          <w:top w:w="0" w:type="dxa"/>
          <w:left w:w="108" w:type="dxa"/>
          <w:bottom w:w="0" w:type="dxa"/>
          <w:right w:w="108" w:type="dxa"/>
        </w:tblCellMar>
      </w:tblPr>
      <w:tblGrid>
        <w:gridCol w:w="10158"/>
      </w:tblGrid>
      <w:tr w14:paraId="2F267660">
        <w:tblPrEx>
          <w:tblCellMar>
            <w:top w:w="0" w:type="dxa"/>
            <w:left w:w="108" w:type="dxa"/>
            <w:bottom w:w="0" w:type="dxa"/>
            <w:right w:w="108" w:type="dxa"/>
          </w:tblCellMar>
        </w:tblPrEx>
        <w:trPr>
          <w:trHeight w:val="302" w:hRule="atLeast"/>
        </w:trPr>
        <w:tc>
          <w:tcPr>
            <w:tcW w:w="10158" w:type="dxa"/>
            <w:tcBorders>
              <w:top w:val="nil"/>
              <w:left w:val="nil"/>
              <w:bottom w:val="nil"/>
              <w:right w:val="nil"/>
            </w:tcBorders>
            <w:tcMar>
              <w:left w:w="0" w:type="dxa"/>
              <w:right w:w="28" w:type="dxa"/>
            </w:tcMar>
          </w:tcPr>
          <w:p w14:paraId="569BB974">
            <w:pPr>
              <w:widowControl w:val="0"/>
              <w:jc w:val="both"/>
              <w:rPr>
                <w:rFonts w:eastAsia="楷体" w:cs="Calibri"/>
                <w:kern w:val="2"/>
                <w:sz w:val="20"/>
                <w:szCs w:val="20"/>
                <w:lang w:eastAsia="zh-CN"/>
              </w:rPr>
            </w:pPr>
            <w:r>
              <w:rPr>
                <w:rFonts w:eastAsia="楷体" w:cs="Calibri"/>
                <w:b/>
                <w:bCs/>
                <w:kern w:val="2"/>
                <w:sz w:val="20"/>
                <w:szCs w:val="20"/>
                <w:lang w:eastAsia="zh-CN"/>
              </w:rPr>
              <w:t>Figure: BE’s CA and DE Factories</w:t>
            </w:r>
          </w:p>
        </w:tc>
      </w:tr>
      <w:tr w14:paraId="727F5913">
        <w:tblPrEx>
          <w:tblCellMar>
            <w:top w:w="0" w:type="dxa"/>
            <w:left w:w="108" w:type="dxa"/>
            <w:bottom w:w="0" w:type="dxa"/>
            <w:right w:w="108" w:type="dxa"/>
          </w:tblCellMar>
        </w:tblPrEx>
        <w:trPr>
          <w:trHeight w:val="856" w:hRule="atLeast"/>
        </w:trPr>
        <w:tc>
          <w:tcPr>
            <w:tcW w:w="10158" w:type="dxa"/>
            <w:tcBorders>
              <w:top w:val="nil"/>
              <w:left w:val="nil"/>
              <w:bottom w:val="nil"/>
              <w:right w:val="nil"/>
            </w:tcBorders>
            <w:vAlign w:val="center"/>
          </w:tcPr>
          <w:p w14:paraId="7198158B">
            <w:pPr>
              <w:widowControl w:val="0"/>
              <w:jc w:val="both"/>
              <w:rPr>
                <w:rFonts w:eastAsia="楷体" w:cs="Calibri"/>
                <w:kern w:val="2"/>
                <w:sz w:val="20"/>
                <w:szCs w:val="20"/>
                <w:lang w:eastAsia="zh-CN"/>
              </w:rPr>
            </w:pPr>
            <w:r>
              <w:rPr>
                <w:rFonts w:eastAsia="楷体" w:cs="Calibri"/>
                <w:kern w:val="2"/>
                <w:sz w:val="20"/>
                <w:szCs w:val="20"/>
                <w:lang w:eastAsia="zh-CN"/>
              </w:rPr>
              <w:drawing>
                <wp:inline distT="0" distB="0" distL="114300" distR="114300">
                  <wp:extent cx="6307455" cy="2567940"/>
                  <wp:effectExtent l="0" t="0" r="1905" b="762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33"/>
                          <a:stretch>
                            <a:fillRect/>
                          </a:stretch>
                        </pic:blipFill>
                        <pic:spPr>
                          <a:xfrm>
                            <a:off x="0" y="0"/>
                            <a:ext cx="6307455" cy="2567940"/>
                          </a:xfrm>
                          <a:prstGeom prst="rect">
                            <a:avLst/>
                          </a:prstGeom>
                          <a:noFill/>
                          <a:ln>
                            <a:noFill/>
                          </a:ln>
                        </pic:spPr>
                      </pic:pic>
                    </a:graphicData>
                  </a:graphic>
                </wp:inline>
              </w:drawing>
            </w:r>
          </w:p>
        </w:tc>
      </w:tr>
      <w:tr w14:paraId="184AFB22">
        <w:tblPrEx>
          <w:tblCellMar>
            <w:top w:w="0" w:type="dxa"/>
            <w:left w:w="108" w:type="dxa"/>
            <w:bottom w:w="0" w:type="dxa"/>
            <w:right w:w="108" w:type="dxa"/>
          </w:tblCellMar>
        </w:tblPrEx>
        <w:trPr>
          <w:trHeight w:val="64" w:hRule="atLeast"/>
        </w:trPr>
        <w:tc>
          <w:tcPr>
            <w:tcW w:w="10158" w:type="dxa"/>
            <w:tcBorders>
              <w:top w:val="nil"/>
              <w:left w:val="nil"/>
              <w:bottom w:val="nil"/>
              <w:right w:val="nil"/>
            </w:tcBorders>
            <w:tcMar>
              <w:left w:w="0" w:type="dxa"/>
              <w:right w:w="28" w:type="dxa"/>
            </w:tcMar>
            <w:vAlign w:val="center"/>
          </w:tcPr>
          <w:p w14:paraId="1A89172E">
            <w:pPr>
              <w:widowControl w:val="0"/>
              <w:jc w:val="both"/>
              <w:rPr>
                <w:rFonts w:eastAsia="楷体" w:cs="Calibri"/>
                <w:kern w:val="2"/>
                <w:sz w:val="20"/>
                <w:szCs w:val="20"/>
                <w:lang w:eastAsia="zh-CN"/>
              </w:rPr>
            </w:pPr>
            <w:r>
              <w:rPr>
                <w:rFonts w:eastAsia="楷体" w:cs="Calibri"/>
                <w:b/>
                <w:bCs/>
                <w:kern w:val="2"/>
                <w:sz w:val="20"/>
                <w:szCs w:val="20"/>
                <w:lang w:eastAsia="zh-CN"/>
              </w:rPr>
              <w:t>Source: Company, HFI</w:t>
            </w:r>
          </w:p>
        </w:tc>
      </w:tr>
    </w:tbl>
    <w:p w14:paraId="0F90FC67">
      <w:pPr>
        <w:widowControl w:val="0"/>
        <w:jc w:val="both"/>
        <w:rPr>
          <w:rFonts w:eastAsia="楷体" w:cs="Calibri"/>
          <w:kern w:val="2"/>
          <w:sz w:val="22"/>
          <w:szCs w:val="22"/>
          <w:lang w:eastAsia="zh-CN"/>
        </w:rPr>
      </w:pPr>
    </w:p>
    <w:p w14:paraId="482FC5F9">
      <w:pPr>
        <w:rPr>
          <w:rFonts w:cs="Calibri" w:eastAsiaTheme="minorEastAsia"/>
          <w:sz w:val="22"/>
          <w:szCs w:val="22"/>
          <w:lang w:eastAsia="zh-CN"/>
        </w:rPr>
      </w:pPr>
      <w:r>
        <w:rPr>
          <w:rFonts w:cs="Calibri" w:eastAsiaTheme="minorEastAsia"/>
          <w:b/>
          <w:bCs/>
          <w:sz w:val="22"/>
          <w:szCs w:val="22"/>
          <w:lang w:eastAsia="zh-CN"/>
        </w:rPr>
        <w:t>BE is steered by a leadership team of seasoned visionaries and industrial experts,</w:t>
      </w:r>
      <w:r>
        <w:rPr>
          <w:rFonts w:cs="Calibri" w:eastAsiaTheme="minorEastAsia"/>
          <w:sz w:val="22"/>
          <w:szCs w:val="22"/>
          <w:lang w:eastAsia="zh-CN"/>
        </w:rPr>
        <w:t xml:space="preserve"> leading by its Founder and CEO, Dr. KR Sridhar, a former NASA scientist whose work on Mars oxygen technology forms the company's core platform. The management team includes Aman Joshi (Chief Commercial Officer), who spearheads the company’s pivot to AI and data centers, Satish Chitoori (COO), who oversees global manufacturing expansion, and Ravi Prasher (CTO), who leads R&amp;D in fuel cells and hydrogen. The strategic direction is further strengthened by a high-profile board featuring industrial veterans like Jeff Immelt (former GE CEO), John Chambers (former Cisco CEO), and Jim Hagemann Snabe (Chairman of Siemens).</w:t>
      </w:r>
    </w:p>
    <w:p w14:paraId="6BCAB107">
      <w:pPr>
        <w:rPr>
          <w:rFonts w:cs="Calibri" w:eastAsiaTheme="minorEastAsia"/>
          <w:sz w:val="22"/>
          <w:szCs w:val="22"/>
          <w:lang w:eastAsia="zh-CN"/>
        </w:rPr>
      </w:pPr>
    </w:p>
    <w:p w14:paraId="59F655FF">
      <w:pPr>
        <w:rPr>
          <w:rFonts w:cs="Calibri" w:eastAsiaTheme="minorEastAsia"/>
          <w:sz w:val="22"/>
          <w:szCs w:val="22"/>
          <w:lang w:eastAsia="zh-CN"/>
        </w:rPr>
      </w:pPr>
    </w:p>
    <w:p w14:paraId="5A4E0C99">
      <w:pPr>
        <w:rPr>
          <w:rFonts w:cs="Calibri" w:eastAsiaTheme="minorEastAsia"/>
          <w:sz w:val="22"/>
          <w:szCs w:val="22"/>
          <w:lang w:eastAsia="zh-CN"/>
        </w:rPr>
      </w:pPr>
    </w:p>
    <w:p w14:paraId="7F46382C">
      <w:pPr>
        <w:rPr>
          <w:rFonts w:cs="Calibri" w:eastAsiaTheme="minorEastAsia"/>
          <w:sz w:val="22"/>
          <w:szCs w:val="22"/>
          <w:lang w:eastAsia="zh-CN"/>
        </w:rPr>
      </w:pPr>
    </w:p>
    <w:p w14:paraId="43E5F415">
      <w:pPr>
        <w:rPr>
          <w:rFonts w:cs="Calibri" w:eastAsiaTheme="minorEastAsia"/>
          <w:sz w:val="22"/>
          <w:szCs w:val="22"/>
          <w:lang w:eastAsia="zh-CN"/>
        </w:rPr>
      </w:pPr>
    </w:p>
    <w:p w14:paraId="67D1AC75">
      <w:pPr>
        <w:rPr>
          <w:rFonts w:cs="Calibri" w:eastAsiaTheme="minorEastAsia"/>
          <w:sz w:val="22"/>
          <w:szCs w:val="22"/>
          <w:lang w:eastAsia="zh-CN"/>
        </w:rPr>
      </w:pPr>
    </w:p>
    <w:p w14:paraId="71D1F4BE">
      <w:pPr>
        <w:widowControl w:val="0"/>
        <w:jc w:val="both"/>
        <w:rPr>
          <w:rFonts w:eastAsia="楷体" w:cs="Calibri"/>
          <w:kern w:val="2"/>
          <w:sz w:val="22"/>
          <w:szCs w:val="22"/>
          <w:lang w:eastAsia="zh-CN"/>
        </w:rPr>
      </w:pPr>
    </w:p>
    <w:p w14:paraId="1EA720F9">
      <w:pPr>
        <w:spacing w:before="48" w:beforeLines="20" w:after="48" w:afterLines="20"/>
        <w:jc w:val="both"/>
        <w:textAlignment w:val="center"/>
        <w:rPr>
          <w:rFonts w:eastAsia="楷体_GB2312" w:cs="Calibri"/>
          <w:b/>
          <w:sz w:val="20"/>
          <w:szCs w:val="20"/>
        </w:rPr>
        <w:sectPr>
          <w:pgSz w:w="11910" w:h="16840"/>
          <w:pgMar w:top="567" w:right="567" w:bottom="1021" w:left="3600" w:header="567" w:footer="919" w:gutter="0"/>
          <w:cols w:space="425" w:num="1"/>
          <w:titlePg/>
          <w:docGrid w:linePitch="299" w:charSpace="0"/>
        </w:sectPr>
      </w:pPr>
      <w:bookmarkStart w:id="3" w:name="_Hlk216641008"/>
    </w:p>
    <w:tbl>
      <w:tblPr>
        <w:tblStyle w:val="20"/>
        <w:tblW w:w="10173" w:type="dxa"/>
        <w:tblInd w:w="-2707" w:type="dxa"/>
        <w:tblLayout w:type="fixed"/>
        <w:tblCellMar>
          <w:top w:w="0" w:type="dxa"/>
          <w:left w:w="108" w:type="dxa"/>
          <w:bottom w:w="0" w:type="dxa"/>
          <w:right w:w="108" w:type="dxa"/>
        </w:tblCellMar>
      </w:tblPr>
      <w:tblGrid>
        <w:gridCol w:w="10173"/>
      </w:tblGrid>
      <w:tr w14:paraId="41A7DFD1">
        <w:trPr>
          <w:trHeight w:val="302" w:hRule="atLeast"/>
        </w:trPr>
        <w:tc>
          <w:tcPr>
            <w:tcW w:w="10173" w:type="dxa"/>
            <w:tcBorders>
              <w:top w:val="nil"/>
              <w:left w:val="nil"/>
              <w:bottom w:val="nil"/>
              <w:right w:val="nil"/>
            </w:tcBorders>
            <w:tcMar>
              <w:left w:w="0" w:type="dxa"/>
              <w:right w:w="28" w:type="dxa"/>
            </w:tcMar>
          </w:tcPr>
          <w:p w14:paraId="0CA8C55B">
            <w:pPr>
              <w:spacing w:before="48" w:beforeLines="20" w:after="48" w:afterLines="20"/>
              <w:jc w:val="both"/>
              <w:textAlignment w:val="center"/>
              <w:rPr>
                <w:rFonts w:eastAsia="楷体_GB2312" w:cs="Calibri"/>
                <w:sz w:val="20"/>
                <w:szCs w:val="20"/>
                <w:lang w:eastAsia="zh-CN"/>
              </w:rPr>
            </w:pPr>
            <w:r>
              <w:rPr>
                <w:rFonts w:eastAsia="楷体_GB2312" w:cs="Calibri"/>
                <w:b/>
                <w:sz w:val="20"/>
                <w:szCs w:val="20"/>
              </w:rPr>
              <w:t>Figure:</w:t>
            </w:r>
            <w:r>
              <w:rPr>
                <w:rFonts w:eastAsia="楷体_GB2312" w:cs="Calibri"/>
                <w:b/>
                <w:sz w:val="20"/>
                <w:szCs w:val="20"/>
                <w:lang w:eastAsia="zh-CN"/>
              </w:rPr>
              <w:t xml:space="preserve"> Leadership Team &amp; Board</w:t>
            </w:r>
          </w:p>
        </w:tc>
      </w:tr>
      <w:tr w14:paraId="667BE1B3">
        <w:tblPrEx>
          <w:tblCellMar>
            <w:top w:w="0" w:type="dxa"/>
            <w:left w:w="108" w:type="dxa"/>
            <w:bottom w:w="0" w:type="dxa"/>
            <w:right w:w="108" w:type="dxa"/>
          </w:tblCellMar>
        </w:tblPrEx>
        <w:trPr>
          <w:trHeight w:val="4333" w:hRule="atLeast"/>
        </w:trPr>
        <w:tc>
          <w:tcPr>
            <w:tcW w:w="10173" w:type="dxa"/>
            <w:tcBorders>
              <w:top w:val="nil"/>
              <w:left w:val="nil"/>
              <w:bottom w:val="nil"/>
              <w:right w:val="nil"/>
            </w:tcBorders>
            <w:vAlign w:val="center"/>
          </w:tcPr>
          <w:p w14:paraId="604231C3">
            <w:pPr>
              <w:spacing w:before="48" w:beforeLines="20" w:after="48" w:afterLines="20"/>
              <w:jc w:val="both"/>
              <w:textAlignment w:val="center"/>
              <w:rPr>
                <w:rFonts w:eastAsia="宋体" w:cs="Calibri"/>
                <w:b/>
                <w:bCs/>
                <w:sz w:val="20"/>
                <w:szCs w:val="20"/>
                <w:lang w:eastAsia="zh-CN"/>
              </w:rPr>
            </w:pPr>
            <w:r>
              <w:rPr>
                <w:rFonts w:eastAsia="宋体" w:cs="Calibri"/>
                <w:b/>
                <w:bCs/>
                <w:sz w:val="20"/>
                <w:szCs w:val="20"/>
                <w:lang w:eastAsia="zh-CN"/>
              </w:rPr>
              <w:drawing>
                <wp:inline distT="0" distB="0" distL="114300" distR="114300">
                  <wp:extent cx="6318885" cy="2689225"/>
                  <wp:effectExtent l="0" t="0" r="5715" b="8255"/>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34"/>
                          <a:stretch>
                            <a:fillRect/>
                          </a:stretch>
                        </pic:blipFill>
                        <pic:spPr>
                          <a:xfrm>
                            <a:off x="0" y="0"/>
                            <a:ext cx="6318885" cy="2689225"/>
                          </a:xfrm>
                          <a:prstGeom prst="rect">
                            <a:avLst/>
                          </a:prstGeom>
                          <a:noFill/>
                          <a:ln>
                            <a:noFill/>
                          </a:ln>
                        </pic:spPr>
                      </pic:pic>
                    </a:graphicData>
                  </a:graphic>
                </wp:inline>
              </w:drawing>
            </w:r>
          </w:p>
        </w:tc>
      </w:tr>
      <w:tr w14:paraId="2B79CD8A">
        <w:tblPrEx>
          <w:tblCellMar>
            <w:top w:w="0" w:type="dxa"/>
            <w:left w:w="108" w:type="dxa"/>
            <w:bottom w:w="0" w:type="dxa"/>
            <w:right w:w="108" w:type="dxa"/>
          </w:tblCellMar>
        </w:tblPrEx>
        <w:trPr>
          <w:trHeight w:val="64" w:hRule="atLeast"/>
        </w:trPr>
        <w:tc>
          <w:tcPr>
            <w:tcW w:w="10173" w:type="dxa"/>
            <w:tcBorders>
              <w:top w:val="nil"/>
              <w:left w:val="nil"/>
              <w:bottom w:val="nil"/>
              <w:right w:val="nil"/>
            </w:tcBorders>
            <w:tcMar>
              <w:left w:w="0" w:type="dxa"/>
              <w:right w:w="28" w:type="dxa"/>
            </w:tcMar>
            <w:vAlign w:val="center"/>
          </w:tcPr>
          <w:p w14:paraId="398E8464">
            <w:pPr>
              <w:spacing w:line="240" w:lineRule="atLeast"/>
              <w:jc w:val="both"/>
              <w:textAlignment w:val="center"/>
              <w:rPr>
                <w:rFonts w:cs="Calibri"/>
                <w:b/>
                <w:bCs/>
                <w:sz w:val="20"/>
                <w:szCs w:val="20"/>
              </w:rPr>
            </w:pPr>
            <w:r>
              <w:rPr>
                <w:rFonts w:eastAsia="楷体_GB2312" w:cs="Calibri"/>
                <w:b/>
                <w:bCs/>
                <w:sz w:val="20"/>
                <w:szCs w:val="20"/>
              </w:rPr>
              <w:t xml:space="preserve">Source: </w:t>
            </w:r>
            <w:r>
              <w:rPr>
                <w:rFonts w:eastAsia="楷体_GB2312" w:cs="Calibri"/>
                <w:b/>
                <w:bCs/>
                <w:sz w:val="20"/>
                <w:szCs w:val="20"/>
                <w:lang w:eastAsia="zh-CN"/>
              </w:rPr>
              <w:t xml:space="preserve">Company, </w:t>
            </w:r>
            <w:r>
              <w:rPr>
                <w:rFonts w:eastAsia="楷体_GB2312" w:cs="Calibri"/>
                <w:b/>
                <w:bCs/>
                <w:sz w:val="20"/>
                <w:szCs w:val="20"/>
              </w:rPr>
              <w:t>HFI</w:t>
            </w:r>
          </w:p>
        </w:tc>
      </w:tr>
      <w:bookmarkEnd w:id="3"/>
    </w:tbl>
    <w:p w14:paraId="7ACEFF78">
      <w:pPr>
        <w:widowControl w:val="0"/>
        <w:jc w:val="both"/>
        <w:rPr>
          <w:rFonts w:eastAsia="楷体" w:cs="Calibri"/>
          <w:kern w:val="2"/>
          <w:sz w:val="22"/>
          <w:szCs w:val="22"/>
        </w:rPr>
      </w:pPr>
    </w:p>
    <w:p w14:paraId="722BA4B6">
      <w:pPr>
        <w:widowControl w:val="0"/>
        <w:jc w:val="both"/>
        <w:rPr>
          <w:rFonts w:eastAsia="楷体" w:cs="Calibri"/>
          <w:kern w:val="2"/>
          <w:sz w:val="22"/>
          <w:szCs w:val="22"/>
        </w:rPr>
      </w:pPr>
      <w:r>
        <w:rPr>
          <w:rFonts w:eastAsia="楷体" w:cs="Calibri"/>
          <w:b/>
          <w:bCs/>
          <w:kern w:val="2"/>
          <w:sz w:val="22"/>
          <w:szCs w:val="22"/>
        </w:rPr>
        <w:t>BE</w:t>
      </w:r>
      <w:r>
        <w:rPr>
          <w:rFonts w:eastAsia="楷体" w:cs="Calibri"/>
          <w:b/>
          <w:bCs/>
          <w:kern w:val="2"/>
          <w:sz w:val="22"/>
          <w:szCs w:val="22"/>
          <w:lang w:eastAsia="zh-CN"/>
        </w:rPr>
        <w:t xml:space="preserve">’s </w:t>
      </w:r>
      <w:r>
        <w:rPr>
          <w:rFonts w:eastAsia="楷体" w:cs="Calibri"/>
          <w:b/>
          <w:bCs/>
          <w:kern w:val="2"/>
          <w:sz w:val="22"/>
          <w:szCs w:val="22"/>
        </w:rPr>
        <w:t xml:space="preserve">ownership structure is predominantly institutionally held. </w:t>
      </w:r>
      <w:r>
        <w:rPr>
          <w:rFonts w:eastAsia="楷体" w:cs="Calibri"/>
          <w:kern w:val="2"/>
          <w:sz w:val="22"/>
          <w:szCs w:val="22"/>
        </w:rPr>
        <w:t>As of September 30, 2025, Ameriprise Financial Inc. is the largest shareholder with a 12.54% stake, while the top four shareholders—Ameriprise Financial Inc., Vanguard Group Inc., Blackrock Inc., and D. E. Shaw &amp; Co., Inc.—collectively hold approximately 35.08%. This high level of institutional ownership, which rose to 97.69% in Q3 2025, provides stable governance support and signals strong external confidence in the company's large-scale commercialization potential.</w:t>
      </w:r>
    </w:p>
    <w:tbl>
      <w:tblPr>
        <w:tblStyle w:val="20"/>
        <w:tblpPr w:leftFromText="180" w:rightFromText="180" w:vertAnchor="text" w:horzAnchor="page" w:tblpX="3594" w:tblpY="244"/>
        <w:tblOverlap w:val="never"/>
        <w:tblW w:w="7466" w:type="dxa"/>
        <w:tblInd w:w="0" w:type="dxa"/>
        <w:tblLayout w:type="fixed"/>
        <w:tblCellMar>
          <w:top w:w="0" w:type="dxa"/>
          <w:left w:w="108" w:type="dxa"/>
          <w:bottom w:w="0" w:type="dxa"/>
          <w:right w:w="108" w:type="dxa"/>
        </w:tblCellMar>
      </w:tblPr>
      <w:tblGrid>
        <w:gridCol w:w="7466"/>
      </w:tblGrid>
      <w:tr w14:paraId="2C45443A">
        <w:trPr>
          <w:trHeight w:val="302" w:hRule="atLeast"/>
        </w:trPr>
        <w:tc>
          <w:tcPr>
            <w:tcW w:w="7466" w:type="dxa"/>
            <w:tcBorders>
              <w:top w:val="nil"/>
              <w:left w:val="nil"/>
              <w:bottom w:val="nil"/>
              <w:right w:val="nil"/>
            </w:tcBorders>
            <w:tcMar>
              <w:left w:w="0" w:type="dxa"/>
              <w:right w:w="28" w:type="dxa"/>
            </w:tcMar>
          </w:tcPr>
          <w:p w14:paraId="0F5ADFB8">
            <w:pPr>
              <w:widowControl w:val="0"/>
              <w:jc w:val="both"/>
              <w:rPr>
                <w:rFonts w:eastAsia="楷体" w:cs="Calibri"/>
                <w:b/>
                <w:bCs/>
                <w:kern w:val="2"/>
                <w:sz w:val="22"/>
                <w:szCs w:val="22"/>
                <w:lang w:eastAsia="zh-CN"/>
              </w:rPr>
            </w:pPr>
            <w:r>
              <w:rPr>
                <w:rFonts w:eastAsia="楷体" w:cs="Calibri"/>
                <w:b/>
                <w:bCs/>
                <w:kern w:val="2"/>
                <w:sz w:val="20"/>
                <w:szCs w:val="20"/>
                <w:lang w:eastAsia="zh-CN"/>
              </w:rPr>
              <w:t>Figure: BE's top four holders</w:t>
            </w:r>
          </w:p>
        </w:tc>
      </w:tr>
      <w:tr w14:paraId="42D687B1">
        <w:tblPrEx>
          <w:tblCellMar>
            <w:top w:w="0" w:type="dxa"/>
            <w:left w:w="108" w:type="dxa"/>
            <w:bottom w:w="0" w:type="dxa"/>
            <w:right w:w="108" w:type="dxa"/>
          </w:tblCellMar>
        </w:tblPrEx>
        <w:trPr>
          <w:trHeight w:val="856" w:hRule="atLeast"/>
        </w:trPr>
        <w:tc>
          <w:tcPr>
            <w:tcW w:w="7466" w:type="dxa"/>
            <w:tcBorders>
              <w:top w:val="nil"/>
              <w:left w:val="nil"/>
              <w:bottom w:val="nil"/>
              <w:right w:val="nil"/>
            </w:tcBorders>
            <w:vAlign w:val="center"/>
          </w:tcPr>
          <w:p w14:paraId="78572940">
            <w:pPr>
              <w:widowControl w:val="0"/>
              <w:jc w:val="both"/>
              <w:rPr>
                <w:rFonts w:eastAsia="楷体" w:cs="Calibri"/>
                <w:b/>
                <w:bCs/>
                <w:kern w:val="2"/>
                <w:sz w:val="22"/>
                <w:szCs w:val="22"/>
                <w:lang w:eastAsia="zh-CN"/>
              </w:rPr>
            </w:pPr>
            <w:r>
              <w:drawing>
                <wp:inline distT="0" distB="0" distL="114300" distR="114300">
                  <wp:extent cx="4658360" cy="1501775"/>
                  <wp:effectExtent l="0" t="0" r="5080" b="6985"/>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35"/>
                          <a:stretch>
                            <a:fillRect/>
                          </a:stretch>
                        </pic:blipFill>
                        <pic:spPr>
                          <a:xfrm>
                            <a:off x="0" y="0"/>
                            <a:ext cx="4658360" cy="1501775"/>
                          </a:xfrm>
                          <a:prstGeom prst="rect">
                            <a:avLst/>
                          </a:prstGeom>
                          <a:noFill/>
                          <a:ln w="9525">
                            <a:noFill/>
                          </a:ln>
                        </pic:spPr>
                      </pic:pic>
                    </a:graphicData>
                  </a:graphic>
                </wp:inline>
              </w:drawing>
            </w:r>
          </w:p>
        </w:tc>
      </w:tr>
      <w:tr w14:paraId="65EED36C">
        <w:tblPrEx>
          <w:tblCellMar>
            <w:top w:w="0" w:type="dxa"/>
            <w:left w:w="108" w:type="dxa"/>
            <w:bottom w:w="0" w:type="dxa"/>
            <w:right w:w="108" w:type="dxa"/>
          </w:tblCellMar>
        </w:tblPrEx>
        <w:trPr>
          <w:trHeight w:val="64" w:hRule="atLeast"/>
        </w:trPr>
        <w:tc>
          <w:tcPr>
            <w:tcW w:w="7466" w:type="dxa"/>
            <w:tcBorders>
              <w:top w:val="nil"/>
              <w:left w:val="nil"/>
              <w:bottom w:val="nil"/>
              <w:right w:val="nil"/>
            </w:tcBorders>
            <w:tcMar>
              <w:left w:w="0" w:type="dxa"/>
              <w:right w:w="28" w:type="dxa"/>
            </w:tcMar>
            <w:vAlign w:val="center"/>
          </w:tcPr>
          <w:p w14:paraId="3B206C7D">
            <w:pPr>
              <w:widowControl w:val="0"/>
              <w:jc w:val="both"/>
              <w:rPr>
                <w:rFonts w:eastAsia="楷体" w:cs="Calibri"/>
                <w:b/>
                <w:bCs/>
                <w:kern w:val="2"/>
                <w:sz w:val="22"/>
                <w:szCs w:val="22"/>
                <w:lang w:eastAsia="zh-CN"/>
              </w:rPr>
            </w:pPr>
            <w:r>
              <w:rPr>
                <w:rFonts w:eastAsia="楷体" w:cs="Calibri"/>
                <w:b/>
                <w:bCs/>
                <w:kern w:val="2"/>
                <w:sz w:val="20"/>
                <w:szCs w:val="20"/>
                <w:lang w:eastAsia="zh-CN"/>
              </w:rPr>
              <w:t>Source: Finance Yahoo, HFI</w:t>
            </w:r>
          </w:p>
        </w:tc>
      </w:tr>
    </w:tbl>
    <w:p w14:paraId="1631B22D">
      <w:pPr>
        <w:widowControl w:val="0"/>
        <w:jc w:val="both"/>
        <w:rPr>
          <w:rFonts w:eastAsia="楷体_GB2312" w:cs="Calibri"/>
          <w:kern w:val="2"/>
          <w:sz w:val="20"/>
          <w:szCs w:val="20"/>
          <w:lang w:eastAsia="zh-CN"/>
        </w:rPr>
      </w:pPr>
    </w:p>
    <w:p w14:paraId="0B8D16F5">
      <w:pPr>
        <w:pStyle w:val="79"/>
        <w:jc w:val="both"/>
        <w:rPr>
          <w:rFonts w:ascii="Calibri" w:hAnsi="Calibri" w:eastAsia="楷体_GB2312" w:cs="Calibri"/>
          <w:color w:val="23558C"/>
          <w:kern w:val="2"/>
        </w:rPr>
      </w:pPr>
      <w:bookmarkStart w:id="4" w:name="_Toc31447"/>
      <w:r>
        <w:rPr>
          <w:rFonts w:ascii="Calibri" w:hAnsi="Calibri" w:eastAsia="楷体_GB2312" w:cs="Calibri"/>
          <w:color w:val="23558C"/>
          <w:sz w:val="24"/>
        </w:rPr>
        <w:t xml:space="preserve">1.2 </w:t>
      </w:r>
      <w:r>
        <w:rPr>
          <w:rFonts w:ascii="Calibri" w:hAnsi="Calibri" w:eastAsia="楷体" w:cs="Calibri"/>
          <w:color w:val="23558C"/>
          <w:sz w:val="24"/>
        </w:rPr>
        <w:t>Financial performance highlights</w:t>
      </w:r>
      <w:bookmarkEnd w:id="4"/>
    </w:p>
    <w:p w14:paraId="3EB667BB">
      <w:pPr>
        <w:rPr>
          <w:rFonts w:eastAsia="楷体" w:cs="Calibri"/>
          <w:kern w:val="2"/>
          <w:sz w:val="22"/>
          <w:szCs w:val="22"/>
          <w:lang w:eastAsia="zh-CN"/>
        </w:rPr>
      </w:pPr>
      <w:r>
        <w:rPr>
          <w:rFonts w:eastAsia="楷体" w:cs="Calibri"/>
          <w:b/>
          <w:bCs/>
          <w:kern w:val="2"/>
          <w:sz w:val="22"/>
          <w:szCs w:val="22"/>
          <w:lang w:eastAsia="zh-CN"/>
        </w:rPr>
        <w:t>BE achieved a landmark performance in the third quarter of 2025, with total revenue reaching a record $519.0 million</w:t>
      </w:r>
      <w:r>
        <w:rPr>
          <w:rFonts w:eastAsia="楷体" w:cs="Calibri"/>
          <w:kern w:val="2"/>
          <w:sz w:val="22"/>
          <w:szCs w:val="22"/>
          <w:lang w:eastAsia="zh-CN"/>
        </w:rPr>
        <w:t>—a staggering 57.1% year-over-year increase from $330.4 million in Q3 2024. This growth was primarily catalyzed by unprecedented time-to-power needs from the AI sector, most notably evidenced by the recognition of $288 million in revenue related to the newly announced $5 billion strategic partnership with Brookfield.</w:t>
      </w:r>
    </w:p>
    <w:p w14:paraId="76B649A5">
      <w:pPr>
        <w:rPr>
          <w:rFonts w:eastAsia="楷体" w:cs="Calibri"/>
          <w:kern w:val="2"/>
          <w:sz w:val="22"/>
          <w:szCs w:val="22"/>
          <w:lang w:eastAsia="zh-CN"/>
        </w:rPr>
      </w:pPr>
    </w:p>
    <w:p w14:paraId="4A34418B">
      <w:pPr>
        <w:rPr>
          <w:rFonts w:eastAsia="楷体" w:cs="Calibri"/>
          <w:kern w:val="2"/>
          <w:sz w:val="22"/>
          <w:szCs w:val="22"/>
          <w:lang w:eastAsia="zh-CN"/>
        </w:rPr>
        <w:sectPr>
          <w:pgSz w:w="11910" w:h="16840"/>
          <w:pgMar w:top="567" w:right="567" w:bottom="1021" w:left="3600" w:header="567" w:footer="919" w:gutter="0"/>
          <w:cols w:space="425" w:num="1"/>
          <w:titlePg/>
          <w:docGrid w:linePitch="299" w:charSpace="0"/>
        </w:sectPr>
      </w:pPr>
      <w:r>
        <w:rPr>
          <w:rFonts w:hint="eastAsia" w:eastAsia="楷体" w:cs="Calibri"/>
          <w:kern w:val="2"/>
          <w:sz w:val="22"/>
          <w:szCs w:val="22"/>
          <w:lang w:eastAsia="zh-CN"/>
        </w:rPr>
        <w:t xml:space="preserve">It is worth noting that the revenue growth slowed during 2022-2024 due to a strategic pause in South Korea, its largest international market, as the company adapted to new government clean energy policies. This transition created a lack of clarity regarding shipment timings and project bidding. Domestically, growth was hindered by extended </w:t>
      </w:r>
    </w:p>
    <w:p w14:paraId="51C33C0D">
      <w:pPr>
        <w:rPr>
          <w:rFonts w:eastAsia="楷体" w:cs="Calibri"/>
          <w:kern w:val="2"/>
          <w:sz w:val="22"/>
          <w:szCs w:val="22"/>
          <w:lang w:eastAsia="zh-CN"/>
        </w:rPr>
      </w:pPr>
      <w:r>
        <w:rPr>
          <w:rFonts w:hint="eastAsia" w:eastAsia="楷体" w:cs="Calibri"/>
          <w:kern w:val="2"/>
          <w:sz w:val="22"/>
          <w:szCs w:val="22"/>
          <w:lang w:eastAsia="zh-CN"/>
        </w:rPr>
        <w:t xml:space="preserve">sales cycles for large-scale projects and phase-out of Electricity revenue during the same period. These headwinds are now behind the rearview mirror. </w:t>
      </w:r>
    </w:p>
    <w:tbl>
      <w:tblPr>
        <w:tblStyle w:val="20"/>
        <w:tblpPr w:leftFromText="180" w:rightFromText="180" w:vertAnchor="text" w:horzAnchor="page" w:tblpX="3599" w:tblpY="286"/>
        <w:tblOverlap w:val="never"/>
        <w:tblW w:w="7719" w:type="dxa"/>
        <w:tblInd w:w="0" w:type="dxa"/>
        <w:tblLayout w:type="fixed"/>
        <w:tblCellMar>
          <w:top w:w="0" w:type="dxa"/>
          <w:left w:w="108" w:type="dxa"/>
          <w:bottom w:w="0" w:type="dxa"/>
          <w:right w:w="108" w:type="dxa"/>
        </w:tblCellMar>
      </w:tblPr>
      <w:tblGrid>
        <w:gridCol w:w="7373"/>
        <w:gridCol w:w="346"/>
      </w:tblGrid>
      <w:tr w14:paraId="00EAFAEB">
        <w:trPr>
          <w:trHeight w:val="341" w:hRule="atLeast"/>
        </w:trPr>
        <w:tc>
          <w:tcPr>
            <w:tcW w:w="7373" w:type="dxa"/>
            <w:tcBorders>
              <w:top w:val="nil"/>
              <w:left w:val="nil"/>
              <w:bottom w:val="nil"/>
              <w:right w:val="nil"/>
            </w:tcBorders>
            <w:tcMar>
              <w:left w:w="0" w:type="dxa"/>
              <w:right w:w="28" w:type="dxa"/>
            </w:tcMar>
          </w:tcPr>
          <w:p w14:paraId="49E38E4C">
            <w:pPr>
              <w:spacing w:before="48" w:beforeLines="20" w:after="48" w:afterLines="20"/>
              <w:jc w:val="both"/>
              <w:textAlignment w:val="center"/>
              <w:rPr>
                <w:rFonts w:eastAsia="楷体_GB2312" w:cs="Calibri"/>
                <w:b/>
                <w:color w:val="000000"/>
                <w:sz w:val="20"/>
                <w:szCs w:val="20"/>
                <w:lang w:eastAsia="zh-CN" w:bidi="ar"/>
              </w:rPr>
            </w:pPr>
            <w:bookmarkStart w:id="5" w:name="_Hlk216642008"/>
            <w:r>
              <w:rPr>
                <w:rFonts w:eastAsia="楷体_GB2312" w:cs="Calibri"/>
                <w:b/>
                <w:sz w:val="20"/>
                <w:szCs w:val="20"/>
              </w:rPr>
              <w:t>Figure:</w:t>
            </w:r>
            <w:r>
              <w:rPr>
                <w:rFonts w:eastAsia="楷体_GB2312" w:cs="Calibri"/>
                <w:b/>
                <w:sz w:val="20"/>
                <w:szCs w:val="20"/>
                <w:lang w:eastAsia="zh-CN"/>
              </w:rPr>
              <w:t xml:space="preserve"> BE’s 2021-2025Q3 Revenue (USD mn) &amp; YoY (%)</w:t>
            </w:r>
          </w:p>
        </w:tc>
        <w:tc>
          <w:tcPr>
            <w:tcW w:w="346" w:type="dxa"/>
            <w:tcBorders>
              <w:left w:val="nil"/>
            </w:tcBorders>
            <w:tcMar>
              <w:left w:w="0" w:type="dxa"/>
              <w:right w:w="28" w:type="dxa"/>
            </w:tcMar>
          </w:tcPr>
          <w:p w14:paraId="39D6CFB4">
            <w:pPr>
              <w:spacing w:before="48" w:beforeLines="20" w:after="48" w:afterLines="20"/>
              <w:jc w:val="both"/>
              <w:rPr>
                <w:rFonts w:eastAsia="楷体_GB2312" w:cs="Calibri"/>
                <w:sz w:val="20"/>
                <w:szCs w:val="20"/>
              </w:rPr>
            </w:pPr>
          </w:p>
        </w:tc>
      </w:tr>
      <w:tr w14:paraId="6C402F99">
        <w:tblPrEx>
          <w:tblCellMar>
            <w:top w:w="0" w:type="dxa"/>
            <w:left w:w="108" w:type="dxa"/>
            <w:bottom w:w="0" w:type="dxa"/>
            <w:right w:w="108" w:type="dxa"/>
          </w:tblCellMar>
        </w:tblPrEx>
        <w:trPr>
          <w:trHeight w:val="3461" w:hRule="atLeast"/>
        </w:trPr>
        <w:tc>
          <w:tcPr>
            <w:tcW w:w="7373" w:type="dxa"/>
            <w:tcBorders>
              <w:top w:val="nil"/>
              <w:left w:val="nil"/>
              <w:bottom w:val="nil"/>
              <w:right w:val="nil"/>
            </w:tcBorders>
            <w:vAlign w:val="center"/>
          </w:tcPr>
          <w:p w14:paraId="51A8CAA2">
            <w:pPr>
              <w:spacing w:before="48" w:beforeLines="20" w:after="48" w:afterLines="20"/>
              <w:ind w:left="2720" w:hanging="2720" w:hangingChars="1700"/>
              <w:jc w:val="both"/>
              <w:textAlignment w:val="center"/>
              <w:rPr>
                <w:rFonts w:eastAsia="楷体_GB2312" w:cs="Calibri"/>
                <w:b/>
                <w:color w:val="000000"/>
                <w:sz w:val="20"/>
                <w:szCs w:val="20"/>
                <w:lang w:bidi="ar"/>
              </w:rPr>
            </w:pPr>
            <w:r>
              <w:drawing>
                <wp:inline distT="0" distB="0" distL="114300" distR="114300">
                  <wp:extent cx="4544060" cy="2395855"/>
                  <wp:effectExtent l="0" t="0" r="12700" b="12065"/>
                  <wp:docPr id="8" name="图表 7"/>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tc>
        <w:tc>
          <w:tcPr>
            <w:tcW w:w="346" w:type="dxa"/>
            <w:tcBorders>
              <w:left w:val="nil"/>
            </w:tcBorders>
          </w:tcPr>
          <w:p w14:paraId="53728AB5">
            <w:pPr>
              <w:spacing w:before="48" w:beforeLines="20" w:after="48" w:afterLines="20"/>
              <w:jc w:val="both"/>
              <w:rPr>
                <w:rFonts w:eastAsia="楷体_GB2312" w:cs="Calibri"/>
                <w:sz w:val="20"/>
                <w:szCs w:val="20"/>
              </w:rPr>
            </w:pPr>
          </w:p>
        </w:tc>
      </w:tr>
      <w:tr w14:paraId="57DF0BA7">
        <w:tblPrEx>
          <w:tblCellMar>
            <w:top w:w="0" w:type="dxa"/>
            <w:left w:w="108" w:type="dxa"/>
            <w:bottom w:w="0" w:type="dxa"/>
            <w:right w:w="108" w:type="dxa"/>
          </w:tblCellMar>
        </w:tblPrEx>
        <w:trPr>
          <w:trHeight w:val="352" w:hRule="atLeast"/>
        </w:trPr>
        <w:tc>
          <w:tcPr>
            <w:tcW w:w="7373" w:type="dxa"/>
            <w:tcBorders>
              <w:top w:val="nil"/>
              <w:left w:val="nil"/>
              <w:bottom w:val="nil"/>
              <w:right w:val="nil"/>
            </w:tcBorders>
            <w:tcMar>
              <w:left w:w="0" w:type="dxa"/>
              <w:right w:w="28" w:type="dxa"/>
            </w:tcMar>
            <w:vAlign w:val="center"/>
          </w:tcPr>
          <w:p w14:paraId="756EE55C">
            <w:pPr>
              <w:spacing w:before="48" w:beforeLines="20" w:after="48" w:afterLines="20"/>
              <w:jc w:val="both"/>
              <w:textAlignment w:val="center"/>
              <w:rPr>
                <w:rFonts w:eastAsia="楷体_GB2312" w:cs="Calibri"/>
                <w:sz w:val="20"/>
                <w:szCs w:val="20"/>
              </w:rPr>
            </w:pPr>
            <w:r>
              <w:rPr>
                <w:rFonts w:eastAsia="楷体_GB2312" w:cs="Calibri"/>
                <w:b/>
                <w:bCs/>
                <w:sz w:val="20"/>
                <w:szCs w:val="20"/>
              </w:rPr>
              <w:t xml:space="preserve">Source: Company, </w:t>
            </w:r>
            <w:r>
              <w:rPr>
                <w:rFonts w:eastAsia="楷体_GB2312" w:cs="Calibri"/>
                <w:b/>
                <w:bCs/>
                <w:sz w:val="20"/>
                <w:szCs w:val="20"/>
                <w:lang w:eastAsia="zh-CN"/>
              </w:rPr>
              <w:t>ifind,</w:t>
            </w:r>
            <w:r>
              <w:rPr>
                <w:rFonts w:eastAsia="楷体_GB2312" w:cs="Calibri"/>
                <w:b/>
                <w:bCs/>
                <w:sz w:val="20"/>
                <w:szCs w:val="20"/>
              </w:rPr>
              <w:t>H</w:t>
            </w:r>
            <w:r>
              <w:rPr>
                <w:rFonts w:eastAsia="楷体_GB2312" w:cs="Calibri"/>
                <w:b/>
                <w:bCs/>
                <w:sz w:val="20"/>
                <w:szCs w:val="20"/>
                <w:lang w:eastAsia="zh-CN"/>
              </w:rPr>
              <w:t>F</w:t>
            </w:r>
            <w:r>
              <w:rPr>
                <w:rFonts w:eastAsia="楷体_GB2312" w:cs="Calibri"/>
                <w:b/>
                <w:bCs/>
                <w:sz w:val="20"/>
                <w:szCs w:val="20"/>
              </w:rPr>
              <w:t>I</w:t>
            </w:r>
          </w:p>
        </w:tc>
        <w:tc>
          <w:tcPr>
            <w:tcW w:w="346" w:type="dxa"/>
            <w:tcBorders>
              <w:left w:val="nil"/>
            </w:tcBorders>
            <w:tcMar>
              <w:left w:w="0" w:type="dxa"/>
              <w:right w:w="28" w:type="dxa"/>
            </w:tcMar>
          </w:tcPr>
          <w:p w14:paraId="3A61E01A">
            <w:pPr>
              <w:spacing w:before="48" w:beforeLines="20" w:after="48" w:afterLines="20"/>
              <w:jc w:val="both"/>
              <w:rPr>
                <w:rFonts w:eastAsia="楷体_GB2312" w:cs="Calibri"/>
                <w:sz w:val="20"/>
                <w:szCs w:val="20"/>
              </w:rPr>
            </w:pPr>
          </w:p>
        </w:tc>
      </w:tr>
      <w:bookmarkEnd w:id="5"/>
    </w:tbl>
    <w:p w14:paraId="22CEE714">
      <w:pPr>
        <w:widowControl w:val="0"/>
        <w:jc w:val="both"/>
        <w:rPr>
          <w:rFonts w:eastAsia="楷体" w:cs="Calibri"/>
          <w:b/>
          <w:bCs/>
          <w:kern w:val="2"/>
          <w:sz w:val="22"/>
          <w:szCs w:val="22"/>
          <w:lang w:eastAsia="zh-CN"/>
        </w:rPr>
      </w:pPr>
      <w:bookmarkStart w:id="6" w:name="_Hlk216642019"/>
    </w:p>
    <w:p w14:paraId="7683A2D5">
      <w:pPr>
        <w:widowControl w:val="0"/>
        <w:jc w:val="both"/>
        <w:rPr>
          <w:rFonts w:eastAsia="楷体" w:cs="Calibri"/>
          <w:b/>
          <w:bCs/>
          <w:kern w:val="2"/>
          <w:sz w:val="22"/>
          <w:szCs w:val="22"/>
          <w:lang w:eastAsia="zh-CN"/>
        </w:rPr>
      </w:pPr>
    </w:p>
    <w:p w14:paraId="330ACAE7">
      <w:pPr>
        <w:widowControl w:val="0"/>
        <w:jc w:val="both"/>
        <w:rPr>
          <w:rFonts w:eastAsia="楷体" w:cs="Calibri"/>
          <w:kern w:val="2"/>
          <w:sz w:val="22"/>
          <w:szCs w:val="22"/>
          <w:lang w:eastAsia="zh-CN"/>
        </w:rPr>
      </w:pPr>
      <w:r>
        <w:rPr>
          <w:rFonts w:eastAsia="楷体" w:cs="Calibri"/>
          <w:b/>
          <w:bCs/>
          <w:kern w:val="2"/>
          <w:sz w:val="22"/>
          <w:szCs w:val="22"/>
          <w:lang w:eastAsia="zh-CN"/>
        </w:rPr>
        <w:t>The company's profitability also saw significant expansion.</w:t>
      </w:r>
      <w:r>
        <w:rPr>
          <w:rFonts w:eastAsia="楷体" w:cs="Calibri"/>
          <w:kern w:val="2"/>
          <w:sz w:val="22"/>
          <w:szCs w:val="22"/>
          <w:lang w:eastAsia="zh-CN"/>
        </w:rPr>
        <w:t xml:space="preserve"> Non-GAAP gross margin rose to 30.4%, up 2.2 percentage points from Q2 2025, driven by a decade-long trend of reducing manufacturing costs through engineering innovation and economies of scale. Furthermore, </w:t>
      </w:r>
      <w:r>
        <w:rPr>
          <w:rFonts w:hint="eastAsia" w:eastAsia="楷体" w:cs="Calibri"/>
          <w:kern w:val="2"/>
          <w:sz w:val="22"/>
          <w:szCs w:val="22"/>
          <w:lang w:eastAsia="zh-CN"/>
        </w:rPr>
        <w:t xml:space="preserve">BE </w:t>
      </w:r>
      <w:r>
        <w:rPr>
          <w:rFonts w:eastAsia="楷体" w:cs="Calibri"/>
          <w:kern w:val="2"/>
          <w:sz w:val="22"/>
          <w:szCs w:val="22"/>
          <w:lang w:eastAsia="zh-CN"/>
        </w:rPr>
        <w:t>reported a Non-GAAP operating margin of 8.9%, a sequential increase from 7.1% in Q2 2025. This improvement reflects enhanced operational leverage and disciplined efficiency across R&amp;D and G&amp;A functions, even as the company prepares to double its manufacturing capacity to 2 GW by late 2026 to meet its surging AI-driven backlog.</w:t>
      </w:r>
    </w:p>
    <w:bookmarkEnd w:id="6"/>
    <w:tbl>
      <w:tblPr>
        <w:tblStyle w:val="20"/>
        <w:tblpPr w:leftFromText="180" w:rightFromText="180" w:vertAnchor="text" w:horzAnchor="page" w:tblpX="3599" w:tblpY="286"/>
        <w:tblOverlap w:val="never"/>
        <w:tblW w:w="7639" w:type="dxa"/>
        <w:tblInd w:w="0" w:type="dxa"/>
        <w:tblLayout w:type="fixed"/>
        <w:tblCellMar>
          <w:top w:w="0" w:type="dxa"/>
          <w:left w:w="108" w:type="dxa"/>
          <w:bottom w:w="0" w:type="dxa"/>
          <w:right w:w="108" w:type="dxa"/>
        </w:tblCellMar>
      </w:tblPr>
      <w:tblGrid>
        <w:gridCol w:w="7381"/>
        <w:gridCol w:w="258"/>
      </w:tblGrid>
      <w:tr w14:paraId="5C4591B0">
        <w:tblPrEx>
          <w:tblCellMar>
            <w:top w:w="0" w:type="dxa"/>
            <w:left w:w="108" w:type="dxa"/>
            <w:bottom w:w="0" w:type="dxa"/>
            <w:right w:w="108" w:type="dxa"/>
          </w:tblCellMar>
        </w:tblPrEx>
        <w:trPr>
          <w:trHeight w:val="342" w:hRule="atLeast"/>
        </w:trPr>
        <w:tc>
          <w:tcPr>
            <w:tcW w:w="7381" w:type="dxa"/>
            <w:tcBorders>
              <w:top w:val="nil"/>
              <w:left w:val="nil"/>
              <w:bottom w:val="nil"/>
              <w:right w:val="nil"/>
            </w:tcBorders>
            <w:tcMar>
              <w:left w:w="0" w:type="dxa"/>
              <w:right w:w="28" w:type="dxa"/>
            </w:tcMar>
          </w:tcPr>
          <w:p w14:paraId="4016CDC5">
            <w:pPr>
              <w:widowControl w:val="0"/>
              <w:jc w:val="both"/>
              <w:rPr>
                <w:rFonts w:eastAsia="楷体" w:cs="Calibri"/>
                <w:b/>
                <w:bCs/>
                <w:kern w:val="2"/>
                <w:sz w:val="20"/>
                <w:szCs w:val="20"/>
                <w:lang w:eastAsia="zh-CN"/>
              </w:rPr>
            </w:pPr>
            <w:bookmarkStart w:id="7" w:name="_Hlk216642041"/>
            <w:r>
              <w:rPr>
                <w:rFonts w:eastAsia="楷体" w:cs="Calibri"/>
                <w:b/>
                <w:bCs/>
                <w:kern w:val="2"/>
                <w:sz w:val="20"/>
                <w:szCs w:val="20"/>
                <w:lang w:eastAsia="zh-CN"/>
              </w:rPr>
              <w:t>Figure: BE’s 2021-2025Q3 GP (USD mn) &amp; GM (%)</w:t>
            </w:r>
          </w:p>
        </w:tc>
        <w:tc>
          <w:tcPr>
            <w:tcW w:w="258" w:type="dxa"/>
            <w:tcBorders>
              <w:left w:val="nil"/>
            </w:tcBorders>
            <w:tcMar>
              <w:left w:w="0" w:type="dxa"/>
              <w:right w:w="28" w:type="dxa"/>
            </w:tcMar>
          </w:tcPr>
          <w:p w14:paraId="45E0CDD7">
            <w:pPr>
              <w:widowControl w:val="0"/>
              <w:jc w:val="both"/>
              <w:rPr>
                <w:rFonts w:eastAsia="楷体" w:cs="Calibri"/>
                <w:b/>
                <w:bCs/>
                <w:kern w:val="2"/>
                <w:sz w:val="20"/>
                <w:szCs w:val="20"/>
                <w:lang w:eastAsia="zh-CN"/>
              </w:rPr>
            </w:pPr>
          </w:p>
        </w:tc>
      </w:tr>
      <w:tr w14:paraId="7E6034A6">
        <w:tblPrEx>
          <w:tblCellMar>
            <w:top w:w="0" w:type="dxa"/>
            <w:left w:w="108" w:type="dxa"/>
            <w:bottom w:w="0" w:type="dxa"/>
            <w:right w:w="108" w:type="dxa"/>
          </w:tblCellMar>
        </w:tblPrEx>
        <w:trPr>
          <w:trHeight w:val="3488" w:hRule="atLeast"/>
        </w:trPr>
        <w:tc>
          <w:tcPr>
            <w:tcW w:w="7381" w:type="dxa"/>
            <w:tcBorders>
              <w:top w:val="nil"/>
              <w:left w:val="nil"/>
              <w:bottom w:val="nil"/>
              <w:right w:val="nil"/>
            </w:tcBorders>
            <w:vAlign w:val="center"/>
          </w:tcPr>
          <w:p w14:paraId="73F2EBF2">
            <w:pPr>
              <w:widowControl w:val="0"/>
              <w:jc w:val="both"/>
              <w:rPr>
                <w:rFonts w:eastAsia="楷体" w:cs="Calibri"/>
                <w:b/>
                <w:bCs/>
                <w:kern w:val="2"/>
                <w:sz w:val="20"/>
                <w:szCs w:val="20"/>
                <w:lang w:eastAsia="zh-CN"/>
              </w:rPr>
            </w:pPr>
            <w:r>
              <w:drawing>
                <wp:inline distT="0" distB="0" distL="114300" distR="114300">
                  <wp:extent cx="4544060" cy="2078355"/>
                  <wp:effectExtent l="0" t="0" r="12700" b="9525"/>
                  <wp:docPr id="45"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tc>
        <w:tc>
          <w:tcPr>
            <w:tcW w:w="258" w:type="dxa"/>
            <w:tcBorders>
              <w:left w:val="nil"/>
            </w:tcBorders>
          </w:tcPr>
          <w:p w14:paraId="4952890B">
            <w:pPr>
              <w:widowControl w:val="0"/>
              <w:jc w:val="both"/>
              <w:rPr>
                <w:rFonts w:eastAsia="楷体" w:cs="Calibri"/>
                <w:b/>
                <w:bCs/>
                <w:kern w:val="2"/>
                <w:sz w:val="20"/>
                <w:szCs w:val="20"/>
                <w:lang w:eastAsia="zh-CN"/>
              </w:rPr>
            </w:pPr>
          </w:p>
        </w:tc>
      </w:tr>
      <w:tr w14:paraId="7FD9D7B8">
        <w:tblPrEx>
          <w:tblCellMar>
            <w:top w:w="0" w:type="dxa"/>
            <w:left w:w="108" w:type="dxa"/>
            <w:bottom w:w="0" w:type="dxa"/>
            <w:right w:w="108" w:type="dxa"/>
          </w:tblCellMar>
        </w:tblPrEx>
        <w:trPr>
          <w:trHeight w:val="332" w:hRule="atLeast"/>
        </w:trPr>
        <w:tc>
          <w:tcPr>
            <w:tcW w:w="7381" w:type="dxa"/>
            <w:tcBorders>
              <w:top w:val="nil"/>
              <w:left w:val="nil"/>
              <w:bottom w:val="nil"/>
              <w:right w:val="nil"/>
            </w:tcBorders>
            <w:tcMar>
              <w:left w:w="0" w:type="dxa"/>
              <w:right w:w="28" w:type="dxa"/>
            </w:tcMar>
            <w:vAlign w:val="center"/>
          </w:tcPr>
          <w:p w14:paraId="4BD0B359">
            <w:pPr>
              <w:widowControl w:val="0"/>
              <w:jc w:val="both"/>
              <w:rPr>
                <w:rFonts w:eastAsia="楷体" w:cs="Calibri"/>
                <w:b/>
                <w:bCs/>
                <w:kern w:val="2"/>
                <w:sz w:val="20"/>
                <w:szCs w:val="20"/>
                <w:lang w:eastAsia="zh-CN"/>
              </w:rPr>
            </w:pPr>
            <w:r>
              <w:rPr>
                <w:rFonts w:eastAsia="楷体" w:cs="Calibri"/>
                <w:b/>
                <w:bCs/>
                <w:kern w:val="2"/>
                <w:sz w:val="20"/>
                <w:szCs w:val="20"/>
                <w:lang w:eastAsia="zh-CN"/>
              </w:rPr>
              <w:t>Source: Company, ifind,HFI</w:t>
            </w:r>
          </w:p>
        </w:tc>
        <w:tc>
          <w:tcPr>
            <w:tcW w:w="258" w:type="dxa"/>
            <w:tcBorders>
              <w:left w:val="nil"/>
            </w:tcBorders>
            <w:tcMar>
              <w:left w:w="0" w:type="dxa"/>
              <w:right w:w="28" w:type="dxa"/>
            </w:tcMar>
          </w:tcPr>
          <w:p w14:paraId="207D3EAB">
            <w:pPr>
              <w:widowControl w:val="0"/>
              <w:jc w:val="both"/>
              <w:rPr>
                <w:rFonts w:eastAsia="楷体" w:cs="Calibri"/>
                <w:b/>
                <w:bCs/>
                <w:kern w:val="2"/>
                <w:sz w:val="20"/>
                <w:szCs w:val="20"/>
                <w:lang w:eastAsia="zh-CN"/>
              </w:rPr>
            </w:pPr>
          </w:p>
        </w:tc>
      </w:tr>
    </w:tbl>
    <w:p w14:paraId="47ECE546">
      <w:pPr>
        <w:widowControl w:val="0"/>
        <w:jc w:val="both"/>
        <w:rPr>
          <w:rFonts w:eastAsia="楷体" w:cs="Calibri"/>
          <w:b/>
          <w:bCs/>
          <w:kern w:val="2"/>
          <w:sz w:val="2"/>
          <w:szCs w:val="2"/>
          <w:lang w:eastAsia="zh-CN"/>
        </w:rPr>
      </w:pPr>
      <w:r>
        <w:rPr>
          <w:rFonts w:eastAsia="楷体" w:cs="Calibri"/>
          <w:b/>
          <w:bCs/>
          <w:kern w:val="2"/>
          <w:sz w:val="2"/>
          <w:szCs w:val="2"/>
          <w:lang w:eastAsia="zh-CN"/>
        </w:rPr>
        <w:t xml:space="preserve"> </w:t>
      </w:r>
    </w:p>
    <w:p w14:paraId="66248B30">
      <w:pPr>
        <w:widowControl w:val="0"/>
        <w:jc w:val="both"/>
        <w:rPr>
          <w:rFonts w:eastAsia="楷体" w:cs="Calibri"/>
          <w:b/>
          <w:bCs/>
          <w:kern w:val="2"/>
          <w:sz w:val="6"/>
          <w:szCs w:val="6"/>
          <w:lang w:eastAsia="zh-CN"/>
        </w:rPr>
      </w:pPr>
      <w:r>
        <w:rPr>
          <w:rFonts w:eastAsia="楷体" w:cs="Calibri"/>
          <w:b/>
          <w:bCs/>
          <w:kern w:val="2"/>
          <w:sz w:val="6"/>
          <w:szCs w:val="6"/>
          <w:lang w:eastAsia="zh-CN"/>
        </w:rPr>
        <w:t xml:space="preserve"> </w:t>
      </w:r>
    </w:p>
    <w:p w14:paraId="5C9C216B">
      <w:pPr>
        <w:widowControl w:val="0"/>
        <w:jc w:val="center"/>
        <w:rPr>
          <w:rFonts w:cs="Calibri"/>
          <w:sz w:val="20"/>
          <w:szCs w:val="20"/>
        </w:rPr>
        <w:sectPr>
          <w:footerReference r:id="rId17" w:type="first"/>
          <w:pgSz w:w="11910" w:h="16840"/>
          <w:pgMar w:top="567" w:right="567" w:bottom="1021" w:left="3600" w:header="567" w:footer="919" w:gutter="0"/>
          <w:cols w:space="425" w:num="1"/>
          <w:docGrid w:linePitch="299" w:charSpace="0"/>
        </w:sectPr>
      </w:pPr>
    </w:p>
    <w:tbl>
      <w:tblPr>
        <w:tblStyle w:val="20"/>
        <w:tblpPr w:leftFromText="180" w:rightFromText="180" w:vertAnchor="text" w:horzAnchor="page" w:tblpX="3597" w:tblpY="1"/>
        <w:tblOverlap w:val="never"/>
        <w:tblW w:w="7676" w:type="dxa"/>
        <w:tblInd w:w="0" w:type="dxa"/>
        <w:tblLayout w:type="fixed"/>
        <w:tblCellMar>
          <w:top w:w="0" w:type="dxa"/>
          <w:left w:w="108" w:type="dxa"/>
          <w:bottom w:w="0" w:type="dxa"/>
          <w:right w:w="108" w:type="dxa"/>
        </w:tblCellMar>
      </w:tblPr>
      <w:tblGrid>
        <w:gridCol w:w="7418"/>
        <w:gridCol w:w="258"/>
      </w:tblGrid>
      <w:tr w14:paraId="6D4F2ED7">
        <w:tblPrEx>
          <w:tblCellMar>
            <w:top w:w="0" w:type="dxa"/>
            <w:left w:w="108" w:type="dxa"/>
            <w:bottom w:w="0" w:type="dxa"/>
            <w:right w:w="108" w:type="dxa"/>
          </w:tblCellMar>
        </w:tblPrEx>
        <w:trPr>
          <w:trHeight w:val="348" w:hRule="atLeast"/>
        </w:trPr>
        <w:tc>
          <w:tcPr>
            <w:tcW w:w="7418" w:type="dxa"/>
            <w:tcBorders>
              <w:top w:val="nil"/>
              <w:left w:val="nil"/>
              <w:bottom w:val="nil"/>
              <w:right w:val="nil"/>
            </w:tcBorders>
            <w:vAlign w:val="center"/>
          </w:tcPr>
          <w:p w14:paraId="58684B80">
            <w:pPr>
              <w:widowControl w:val="0"/>
              <w:jc w:val="left"/>
              <w:rPr>
                <w:rFonts w:cs="Calibri"/>
                <w:sz w:val="20"/>
                <w:szCs w:val="20"/>
              </w:rPr>
            </w:pPr>
            <w:r>
              <w:rPr>
                <w:rFonts w:cs="Calibri"/>
                <w:b/>
                <w:bCs/>
                <w:sz w:val="20"/>
                <w:szCs w:val="20"/>
                <w:lang w:eastAsia="zh-CN"/>
              </w:rPr>
              <w:t>Figure: BE’s 2021-2025Q3 OP (USD mn) &amp; OM (%)</w:t>
            </w:r>
          </w:p>
        </w:tc>
        <w:tc>
          <w:tcPr>
            <w:tcW w:w="258" w:type="dxa"/>
            <w:tcBorders>
              <w:left w:val="nil"/>
              <w:bottom w:val="single" w:color="auto" w:sz="4" w:space="0"/>
            </w:tcBorders>
          </w:tcPr>
          <w:p w14:paraId="1BEC1DEB">
            <w:pPr>
              <w:widowControl w:val="0"/>
              <w:jc w:val="both"/>
              <w:rPr>
                <w:rFonts w:eastAsia="楷体" w:cs="Calibri"/>
                <w:b/>
                <w:bCs/>
                <w:kern w:val="2"/>
                <w:sz w:val="20"/>
                <w:szCs w:val="20"/>
                <w:lang w:eastAsia="zh-CN"/>
              </w:rPr>
            </w:pPr>
          </w:p>
        </w:tc>
      </w:tr>
      <w:tr w14:paraId="7C6CD1FF">
        <w:tblPrEx>
          <w:tblCellMar>
            <w:top w:w="0" w:type="dxa"/>
            <w:left w:w="108" w:type="dxa"/>
            <w:bottom w:w="0" w:type="dxa"/>
            <w:right w:w="108" w:type="dxa"/>
          </w:tblCellMar>
        </w:tblPrEx>
        <w:trPr>
          <w:trHeight w:val="3488" w:hRule="atLeast"/>
        </w:trPr>
        <w:tc>
          <w:tcPr>
            <w:tcW w:w="7418" w:type="dxa"/>
            <w:tcBorders>
              <w:top w:val="nil"/>
              <w:left w:val="nil"/>
              <w:bottom w:val="nil"/>
              <w:right w:val="nil"/>
            </w:tcBorders>
            <w:vAlign w:val="center"/>
          </w:tcPr>
          <w:p w14:paraId="6CBAFA62">
            <w:pPr>
              <w:widowControl w:val="0"/>
              <w:jc w:val="center"/>
              <w:rPr>
                <w:rFonts w:eastAsia="楷体" w:cs="Calibri"/>
                <w:b/>
                <w:bCs/>
                <w:kern w:val="2"/>
                <w:sz w:val="20"/>
                <w:szCs w:val="20"/>
                <w:lang w:eastAsia="zh-CN"/>
              </w:rPr>
            </w:pPr>
            <w:r>
              <w:rPr>
                <w:rFonts w:cs="Calibri"/>
                <w:sz w:val="20"/>
                <w:szCs w:val="20"/>
              </w:rPr>
              <w:drawing>
                <wp:inline distT="0" distB="0" distL="114300" distR="114300">
                  <wp:extent cx="4544060" cy="2376170"/>
                  <wp:effectExtent l="0" t="0" r="12700" b="1270"/>
                  <wp:docPr id="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tc>
        <w:tc>
          <w:tcPr>
            <w:tcW w:w="258" w:type="dxa"/>
            <w:tcBorders>
              <w:top w:val="single" w:color="auto" w:sz="4" w:space="0"/>
              <w:left w:val="nil"/>
            </w:tcBorders>
          </w:tcPr>
          <w:p w14:paraId="5C246CBF">
            <w:pPr>
              <w:widowControl w:val="0"/>
              <w:jc w:val="both"/>
              <w:rPr>
                <w:rFonts w:eastAsia="楷体" w:cs="Calibri"/>
                <w:b/>
                <w:bCs/>
                <w:kern w:val="2"/>
                <w:sz w:val="20"/>
                <w:szCs w:val="20"/>
                <w:lang w:eastAsia="zh-CN"/>
              </w:rPr>
            </w:pPr>
          </w:p>
        </w:tc>
      </w:tr>
      <w:tr w14:paraId="3B2E236A">
        <w:tblPrEx>
          <w:tblCellMar>
            <w:top w:w="0" w:type="dxa"/>
            <w:left w:w="108" w:type="dxa"/>
            <w:bottom w:w="0" w:type="dxa"/>
            <w:right w:w="108" w:type="dxa"/>
          </w:tblCellMar>
        </w:tblPrEx>
        <w:trPr>
          <w:trHeight w:val="332" w:hRule="atLeast"/>
        </w:trPr>
        <w:tc>
          <w:tcPr>
            <w:tcW w:w="7418" w:type="dxa"/>
            <w:tcBorders>
              <w:top w:val="nil"/>
              <w:left w:val="nil"/>
              <w:bottom w:val="nil"/>
              <w:right w:val="nil"/>
            </w:tcBorders>
            <w:tcMar>
              <w:left w:w="0" w:type="dxa"/>
              <w:right w:w="28" w:type="dxa"/>
            </w:tcMar>
            <w:vAlign w:val="center"/>
          </w:tcPr>
          <w:p w14:paraId="75C11214">
            <w:pPr>
              <w:widowControl w:val="0"/>
              <w:jc w:val="both"/>
              <w:rPr>
                <w:rFonts w:eastAsia="楷体" w:cs="Calibri"/>
                <w:b/>
                <w:bCs/>
                <w:kern w:val="2"/>
                <w:sz w:val="20"/>
                <w:szCs w:val="20"/>
                <w:lang w:eastAsia="zh-CN"/>
              </w:rPr>
            </w:pPr>
            <w:r>
              <w:rPr>
                <w:rFonts w:eastAsia="楷体" w:cs="Calibri"/>
                <w:b/>
                <w:bCs/>
                <w:kern w:val="2"/>
                <w:sz w:val="20"/>
                <w:szCs w:val="20"/>
                <w:lang w:eastAsia="zh-CN"/>
              </w:rPr>
              <w:t>Source: Company, ifind,HFI</w:t>
            </w:r>
          </w:p>
        </w:tc>
        <w:tc>
          <w:tcPr>
            <w:tcW w:w="258" w:type="dxa"/>
            <w:tcBorders>
              <w:left w:val="nil"/>
            </w:tcBorders>
            <w:tcMar>
              <w:left w:w="0" w:type="dxa"/>
              <w:right w:w="28" w:type="dxa"/>
            </w:tcMar>
          </w:tcPr>
          <w:p w14:paraId="0ADF7F95">
            <w:pPr>
              <w:widowControl w:val="0"/>
              <w:jc w:val="both"/>
              <w:rPr>
                <w:rFonts w:eastAsia="楷体" w:cs="Calibri"/>
                <w:b/>
                <w:bCs/>
                <w:kern w:val="2"/>
                <w:sz w:val="20"/>
                <w:szCs w:val="20"/>
                <w:lang w:eastAsia="zh-CN"/>
              </w:rPr>
            </w:pPr>
          </w:p>
        </w:tc>
      </w:tr>
    </w:tbl>
    <w:p w14:paraId="74115A65">
      <w:pPr>
        <w:widowControl w:val="0"/>
        <w:jc w:val="both"/>
        <w:rPr>
          <w:rFonts w:eastAsia="楷体" w:cs="Calibri"/>
          <w:b/>
          <w:bCs/>
          <w:kern w:val="2"/>
          <w:sz w:val="22"/>
          <w:szCs w:val="22"/>
        </w:rPr>
      </w:pPr>
    </w:p>
    <w:p w14:paraId="58C5BA11">
      <w:pPr>
        <w:widowControl w:val="0"/>
        <w:jc w:val="both"/>
        <w:rPr>
          <w:rFonts w:eastAsia="楷体" w:cs="Calibri"/>
          <w:kern w:val="2"/>
          <w:sz w:val="22"/>
          <w:szCs w:val="22"/>
          <w:lang w:eastAsia="zh-CN"/>
        </w:rPr>
      </w:pPr>
      <w:r>
        <w:rPr>
          <w:rFonts w:eastAsia="楷体" w:cs="Calibri"/>
          <w:b/>
          <w:bCs/>
          <w:kern w:val="2"/>
          <w:sz w:val="22"/>
          <w:szCs w:val="22"/>
        </w:rPr>
        <w:t xml:space="preserve">The company </w:t>
      </w:r>
      <w:r>
        <w:rPr>
          <w:rFonts w:eastAsia="楷体" w:cs="Calibri"/>
          <w:b/>
          <w:bCs/>
          <w:kern w:val="2"/>
          <w:sz w:val="22"/>
          <w:szCs w:val="22"/>
          <w:lang w:eastAsia="zh-CN"/>
        </w:rPr>
        <w:t xml:space="preserve">reaffrimed its guidance in Q3 and </w:t>
      </w:r>
      <w:r>
        <w:rPr>
          <w:rFonts w:eastAsia="楷体" w:cs="Calibri"/>
          <w:b/>
          <w:bCs/>
          <w:kern w:val="2"/>
          <w:sz w:val="22"/>
          <w:szCs w:val="22"/>
        </w:rPr>
        <w:t>expects FY25 results to be above the high-end of the existing guidance range,</w:t>
      </w:r>
      <w:r>
        <w:rPr>
          <w:rFonts w:eastAsia="楷体" w:cs="Calibri"/>
          <w:kern w:val="2"/>
          <w:sz w:val="22"/>
          <w:szCs w:val="22"/>
        </w:rPr>
        <w:t xml:space="preserve"> though specific guidance was not set due to timing of a large data center project announcement before year-end.</w:t>
      </w:r>
      <w:r>
        <w:rPr>
          <w:rFonts w:eastAsia="楷体" w:cs="Calibri"/>
          <w:kern w:val="2"/>
          <w:sz w:val="22"/>
          <w:szCs w:val="22"/>
          <w:lang w:eastAsia="zh-CN"/>
        </w:rPr>
        <w:t xml:space="preserve"> With milestones deals with AIDCs stakeholders, we believe that </w:t>
      </w:r>
      <w:r>
        <w:rPr>
          <w:rFonts w:hint="eastAsia" w:eastAsia="楷体" w:cs="Calibri"/>
          <w:kern w:val="2"/>
          <w:sz w:val="22"/>
          <w:szCs w:val="22"/>
          <w:lang w:eastAsia="zh-CN"/>
        </w:rPr>
        <w:t>BE</w:t>
      </w:r>
      <w:r>
        <w:rPr>
          <w:rFonts w:eastAsia="楷体" w:cs="Calibri"/>
          <w:kern w:val="2"/>
          <w:sz w:val="22"/>
          <w:szCs w:val="22"/>
          <w:lang w:eastAsia="zh-CN"/>
        </w:rPr>
        <w:t>’</w:t>
      </w:r>
      <w:r>
        <w:rPr>
          <w:rFonts w:hint="eastAsia" w:eastAsia="楷体" w:cs="Calibri"/>
          <w:kern w:val="2"/>
          <w:sz w:val="22"/>
          <w:szCs w:val="22"/>
          <w:lang w:eastAsia="zh-CN"/>
        </w:rPr>
        <w:t xml:space="preserve">s </w:t>
      </w:r>
      <w:r>
        <w:rPr>
          <w:rFonts w:eastAsia="楷体" w:cs="Calibri"/>
          <w:kern w:val="2"/>
          <w:sz w:val="22"/>
          <w:szCs w:val="22"/>
          <w:lang w:eastAsia="zh-CN"/>
        </w:rPr>
        <w:t>ability to deliver power in as little as 55 days (as seen with Oracle) provides a critical competitive advantage over the multi-year wait times associated with traditional utility grid connections.</w:t>
      </w:r>
    </w:p>
    <w:p w14:paraId="3480153D">
      <w:pPr>
        <w:widowControl w:val="0"/>
        <w:jc w:val="both"/>
        <w:rPr>
          <w:rFonts w:eastAsia="楷体" w:cs="Calibri"/>
          <w:b/>
          <w:bCs/>
          <w:kern w:val="2"/>
          <w:sz w:val="20"/>
          <w:szCs w:val="20"/>
          <w:lang w:eastAsia="zh-CN"/>
        </w:rPr>
      </w:pPr>
    </w:p>
    <w:tbl>
      <w:tblPr>
        <w:tblStyle w:val="20"/>
        <w:tblW w:w="7419" w:type="dxa"/>
        <w:tblInd w:w="0" w:type="dxa"/>
        <w:tblLayout w:type="fixed"/>
        <w:tblCellMar>
          <w:top w:w="0" w:type="dxa"/>
          <w:left w:w="108" w:type="dxa"/>
          <w:bottom w:w="0" w:type="dxa"/>
          <w:right w:w="108" w:type="dxa"/>
        </w:tblCellMar>
      </w:tblPr>
      <w:tblGrid>
        <w:gridCol w:w="7419"/>
      </w:tblGrid>
      <w:tr w14:paraId="26AA8D60">
        <w:trPr>
          <w:trHeight w:val="302" w:hRule="atLeast"/>
        </w:trPr>
        <w:tc>
          <w:tcPr>
            <w:tcW w:w="7419" w:type="dxa"/>
            <w:tcBorders>
              <w:top w:val="nil"/>
              <w:left w:val="nil"/>
              <w:bottom w:val="nil"/>
              <w:right w:val="nil"/>
            </w:tcBorders>
            <w:tcMar>
              <w:left w:w="0" w:type="dxa"/>
              <w:right w:w="28" w:type="dxa"/>
            </w:tcMar>
          </w:tcPr>
          <w:p w14:paraId="30BB90B0">
            <w:pPr>
              <w:spacing w:before="48" w:beforeLines="20" w:after="48" w:afterLines="20"/>
              <w:jc w:val="both"/>
              <w:textAlignment w:val="center"/>
              <w:rPr>
                <w:rFonts w:cs="Calibri"/>
                <w:sz w:val="20"/>
                <w:szCs w:val="20"/>
                <w:lang w:eastAsia="zh-CN"/>
              </w:rPr>
            </w:pPr>
            <w:r>
              <w:rPr>
                <w:rFonts w:eastAsia="楷体_GB2312" w:cs="Calibri"/>
                <w:b/>
                <w:sz w:val="20"/>
                <w:szCs w:val="20"/>
                <w:lang w:eastAsia="zh-CN"/>
              </w:rPr>
              <w:t>Table</w:t>
            </w:r>
            <w:r>
              <w:rPr>
                <w:rFonts w:eastAsia="楷体_GB2312" w:cs="Calibri"/>
                <w:b/>
                <w:sz w:val="20"/>
                <w:szCs w:val="20"/>
              </w:rPr>
              <w:t xml:space="preserve">: </w:t>
            </w:r>
            <w:r>
              <w:rPr>
                <w:rFonts w:eastAsia="楷体_GB2312" w:cs="Calibri"/>
                <w:b/>
                <w:sz w:val="20"/>
                <w:szCs w:val="20"/>
                <w:lang w:eastAsia="zh-CN"/>
              </w:rPr>
              <w:t>Reaffirming 2026 Guidance</w:t>
            </w:r>
          </w:p>
        </w:tc>
      </w:tr>
      <w:tr w14:paraId="00F8BC67">
        <w:tblPrEx>
          <w:tblCellMar>
            <w:top w:w="0" w:type="dxa"/>
            <w:left w:w="108" w:type="dxa"/>
            <w:bottom w:w="0" w:type="dxa"/>
            <w:right w:w="108" w:type="dxa"/>
          </w:tblCellMar>
        </w:tblPrEx>
        <w:trPr>
          <w:trHeight w:val="856" w:hRule="atLeast"/>
        </w:trPr>
        <w:tc>
          <w:tcPr>
            <w:tcW w:w="7419" w:type="dxa"/>
            <w:tcBorders>
              <w:top w:val="nil"/>
              <w:left w:val="nil"/>
              <w:bottom w:val="nil"/>
              <w:right w:val="nil"/>
            </w:tcBorders>
            <w:vAlign w:val="center"/>
          </w:tcPr>
          <w:tbl>
            <w:tblPr>
              <w:tblStyle w:val="20"/>
              <w:tblW w:w="7388" w:type="dxa"/>
              <w:tblInd w:w="0" w:type="dxa"/>
              <w:tblLayout w:type="fixed"/>
              <w:tblCellMar>
                <w:top w:w="0" w:type="dxa"/>
                <w:left w:w="108" w:type="dxa"/>
                <w:bottom w:w="0" w:type="dxa"/>
                <w:right w:w="108" w:type="dxa"/>
              </w:tblCellMar>
            </w:tblPr>
            <w:tblGrid>
              <w:gridCol w:w="2690"/>
              <w:gridCol w:w="4698"/>
            </w:tblGrid>
            <w:tr w14:paraId="54796E4B">
              <w:tblPrEx>
                <w:tblCellMar>
                  <w:top w:w="0" w:type="dxa"/>
                  <w:left w:w="108" w:type="dxa"/>
                  <w:bottom w:w="0" w:type="dxa"/>
                  <w:right w:w="108" w:type="dxa"/>
                </w:tblCellMar>
              </w:tblPrEx>
              <w:trPr>
                <w:trHeight w:val="306" w:hRule="atLeast"/>
              </w:trPr>
              <w:tc>
                <w:tcPr>
                  <w:tcW w:w="2690" w:type="dxa"/>
                  <w:tcBorders>
                    <w:top w:val="single" w:color="000000" w:sz="4" w:space="0"/>
                    <w:left w:val="single" w:color="000000" w:sz="4" w:space="0"/>
                    <w:bottom w:val="single" w:color="000000" w:sz="4" w:space="0"/>
                    <w:right w:val="single" w:color="000000" w:sz="4" w:space="0"/>
                  </w:tcBorders>
                  <w:shd w:val="clear" w:color="auto" w:fill="23558C"/>
                  <w:noWrap/>
                  <w:vAlign w:val="center"/>
                </w:tcPr>
                <w:p w14:paraId="77FE62C1">
                  <w:pPr>
                    <w:rPr>
                      <w:rFonts w:eastAsia="宋体" w:cs="Calibri"/>
                      <w:b/>
                      <w:bCs/>
                      <w:color w:val="FFFFFF"/>
                      <w:sz w:val="20"/>
                      <w:szCs w:val="20"/>
                    </w:rPr>
                  </w:pPr>
                </w:p>
              </w:tc>
              <w:tc>
                <w:tcPr>
                  <w:tcW w:w="4698" w:type="dxa"/>
                  <w:tcBorders>
                    <w:top w:val="single" w:color="000000" w:sz="4" w:space="0"/>
                    <w:left w:val="single" w:color="000000" w:sz="4" w:space="0"/>
                    <w:bottom w:val="single" w:color="000000" w:sz="4" w:space="0"/>
                    <w:right w:val="single" w:color="000000" w:sz="4" w:space="0"/>
                  </w:tcBorders>
                  <w:shd w:val="clear" w:color="auto" w:fill="23558C"/>
                  <w:noWrap/>
                  <w:vAlign w:val="center"/>
                </w:tcPr>
                <w:p w14:paraId="751F7FDE">
                  <w:pPr>
                    <w:jc w:val="center"/>
                    <w:textAlignment w:val="center"/>
                    <w:rPr>
                      <w:rFonts w:eastAsia="宋体" w:cs="Calibri"/>
                      <w:b/>
                      <w:bCs/>
                      <w:color w:val="FFFFFF"/>
                      <w:sz w:val="20"/>
                      <w:szCs w:val="20"/>
                    </w:rPr>
                  </w:pPr>
                  <w:r>
                    <w:rPr>
                      <w:rFonts w:eastAsia="宋体" w:cs="Calibri"/>
                      <w:b/>
                      <w:bCs/>
                      <w:color w:val="FFFFFF"/>
                      <w:sz w:val="20"/>
                      <w:szCs w:val="20"/>
                      <w:lang w:eastAsia="zh-CN" w:bidi="ar"/>
                    </w:rPr>
                    <w:t>2025 Outlook</w:t>
                  </w:r>
                </w:p>
              </w:tc>
            </w:tr>
            <w:tr w14:paraId="3045EE30">
              <w:tblPrEx>
                <w:tblCellMar>
                  <w:top w:w="0" w:type="dxa"/>
                  <w:left w:w="108" w:type="dxa"/>
                  <w:bottom w:w="0" w:type="dxa"/>
                  <w:right w:w="108" w:type="dxa"/>
                </w:tblCellMar>
              </w:tblPrEx>
              <w:trPr>
                <w:trHeight w:val="306" w:hRule="atLeast"/>
              </w:trPr>
              <w:tc>
                <w:tcPr>
                  <w:tcW w:w="2690" w:type="dxa"/>
                  <w:tcBorders>
                    <w:top w:val="single" w:color="000000" w:sz="4" w:space="0"/>
                    <w:left w:val="single" w:color="000000" w:sz="4" w:space="0"/>
                    <w:bottom w:val="single" w:color="000000" w:sz="4" w:space="0"/>
                    <w:right w:val="single" w:color="000000" w:sz="4" w:space="0"/>
                  </w:tcBorders>
                  <w:noWrap/>
                  <w:vAlign w:val="center"/>
                </w:tcPr>
                <w:p w14:paraId="51891CD2">
                  <w:pPr>
                    <w:textAlignment w:val="center"/>
                    <w:rPr>
                      <w:rFonts w:eastAsia="宋体" w:cs="Calibri"/>
                      <w:b/>
                      <w:bCs/>
                      <w:color w:val="000000"/>
                      <w:sz w:val="20"/>
                      <w:szCs w:val="20"/>
                    </w:rPr>
                  </w:pPr>
                  <w:r>
                    <w:rPr>
                      <w:rFonts w:eastAsia="宋体" w:cs="Calibri"/>
                      <w:b/>
                      <w:bCs/>
                      <w:color w:val="000000"/>
                      <w:sz w:val="20"/>
                      <w:szCs w:val="20"/>
                      <w:lang w:eastAsia="zh-CN" w:bidi="ar"/>
                    </w:rPr>
                    <w:t>Total Revenue</w:t>
                  </w:r>
                </w:p>
              </w:tc>
              <w:tc>
                <w:tcPr>
                  <w:tcW w:w="4698" w:type="dxa"/>
                  <w:tcBorders>
                    <w:top w:val="single" w:color="000000" w:sz="4" w:space="0"/>
                    <w:left w:val="single" w:color="000000" w:sz="4" w:space="0"/>
                    <w:bottom w:val="single" w:color="000000" w:sz="4" w:space="0"/>
                    <w:right w:val="single" w:color="000000" w:sz="4" w:space="0"/>
                  </w:tcBorders>
                  <w:noWrap/>
                  <w:vAlign w:val="center"/>
                </w:tcPr>
                <w:p w14:paraId="14237B82">
                  <w:pPr>
                    <w:jc w:val="center"/>
                    <w:textAlignment w:val="center"/>
                    <w:rPr>
                      <w:rFonts w:eastAsia="宋体" w:cs="Calibri"/>
                      <w:color w:val="000000"/>
                      <w:sz w:val="20"/>
                      <w:szCs w:val="20"/>
                    </w:rPr>
                  </w:pPr>
                  <w:r>
                    <w:rPr>
                      <w:rFonts w:eastAsia="宋体" w:cs="Calibri"/>
                      <w:color w:val="000000"/>
                      <w:sz w:val="20"/>
                      <w:szCs w:val="20"/>
                      <w:lang w:eastAsia="zh-CN" w:bidi="ar"/>
                    </w:rPr>
                    <w:t>$1.65B-$1.85B</w:t>
                  </w:r>
                </w:p>
              </w:tc>
            </w:tr>
            <w:tr w14:paraId="5DB01CB9">
              <w:trPr>
                <w:trHeight w:val="306" w:hRule="atLeast"/>
              </w:trPr>
              <w:tc>
                <w:tcPr>
                  <w:tcW w:w="2690" w:type="dxa"/>
                  <w:tcBorders>
                    <w:top w:val="single" w:color="000000" w:sz="4" w:space="0"/>
                    <w:left w:val="single" w:color="000000" w:sz="4" w:space="0"/>
                    <w:bottom w:val="single" w:color="000000" w:sz="4" w:space="0"/>
                    <w:right w:val="single" w:color="000000" w:sz="4" w:space="0"/>
                  </w:tcBorders>
                  <w:noWrap/>
                  <w:vAlign w:val="center"/>
                </w:tcPr>
                <w:p w14:paraId="05CF779D">
                  <w:pPr>
                    <w:textAlignment w:val="center"/>
                    <w:rPr>
                      <w:rFonts w:eastAsia="宋体" w:cs="Calibri"/>
                      <w:b/>
                      <w:bCs/>
                      <w:color w:val="000000"/>
                      <w:sz w:val="20"/>
                      <w:szCs w:val="20"/>
                    </w:rPr>
                  </w:pPr>
                  <w:r>
                    <w:rPr>
                      <w:rFonts w:eastAsia="宋体" w:cs="Calibri"/>
                      <w:b/>
                      <w:bCs/>
                      <w:color w:val="000000"/>
                      <w:sz w:val="20"/>
                      <w:szCs w:val="20"/>
                      <w:lang w:eastAsia="zh-CN" w:bidi="ar"/>
                    </w:rPr>
                    <w:t>Non-GAAP Gross margin</w:t>
                  </w:r>
                </w:p>
              </w:tc>
              <w:tc>
                <w:tcPr>
                  <w:tcW w:w="4698" w:type="dxa"/>
                  <w:tcBorders>
                    <w:top w:val="single" w:color="000000" w:sz="4" w:space="0"/>
                    <w:left w:val="single" w:color="000000" w:sz="4" w:space="0"/>
                    <w:bottom w:val="single" w:color="000000" w:sz="4" w:space="0"/>
                    <w:right w:val="single" w:color="000000" w:sz="4" w:space="0"/>
                  </w:tcBorders>
                  <w:noWrap/>
                  <w:vAlign w:val="center"/>
                </w:tcPr>
                <w:p w14:paraId="032C8327">
                  <w:pPr>
                    <w:jc w:val="center"/>
                    <w:textAlignment w:val="center"/>
                    <w:rPr>
                      <w:rFonts w:eastAsia="宋体" w:cs="Calibri"/>
                      <w:color w:val="000000"/>
                      <w:sz w:val="20"/>
                      <w:szCs w:val="20"/>
                    </w:rPr>
                  </w:pPr>
                  <w:r>
                    <w:rPr>
                      <w:rFonts w:eastAsia="宋体" w:cs="Calibri"/>
                      <w:color w:val="000000"/>
                      <w:sz w:val="20"/>
                      <w:szCs w:val="20"/>
                      <w:lang w:eastAsia="zh-CN" w:bidi="ar"/>
                    </w:rPr>
                    <w:t>~29%</w:t>
                  </w:r>
                </w:p>
              </w:tc>
            </w:tr>
            <w:tr w14:paraId="0E93891B">
              <w:trPr>
                <w:trHeight w:val="317" w:hRule="atLeast"/>
              </w:trPr>
              <w:tc>
                <w:tcPr>
                  <w:tcW w:w="2690" w:type="dxa"/>
                  <w:tcBorders>
                    <w:top w:val="single" w:color="000000" w:sz="4" w:space="0"/>
                    <w:left w:val="single" w:color="000000" w:sz="4" w:space="0"/>
                    <w:bottom w:val="single" w:color="000000" w:sz="4" w:space="0"/>
                    <w:right w:val="single" w:color="000000" w:sz="4" w:space="0"/>
                  </w:tcBorders>
                  <w:noWrap/>
                  <w:vAlign w:val="center"/>
                </w:tcPr>
                <w:p w14:paraId="484ACFD5">
                  <w:pPr>
                    <w:textAlignment w:val="center"/>
                    <w:rPr>
                      <w:rFonts w:eastAsia="宋体" w:cs="Calibri"/>
                      <w:b/>
                      <w:bCs/>
                      <w:color w:val="000000"/>
                      <w:sz w:val="20"/>
                      <w:szCs w:val="20"/>
                    </w:rPr>
                  </w:pPr>
                  <w:r>
                    <w:rPr>
                      <w:rFonts w:eastAsia="宋体" w:cs="Calibri"/>
                      <w:b/>
                      <w:bCs/>
                      <w:color w:val="000000"/>
                      <w:sz w:val="20"/>
                      <w:szCs w:val="20"/>
                      <w:lang w:eastAsia="zh-CN" w:bidi="ar"/>
                    </w:rPr>
                    <w:t>Non-GAAP Operating Income</w:t>
                  </w:r>
                </w:p>
              </w:tc>
              <w:tc>
                <w:tcPr>
                  <w:tcW w:w="4698" w:type="dxa"/>
                  <w:tcBorders>
                    <w:top w:val="single" w:color="000000" w:sz="4" w:space="0"/>
                    <w:left w:val="single" w:color="000000" w:sz="4" w:space="0"/>
                    <w:bottom w:val="single" w:color="000000" w:sz="4" w:space="0"/>
                    <w:right w:val="single" w:color="000000" w:sz="4" w:space="0"/>
                  </w:tcBorders>
                  <w:noWrap/>
                  <w:vAlign w:val="center"/>
                </w:tcPr>
                <w:p w14:paraId="7913FB10">
                  <w:pPr>
                    <w:jc w:val="center"/>
                    <w:textAlignment w:val="center"/>
                    <w:rPr>
                      <w:rFonts w:eastAsia="宋体" w:cs="Calibri"/>
                      <w:color w:val="000000"/>
                      <w:sz w:val="20"/>
                      <w:szCs w:val="20"/>
                    </w:rPr>
                  </w:pPr>
                  <w:r>
                    <w:rPr>
                      <w:rFonts w:eastAsia="宋体" w:cs="Calibri"/>
                      <w:color w:val="000000"/>
                      <w:sz w:val="20"/>
                      <w:szCs w:val="20"/>
                      <w:lang w:eastAsia="zh-CN" w:bidi="ar"/>
                    </w:rPr>
                    <w:t>$135M-$165M</w:t>
                  </w:r>
                </w:p>
              </w:tc>
            </w:tr>
          </w:tbl>
          <w:p w14:paraId="4CFF80B0">
            <w:pPr>
              <w:spacing w:before="48" w:beforeLines="20" w:after="48" w:afterLines="20"/>
              <w:ind w:left="-160" w:leftChars="-100"/>
              <w:jc w:val="both"/>
              <w:textAlignment w:val="center"/>
              <w:rPr>
                <w:rFonts w:eastAsia="宋体" w:cs="Calibri"/>
                <w:b/>
                <w:bCs/>
                <w:sz w:val="20"/>
                <w:szCs w:val="20"/>
                <w:lang w:eastAsia="zh-CN"/>
              </w:rPr>
            </w:pPr>
          </w:p>
        </w:tc>
      </w:tr>
      <w:tr w14:paraId="4C5FCF4B">
        <w:tblPrEx>
          <w:tblCellMar>
            <w:top w:w="0" w:type="dxa"/>
            <w:left w:w="108" w:type="dxa"/>
            <w:bottom w:w="0" w:type="dxa"/>
            <w:right w:w="108" w:type="dxa"/>
          </w:tblCellMar>
        </w:tblPrEx>
        <w:trPr>
          <w:trHeight w:val="64" w:hRule="atLeast"/>
        </w:trPr>
        <w:tc>
          <w:tcPr>
            <w:tcW w:w="7419" w:type="dxa"/>
            <w:tcBorders>
              <w:top w:val="nil"/>
              <w:left w:val="nil"/>
              <w:bottom w:val="nil"/>
              <w:right w:val="nil"/>
            </w:tcBorders>
            <w:tcMar>
              <w:left w:w="0" w:type="dxa"/>
              <w:right w:w="28" w:type="dxa"/>
            </w:tcMar>
            <w:vAlign w:val="center"/>
          </w:tcPr>
          <w:p w14:paraId="61607470">
            <w:pPr>
              <w:spacing w:line="240" w:lineRule="atLeast"/>
              <w:jc w:val="both"/>
              <w:textAlignment w:val="center"/>
              <w:rPr>
                <w:rFonts w:cs="Calibri"/>
                <w:sz w:val="20"/>
                <w:szCs w:val="20"/>
              </w:rPr>
            </w:pPr>
            <w:r>
              <w:rPr>
                <w:rFonts w:eastAsia="楷体_GB2312" w:cs="Calibri"/>
                <w:b/>
                <w:bCs/>
                <w:sz w:val="20"/>
                <w:szCs w:val="20"/>
              </w:rPr>
              <w:t>Source: Company, H</w:t>
            </w:r>
            <w:r>
              <w:rPr>
                <w:rFonts w:eastAsia="楷体_GB2312" w:cs="Calibri"/>
                <w:b/>
                <w:bCs/>
                <w:sz w:val="20"/>
                <w:szCs w:val="20"/>
                <w:lang w:eastAsia="zh-CN"/>
              </w:rPr>
              <w:t>F</w:t>
            </w:r>
            <w:r>
              <w:rPr>
                <w:rFonts w:eastAsia="楷体_GB2312" w:cs="Calibri"/>
                <w:b/>
                <w:bCs/>
                <w:sz w:val="20"/>
                <w:szCs w:val="20"/>
              </w:rPr>
              <w:t>I</w:t>
            </w:r>
          </w:p>
        </w:tc>
      </w:tr>
    </w:tbl>
    <w:p w14:paraId="12A0570D">
      <w:pPr>
        <w:pStyle w:val="2"/>
        <w:spacing w:before="240" w:beforeLines="100" w:after="240" w:afterLines="100"/>
        <w:jc w:val="both"/>
        <w:rPr>
          <w:rFonts w:ascii="Calibri" w:hAnsi="Calibri" w:eastAsia="楷体" w:cs="Calibri"/>
          <w:b/>
          <w:bCs/>
          <w:color w:val="23558C"/>
          <w:sz w:val="28"/>
          <w:szCs w:val="28"/>
          <w:lang w:eastAsia="zh-CN"/>
        </w:rPr>
      </w:pPr>
      <w:bookmarkStart w:id="8" w:name="_Toc21031"/>
      <w:bookmarkStart w:id="9" w:name="_Toc186105500"/>
    </w:p>
    <w:p w14:paraId="2C38494B">
      <w:pPr>
        <w:pStyle w:val="2"/>
        <w:spacing w:before="240" w:beforeLines="100" w:after="240" w:afterLines="100"/>
        <w:jc w:val="both"/>
        <w:rPr>
          <w:rFonts w:ascii="Calibri" w:hAnsi="Calibri" w:eastAsia="楷体" w:cs="Calibri"/>
          <w:b/>
          <w:bCs/>
          <w:color w:val="23558C"/>
          <w:sz w:val="28"/>
          <w:szCs w:val="28"/>
          <w:lang w:eastAsia="zh-CN"/>
        </w:rPr>
      </w:pPr>
      <w:r>
        <w:rPr>
          <w:rFonts w:ascii="Calibri" w:hAnsi="Calibri" w:eastAsia="楷体" w:cs="Calibri"/>
          <w:b/>
          <w:bCs/>
          <w:color w:val="23558C"/>
          <w:sz w:val="28"/>
          <w:szCs w:val="28"/>
          <w:lang w:eastAsia="zh-CN"/>
        </w:rPr>
        <w:t>2</w:t>
      </w:r>
      <w:r>
        <w:rPr>
          <w:rFonts w:hint="eastAsia" w:ascii="Calibri" w:hAnsi="Calibri" w:eastAsia="楷体" w:cs="Calibri"/>
          <w:b/>
          <w:bCs/>
          <w:color w:val="23558C"/>
          <w:sz w:val="28"/>
          <w:szCs w:val="28"/>
          <w:lang w:eastAsia="zh-CN"/>
        </w:rPr>
        <w:t>.</w:t>
      </w:r>
      <w:r>
        <w:rPr>
          <w:rFonts w:ascii="Calibri" w:hAnsi="Calibri" w:eastAsia="楷体" w:cs="Calibri"/>
          <w:b/>
          <w:bCs/>
          <w:color w:val="C00000"/>
          <w:sz w:val="28"/>
          <w:szCs w:val="28"/>
          <w:lang w:eastAsia="zh-CN"/>
        </w:rPr>
        <w:t xml:space="preserve"> </w:t>
      </w:r>
      <w:r>
        <w:rPr>
          <w:rFonts w:ascii="Calibri" w:hAnsi="Calibri" w:eastAsia="楷体" w:cs="Calibri"/>
          <w:b/>
          <w:bCs/>
          <w:color w:val="23558C"/>
          <w:sz w:val="28"/>
          <w:szCs w:val="28"/>
          <w:lang w:eastAsia="zh-CN"/>
        </w:rPr>
        <w:t>SOFC: A New Solution for AIDC Power Supply</w:t>
      </w:r>
      <w:bookmarkEnd w:id="8"/>
    </w:p>
    <w:p w14:paraId="0660853C">
      <w:pPr>
        <w:pStyle w:val="79"/>
        <w:jc w:val="both"/>
        <w:rPr>
          <w:rFonts w:ascii="Calibri" w:hAnsi="Calibri" w:eastAsia="楷体" w:cs="Calibri"/>
          <w:color w:val="23558C"/>
          <w:sz w:val="24"/>
        </w:rPr>
      </w:pPr>
      <w:bookmarkStart w:id="10" w:name="_Toc5457"/>
      <w:r>
        <w:rPr>
          <w:rFonts w:ascii="Calibri" w:hAnsi="Calibri" w:eastAsia="楷体_GB2312" w:cs="Calibri"/>
          <w:color w:val="23558C"/>
          <w:sz w:val="24"/>
        </w:rPr>
        <w:t xml:space="preserve">2.1 </w:t>
      </w:r>
      <w:r>
        <w:rPr>
          <w:rFonts w:ascii="Calibri" w:hAnsi="Calibri" w:eastAsia="楷体" w:cs="Calibri"/>
          <w:color w:val="23558C"/>
          <w:sz w:val="24"/>
        </w:rPr>
        <w:t>US hyperscalers resorting to on-site power</w:t>
      </w:r>
      <w:bookmarkEnd w:id="10"/>
    </w:p>
    <w:bookmarkEnd w:id="7"/>
    <w:p w14:paraId="3FE4111C">
      <w:pPr>
        <w:widowControl w:val="0"/>
        <w:jc w:val="both"/>
        <w:rPr>
          <w:rFonts w:eastAsia="楷体" w:cs="Calibri"/>
          <w:kern w:val="2"/>
          <w:sz w:val="22"/>
          <w:szCs w:val="22"/>
          <w:lang w:eastAsia="zh-CN"/>
        </w:rPr>
      </w:pPr>
      <w:r>
        <w:rPr>
          <w:rFonts w:eastAsia="楷体" w:cs="Calibri"/>
          <w:b/>
          <w:bCs/>
          <w:kern w:val="2"/>
          <w:sz w:val="22"/>
          <w:szCs w:val="22"/>
          <w:lang w:eastAsia="zh-CN"/>
        </w:rPr>
        <w:t>Recent years have seen a dramatic pivot in US</w:t>
      </w:r>
      <w:r>
        <w:rPr>
          <w:rFonts w:hint="eastAsia" w:eastAsia="楷体" w:cs="Calibri"/>
          <w:b/>
          <w:bCs/>
          <w:kern w:val="2"/>
          <w:sz w:val="22"/>
          <w:szCs w:val="22"/>
          <w:lang w:eastAsia="zh-CN"/>
        </w:rPr>
        <w:t xml:space="preserve"> </w:t>
      </w:r>
      <w:r>
        <w:rPr>
          <w:rFonts w:eastAsia="楷体" w:cs="Calibri"/>
          <w:b/>
          <w:bCs/>
          <w:kern w:val="2"/>
          <w:sz w:val="22"/>
          <w:szCs w:val="22"/>
          <w:lang w:eastAsia="zh-CN"/>
        </w:rPr>
        <w:t>electricity demand, driven largely by the rapid expansion of AIDCs.</w:t>
      </w:r>
      <w:r>
        <w:rPr>
          <w:rFonts w:eastAsia="楷体" w:cs="Calibri"/>
          <w:kern w:val="2"/>
          <w:sz w:val="22"/>
          <w:szCs w:val="22"/>
          <w:lang w:eastAsia="zh-CN"/>
        </w:rPr>
        <w:t xml:space="preserve"> After decades of relatively flat consumption growth, total US electricity demand is now projected to surge by as much as 25% by 2030, according to ICF. Growth is largely propelled by the computational needs of generative AI, which requires 24/7/365 constant full load power capacity to be online within 6 to 12 months.  </w:t>
      </w:r>
    </w:p>
    <w:p w14:paraId="2B712F7F">
      <w:pPr>
        <w:widowControl w:val="0"/>
        <w:jc w:val="both"/>
        <w:rPr>
          <w:rFonts w:eastAsia="楷体" w:cs="Calibri"/>
          <w:kern w:val="2"/>
          <w:sz w:val="22"/>
          <w:szCs w:val="22"/>
        </w:rPr>
      </w:pPr>
    </w:p>
    <w:p w14:paraId="3037EA30">
      <w:pPr>
        <w:widowControl w:val="0"/>
        <w:jc w:val="both"/>
        <w:rPr>
          <w:rFonts w:eastAsia="楷体" w:cs="Calibri"/>
          <w:kern w:val="2"/>
          <w:sz w:val="22"/>
          <w:szCs w:val="22"/>
          <w:lang w:eastAsia="zh-CN"/>
        </w:rPr>
      </w:pPr>
      <w:r>
        <w:rPr>
          <w:rFonts w:eastAsia="楷体" w:cs="Calibri"/>
          <w:b/>
          <w:bCs/>
          <w:kern w:val="2"/>
          <w:sz w:val="22"/>
          <w:szCs w:val="22"/>
          <w:lang w:eastAsia="zh-CN"/>
        </w:rPr>
        <w:t>In addition, the usage pressure has become more acute for some regions in recent 2 to 3 years.</w:t>
      </w:r>
      <w:r>
        <w:rPr>
          <w:rFonts w:eastAsia="楷体" w:cs="Calibri"/>
          <w:kern w:val="2"/>
          <w:sz w:val="22"/>
          <w:szCs w:val="22"/>
          <w:lang w:eastAsia="zh-CN"/>
        </w:rPr>
        <w:t xml:space="preserve"> As hyperscalers rush to build the infrastructure necessary for generative AI training and inference, regions like CAISO, ERCOT, and SWPP saw AIDC build-ups accounting for c.10% mix of total electricity demand, while PJM has c.21% demand contributed by DCs. </w:t>
      </w:r>
    </w:p>
    <w:p w14:paraId="6C1FFF1D">
      <w:pPr>
        <w:widowControl w:val="0"/>
        <w:jc w:val="both"/>
        <w:rPr>
          <w:rFonts w:eastAsia="楷体" w:cs="Calibri"/>
          <w:kern w:val="2"/>
          <w:sz w:val="22"/>
          <w:szCs w:val="22"/>
          <w:lang w:eastAsia="zh-CN"/>
        </w:rPr>
      </w:pPr>
    </w:p>
    <w:p w14:paraId="228AE6E9">
      <w:pPr>
        <w:widowControl w:val="0"/>
        <w:jc w:val="both"/>
        <w:rPr>
          <w:rFonts w:eastAsia="楷体" w:cs="Calibri"/>
          <w:kern w:val="2"/>
          <w:sz w:val="22"/>
          <w:szCs w:val="22"/>
          <w:lang w:eastAsia="zh-CN"/>
        </w:rPr>
      </w:pPr>
    </w:p>
    <w:p w14:paraId="45C9375C">
      <w:pPr>
        <w:widowControl w:val="0"/>
        <w:jc w:val="both"/>
        <w:rPr>
          <w:rFonts w:eastAsia="楷体" w:cs="Calibri"/>
          <w:kern w:val="2"/>
          <w:sz w:val="22"/>
          <w:szCs w:val="22"/>
          <w:lang w:eastAsia="zh-CN"/>
        </w:rPr>
      </w:pPr>
    </w:p>
    <w:tbl>
      <w:tblPr>
        <w:tblStyle w:val="20"/>
        <w:tblW w:w="7466" w:type="dxa"/>
        <w:tblInd w:w="0" w:type="dxa"/>
        <w:tblLayout w:type="fixed"/>
        <w:tblCellMar>
          <w:top w:w="0" w:type="dxa"/>
          <w:left w:w="108" w:type="dxa"/>
          <w:bottom w:w="0" w:type="dxa"/>
          <w:right w:w="108" w:type="dxa"/>
        </w:tblCellMar>
      </w:tblPr>
      <w:tblGrid>
        <w:gridCol w:w="7466"/>
      </w:tblGrid>
      <w:tr w14:paraId="49BE1FD0">
        <w:trPr>
          <w:trHeight w:val="302" w:hRule="atLeast"/>
        </w:trPr>
        <w:tc>
          <w:tcPr>
            <w:tcW w:w="7466" w:type="dxa"/>
            <w:tcBorders>
              <w:top w:val="nil"/>
              <w:left w:val="nil"/>
              <w:bottom w:val="nil"/>
              <w:right w:val="nil"/>
            </w:tcBorders>
            <w:tcMar>
              <w:left w:w="0" w:type="dxa"/>
              <w:right w:w="28" w:type="dxa"/>
            </w:tcMar>
          </w:tcPr>
          <w:p w14:paraId="535D9F89">
            <w:pPr>
              <w:widowControl w:val="0"/>
              <w:jc w:val="both"/>
              <w:rPr>
                <w:rFonts w:eastAsia="楷体" w:cs="Calibri"/>
                <w:b/>
                <w:bCs/>
                <w:kern w:val="2"/>
                <w:sz w:val="20"/>
                <w:szCs w:val="20"/>
                <w:lang w:eastAsia="zh-CN"/>
              </w:rPr>
            </w:pPr>
            <w:r>
              <w:rPr>
                <w:rFonts w:eastAsia="楷体" w:cs="Calibri"/>
                <w:b/>
                <w:bCs/>
                <w:kern w:val="2"/>
                <w:sz w:val="20"/>
                <w:szCs w:val="20"/>
              </w:rPr>
              <w:t>Figure:</w:t>
            </w:r>
            <w:r>
              <w:rPr>
                <w:rFonts w:eastAsia="楷体" w:cs="Calibri"/>
                <w:b/>
                <w:bCs/>
                <w:kern w:val="2"/>
                <w:sz w:val="20"/>
                <w:szCs w:val="20"/>
                <w:lang w:eastAsia="zh-CN"/>
              </w:rPr>
              <w:t>US DC power demand by ISOs/RTOs</w:t>
            </w:r>
          </w:p>
        </w:tc>
      </w:tr>
      <w:tr w14:paraId="67EFFE5B">
        <w:tblPrEx>
          <w:tblCellMar>
            <w:top w:w="0" w:type="dxa"/>
            <w:left w:w="108" w:type="dxa"/>
            <w:bottom w:w="0" w:type="dxa"/>
            <w:right w:w="108" w:type="dxa"/>
          </w:tblCellMar>
        </w:tblPrEx>
        <w:trPr>
          <w:trHeight w:val="856" w:hRule="atLeast"/>
        </w:trPr>
        <w:tc>
          <w:tcPr>
            <w:tcW w:w="7466" w:type="dxa"/>
            <w:tcBorders>
              <w:top w:val="nil"/>
              <w:left w:val="nil"/>
              <w:bottom w:val="nil"/>
              <w:right w:val="nil"/>
            </w:tcBorders>
            <w:vAlign w:val="center"/>
          </w:tcPr>
          <w:p w14:paraId="1DD74E9F">
            <w:pPr>
              <w:widowControl w:val="0"/>
              <w:jc w:val="both"/>
              <w:rPr>
                <w:rFonts w:eastAsia="楷体" w:cs="Calibri"/>
                <w:b/>
                <w:bCs/>
                <w:kern w:val="2"/>
                <w:sz w:val="20"/>
                <w:szCs w:val="20"/>
                <w:lang w:eastAsia="zh-CN"/>
              </w:rPr>
            </w:pPr>
            <w:r>
              <w:rPr>
                <w:rFonts w:eastAsia="楷体" w:cs="Calibri"/>
                <w:b/>
                <w:bCs/>
                <w:kern w:val="2"/>
                <w:sz w:val="20"/>
                <w:szCs w:val="20"/>
                <w:lang w:eastAsia="zh-CN"/>
              </w:rPr>
              <w:drawing>
                <wp:inline distT="0" distB="0" distL="114300" distR="114300">
                  <wp:extent cx="4592955" cy="2794635"/>
                  <wp:effectExtent l="0" t="0" r="9525" b="9525"/>
                  <wp:docPr id="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
                          <pic:cNvPicPr>
                            <a:picLocks noChangeAspect="1"/>
                          </pic:cNvPicPr>
                        </pic:nvPicPr>
                        <pic:blipFill>
                          <a:blip r:embed="rId39"/>
                          <a:stretch>
                            <a:fillRect/>
                          </a:stretch>
                        </pic:blipFill>
                        <pic:spPr>
                          <a:xfrm>
                            <a:off x="0" y="0"/>
                            <a:ext cx="4592955" cy="2794635"/>
                          </a:xfrm>
                          <a:prstGeom prst="rect">
                            <a:avLst/>
                          </a:prstGeom>
                          <a:noFill/>
                          <a:ln>
                            <a:noFill/>
                          </a:ln>
                        </pic:spPr>
                      </pic:pic>
                    </a:graphicData>
                  </a:graphic>
                </wp:inline>
              </w:drawing>
            </w:r>
          </w:p>
        </w:tc>
      </w:tr>
      <w:tr w14:paraId="2E951E71">
        <w:tblPrEx>
          <w:tblCellMar>
            <w:top w:w="0" w:type="dxa"/>
            <w:left w:w="108" w:type="dxa"/>
            <w:bottom w:w="0" w:type="dxa"/>
            <w:right w:w="108" w:type="dxa"/>
          </w:tblCellMar>
        </w:tblPrEx>
        <w:trPr>
          <w:trHeight w:val="64" w:hRule="atLeast"/>
        </w:trPr>
        <w:tc>
          <w:tcPr>
            <w:tcW w:w="7466" w:type="dxa"/>
            <w:tcBorders>
              <w:top w:val="nil"/>
              <w:left w:val="nil"/>
              <w:bottom w:val="nil"/>
              <w:right w:val="nil"/>
            </w:tcBorders>
            <w:tcMar>
              <w:left w:w="0" w:type="dxa"/>
              <w:right w:w="28" w:type="dxa"/>
            </w:tcMar>
            <w:vAlign w:val="center"/>
          </w:tcPr>
          <w:p w14:paraId="7CFDC5AB">
            <w:pPr>
              <w:widowControl w:val="0"/>
              <w:jc w:val="both"/>
              <w:rPr>
                <w:rFonts w:eastAsia="楷体" w:cs="Calibri"/>
                <w:b/>
                <w:bCs/>
                <w:kern w:val="2"/>
                <w:sz w:val="20"/>
                <w:szCs w:val="20"/>
              </w:rPr>
            </w:pPr>
            <w:r>
              <w:rPr>
                <w:rFonts w:eastAsia="楷体" w:cs="Calibri"/>
                <w:b/>
                <w:bCs/>
                <w:kern w:val="2"/>
                <w:sz w:val="20"/>
                <w:szCs w:val="20"/>
              </w:rPr>
              <w:t xml:space="preserve">Source: </w:t>
            </w:r>
            <w:r>
              <w:rPr>
                <w:rFonts w:eastAsia="楷体" w:cs="Calibri"/>
                <w:b/>
                <w:bCs/>
                <w:kern w:val="2"/>
                <w:sz w:val="20"/>
                <w:szCs w:val="20"/>
                <w:lang w:eastAsia="zh-CN"/>
              </w:rPr>
              <w:t>FERC</w:t>
            </w:r>
            <w:r>
              <w:rPr>
                <w:rFonts w:eastAsia="楷体" w:cs="Calibri"/>
                <w:b/>
                <w:bCs/>
                <w:kern w:val="2"/>
                <w:sz w:val="20"/>
                <w:szCs w:val="20"/>
              </w:rPr>
              <w:t>, HFI</w:t>
            </w:r>
          </w:p>
        </w:tc>
      </w:tr>
    </w:tbl>
    <w:p w14:paraId="29BDAF7E">
      <w:pPr>
        <w:widowControl w:val="0"/>
        <w:jc w:val="both"/>
        <w:rPr>
          <w:rFonts w:eastAsia="楷体" w:cs="Calibri"/>
          <w:kern w:val="2"/>
          <w:sz w:val="22"/>
          <w:szCs w:val="22"/>
        </w:rPr>
      </w:pPr>
    </w:p>
    <w:p w14:paraId="6D023177">
      <w:pPr>
        <w:widowControl w:val="0"/>
        <w:jc w:val="both"/>
        <w:rPr>
          <w:rFonts w:eastAsia="楷体" w:cs="Calibri"/>
          <w:kern w:val="2"/>
          <w:sz w:val="22"/>
          <w:szCs w:val="22"/>
          <w:lang w:eastAsia="zh-CN"/>
        </w:rPr>
      </w:pPr>
      <w:r>
        <w:rPr>
          <w:rFonts w:eastAsia="楷体" w:cs="Calibri"/>
          <w:b/>
          <w:bCs/>
          <w:kern w:val="2"/>
          <w:sz w:val="22"/>
          <w:szCs w:val="22"/>
          <w:lang w:eastAsia="zh-CN"/>
        </w:rPr>
        <w:t xml:space="preserve">Furthermore, as more AIDCs being built, they are becoming more power-hungry. </w:t>
      </w:r>
      <w:r>
        <w:rPr>
          <w:rFonts w:eastAsia="楷体" w:cs="Calibri"/>
          <w:kern w:val="2"/>
          <w:sz w:val="22"/>
          <w:szCs w:val="22"/>
          <w:lang w:eastAsia="zh-CN"/>
        </w:rPr>
        <w:t>With the widespread adoption of AI, we see a further speed-up in data centre construction in 2026 validated by the heightened capex guidance provided by the leading US hyperscalers in 2025. Also, AIDCs also getting bigger with the expected median size of an AI data center to reach 250–300 MW by 2030—a 50% increase over current levels. This shift is fueled by surging demand for both training and inference, alongside the deployment of high-performance hardware like NVIDIA’s Blackwell GPUs, which consume approximately 1,000 watts per unit.</w:t>
      </w:r>
    </w:p>
    <w:p w14:paraId="08308105">
      <w:pPr>
        <w:widowControl w:val="0"/>
        <w:jc w:val="both"/>
        <w:rPr>
          <w:rFonts w:eastAsia="楷体" w:cs="Calibri"/>
          <w:kern w:val="2"/>
          <w:sz w:val="22"/>
          <w:szCs w:val="22"/>
          <w:lang w:eastAsia="zh-CN"/>
        </w:rPr>
      </w:pPr>
    </w:p>
    <w:tbl>
      <w:tblPr>
        <w:tblStyle w:val="21"/>
        <w:tblW w:w="10206" w:type="dxa"/>
        <w:tblInd w:w="-255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14:paraId="69176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0206" w:type="dxa"/>
            <w:tcBorders>
              <w:bottom w:val="single" w:color="023F97" w:sz="4" w:space="0"/>
            </w:tcBorders>
          </w:tcPr>
          <w:p w14:paraId="47D247C0">
            <w:pPr>
              <w:widowControl w:val="0"/>
              <w:jc w:val="both"/>
              <w:rPr>
                <w:rFonts w:eastAsia="楷体" w:cs="Calibri"/>
                <w:b/>
                <w:bCs/>
                <w:kern w:val="2"/>
                <w:sz w:val="20"/>
                <w:szCs w:val="20"/>
                <w:lang w:eastAsia="zh-CN"/>
              </w:rPr>
            </w:pPr>
            <w:r>
              <w:rPr>
                <w:rFonts w:eastAsia="楷体" w:cs="Calibri"/>
                <w:b/>
                <w:bCs/>
                <w:kern w:val="2"/>
                <w:sz w:val="20"/>
                <w:szCs w:val="20"/>
                <w:lang w:eastAsia="zh-CN"/>
              </w:rPr>
              <w:t>Figure: US rising full-year capex guidance from key hyperscalers, 1Q25-3Q25 (USD bn)</w:t>
            </w:r>
          </w:p>
        </w:tc>
      </w:tr>
      <w:tr w14:paraId="45D8AD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5" w:hRule="atLeast"/>
        </w:trPr>
        <w:tc>
          <w:tcPr>
            <w:tcW w:w="10206" w:type="dxa"/>
            <w:tcBorders>
              <w:top w:val="single" w:color="023F97" w:sz="4" w:space="0"/>
              <w:bottom w:val="single" w:color="023F97" w:sz="4" w:space="0"/>
            </w:tcBorders>
            <w:tcMar>
              <w:top w:w="28" w:type="dxa"/>
              <w:bottom w:w="28" w:type="dxa"/>
            </w:tcMar>
            <w:vAlign w:val="center"/>
          </w:tcPr>
          <w:p w14:paraId="42D6CF3A">
            <w:pPr>
              <w:widowControl w:val="0"/>
              <w:jc w:val="both"/>
              <w:rPr>
                <w:rFonts w:eastAsia="楷体" w:cs="Calibri"/>
                <w:b/>
                <w:bCs/>
                <w:kern w:val="2"/>
                <w:sz w:val="20"/>
                <w:szCs w:val="20"/>
                <w:lang w:eastAsia="zh-CN"/>
              </w:rPr>
            </w:pPr>
            <w:r>
              <w:rPr>
                <w:rFonts w:cs="Calibri"/>
              </w:rPr>
              <w:drawing>
                <wp:inline distT="0" distB="0" distL="114300" distR="114300">
                  <wp:extent cx="6350000" cy="1753235"/>
                  <wp:effectExtent l="5080" t="4445" r="15240" b="10160"/>
                  <wp:docPr id="4"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tc>
      </w:tr>
      <w:tr w14:paraId="2E779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023F97" w:sz="4" w:space="0"/>
            </w:tcBorders>
          </w:tcPr>
          <w:p w14:paraId="249620DD">
            <w:pPr>
              <w:widowControl w:val="0"/>
              <w:jc w:val="both"/>
              <w:rPr>
                <w:rFonts w:eastAsia="楷体" w:cs="Calibri"/>
                <w:b/>
                <w:bCs/>
                <w:kern w:val="2"/>
                <w:sz w:val="20"/>
                <w:szCs w:val="20"/>
                <w:lang w:eastAsia="zh-CN"/>
              </w:rPr>
            </w:pPr>
            <w:r>
              <w:rPr>
                <w:rFonts w:eastAsia="楷体" w:cs="Calibri"/>
                <w:b/>
                <w:bCs/>
                <w:kern w:val="2"/>
                <w:sz w:val="20"/>
                <w:szCs w:val="20"/>
                <w:lang w:eastAsia="zh-CN"/>
              </w:rPr>
              <w:t>Source: Bloomberg, HFI</w:t>
            </w:r>
          </w:p>
        </w:tc>
      </w:tr>
    </w:tbl>
    <w:p w14:paraId="3C533DF6">
      <w:pPr>
        <w:widowControl w:val="0"/>
        <w:jc w:val="both"/>
        <w:rPr>
          <w:rFonts w:eastAsia="楷体" w:cs="Calibri"/>
          <w:b/>
          <w:bCs/>
          <w:kern w:val="2"/>
          <w:sz w:val="22"/>
          <w:szCs w:val="22"/>
          <w:lang w:eastAsia="zh-CN"/>
        </w:rPr>
      </w:pPr>
    </w:p>
    <w:p w14:paraId="607CE753">
      <w:pPr>
        <w:widowControl w:val="0"/>
        <w:jc w:val="both"/>
        <w:rPr>
          <w:rFonts w:eastAsia="楷体" w:cs="Calibri"/>
          <w:kern w:val="2"/>
          <w:sz w:val="22"/>
          <w:szCs w:val="22"/>
        </w:rPr>
      </w:pPr>
      <w:r>
        <w:rPr>
          <w:rFonts w:eastAsia="楷体" w:cs="Calibri"/>
          <w:b/>
          <w:bCs/>
          <w:kern w:val="2"/>
          <w:sz w:val="22"/>
          <w:szCs w:val="22"/>
          <w:lang w:eastAsia="zh-CN"/>
        </w:rPr>
        <w:t xml:space="preserve">Supply and the grid is not keeping pace with the rocketing power demand, however. </w:t>
      </w:r>
      <w:r>
        <w:rPr>
          <w:rFonts w:eastAsia="楷体" w:cs="Calibri"/>
          <w:kern w:val="2"/>
          <w:sz w:val="22"/>
          <w:szCs w:val="22"/>
          <w:lang w:eastAsia="zh-CN"/>
        </w:rPr>
        <w:t xml:space="preserve">The total effective capacity grew by only 2% from 2019 to 2024. While the </w:t>
      </w:r>
      <w:r>
        <w:rPr>
          <w:rFonts w:hint="eastAsia" w:eastAsia="楷体" w:cs="Calibri"/>
          <w:kern w:val="2"/>
          <w:sz w:val="22"/>
          <w:szCs w:val="22"/>
          <w:lang w:eastAsia="zh-CN"/>
        </w:rPr>
        <w:t>US</w:t>
      </w:r>
      <w:r>
        <w:rPr>
          <w:rFonts w:eastAsia="楷体" w:cs="Calibri"/>
          <w:kern w:val="2"/>
          <w:sz w:val="22"/>
          <w:szCs w:val="22"/>
          <w:lang w:eastAsia="zh-CN"/>
        </w:rPr>
        <w:t xml:space="preserve"> added over 160 GW renewable assets from 2019 to 2024, they have low effective capacity factors (i.e., portion of time actually generating electricity) as solar only works with the sun is out and wind turbines only when there is sufficient wind. Retiring 59G of coal capacity over the same period compound the problem, causing an overall 36GW net decline in dispatchable power. Also, the US has lagged in adding transmission capacity primarily due to aging infrastructure, the immense difficulty of obtaining land-use permits for cross-state lines, and a massive backlog in the interconnection queue that may even take over nine years to clear</w:t>
      </w:r>
      <w:r>
        <w:rPr>
          <w:rFonts w:eastAsia="楷体" w:cs="Calibri"/>
          <w:kern w:val="2"/>
          <w:sz w:val="22"/>
          <w:szCs w:val="22"/>
        </w:rPr>
        <w:t>.</w:t>
      </w:r>
    </w:p>
    <w:p w14:paraId="32C336A4">
      <w:pPr>
        <w:widowControl w:val="0"/>
        <w:jc w:val="both"/>
        <w:rPr>
          <w:rFonts w:eastAsia="楷体" w:cs="Calibri"/>
          <w:kern w:val="2"/>
          <w:sz w:val="22"/>
          <w:szCs w:val="22"/>
          <w:lang w:eastAsia="zh-CN"/>
        </w:rPr>
      </w:pPr>
    </w:p>
    <w:tbl>
      <w:tblPr>
        <w:tblStyle w:val="21"/>
        <w:tblW w:w="7680"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680"/>
      </w:tblGrid>
      <w:tr w14:paraId="48C7C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1" w:hRule="atLeast"/>
        </w:trPr>
        <w:tc>
          <w:tcPr>
            <w:tcW w:w="7680" w:type="dxa"/>
            <w:tcBorders>
              <w:bottom w:val="nil"/>
            </w:tcBorders>
          </w:tcPr>
          <w:p w14:paraId="0614031B">
            <w:pPr>
              <w:pStyle w:val="76"/>
              <w:keepNext/>
              <w:numPr>
                <w:ilvl w:val="0"/>
                <w:numId w:val="0"/>
              </w:numPr>
              <w:rPr>
                <w:rFonts w:ascii="Calibri" w:hAnsi="Calibri" w:cs="Calibri"/>
              </w:rPr>
            </w:pPr>
            <w:r>
              <w:rPr>
                <w:rFonts w:ascii="Calibri" w:hAnsi="Calibri" w:cs="Calibri"/>
                <w:bCs w:val="0"/>
                <w:snapToGrid w:val="0"/>
                <w:sz w:val="20"/>
                <w:szCs w:val="20"/>
              </w:rPr>
              <w:t>Table</w:t>
            </w:r>
            <w:r>
              <w:rPr>
                <w:rFonts w:ascii="Calibri" w:hAnsi="Calibri" w:cs="Calibri"/>
                <w:bCs w:val="0"/>
                <w:snapToGrid w:val="0"/>
                <w:sz w:val="20"/>
                <w:szCs w:val="20"/>
                <w:lang w:eastAsia="ja-JP"/>
              </w:rPr>
              <w:t>: More renewable less coal makes capacity additions smaller than they appear</w:t>
            </w:r>
          </w:p>
        </w:tc>
      </w:tr>
      <w:tr w14:paraId="549764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75" w:hRule="atLeast"/>
        </w:trPr>
        <w:tc>
          <w:tcPr>
            <w:tcW w:w="7680" w:type="dxa"/>
            <w:tcBorders>
              <w:top w:val="nil"/>
              <w:bottom w:val="nil"/>
            </w:tcBorders>
            <w:tcMar>
              <w:top w:w="28" w:type="dxa"/>
              <w:bottom w:w="28" w:type="dxa"/>
            </w:tcMar>
            <w:vAlign w:val="center"/>
          </w:tcPr>
          <w:tbl>
            <w:tblPr>
              <w:tblStyle w:val="20"/>
              <w:tblW w:w="7464" w:type="dxa"/>
              <w:tblInd w:w="0" w:type="dxa"/>
              <w:tblLayout w:type="fixed"/>
              <w:tblCellMar>
                <w:top w:w="0" w:type="dxa"/>
                <w:left w:w="108" w:type="dxa"/>
                <w:bottom w:w="0" w:type="dxa"/>
                <w:right w:w="108" w:type="dxa"/>
              </w:tblCellMar>
            </w:tblPr>
            <w:tblGrid>
              <w:gridCol w:w="4452"/>
              <w:gridCol w:w="1056"/>
              <w:gridCol w:w="944"/>
              <w:gridCol w:w="1012"/>
            </w:tblGrid>
            <w:tr w14:paraId="1C97462F">
              <w:tblPrEx>
                <w:tblCellMar>
                  <w:top w:w="0" w:type="dxa"/>
                  <w:left w:w="108" w:type="dxa"/>
                  <w:bottom w:w="0" w:type="dxa"/>
                  <w:right w:w="108" w:type="dxa"/>
                </w:tblCellMar>
              </w:tblPrEx>
              <w:trPr>
                <w:trHeight w:val="288" w:hRule="atLeast"/>
              </w:trPr>
              <w:tc>
                <w:tcPr>
                  <w:tcW w:w="7464" w:type="dxa"/>
                  <w:gridSpan w:val="4"/>
                  <w:tcBorders>
                    <w:top w:val="nil"/>
                    <w:left w:val="single" w:color="000000" w:sz="4" w:space="0"/>
                    <w:bottom w:val="nil"/>
                    <w:right w:val="nil"/>
                  </w:tcBorders>
                  <w:shd w:val="clear" w:color="auto" w:fill="23558C"/>
                  <w:noWrap/>
                  <w:vAlign w:val="center"/>
                </w:tcPr>
                <w:p w14:paraId="334C9906">
                  <w:pPr>
                    <w:jc w:val="center"/>
                    <w:textAlignment w:val="center"/>
                    <w:rPr>
                      <w:rFonts w:eastAsia="宋体" w:cs="Calibri"/>
                      <w:b/>
                      <w:bCs/>
                      <w:color w:val="FFFFFF"/>
                      <w:sz w:val="20"/>
                      <w:szCs w:val="20"/>
                    </w:rPr>
                  </w:pPr>
                  <w:r>
                    <w:rPr>
                      <w:rFonts w:eastAsia="宋体" w:cs="Calibri"/>
                      <w:b/>
                      <w:bCs/>
                      <w:color w:val="FFFFFF"/>
                      <w:sz w:val="20"/>
                      <w:szCs w:val="20"/>
                      <w:lang w:eastAsia="zh-CN" w:bidi="ar"/>
                    </w:rPr>
                    <w:t>Power supply capacity addition over 2019-2024</w:t>
                  </w:r>
                </w:p>
              </w:tc>
            </w:tr>
            <w:tr w14:paraId="757A010C">
              <w:tblPrEx>
                <w:tblCellMar>
                  <w:top w:w="0" w:type="dxa"/>
                  <w:left w:w="108" w:type="dxa"/>
                  <w:bottom w:w="0" w:type="dxa"/>
                  <w:right w:w="108" w:type="dxa"/>
                </w:tblCellMar>
              </w:tblPrEx>
              <w:trPr>
                <w:trHeight w:val="288" w:hRule="atLeast"/>
              </w:trPr>
              <w:tc>
                <w:tcPr>
                  <w:tcW w:w="4452" w:type="dxa"/>
                  <w:tcBorders>
                    <w:top w:val="nil"/>
                    <w:left w:val="single" w:color="000000" w:sz="4" w:space="0"/>
                    <w:bottom w:val="single" w:color="000000" w:sz="4" w:space="0"/>
                    <w:right w:val="single" w:color="000000" w:sz="4" w:space="0"/>
                  </w:tcBorders>
                  <w:noWrap/>
                  <w:vAlign w:val="center"/>
                </w:tcPr>
                <w:p w14:paraId="726C4C18">
                  <w:pPr>
                    <w:textAlignment w:val="center"/>
                    <w:rPr>
                      <w:rFonts w:eastAsia="宋体" w:cs="Calibri"/>
                      <w:b/>
                      <w:bCs/>
                      <w:color w:val="000000"/>
                      <w:sz w:val="20"/>
                      <w:szCs w:val="20"/>
                    </w:rPr>
                  </w:pPr>
                  <w:r>
                    <w:rPr>
                      <w:rFonts w:eastAsia="宋体" w:cs="Calibri"/>
                      <w:b/>
                      <w:bCs/>
                      <w:color w:val="000000"/>
                      <w:sz w:val="20"/>
                      <w:szCs w:val="20"/>
                      <w:lang w:eastAsia="zh-CN" w:bidi="ar"/>
                    </w:rPr>
                    <w:t>Nameplate capacity (GW)</w:t>
                  </w:r>
                </w:p>
              </w:tc>
              <w:tc>
                <w:tcPr>
                  <w:tcW w:w="1056" w:type="dxa"/>
                  <w:tcBorders>
                    <w:top w:val="nil"/>
                    <w:left w:val="single" w:color="000000" w:sz="4" w:space="0"/>
                    <w:bottom w:val="single" w:color="000000" w:sz="4" w:space="0"/>
                    <w:right w:val="single" w:color="000000" w:sz="4" w:space="0"/>
                  </w:tcBorders>
                  <w:noWrap/>
                  <w:vAlign w:val="center"/>
                </w:tcPr>
                <w:p w14:paraId="3FB01873">
                  <w:pPr>
                    <w:jc w:val="right"/>
                    <w:textAlignment w:val="center"/>
                    <w:rPr>
                      <w:rFonts w:eastAsia="宋体" w:cs="Calibri"/>
                      <w:b/>
                      <w:bCs/>
                      <w:color w:val="000000"/>
                      <w:sz w:val="20"/>
                      <w:szCs w:val="20"/>
                    </w:rPr>
                  </w:pPr>
                  <w:r>
                    <w:rPr>
                      <w:rFonts w:eastAsia="宋体" w:cs="Calibri"/>
                      <w:b/>
                      <w:bCs/>
                      <w:color w:val="000000"/>
                      <w:sz w:val="20"/>
                      <w:szCs w:val="20"/>
                      <w:lang w:eastAsia="zh-CN" w:bidi="ar"/>
                    </w:rPr>
                    <w:t>2019</w:t>
                  </w:r>
                </w:p>
              </w:tc>
              <w:tc>
                <w:tcPr>
                  <w:tcW w:w="944" w:type="dxa"/>
                  <w:tcBorders>
                    <w:top w:val="nil"/>
                    <w:left w:val="single" w:color="000000" w:sz="4" w:space="0"/>
                    <w:bottom w:val="single" w:color="000000" w:sz="4" w:space="0"/>
                    <w:right w:val="single" w:color="000000" w:sz="4" w:space="0"/>
                  </w:tcBorders>
                  <w:noWrap/>
                  <w:vAlign w:val="center"/>
                </w:tcPr>
                <w:p w14:paraId="61A6C4A0">
                  <w:pPr>
                    <w:jc w:val="right"/>
                    <w:textAlignment w:val="center"/>
                    <w:rPr>
                      <w:rFonts w:eastAsia="宋体" w:cs="Calibri"/>
                      <w:b/>
                      <w:bCs/>
                      <w:color w:val="000000"/>
                      <w:sz w:val="20"/>
                      <w:szCs w:val="20"/>
                    </w:rPr>
                  </w:pPr>
                  <w:r>
                    <w:rPr>
                      <w:rFonts w:eastAsia="宋体" w:cs="Calibri"/>
                      <w:b/>
                      <w:bCs/>
                      <w:color w:val="000000"/>
                      <w:sz w:val="20"/>
                      <w:szCs w:val="20"/>
                      <w:lang w:eastAsia="zh-CN" w:bidi="ar"/>
                    </w:rPr>
                    <w:t>2024</w:t>
                  </w:r>
                </w:p>
              </w:tc>
              <w:tc>
                <w:tcPr>
                  <w:tcW w:w="1012" w:type="dxa"/>
                  <w:tcBorders>
                    <w:top w:val="nil"/>
                    <w:left w:val="single" w:color="000000" w:sz="4" w:space="0"/>
                    <w:bottom w:val="single" w:color="000000" w:sz="4" w:space="0"/>
                    <w:right w:val="single" w:color="000000" w:sz="4" w:space="0"/>
                  </w:tcBorders>
                  <w:noWrap/>
                  <w:vAlign w:val="center"/>
                </w:tcPr>
                <w:p w14:paraId="55D20797">
                  <w:pPr>
                    <w:jc w:val="right"/>
                    <w:textAlignment w:val="center"/>
                    <w:rPr>
                      <w:rFonts w:eastAsia="宋体" w:cs="Calibri"/>
                      <w:b/>
                      <w:bCs/>
                      <w:color w:val="000000"/>
                      <w:sz w:val="20"/>
                      <w:szCs w:val="20"/>
                    </w:rPr>
                  </w:pPr>
                  <w:r>
                    <w:rPr>
                      <w:rFonts w:eastAsia="宋体" w:cs="Calibri"/>
                      <w:b/>
                      <w:bCs/>
                      <w:color w:val="000000"/>
                      <w:sz w:val="20"/>
                      <w:szCs w:val="20"/>
                      <w:lang w:eastAsia="zh-CN" w:bidi="ar"/>
                    </w:rPr>
                    <w:t>% change</w:t>
                  </w:r>
                </w:p>
              </w:tc>
            </w:tr>
            <w:tr w14:paraId="43B9BE98">
              <w:tblPrEx>
                <w:tblCellMar>
                  <w:top w:w="0" w:type="dxa"/>
                  <w:left w:w="108" w:type="dxa"/>
                  <w:bottom w:w="0" w:type="dxa"/>
                  <w:right w:w="108" w:type="dxa"/>
                </w:tblCellMar>
              </w:tblPrEx>
              <w:trPr>
                <w:trHeight w:val="288" w:hRule="atLeast"/>
              </w:trPr>
              <w:tc>
                <w:tcPr>
                  <w:tcW w:w="4452" w:type="dxa"/>
                  <w:tcBorders>
                    <w:top w:val="single" w:color="000000" w:sz="4" w:space="0"/>
                    <w:left w:val="single" w:color="000000" w:sz="4" w:space="0"/>
                    <w:bottom w:val="single" w:color="000000" w:sz="4" w:space="0"/>
                    <w:right w:val="single" w:color="000000" w:sz="4" w:space="0"/>
                  </w:tcBorders>
                  <w:noWrap/>
                  <w:vAlign w:val="center"/>
                </w:tcPr>
                <w:p w14:paraId="6487175A">
                  <w:pPr>
                    <w:textAlignment w:val="center"/>
                    <w:rPr>
                      <w:rFonts w:eastAsia="宋体" w:cs="Calibri"/>
                      <w:color w:val="000000"/>
                      <w:sz w:val="20"/>
                      <w:szCs w:val="20"/>
                    </w:rPr>
                  </w:pPr>
                  <w:r>
                    <w:rPr>
                      <w:rFonts w:eastAsia="宋体" w:cs="Calibri"/>
                      <w:color w:val="000000"/>
                      <w:sz w:val="20"/>
                      <w:szCs w:val="20"/>
                      <w:lang w:eastAsia="zh-CN" w:bidi="ar"/>
                    </w:rPr>
                    <w:t>Dispatchable power</w:t>
                  </w:r>
                </w:p>
              </w:tc>
              <w:tc>
                <w:tcPr>
                  <w:tcW w:w="1056" w:type="dxa"/>
                  <w:tcBorders>
                    <w:top w:val="single" w:color="000000" w:sz="4" w:space="0"/>
                    <w:left w:val="single" w:color="000000" w:sz="4" w:space="0"/>
                    <w:bottom w:val="single" w:color="000000" w:sz="4" w:space="0"/>
                    <w:right w:val="single" w:color="000000" w:sz="4" w:space="0"/>
                  </w:tcBorders>
                  <w:noWrap/>
                  <w:vAlign w:val="center"/>
                </w:tcPr>
                <w:p w14:paraId="2D97CA69">
                  <w:pPr>
                    <w:jc w:val="right"/>
                    <w:textAlignment w:val="center"/>
                    <w:rPr>
                      <w:rFonts w:eastAsia="宋体" w:cs="Calibri"/>
                      <w:color w:val="000000"/>
                      <w:sz w:val="20"/>
                      <w:szCs w:val="20"/>
                    </w:rPr>
                  </w:pPr>
                  <w:r>
                    <w:rPr>
                      <w:rFonts w:eastAsia="宋体" w:cs="Calibri"/>
                      <w:color w:val="000000"/>
                      <w:sz w:val="20"/>
                      <w:szCs w:val="20"/>
                      <w:lang w:eastAsia="zh-CN" w:bidi="ar"/>
                    </w:rPr>
                    <w:t>947</w:t>
                  </w:r>
                </w:p>
              </w:tc>
              <w:tc>
                <w:tcPr>
                  <w:tcW w:w="944" w:type="dxa"/>
                  <w:tcBorders>
                    <w:top w:val="single" w:color="000000" w:sz="4" w:space="0"/>
                    <w:left w:val="single" w:color="000000" w:sz="4" w:space="0"/>
                    <w:bottom w:val="single" w:color="000000" w:sz="4" w:space="0"/>
                    <w:right w:val="single" w:color="000000" w:sz="4" w:space="0"/>
                  </w:tcBorders>
                  <w:noWrap/>
                  <w:vAlign w:val="center"/>
                </w:tcPr>
                <w:p w14:paraId="333CFB82">
                  <w:pPr>
                    <w:jc w:val="right"/>
                    <w:textAlignment w:val="center"/>
                    <w:rPr>
                      <w:rFonts w:eastAsia="宋体" w:cs="Calibri"/>
                      <w:color w:val="000000"/>
                      <w:sz w:val="20"/>
                      <w:szCs w:val="20"/>
                    </w:rPr>
                  </w:pPr>
                  <w:r>
                    <w:rPr>
                      <w:rFonts w:eastAsia="宋体" w:cs="Calibri"/>
                      <w:color w:val="000000"/>
                      <w:sz w:val="20"/>
                      <w:szCs w:val="20"/>
                      <w:lang w:eastAsia="zh-CN" w:bidi="ar"/>
                    </w:rPr>
                    <w:t>912</w:t>
                  </w:r>
                </w:p>
              </w:tc>
              <w:tc>
                <w:tcPr>
                  <w:tcW w:w="1012" w:type="dxa"/>
                  <w:tcBorders>
                    <w:top w:val="single" w:color="000000" w:sz="4" w:space="0"/>
                    <w:left w:val="single" w:color="000000" w:sz="4" w:space="0"/>
                    <w:bottom w:val="single" w:color="000000" w:sz="4" w:space="0"/>
                    <w:right w:val="single" w:color="000000" w:sz="4" w:space="0"/>
                  </w:tcBorders>
                  <w:noWrap/>
                  <w:vAlign w:val="center"/>
                </w:tcPr>
                <w:p w14:paraId="45896A24">
                  <w:pPr>
                    <w:jc w:val="right"/>
                    <w:textAlignment w:val="center"/>
                    <w:rPr>
                      <w:rFonts w:eastAsia="宋体" w:cs="Calibri"/>
                      <w:color w:val="000000"/>
                      <w:sz w:val="20"/>
                      <w:szCs w:val="20"/>
                    </w:rPr>
                  </w:pPr>
                  <w:r>
                    <w:rPr>
                      <w:rFonts w:eastAsia="宋体" w:cs="Calibri"/>
                      <w:color w:val="000000"/>
                      <w:sz w:val="20"/>
                      <w:szCs w:val="20"/>
                      <w:lang w:eastAsia="zh-CN" w:bidi="ar"/>
                    </w:rPr>
                    <w:t>-4%</w:t>
                  </w:r>
                </w:p>
              </w:tc>
            </w:tr>
            <w:tr w14:paraId="00580878">
              <w:tblPrEx>
                <w:tblCellMar>
                  <w:top w:w="0" w:type="dxa"/>
                  <w:left w:w="108" w:type="dxa"/>
                  <w:bottom w:w="0" w:type="dxa"/>
                  <w:right w:w="108" w:type="dxa"/>
                </w:tblCellMar>
              </w:tblPrEx>
              <w:trPr>
                <w:trHeight w:val="288" w:hRule="atLeast"/>
              </w:trPr>
              <w:tc>
                <w:tcPr>
                  <w:tcW w:w="4452" w:type="dxa"/>
                  <w:tcBorders>
                    <w:top w:val="single" w:color="000000" w:sz="4" w:space="0"/>
                    <w:left w:val="single" w:color="000000" w:sz="4" w:space="0"/>
                    <w:bottom w:val="single" w:color="000000" w:sz="4" w:space="0"/>
                    <w:right w:val="single" w:color="000000" w:sz="4" w:space="0"/>
                  </w:tcBorders>
                  <w:noWrap/>
                  <w:vAlign w:val="center"/>
                </w:tcPr>
                <w:p w14:paraId="47D1AD0D">
                  <w:pPr>
                    <w:textAlignment w:val="center"/>
                    <w:rPr>
                      <w:rFonts w:eastAsia="宋体" w:cs="Calibri"/>
                      <w:color w:val="000000"/>
                      <w:sz w:val="20"/>
                      <w:szCs w:val="20"/>
                    </w:rPr>
                  </w:pPr>
                  <w:r>
                    <w:rPr>
                      <w:rFonts w:eastAsia="宋体" w:cs="Calibri"/>
                      <w:color w:val="000000"/>
                      <w:sz w:val="20"/>
                      <w:szCs w:val="20"/>
                      <w:lang w:eastAsia="zh-CN" w:bidi="ar"/>
                    </w:rPr>
                    <w:t>Intermittent</w:t>
                  </w:r>
                </w:p>
              </w:tc>
              <w:tc>
                <w:tcPr>
                  <w:tcW w:w="1056" w:type="dxa"/>
                  <w:tcBorders>
                    <w:top w:val="single" w:color="000000" w:sz="4" w:space="0"/>
                    <w:left w:val="single" w:color="000000" w:sz="4" w:space="0"/>
                    <w:bottom w:val="single" w:color="000000" w:sz="4" w:space="0"/>
                    <w:right w:val="single" w:color="000000" w:sz="4" w:space="0"/>
                  </w:tcBorders>
                  <w:noWrap/>
                  <w:vAlign w:val="center"/>
                </w:tcPr>
                <w:p w14:paraId="51E8B1C6">
                  <w:pPr>
                    <w:jc w:val="right"/>
                    <w:textAlignment w:val="center"/>
                    <w:rPr>
                      <w:rFonts w:eastAsia="宋体" w:cs="Calibri"/>
                      <w:color w:val="000000"/>
                      <w:sz w:val="20"/>
                      <w:szCs w:val="20"/>
                    </w:rPr>
                  </w:pPr>
                  <w:r>
                    <w:rPr>
                      <w:rFonts w:eastAsia="宋体" w:cs="Calibri"/>
                      <w:color w:val="000000"/>
                      <w:sz w:val="20"/>
                      <w:szCs w:val="20"/>
                      <w:lang w:eastAsia="zh-CN" w:bidi="ar"/>
                    </w:rPr>
                    <w:t>250</w:t>
                  </w:r>
                </w:p>
              </w:tc>
              <w:tc>
                <w:tcPr>
                  <w:tcW w:w="944" w:type="dxa"/>
                  <w:tcBorders>
                    <w:top w:val="single" w:color="000000" w:sz="4" w:space="0"/>
                    <w:left w:val="single" w:color="000000" w:sz="4" w:space="0"/>
                    <w:bottom w:val="single" w:color="000000" w:sz="4" w:space="0"/>
                    <w:right w:val="single" w:color="000000" w:sz="4" w:space="0"/>
                  </w:tcBorders>
                  <w:noWrap/>
                  <w:vAlign w:val="center"/>
                </w:tcPr>
                <w:p w14:paraId="66F8E1E7">
                  <w:pPr>
                    <w:jc w:val="right"/>
                    <w:textAlignment w:val="center"/>
                    <w:rPr>
                      <w:rFonts w:eastAsia="宋体" w:cs="Calibri"/>
                      <w:color w:val="000000"/>
                      <w:sz w:val="20"/>
                      <w:szCs w:val="20"/>
                    </w:rPr>
                  </w:pPr>
                  <w:r>
                    <w:rPr>
                      <w:rFonts w:eastAsia="宋体" w:cs="Calibri"/>
                      <w:color w:val="000000"/>
                      <w:sz w:val="20"/>
                      <w:szCs w:val="20"/>
                      <w:lang w:eastAsia="zh-CN" w:bidi="ar"/>
                    </w:rPr>
                    <w:t>413</w:t>
                  </w:r>
                </w:p>
              </w:tc>
              <w:tc>
                <w:tcPr>
                  <w:tcW w:w="1012" w:type="dxa"/>
                  <w:tcBorders>
                    <w:top w:val="single" w:color="000000" w:sz="4" w:space="0"/>
                    <w:left w:val="single" w:color="000000" w:sz="4" w:space="0"/>
                    <w:bottom w:val="single" w:color="000000" w:sz="4" w:space="0"/>
                    <w:right w:val="single" w:color="000000" w:sz="4" w:space="0"/>
                  </w:tcBorders>
                  <w:noWrap/>
                  <w:vAlign w:val="center"/>
                </w:tcPr>
                <w:p w14:paraId="74FF471D">
                  <w:pPr>
                    <w:jc w:val="right"/>
                    <w:textAlignment w:val="center"/>
                    <w:rPr>
                      <w:rFonts w:eastAsia="宋体" w:cs="Calibri"/>
                      <w:color w:val="000000"/>
                      <w:sz w:val="20"/>
                      <w:szCs w:val="20"/>
                    </w:rPr>
                  </w:pPr>
                  <w:r>
                    <w:rPr>
                      <w:rFonts w:eastAsia="宋体" w:cs="Calibri"/>
                      <w:color w:val="000000"/>
                      <w:sz w:val="20"/>
                      <w:szCs w:val="20"/>
                      <w:lang w:eastAsia="zh-CN" w:bidi="ar"/>
                    </w:rPr>
                    <w:t>65%</w:t>
                  </w:r>
                </w:p>
              </w:tc>
            </w:tr>
            <w:tr w14:paraId="7AB2F768">
              <w:tblPrEx>
                <w:tblCellMar>
                  <w:top w:w="0" w:type="dxa"/>
                  <w:left w:w="108" w:type="dxa"/>
                  <w:bottom w:w="0" w:type="dxa"/>
                  <w:right w:w="108" w:type="dxa"/>
                </w:tblCellMar>
              </w:tblPrEx>
              <w:trPr>
                <w:trHeight w:val="288" w:hRule="atLeast"/>
              </w:trPr>
              <w:tc>
                <w:tcPr>
                  <w:tcW w:w="4452" w:type="dxa"/>
                  <w:tcBorders>
                    <w:top w:val="single" w:color="000000" w:sz="4" w:space="0"/>
                    <w:left w:val="single" w:color="000000" w:sz="4" w:space="0"/>
                    <w:bottom w:val="single" w:color="000000" w:sz="4" w:space="0"/>
                    <w:right w:val="single" w:color="000000" w:sz="4" w:space="0"/>
                  </w:tcBorders>
                  <w:noWrap/>
                  <w:vAlign w:val="center"/>
                </w:tcPr>
                <w:p w14:paraId="4C498A7B">
                  <w:pPr>
                    <w:textAlignment w:val="center"/>
                    <w:rPr>
                      <w:rFonts w:eastAsia="宋体" w:cs="Calibri"/>
                      <w:b/>
                      <w:bCs/>
                      <w:color w:val="000000"/>
                      <w:sz w:val="20"/>
                      <w:szCs w:val="20"/>
                    </w:rPr>
                  </w:pPr>
                  <w:r>
                    <w:rPr>
                      <w:rFonts w:eastAsia="宋体" w:cs="Calibri"/>
                      <w:b/>
                      <w:bCs/>
                      <w:color w:val="000000"/>
                      <w:sz w:val="20"/>
                      <w:szCs w:val="20"/>
                      <w:lang w:eastAsia="zh-CN" w:bidi="ar"/>
                    </w:rPr>
                    <w:t xml:space="preserve">Total </w:t>
                  </w:r>
                </w:p>
              </w:tc>
              <w:tc>
                <w:tcPr>
                  <w:tcW w:w="1056" w:type="dxa"/>
                  <w:tcBorders>
                    <w:top w:val="single" w:color="000000" w:sz="4" w:space="0"/>
                    <w:left w:val="single" w:color="000000" w:sz="4" w:space="0"/>
                    <w:bottom w:val="single" w:color="000000" w:sz="4" w:space="0"/>
                    <w:right w:val="single" w:color="000000" w:sz="4" w:space="0"/>
                  </w:tcBorders>
                  <w:noWrap/>
                  <w:vAlign w:val="center"/>
                </w:tcPr>
                <w:p w14:paraId="3C5274F1">
                  <w:pPr>
                    <w:jc w:val="right"/>
                    <w:textAlignment w:val="center"/>
                    <w:rPr>
                      <w:rFonts w:eastAsia="宋体" w:cs="Calibri"/>
                      <w:b/>
                      <w:bCs/>
                      <w:color w:val="000000"/>
                      <w:sz w:val="20"/>
                      <w:szCs w:val="20"/>
                    </w:rPr>
                  </w:pPr>
                  <w:r>
                    <w:rPr>
                      <w:rFonts w:eastAsia="宋体" w:cs="Calibri"/>
                      <w:b/>
                      <w:bCs/>
                      <w:color w:val="000000"/>
                      <w:sz w:val="20"/>
                      <w:szCs w:val="20"/>
                      <w:lang w:eastAsia="zh-CN" w:bidi="ar"/>
                    </w:rPr>
                    <w:t>1,198</w:t>
                  </w:r>
                </w:p>
              </w:tc>
              <w:tc>
                <w:tcPr>
                  <w:tcW w:w="944" w:type="dxa"/>
                  <w:tcBorders>
                    <w:top w:val="single" w:color="000000" w:sz="4" w:space="0"/>
                    <w:left w:val="single" w:color="000000" w:sz="4" w:space="0"/>
                    <w:bottom w:val="single" w:color="000000" w:sz="4" w:space="0"/>
                    <w:right w:val="single" w:color="000000" w:sz="4" w:space="0"/>
                  </w:tcBorders>
                  <w:noWrap/>
                  <w:vAlign w:val="center"/>
                </w:tcPr>
                <w:p w14:paraId="425D04C3">
                  <w:pPr>
                    <w:jc w:val="right"/>
                    <w:textAlignment w:val="center"/>
                    <w:rPr>
                      <w:rFonts w:eastAsia="宋体" w:cs="Calibri"/>
                      <w:b/>
                      <w:bCs/>
                      <w:color w:val="000000"/>
                      <w:sz w:val="20"/>
                      <w:szCs w:val="20"/>
                    </w:rPr>
                  </w:pPr>
                  <w:r>
                    <w:rPr>
                      <w:rFonts w:eastAsia="宋体" w:cs="Calibri"/>
                      <w:b/>
                      <w:bCs/>
                      <w:color w:val="000000"/>
                      <w:sz w:val="20"/>
                      <w:szCs w:val="20"/>
                      <w:lang w:eastAsia="zh-CN" w:bidi="ar"/>
                    </w:rPr>
                    <w:t>1,325</w:t>
                  </w:r>
                </w:p>
              </w:tc>
              <w:tc>
                <w:tcPr>
                  <w:tcW w:w="1012" w:type="dxa"/>
                  <w:tcBorders>
                    <w:top w:val="single" w:color="000000" w:sz="4" w:space="0"/>
                    <w:left w:val="single" w:color="000000" w:sz="4" w:space="0"/>
                    <w:bottom w:val="single" w:color="000000" w:sz="4" w:space="0"/>
                    <w:right w:val="single" w:color="000000" w:sz="4" w:space="0"/>
                  </w:tcBorders>
                  <w:noWrap/>
                  <w:vAlign w:val="center"/>
                </w:tcPr>
                <w:p w14:paraId="058C840F">
                  <w:pPr>
                    <w:jc w:val="right"/>
                    <w:textAlignment w:val="center"/>
                    <w:rPr>
                      <w:rFonts w:eastAsia="宋体" w:cs="Calibri"/>
                      <w:b/>
                      <w:bCs/>
                      <w:color w:val="000000"/>
                      <w:sz w:val="20"/>
                      <w:szCs w:val="20"/>
                    </w:rPr>
                  </w:pPr>
                  <w:r>
                    <w:rPr>
                      <w:rFonts w:eastAsia="宋体" w:cs="Calibri"/>
                      <w:b/>
                      <w:bCs/>
                      <w:color w:val="000000"/>
                      <w:sz w:val="20"/>
                      <w:szCs w:val="20"/>
                      <w:lang w:eastAsia="zh-CN" w:bidi="ar"/>
                    </w:rPr>
                    <w:t>11%</w:t>
                  </w:r>
                </w:p>
              </w:tc>
            </w:tr>
            <w:tr w14:paraId="3727A9FB">
              <w:tblPrEx>
                <w:tblCellMar>
                  <w:top w:w="0" w:type="dxa"/>
                  <w:left w:w="108" w:type="dxa"/>
                  <w:bottom w:w="0" w:type="dxa"/>
                  <w:right w:w="108" w:type="dxa"/>
                </w:tblCellMar>
              </w:tblPrEx>
              <w:trPr>
                <w:trHeight w:val="288" w:hRule="atLeast"/>
              </w:trPr>
              <w:tc>
                <w:tcPr>
                  <w:tcW w:w="4452" w:type="dxa"/>
                  <w:tcBorders>
                    <w:top w:val="single" w:color="000000" w:sz="4" w:space="0"/>
                    <w:left w:val="single" w:color="000000" w:sz="4" w:space="0"/>
                    <w:bottom w:val="single" w:color="000000" w:sz="4" w:space="0"/>
                    <w:right w:val="single" w:color="000000" w:sz="4" w:space="0"/>
                  </w:tcBorders>
                  <w:noWrap/>
                  <w:vAlign w:val="center"/>
                </w:tcPr>
                <w:p w14:paraId="3ECA4751">
                  <w:pPr>
                    <w:textAlignment w:val="center"/>
                    <w:rPr>
                      <w:rFonts w:eastAsia="宋体" w:cs="Calibri"/>
                      <w:b/>
                      <w:bCs/>
                      <w:color w:val="000000"/>
                      <w:sz w:val="20"/>
                      <w:szCs w:val="20"/>
                    </w:rPr>
                  </w:pPr>
                  <w:r>
                    <w:rPr>
                      <w:rFonts w:eastAsia="宋体" w:cs="Calibri"/>
                      <w:b/>
                      <w:bCs/>
                      <w:color w:val="000000"/>
                      <w:sz w:val="20"/>
                      <w:szCs w:val="20"/>
                      <w:lang w:eastAsia="zh-CN" w:bidi="ar"/>
                    </w:rPr>
                    <w:t>Capacity factor</w:t>
                  </w:r>
                </w:p>
              </w:tc>
              <w:tc>
                <w:tcPr>
                  <w:tcW w:w="1056" w:type="dxa"/>
                  <w:tcBorders>
                    <w:top w:val="single" w:color="000000" w:sz="4" w:space="0"/>
                    <w:left w:val="single" w:color="000000" w:sz="4" w:space="0"/>
                    <w:bottom w:val="single" w:color="000000" w:sz="4" w:space="0"/>
                    <w:right w:val="single" w:color="000000" w:sz="4" w:space="0"/>
                  </w:tcBorders>
                  <w:noWrap/>
                  <w:vAlign w:val="center"/>
                </w:tcPr>
                <w:p w14:paraId="711ED60D">
                  <w:pPr>
                    <w:rPr>
                      <w:rFonts w:eastAsia="宋体" w:cs="Calibri"/>
                      <w:color w:val="000000"/>
                      <w:sz w:val="20"/>
                      <w:szCs w:val="20"/>
                    </w:rPr>
                  </w:pPr>
                </w:p>
              </w:tc>
              <w:tc>
                <w:tcPr>
                  <w:tcW w:w="944" w:type="dxa"/>
                  <w:tcBorders>
                    <w:top w:val="single" w:color="000000" w:sz="4" w:space="0"/>
                    <w:left w:val="single" w:color="000000" w:sz="4" w:space="0"/>
                    <w:bottom w:val="single" w:color="000000" w:sz="4" w:space="0"/>
                    <w:right w:val="single" w:color="000000" w:sz="4" w:space="0"/>
                  </w:tcBorders>
                  <w:noWrap/>
                  <w:vAlign w:val="center"/>
                </w:tcPr>
                <w:p w14:paraId="47069294">
                  <w:pPr>
                    <w:rPr>
                      <w:rFonts w:eastAsia="宋体" w:cs="Calibri"/>
                      <w:color w:val="000000"/>
                      <w:sz w:val="20"/>
                      <w:szCs w:val="20"/>
                    </w:rPr>
                  </w:pPr>
                </w:p>
              </w:tc>
              <w:tc>
                <w:tcPr>
                  <w:tcW w:w="1012" w:type="dxa"/>
                  <w:tcBorders>
                    <w:top w:val="single" w:color="000000" w:sz="4" w:space="0"/>
                    <w:left w:val="single" w:color="000000" w:sz="4" w:space="0"/>
                    <w:bottom w:val="single" w:color="000000" w:sz="4" w:space="0"/>
                    <w:right w:val="single" w:color="000000" w:sz="4" w:space="0"/>
                  </w:tcBorders>
                  <w:noWrap/>
                  <w:vAlign w:val="center"/>
                </w:tcPr>
                <w:p w14:paraId="62321A4B">
                  <w:pPr>
                    <w:rPr>
                      <w:rFonts w:eastAsia="宋体" w:cs="Calibri"/>
                      <w:color w:val="000000"/>
                      <w:sz w:val="20"/>
                      <w:szCs w:val="20"/>
                    </w:rPr>
                  </w:pPr>
                </w:p>
              </w:tc>
            </w:tr>
            <w:tr w14:paraId="5FF2C273">
              <w:tblPrEx>
                <w:tblCellMar>
                  <w:top w:w="0" w:type="dxa"/>
                  <w:left w:w="108" w:type="dxa"/>
                  <w:bottom w:w="0" w:type="dxa"/>
                  <w:right w:w="108" w:type="dxa"/>
                </w:tblCellMar>
              </w:tblPrEx>
              <w:trPr>
                <w:trHeight w:val="288" w:hRule="atLeast"/>
              </w:trPr>
              <w:tc>
                <w:tcPr>
                  <w:tcW w:w="4452" w:type="dxa"/>
                  <w:tcBorders>
                    <w:top w:val="single" w:color="000000" w:sz="4" w:space="0"/>
                    <w:left w:val="single" w:color="000000" w:sz="4" w:space="0"/>
                    <w:bottom w:val="single" w:color="000000" w:sz="4" w:space="0"/>
                    <w:right w:val="single" w:color="000000" w:sz="4" w:space="0"/>
                  </w:tcBorders>
                  <w:noWrap/>
                  <w:vAlign w:val="center"/>
                </w:tcPr>
                <w:p w14:paraId="07B0C9E5">
                  <w:pPr>
                    <w:textAlignment w:val="center"/>
                    <w:rPr>
                      <w:rFonts w:eastAsia="宋体" w:cs="Calibri"/>
                      <w:color w:val="000000"/>
                      <w:sz w:val="20"/>
                      <w:szCs w:val="20"/>
                    </w:rPr>
                  </w:pPr>
                  <w:r>
                    <w:rPr>
                      <w:rFonts w:eastAsia="宋体" w:cs="Calibri"/>
                      <w:color w:val="000000"/>
                      <w:sz w:val="20"/>
                      <w:szCs w:val="20"/>
                      <w:lang w:eastAsia="zh-CN" w:bidi="ar"/>
                    </w:rPr>
                    <w:t>Dispatchable power</w:t>
                  </w:r>
                </w:p>
              </w:tc>
              <w:tc>
                <w:tcPr>
                  <w:tcW w:w="1056" w:type="dxa"/>
                  <w:tcBorders>
                    <w:top w:val="single" w:color="000000" w:sz="4" w:space="0"/>
                    <w:left w:val="single" w:color="000000" w:sz="4" w:space="0"/>
                    <w:bottom w:val="single" w:color="000000" w:sz="4" w:space="0"/>
                    <w:right w:val="single" w:color="000000" w:sz="4" w:space="0"/>
                  </w:tcBorders>
                  <w:noWrap/>
                  <w:vAlign w:val="center"/>
                </w:tcPr>
                <w:p w14:paraId="243E0327">
                  <w:pPr>
                    <w:jc w:val="right"/>
                    <w:textAlignment w:val="center"/>
                    <w:rPr>
                      <w:rFonts w:eastAsia="宋体" w:cs="Calibri"/>
                      <w:color w:val="000000"/>
                      <w:sz w:val="20"/>
                      <w:szCs w:val="20"/>
                    </w:rPr>
                  </w:pPr>
                  <w:r>
                    <w:rPr>
                      <w:rFonts w:eastAsia="宋体" w:cs="Calibri"/>
                      <w:color w:val="000000"/>
                      <w:sz w:val="20"/>
                      <w:szCs w:val="20"/>
                      <w:lang w:eastAsia="zh-CN" w:bidi="ar"/>
                    </w:rPr>
                    <w:t>58.80%</w:t>
                  </w:r>
                </w:p>
              </w:tc>
              <w:tc>
                <w:tcPr>
                  <w:tcW w:w="944" w:type="dxa"/>
                  <w:tcBorders>
                    <w:top w:val="single" w:color="000000" w:sz="4" w:space="0"/>
                    <w:left w:val="single" w:color="000000" w:sz="4" w:space="0"/>
                    <w:bottom w:val="single" w:color="000000" w:sz="4" w:space="0"/>
                    <w:right w:val="single" w:color="000000" w:sz="4" w:space="0"/>
                  </w:tcBorders>
                  <w:noWrap/>
                  <w:vAlign w:val="center"/>
                </w:tcPr>
                <w:p w14:paraId="7A0BA20B">
                  <w:pPr>
                    <w:jc w:val="right"/>
                    <w:textAlignment w:val="center"/>
                    <w:rPr>
                      <w:rFonts w:eastAsia="宋体" w:cs="Calibri"/>
                      <w:color w:val="000000"/>
                      <w:sz w:val="20"/>
                      <w:szCs w:val="20"/>
                    </w:rPr>
                  </w:pPr>
                  <w:r>
                    <w:rPr>
                      <w:rFonts w:eastAsia="宋体" w:cs="Calibri"/>
                      <w:color w:val="000000"/>
                      <w:sz w:val="20"/>
                      <w:szCs w:val="20"/>
                      <w:lang w:eastAsia="zh-CN" w:bidi="ar"/>
                    </w:rPr>
                    <w:t>58.10%</w:t>
                  </w:r>
                </w:p>
              </w:tc>
              <w:tc>
                <w:tcPr>
                  <w:tcW w:w="1012" w:type="dxa"/>
                  <w:tcBorders>
                    <w:top w:val="single" w:color="000000" w:sz="4" w:space="0"/>
                    <w:left w:val="single" w:color="000000" w:sz="4" w:space="0"/>
                    <w:bottom w:val="single" w:color="000000" w:sz="4" w:space="0"/>
                    <w:right w:val="single" w:color="000000" w:sz="4" w:space="0"/>
                  </w:tcBorders>
                  <w:noWrap/>
                  <w:vAlign w:val="center"/>
                </w:tcPr>
                <w:p w14:paraId="2B5466A6">
                  <w:pPr>
                    <w:rPr>
                      <w:rFonts w:eastAsia="宋体" w:cs="Calibri"/>
                      <w:color w:val="000000"/>
                      <w:sz w:val="20"/>
                      <w:szCs w:val="20"/>
                    </w:rPr>
                  </w:pPr>
                </w:p>
              </w:tc>
            </w:tr>
            <w:tr w14:paraId="5A2AF842">
              <w:tblPrEx>
                <w:tblCellMar>
                  <w:top w:w="0" w:type="dxa"/>
                  <w:left w:w="108" w:type="dxa"/>
                  <w:bottom w:w="0" w:type="dxa"/>
                  <w:right w:w="108" w:type="dxa"/>
                </w:tblCellMar>
              </w:tblPrEx>
              <w:trPr>
                <w:trHeight w:val="288" w:hRule="atLeast"/>
              </w:trPr>
              <w:tc>
                <w:tcPr>
                  <w:tcW w:w="4452" w:type="dxa"/>
                  <w:tcBorders>
                    <w:top w:val="single" w:color="000000" w:sz="4" w:space="0"/>
                    <w:left w:val="single" w:color="000000" w:sz="4" w:space="0"/>
                    <w:bottom w:val="single" w:color="000000" w:sz="4" w:space="0"/>
                    <w:right w:val="single" w:color="000000" w:sz="4" w:space="0"/>
                  </w:tcBorders>
                  <w:noWrap/>
                  <w:vAlign w:val="center"/>
                </w:tcPr>
                <w:p w14:paraId="7F1A8EF0">
                  <w:pPr>
                    <w:textAlignment w:val="center"/>
                    <w:rPr>
                      <w:rFonts w:eastAsia="宋体" w:cs="Calibri"/>
                      <w:color w:val="000000"/>
                      <w:sz w:val="20"/>
                      <w:szCs w:val="20"/>
                    </w:rPr>
                  </w:pPr>
                  <w:r>
                    <w:rPr>
                      <w:rFonts w:eastAsia="宋体" w:cs="Calibri"/>
                      <w:color w:val="000000"/>
                      <w:sz w:val="20"/>
                      <w:szCs w:val="20"/>
                      <w:lang w:eastAsia="zh-CN" w:bidi="ar"/>
                    </w:rPr>
                    <w:t>Intermittent</w:t>
                  </w:r>
                </w:p>
              </w:tc>
              <w:tc>
                <w:tcPr>
                  <w:tcW w:w="1056" w:type="dxa"/>
                  <w:tcBorders>
                    <w:top w:val="single" w:color="000000" w:sz="4" w:space="0"/>
                    <w:left w:val="single" w:color="000000" w:sz="4" w:space="0"/>
                    <w:bottom w:val="single" w:color="000000" w:sz="4" w:space="0"/>
                    <w:right w:val="single" w:color="000000" w:sz="4" w:space="0"/>
                  </w:tcBorders>
                  <w:noWrap/>
                  <w:vAlign w:val="center"/>
                </w:tcPr>
                <w:p w14:paraId="38EA933C">
                  <w:pPr>
                    <w:jc w:val="right"/>
                    <w:textAlignment w:val="center"/>
                    <w:rPr>
                      <w:rFonts w:eastAsia="宋体" w:cs="Calibri"/>
                      <w:color w:val="000000"/>
                      <w:sz w:val="20"/>
                      <w:szCs w:val="20"/>
                    </w:rPr>
                  </w:pPr>
                  <w:r>
                    <w:rPr>
                      <w:rFonts w:eastAsia="宋体" w:cs="Calibri"/>
                      <w:color w:val="000000"/>
                      <w:sz w:val="20"/>
                      <w:szCs w:val="20"/>
                      <w:lang w:eastAsia="zh-CN" w:bidi="ar"/>
                    </w:rPr>
                    <w:t>41.30%</w:t>
                  </w:r>
                </w:p>
              </w:tc>
              <w:tc>
                <w:tcPr>
                  <w:tcW w:w="944" w:type="dxa"/>
                  <w:tcBorders>
                    <w:top w:val="single" w:color="000000" w:sz="4" w:space="0"/>
                    <w:left w:val="single" w:color="000000" w:sz="4" w:space="0"/>
                    <w:bottom w:val="single" w:color="000000" w:sz="4" w:space="0"/>
                    <w:right w:val="single" w:color="000000" w:sz="4" w:space="0"/>
                  </w:tcBorders>
                  <w:noWrap/>
                  <w:vAlign w:val="center"/>
                </w:tcPr>
                <w:p w14:paraId="1A1F3CFD">
                  <w:pPr>
                    <w:jc w:val="right"/>
                    <w:textAlignment w:val="center"/>
                    <w:rPr>
                      <w:rFonts w:eastAsia="宋体" w:cs="Calibri"/>
                      <w:color w:val="000000"/>
                      <w:sz w:val="20"/>
                      <w:szCs w:val="20"/>
                    </w:rPr>
                  </w:pPr>
                  <w:r>
                    <w:rPr>
                      <w:rFonts w:eastAsia="宋体" w:cs="Calibri"/>
                      <w:color w:val="000000"/>
                      <w:sz w:val="20"/>
                      <w:szCs w:val="20"/>
                      <w:lang w:eastAsia="zh-CN" w:bidi="ar"/>
                    </w:rPr>
                    <w:t>34.80%</w:t>
                  </w:r>
                </w:p>
              </w:tc>
              <w:tc>
                <w:tcPr>
                  <w:tcW w:w="1012" w:type="dxa"/>
                  <w:tcBorders>
                    <w:top w:val="single" w:color="000000" w:sz="4" w:space="0"/>
                    <w:left w:val="single" w:color="000000" w:sz="4" w:space="0"/>
                    <w:bottom w:val="single" w:color="000000" w:sz="4" w:space="0"/>
                    <w:right w:val="single" w:color="000000" w:sz="4" w:space="0"/>
                  </w:tcBorders>
                  <w:noWrap/>
                  <w:vAlign w:val="center"/>
                </w:tcPr>
                <w:p w14:paraId="3B7387BC">
                  <w:pPr>
                    <w:rPr>
                      <w:rFonts w:eastAsia="宋体" w:cs="Calibri"/>
                      <w:color w:val="000000"/>
                      <w:sz w:val="20"/>
                      <w:szCs w:val="20"/>
                    </w:rPr>
                  </w:pPr>
                </w:p>
              </w:tc>
            </w:tr>
            <w:tr w14:paraId="1BFBC179">
              <w:tblPrEx>
                <w:tblCellMar>
                  <w:top w:w="0" w:type="dxa"/>
                  <w:left w:w="108" w:type="dxa"/>
                  <w:bottom w:w="0" w:type="dxa"/>
                  <w:right w:w="108" w:type="dxa"/>
                </w:tblCellMar>
              </w:tblPrEx>
              <w:trPr>
                <w:trHeight w:val="288" w:hRule="atLeast"/>
              </w:trPr>
              <w:tc>
                <w:tcPr>
                  <w:tcW w:w="4452" w:type="dxa"/>
                  <w:tcBorders>
                    <w:top w:val="single" w:color="000000" w:sz="4" w:space="0"/>
                    <w:left w:val="single" w:color="000000" w:sz="4" w:space="0"/>
                    <w:bottom w:val="single" w:color="000000" w:sz="4" w:space="0"/>
                    <w:right w:val="single" w:color="000000" w:sz="4" w:space="0"/>
                  </w:tcBorders>
                  <w:noWrap/>
                  <w:vAlign w:val="center"/>
                </w:tcPr>
                <w:p w14:paraId="3D82E853">
                  <w:pPr>
                    <w:textAlignment w:val="center"/>
                    <w:rPr>
                      <w:rFonts w:eastAsia="宋体" w:cs="Calibri"/>
                      <w:b/>
                      <w:bCs/>
                      <w:color w:val="000000"/>
                      <w:sz w:val="20"/>
                      <w:szCs w:val="20"/>
                    </w:rPr>
                  </w:pPr>
                  <w:r>
                    <w:rPr>
                      <w:rFonts w:eastAsia="宋体" w:cs="Calibri"/>
                      <w:b/>
                      <w:bCs/>
                      <w:color w:val="000000"/>
                      <w:sz w:val="20"/>
                      <w:szCs w:val="20"/>
                      <w:lang w:eastAsia="zh-CN" w:bidi="ar"/>
                    </w:rPr>
                    <w:t xml:space="preserve">Effective Capacity </w:t>
                  </w:r>
                </w:p>
              </w:tc>
              <w:tc>
                <w:tcPr>
                  <w:tcW w:w="1056" w:type="dxa"/>
                  <w:tcBorders>
                    <w:top w:val="single" w:color="000000" w:sz="4" w:space="0"/>
                    <w:left w:val="single" w:color="000000" w:sz="4" w:space="0"/>
                    <w:bottom w:val="single" w:color="000000" w:sz="4" w:space="0"/>
                    <w:right w:val="single" w:color="000000" w:sz="4" w:space="0"/>
                  </w:tcBorders>
                  <w:noWrap/>
                  <w:vAlign w:val="center"/>
                </w:tcPr>
                <w:p w14:paraId="621784A7">
                  <w:pPr>
                    <w:rPr>
                      <w:rFonts w:eastAsia="宋体" w:cs="Calibri"/>
                      <w:color w:val="000000"/>
                      <w:sz w:val="20"/>
                      <w:szCs w:val="20"/>
                    </w:rPr>
                  </w:pPr>
                </w:p>
              </w:tc>
              <w:tc>
                <w:tcPr>
                  <w:tcW w:w="944" w:type="dxa"/>
                  <w:tcBorders>
                    <w:top w:val="single" w:color="000000" w:sz="4" w:space="0"/>
                    <w:left w:val="single" w:color="000000" w:sz="4" w:space="0"/>
                    <w:bottom w:val="single" w:color="000000" w:sz="4" w:space="0"/>
                    <w:right w:val="single" w:color="000000" w:sz="4" w:space="0"/>
                  </w:tcBorders>
                  <w:noWrap/>
                  <w:vAlign w:val="center"/>
                </w:tcPr>
                <w:p w14:paraId="3B48E5F7">
                  <w:pPr>
                    <w:rPr>
                      <w:rFonts w:eastAsia="宋体" w:cs="Calibri"/>
                      <w:color w:val="000000"/>
                      <w:sz w:val="20"/>
                      <w:szCs w:val="20"/>
                    </w:rPr>
                  </w:pPr>
                </w:p>
              </w:tc>
              <w:tc>
                <w:tcPr>
                  <w:tcW w:w="1012" w:type="dxa"/>
                  <w:tcBorders>
                    <w:top w:val="single" w:color="000000" w:sz="4" w:space="0"/>
                    <w:left w:val="single" w:color="000000" w:sz="4" w:space="0"/>
                    <w:bottom w:val="single" w:color="000000" w:sz="4" w:space="0"/>
                    <w:right w:val="single" w:color="000000" w:sz="4" w:space="0"/>
                  </w:tcBorders>
                  <w:noWrap/>
                  <w:vAlign w:val="center"/>
                </w:tcPr>
                <w:p w14:paraId="76AB12C3">
                  <w:pPr>
                    <w:rPr>
                      <w:rFonts w:eastAsia="宋体" w:cs="Calibri"/>
                      <w:color w:val="000000"/>
                      <w:sz w:val="20"/>
                      <w:szCs w:val="20"/>
                    </w:rPr>
                  </w:pPr>
                </w:p>
              </w:tc>
            </w:tr>
            <w:tr w14:paraId="2203CBE5">
              <w:tblPrEx>
                <w:tblCellMar>
                  <w:top w:w="0" w:type="dxa"/>
                  <w:left w:w="108" w:type="dxa"/>
                  <w:bottom w:w="0" w:type="dxa"/>
                  <w:right w:w="108" w:type="dxa"/>
                </w:tblCellMar>
              </w:tblPrEx>
              <w:trPr>
                <w:trHeight w:val="288" w:hRule="atLeast"/>
              </w:trPr>
              <w:tc>
                <w:tcPr>
                  <w:tcW w:w="4452" w:type="dxa"/>
                  <w:tcBorders>
                    <w:top w:val="single" w:color="000000" w:sz="4" w:space="0"/>
                    <w:left w:val="single" w:color="000000" w:sz="4" w:space="0"/>
                    <w:bottom w:val="single" w:color="000000" w:sz="4" w:space="0"/>
                    <w:right w:val="single" w:color="000000" w:sz="4" w:space="0"/>
                  </w:tcBorders>
                  <w:noWrap/>
                  <w:vAlign w:val="center"/>
                </w:tcPr>
                <w:p w14:paraId="2439F189">
                  <w:pPr>
                    <w:textAlignment w:val="center"/>
                    <w:rPr>
                      <w:rFonts w:eastAsia="宋体" w:cs="Calibri"/>
                      <w:color w:val="000000"/>
                      <w:sz w:val="20"/>
                      <w:szCs w:val="20"/>
                    </w:rPr>
                  </w:pPr>
                  <w:r>
                    <w:rPr>
                      <w:rFonts w:eastAsia="宋体" w:cs="Calibri"/>
                      <w:color w:val="000000"/>
                      <w:sz w:val="20"/>
                      <w:szCs w:val="20"/>
                      <w:lang w:eastAsia="zh-CN" w:bidi="ar"/>
                    </w:rPr>
                    <w:t>Dispatchable power</w:t>
                  </w:r>
                </w:p>
              </w:tc>
              <w:tc>
                <w:tcPr>
                  <w:tcW w:w="1056" w:type="dxa"/>
                  <w:tcBorders>
                    <w:top w:val="single" w:color="000000" w:sz="4" w:space="0"/>
                    <w:left w:val="single" w:color="000000" w:sz="4" w:space="0"/>
                    <w:bottom w:val="single" w:color="000000" w:sz="4" w:space="0"/>
                    <w:right w:val="single" w:color="000000" w:sz="4" w:space="0"/>
                  </w:tcBorders>
                  <w:noWrap/>
                  <w:vAlign w:val="center"/>
                </w:tcPr>
                <w:p w14:paraId="5DF3DF8C">
                  <w:pPr>
                    <w:jc w:val="right"/>
                    <w:textAlignment w:val="center"/>
                    <w:rPr>
                      <w:rFonts w:eastAsia="宋体" w:cs="Calibri"/>
                      <w:color w:val="000000"/>
                      <w:sz w:val="20"/>
                      <w:szCs w:val="20"/>
                    </w:rPr>
                  </w:pPr>
                  <w:r>
                    <w:rPr>
                      <w:rFonts w:eastAsia="宋体" w:cs="Calibri"/>
                      <w:color w:val="000000"/>
                      <w:sz w:val="20"/>
                      <w:szCs w:val="20"/>
                      <w:lang w:eastAsia="zh-CN" w:bidi="ar"/>
                    </w:rPr>
                    <w:t>557</w:t>
                  </w:r>
                </w:p>
              </w:tc>
              <w:tc>
                <w:tcPr>
                  <w:tcW w:w="944" w:type="dxa"/>
                  <w:tcBorders>
                    <w:top w:val="single" w:color="000000" w:sz="4" w:space="0"/>
                    <w:left w:val="single" w:color="000000" w:sz="4" w:space="0"/>
                    <w:bottom w:val="single" w:color="000000" w:sz="4" w:space="0"/>
                    <w:right w:val="single" w:color="000000" w:sz="4" w:space="0"/>
                  </w:tcBorders>
                  <w:noWrap/>
                  <w:vAlign w:val="center"/>
                </w:tcPr>
                <w:p w14:paraId="6FD3E256">
                  <w:pPr>
                    <w:jc w:val="right"/>
                    <w:textAlignment w:val="center"/>
                    <w:rPr>
                      <w:rFonts w:eastAsia="宋体" w:cs="Calibri"/>
                      <w:color w:val="000000"/>
                      <w:sz w:val="20"/>
                      <w:szCs w:val="20"/>
                    </w:rPr>
                  </w:pPr>
                  <w:r>
                    <w:rPr>
                      <w:rFonts w:eastAsia="宋体" w:cs="Calibri"/>
                      <w:color w:val="000000"/>
                      <w:sz w:val="20"/>
                      <w:szCs w:val="20"/>
                      <w:lang w:eastAsia="zh-CN" w:bidi="ar"/>
                    </w:rPr>
                    <w:t>530</w:t>
                  </w:r>
                </w:p>
              </w:tc>
              <w:tc>
                <w:tcPr>
                  <w:tcW w:w="1012" w:type="dxa"/>
                  <w:tcBorders>
                    <w:top w:val="single" w:color="000000" w:sz="4" w:space="0"/>
                    <w:left w:val="single" w:color="000000" w:sz="4" w:space="0"/>
                    <w:bottom w:val="single" w:color="000000" w:sz="4" w:space="0"/>
                    <w:right w:val="single" w:color="000000" w:sz="4" w:space="0"/>
                  </w:tcBorders>
                  <w:noWrap/>
                  <w:vAlign w:val="center"/>
                </w:tcPr>
                <w:p w14:paraId="2E9EED56">
                  <w:pPr>
                    <w:jc w:val="right"/>
                    <w:textAlignment w:val="center"/>
                    <w:rPr>
                      <w:rFonts w:eastAsia="宋体" w:cs="Calibri"/>
                      <w:color w:val="000000"/>
                      <w:sz w:val="20"/>
                      <w:szCs w:val="20"/>
                    </w:rPr>
                  </w:pPr>
                  <w:r>
                    <w:rPr>
                      <w:rFonts w:eastAsia="宋体" w:cs="Calibri"/>
                      <w:color w:val="000000"/>
                      <w:sz w:val="20"/>
                      <w:szCs w:val="20"/>
                      <w:lang w:eastAsia="zh-CN" w:bidi="ar"/>
                    </w:rPr>
                    <w:t>-5%</w:t>
                  </w:r>
                </w:p>
              </w:tc>
            </w:tr>
            <w:tr w14:paraId="0D13072C">
              <w:tblPrEx>
                <w:tblCellMar>
                  <w:top w:w="0" w:type="dxa"/>
                  <w:left w:w="108" w:type="dxa"/>
                  <w:bottom w:w="0" w:type="dxa"/>
                  <w:right w:w="108" w:type="dxa"/>
                </w:tblCellMar>
              </w:tblPrEx>
              <w:trPr>
                <w:trHeight w:val="288" w:hRule="atLeast"/>
              </w:trPr>
              <w:tc>
                <w:tcPr>
                  <w:tcW w:w="4452" w:type="dxa"/>
                  <w:tcBorders>
                    <w:top w:val="single" w:color="000000" w:sz="4" w:space="0"/>
                    <w:left w:val="single" w:color="000000" w:sz="4" w:space="0"/>
                    <w:bottom w:val="single" w:color="000000" w:sz="4" w:space="0"/>
                    <w:right w:val="single" w:color="000000" w:sz="4" w:space="0"/>
                  </w:tcBorders>
                  <w:noWrap/>
                  <w:vAlign w:val="center"/>
                </w:tcPr>
                <w:p w14:paraId="06B1C6E5">
                  <w:pPr>
                    <w:textAlignment w:val="center"/>
                    <w:rPr>
                      <w:rFonts w:eastAsia="宋体" w:cs="Calibri"/>
                      <w:color w:val="000000"/>
                      <w:sz w:val="20"/>
                      <w:szCs w:val="20"/>
                    </w:rPr>
                  </w:pPr>
                  <w:r>
                    <w:rPr>
                      <w:rFonts w:eastAsia="宋体" w:cs="Calibri"/>
                      <w:color w:val="000000"/>
                      <w:sz w:val="20"/>
                      <w:szCs w:val="20"/>
                      <w:lang w:eastAsia="zh-CN" w:bidi="ar"/>
                    </w:rPr>
                    <w:t>Intermittent</w:t>
                  </w:r>
                </w:p>
              </w:tc>
              <w:tc>
                <w:tcPr>
                  <w:tcW w:w="1056" w:type="dxa"/>
                  <w:tcBorders>
                    <w:top w:val="single" w:color="000000" w:sz="4" w:space="0"/>
                    <w:left w:val="single" w:color="000000" w:sz="4" w:space="0"/>
                    <w:bottom w:val="single" w:color="000000" w:sz="4" w:space="0"/>
                    <w:right w:val="single" w:color="000000" w:sz="4" w:space="0"/>
                  </w:tcBorders>
                  <w:noWrap/>
                  <w:vAlign w:val="center"/>
                </w:tcPr>
                <w:p w14:paraId="6D27E33B">
                  <w:pPr>
                    <w:jc w:val="right"/>
                    <w:textAlignment w:val="center"/>
                    <w:rPr>
                      <w:rFonts w:eastAsia="宋体" w:cs="Calibri"/>
                      <w:color w:val="000000"/>
                      <w:sz w:val="20"/>
                      <w:szCs w:val="20"/>
                    </w:rPr>
                  </w:pPr>
                  <w:r>
                    <w:rPr>
                      <w:rFonts w:eastAsia="宋体" w:cs="Calibri"/>
                      <w:color w:val="000000"/>
                      <w:sz w:val="20"/>
                      <w:szCs w:val="20"/>
                      <w:lang w:eastAsia="zh-CN" w:bidi="ar"/>
                    </w:rPr>
                    <w:t>103</w:t>
                  </w:r>
                </w:p>
              </w:tc>
              <w:tc>
                <w:tcPr>
                  <w:tcW w:w="944" w:type="dxa"/>
                  <w:tcBorders>
                    <w:top w:val="single" w:color="000000" w:sz="4" w:space="0"/>
                    <w:left w:val="single" w:color="000000" w:sz="4" w:space="0"/>
                    <w:bottom w:val="single" w:color="000000" w:sz="4" w:space="0"/>
                    <w:right w:val="single" w:color="000000" w:sz="4" w:space="0"/>
                  </w:tcBorders>
                  <w:noWrap/>
                  <w:vAlign w:val="center"/>
                </w:tcPr>
                <w:p w14:paraId="2E45366F">
                  <w:pPr>
                    <w:jc w:val="right"/>
                    <w:textAlignment w:val="center"/>
                    <w:rPr>
                      <w:rFonts w:eastAsia="宋体" w:cs="Calibri"/>
                      <w:color w:val="000000"/>
                      <w:sz w:val="20"/>
                      <w:szCs w:val="20"/>
                    </w:rPr>
                  </w:pPr>
                  <w:r>
                    <w:rPr>
                      <w:rFonts w:eastAsia="宋体" w:cs="Calibri"/>
                      <w:color w:val="000000"/>
                      <w:sz w:val="20"/>
                      <w:szCs w:val="20"/>
                      <w:lang w:eastAsia="zh-CN" w:bidi="ar"/>
                    </w:rPr>
                    <w:t>144</w:t>
                  </w:r>
                </w:p>
              </w:tc>
              <w:tc>
                <w:tcPr>
                  <w:tcW w:w="1012" w:type="dxa"/>
                  <w:tcBorders>
                    <w:top w:val="single" w:color="000000" w:sz="4" w:space="0"/>
                    <w:left w:val="single" w:color="000000" w:sz="4" w:space="0"/>
                    <w:bottom w:val="single" w:color="000000" w:sz="4" w:space="0"/>
                    <w:right w:val="single" w:color="000000" w:sz="4" w:space="0"/>
                  </w:tcBorders>
                  <w:noWrap/>
                  <w:vAlign w:val="center"/>
                </w:tcPr>
                <w:p w14:paraId="30461EA9">
                  <w:pPr>
                    <w:jc w:val="right"/>
                    <w:textAlignment w:val="center"/>
                    <w:rPr>
                      <w:rFonts w:eastAsia="宋体" w:cs="Calibri"/>
                      <w:color w:val="000000"/>
                      <w:sz w:val="20"/>
                      <w:szCs w:val="20"/>
                    </w:rPr>
                  </w:pPr>
                  <w:r>
                    <w:rPr>
                      <w:rFonts w:eastAsia="宋体" w:cs="Calibri"/>
                      <w:color w:val="000000"/>
                      <w:sz w:val="20"/>
                      <w:szCs w:val="20"/>
                      <w:lang w:eastAsia="zh-CN" w:bidi="ar"/>
                    </w:rPr>
                    <w:t>39%</w:t>
                  </w:r>
                </w:p>
              </w:tc>
            </w:tr>
            <w:tr w14:paraId="409CBF9D">
              <w:tblPrEx>
                <w:tblCellMar>
                  <w:top w:w="0" w:type="dxa"/>
                  <w:left w:w="108" w:type="dxa"/>
                  <w:bottom w:w="0" w:type="dxa"/>
                  <w:right w:w="108" w:type="dxa"/>
                </w:tblCellMar>
              </w:tblPrEx>
              <w:trPr>
                <w:trHeight w:val="288" w:hRule="atLeast"/>
              </w:trPr>
              <w:tc>
                <w:tcPr>
                  <w:tcW w:w="4452" w:type="dxa"/>
                  <w:tcBorders>
                    <w:top w:val="single" w:color="000000" w:sz="4" w:space="0"/>
                    <w:left w:val="single" w:color="000000" w:sz="4" w:space="0"/>
                    <w:bottom w:val="single" w:color="000000" w:sz="4" w:space="0"/>
                    <w:right w:val="single" w:color="000000" w:sz="4" w:space="0"/>
                  </w:tcBorders>
                  <w:noWrap/>
                  <w:vAlign w:val="center"/>
                </w:tcPr>
                <w:p w14:paraId="2E06EB4B">
                  <w:pPr>
                    <w:textAlignment w:val="center"/>
                    <w:rPr>
                      <w:rFonts w:eastAsia="宋体" w:cs="Calibri"/>
                      <w:b/>
                      <w:bCs/>
                      <w:color w:val="000000"/>
                      <w:sz w:val="20"/>
                      <w:szCs w:val="20"/>
                    </w:rPr>
                  </w:pPr>
                  <w:r>
                    <w:rPr>
                      <w:rFonts w:eastAsia="宋体" w:cs="Calibri"/>
                      <w:b/>
                      <w:bCs/>
                      <w:color w:val="000000"/>
                      <w:sz w:val="20"/>
                      <w:szCs w:val="20"/>
                      <w:lang w:eastAsia="zh-CN" w:bidi="ar"/>
                    </w:rPr>
                    <w:t xml:space="preserve">Total </w:t>
                  </w:r>
                </w:p>
              </w:tc>
              <w:tc>
                <w:tcPr>
                  <w:tcW w:w="1056" w:type="dxa"/>
                  <w:tcBorders>
                    <w:top w:val="single" w:color="000000" w:sz="4" w:space="0"/>
                    <w:left w:val="single" w:color="000000" w:sz="4" w:space="0"/>
                    <w:bottom w:val="single" w:color="000000" w:sz="4" w:space="0"/>
                    <w:right w:val="single" w:color="000000" w:sz="4" w:space="0"/>
                  </w:tcBorders>
                  <w:noWrap/>
                  <w:vAlign w:val="center"/>
                </w:tcPr>
                <w:p w14:paraId="5A7D5A96">
                  <w:pPr>
                    <w:jc w:val="right"/>
                    <w:textAlignment w:val="center"/>
                    <w:rPr>
                      <w:rFonts w:eastAsia="宋体" w:cs="Calibri"/>
                      <w:b/>
                      <w:bCs/>
                      <w:color w:val="000000"/>
                      <w:sz w:val="20"/>
                      <w:szCs w:val="20"/>
                    </w:rPr>
                  </w:pPr>
                  <w:r>
                    <w:rPr>
                      <w:rFonts w:eastAsia="宋体" w:cs="Calibri"/>
                      <w:b/>
                      <w:bCs/>
                      <w:color w:val="000000"/>
                      <w:sz w:val="20"/>
                      <w:szCs w:val="20"/>
                      <w:lang w:eastAsia="zh-CN" w:bidi="ar"/>
                    </w:rPr>
                    <w:t>660</w:t>
                  </w:r>
                </w:p>
              </w:tc>
              <w:tc>
                <w:tcPr>
                  <w:tcW w:w="944" w:type="dxa"/>
                  <w:tcBorders>
                    <w:top w:val="single" w:color="000000" w:sz="4" w:space="0"/>
                    <w:left w:val="single" w:color="000000" w:sz="4" w:space="0"/>
                    <w:bottom w:val="single" w:color="000000" w:sz="4" w:space="0"/>
                    <w:right w:val="single" w:color="000000" w:sz="4" w:space="0"/>
                  </w:tcBorders>
                  <w:noWrap/>
                  <w:vAlign w:val="center"/>
                </w:tcPr>
                <w:p w14:paraId="16090B21">
                  <w:pPr>
                    <w:jc w:val="right"/>
                    <w:textAlignment w:val="center"/>
                    <w:rPr>
                      <w:rFonts w:eastAsia="宋体" w:cs="Calibri"/>
                      <w:b/>
                      <w:bCs/>
                      <w:color w:val="000000"/>
                      <w:sz w:val="20"/>
                      <w:szCs w:val="20"/>
                    </w:rPr>
                  </w:pPr>
                  <w:r>
                    <w:rPr>
                      <w:rFonts w:eastAsia="宋体" w:cs="Calibri"/>
                      <w:b/>
                      <w:bCs/>
                      <w:color w:val="000000"/>
                      <w:sz w:val="20"/>
                      <w:szCs w:val="20"/>
                      <w:lang w:eastAsia="zh-CN" w:bidi="ar"/>
                    </w:rPr>
                    <w:t>674</w:t>
                  </w:r>
                </w:p>
              </w:tc>
              <w:tc>
                <w:tcPr>
                  <w:tcW w:w="1012" w:type="dxa"/>
                  <w:tcBorders>
                    <w:top w:val="single" w:color="000000" w:sz="4" w:space="0"/>
                    <w:left w:val="single" w:color="000000" w:sz="4" w:space="0"/>
                    <w:bottom w:val="single" w:color="000000" w:sz="4" w:space="0"/>
                    <w:right w:val="single" w:color="000000" w:sz="4" w:space="0"/>
                  </w:tcBorders>
                  <w:noWrap/>
                  <w:vAlign w:val="center"/>
                </w:tcPr>
                <w:p w14:paraId="73FCB445">
                  <w:pPr>
                    <w:jc w:val="right"/>
                    <w:textAlignment w:val="center"/>
                    <w:rPr>
                      <w:rFonts w:eastAsia="宋体" w:cs="Calibri"/>
                      <w:b/>
                      <w:bCs/>
                      <w:color w:val="000000"/>
                      <w:sz w:val="20"/>
                      <w:szCs w:val="20"/>
                    </w:rPr>
                  </w:pPr>
                  <w:r>
                    <w:rPr>
                      <w:rFonts w:eastAsia="宋体" w:cs="Calibri"/>
                      <w:b/>
                      <w:bCs/>
                      <w:color w:val="000000"/>
                      <w:sz w:val="20"/>
                      <w:szCs w:val="20"/>
                      <w:lang w:eastAsia="zh-CN" w:bidi="ar"/>
                    </w:rPr>
                    <w:t>2%</w:t>
                  </w:r>
                </w:p>
              </w:tc>
            </w:tr>
          </w:tbl>
          <w:p w14:paraId="586FD050">
            <w:pPr>
              <w:pStyle w:val="77"/>
              <w:keepNext/>
              <w:rPr>
                <w:rFonts w:ascii="Calibri" w:hAnsi="Calibri" w:cs="Calibri"/>
              </w:rPr>
            </w:pPr>
          </w:p>
        </w:tc>
      </w:tr>
      <w:tr w14:paraId="03ADFF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atLeast"/>
        </w:trPr>
        <w:tc>
          <w:tcPr>
            <w:tcW w:w="7680" w:type="dxa"/>
            <w:tcBorders>
              <w:top w:val="nil"/>
            </w:tcBorders>
          </w:tcPr>
          <w:p w14:paraId="4EFA6199">
            <w:pPr>
              <w:pStyle w:val="78"/>
              <w:rPr>
                <w:rFonts w:ascii="Calibri" w:hAnsi="Calibri" w:cs="Calibri"/>
                <w:b/>
                <w:bCs/>
                <w:snapToGrid w:val="0"/>
                <w:sz w:val="16"/>
                <w:szCs w:val="16"/>
              </w:rPr>
            </w:pPr>
            <w:r>
              <w:rPr>
                <w:rFonts w:ascii="Calibri" w:hAnsi="Calibri" w:cs="Calibri"/>
                <w:b/>
                <w:bCs/>
                <w:snapToGrid w:val="0"/>
                <w:sz w:val="16"/>
                <w:szCs w:val="16"/>
              </w:rPr>
              <w:t>Intermittent power generation (e.g., solar, wind) generate electricity less often than dispatchable power</w:t>
            </w:r>
          </w:p>
          <w:p w14:paraId="767F10A2">
            <w:pPr>
              <w:pStyle w:val="78"/>
              <w:rPr>
                <w:rFonts w:ascii="Calibri" w:hAnsi="Calibri" w:cs="Calibri"/>
              </w:rPr>
            </w:pPr>
            <w:r>
              <w:rPr>
                <w:rFonts w:ascii="Calibri" w:hAnsi="Calibri" w:cs="Calibri"/>
                <w:b/>
                <w:bCs/>
                <w:snapToGrid w:val="0"/>
                <w:sz w:val="20"/>
                <w:szCs w:val="20"/>
              </w:rPr>
              <w:t>Source: EIA</w:t>
            </w:r>
            <w:r>
              <w:rPr>
                <w:rFonts w:ascii="Calibri" w:hAnsi="Calibri" w:cs="Calibri"/>
                <w:b/>
                <w:bCs/>
                <w:snapToGrid w:val="0"/>
                <w:sz w:val="20"/>
                <w:szCs w:val="20"/>
                <w:lang w:eastAsia="ja-JP"/>
              </w:rPr>
              <w:t>, HFI</w:t>
            </w:r>
          </w:p>
        </w:tc>
      </w:tr>
    </w:tbl>
    <w:p w14:paraId="453C2DEC">
      <w:pPr>
        <w:rPr>
          <w:rFonts w:eastAsia="楷体" w:cs="Calibri"/>
          <w:color w:val="23558C"/>
          <w:sz w:val="2"/>
          <w:szCs w:val="2"/>
          <w:lang w:eastAsia="zh-CN"/>
        </w:rPr>
      </w:pPr>
    </w:p>
    <w:p w14:paraId="30BAA2A2">
      <w:pPr>
        <w:rPr>
          <w:rFonts w:eastAsia="楷体" w:cs="Calibri"/>
          <w:color w:val="23558C"/>
          <w:sz w:val="2"/>
          <w:szCs w:val="2"/>
          <w:lang w:eastAsia="zh-CN"/>
        </w:rPr>
      </w:pPr>
    </w:p>
    <w:p w14:paraId="02FDE9E9">
      <w:pPr>
        <w:rPr>
          <w:rFonts w:eastAsia="楷体" w:cs="Calibri"/>
          <w:color w:val="23558C"/>
          <w:sz w:val="2"/>
          <w:szCs w:val="2"/>
          <w:lang w:eastAsia="zh-CN"/>
        </w:rPr>
      </w:pPr>
    </w:p>
    <w:tbl>
      <w:tblPr>
        <w:tblStyle w:val="21"/>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14:paraId="32C567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0206" w:type="dxa"/>
            <w:tcBorders>
              <w:bottom w:val="nil"/>
            </w:tcBorders>
          </w:tcPr>
          <w:p w14:paraId="620346F1">
            <w:pPr>
              <w:rPr>
                <w:rFonts w:eastAsia="楷体" w:cs="Calibri"/>
                <w:b/>
                <w:bCs/>
                <w:sz w:val="20"/>
                <w:szCs w:val="20"/>
                <w:lang w:eastAsia="zh-CN"/>
              </w:rPr>
            </w:pPr>
            <w:r>
              <w:rPr>
                <w:rFonts w:eastAsia="楷体" w:cs="Calibri"/>
                <w:b/>
                <w:bCs/>
                <w:sz w:val="20"/>
                <w:szCs w:val="20"/>
                <w:lang w:eastAsia="zh-CN"/>
              </w:rPr>
              <w:t>Figure: US interconnection wait times at key ISOs (years)</w:t>
            </w:r>
          </w:p>
        </w:tc>
      </w:tr>
      <w:tr w14:paraId="3EE135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5" w:hRule="atLeast"/>
        </w:trPr>
        <w:tc>
          <w:tcPr>
            <w:tcW w:w="10206" w:type="dxa"/>
            <w:tcBorders>
              <w:top w:val="nil"/>
              <w:bottom w:val="nil"/>
            </w:tcBorders>
            <w:tcMar>
              <w:top w:w="28" w:type="dxa"/>
              <w:bottom w:w="28" w:type="dxa"/>
            </w:tcMar>
            <w:vAlign w:val="center"/>
          </w:tcPr>
          <w:p w14:paraId="5A1A52A4">
            <w:pPr>
              <w:rPr>
                <w:rFonts w:eastAsia="楷体" w:cs="Calibri"/>
                <w:b/>
                <w:bCs/>
                <w:sz w:val="20"/>
                <w:szCs w:val="20"/>
                <w:lang w:eastAsia="zh-CN"/>
              </w:rPr>
            </w:pPr>
            <w:r>
              <w:rPr>
                <w:rFonts w:cs="Calibri"/>
              </w:rPr>
              <w:drawing>
                <wp:inline distT="0" distB="0" distL="114300" distR="114300">
                  <wp:extent cx="6361430" cy="1731645"/>
                  <wp:effectExtent l="5080" t="4445" r="19050" b="16510"/>
                  <wp:docPr id="3"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tc>
      </w:tr>
      <w:tr w14:paraId="5EA15F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nil"/>
            </w:tcBorders>
          </w:tcPr>
          <w:p w14:paraId="60DB7842">
            <w:pPr>
              <w:rPr>
                <w:rFonts w:eastAsia="楷体" w:cs="Calibri"/>
                <w:b/>
                <w:bCs/>
                <w:sz w:val="20"/>
                <w:szCs w:val="20"/>
                <w:lang w:eastAsia="zh-CN"/>
              </w:rPr>
            </w:pPr>
            <w:r>
              <w:rPr>
                <w:rFonts w:eastAsia="楷体" w:cs="Calibri"/>
                <w:b/>
                <w:bCs/>
                <w:sz w:val="20"/>
                <w:szCs w:val="20"/>
                <w:lang w:eastAsia="zh-CN"/>
              </w:rPr>
              <w:t>Source：Everus Power</w:t>
            </w:r>
            <w:r>
              <w:rPr>
                <w:rFonts w:hint="eastAsia" w:eastAsia="楷体" w:cs="Calibri"/>
                <w:b/>
                <w:bCs/>
                <w:sz w:val="20"/>
                <w:szCs w:val="20"/>
                <w:lang w:eastAsia="zh-CN"/>
              </w:rPr>
              <w:t xml:space="preserve"> </w:t>
            </w:r>
            <w:r>
              <w:rPr>
                <w:rFonts w:eastAsia="楷体" w:cs="Calibri"/>
                <w:b/>
                <w:bCs/>
                <w:sz w:val="20"/>
                <w:szCs w:val="20"/>
                <w:lang w:eastAsia="zh-CN"/>
              </w:rPr>
              <w:t>&amp;Renewables, HFI</w:t>
            </w:r>
          </w:p>
        </w:tc>
      </w:tr>
    </w:tbl>
    <w:p w14:paraId="6FCD546E">
      <w:pPr>
        <w:widowControl w:val="0"/>
        <w:jc w:val="both"/>
        <w:rPr>
          <w:rFonts w:eastAsia="楷体" w:cs="Calibri"/>
          <w:b/>
          <w:bCs/>
          <w:kern w:val="2"/>
          <w:sz w:val="22"/>
          <w:szCs w:val="22"/>
          <w:lang w:eastAsia="zh-CN"/>
        </w:rPr>
      </w:pPr>
    </w:p>
    <w:p w14:paraId="332CEF4E">
      <w:pPr>
        <w:widowControl w:val="0"/>
        <w:jc w:val="both"/>
        <w:rPr>
          <w:rFonts w:eastAsia="楷体" w:cs="Calibri"/>
          <w:kern w:val="2"/>
          <w:sz w:val="22"/>
          <w:szCs w:val="22"/>
          <w:lang w:eastAsia="zh-CN"/>
        </w:rPr>
      </w:pPr>
      <w:r>
        <w:rPr>
          <w:rFonts w:eastAsia="楷体" w:cs="Calibri"/>
          <w:b/>
          <w:bCs/>
          <w:kern w:val="2"/>
          <w:sz w:val="22"/>
          <w:szCs w:val="22"/>
          <w:lang w:eastAsia="zh-CN"/>
        </w:rPr>
        <w:t xml:space="preserve">Consequently, data center developers are turning to on-site power generation solution. </w:t>
      </w:r>
      <w:r>
        <w:rPr>
          <w:rFonts w:eastAsia="楷体" w:cs="Calibri"/>
          <w:kern w:val="2"/>
          <w:sz w:val="22"/>
          <w:szCs w:val="22"/>
          <w:lang w:eastAsia="zh-CN"/>
        </w:rPr>
        <w:t>With on-grid solutions unable to meet immediate needs, on-site powers are gaining traction for DCs that face limited grid access but need fast, reliable start</w:t>
      </w:r>
      <w:r>
        <w:rPr>
          <w:rFonts w:eastAsia="楷体" w:cs="Calibri"/>
          <w:kern w:val="2"/>
          <w:sz w:val="22"/>
          <w:szCs w:val="22"/>
          <w:lang w:eastAsia="zh-CN"/>
        </w:rPr>
        <w:noBreakHyphen/>
      </w:r>
      <w:r>
        <w:rPr>
          <w:rFonts w:eastAsia="楷体" w:cs="Calibri"/>
          <w:kern w:val="2"/>
          <w:sz w:val="22"/>
          <w:szCs w:val="22"/>
          <w:lang w:eastAsia="zh-CN"/>
        </w:rPr>
        <w:t xml:space="preserve">up. On-site microgrids, combining distributed energy resources and battery storage (BESS), provide a flexible, locally controlled power solution that boosts reliability, cuts transmission losses and lowers reliance on diesel generators as back-up power. </w:t>
      </w:r>
    </w:p>
    <w:p w14:paraId="5DE55A2D">
      <w:pPr>
        <w:widowControl w:val="0"/>
        <w:jc w:val="both"/>
        <w:rPr>
          <w:rFonts w:eastAsia="楷体" w:cs="Calibri"/>
          <w:kern w:val="2"/>
          <w:sz w:val="22"/>
          <w:szCs w:val="22"/>
          <w:lang w:eastAsia="zh-CN"/>
        </w:rPr>
      </w:pPr>
    </w:p>
    <w:p w14:paraId="42C15E31">
      <w:pPr>
        <w:widowControl w:val="0"/>
        <w:jc w:val="both"/>
        <w:rPr>
          <w:rFonts w:eastAsia="楷体" w:cs="Calibri"/>
          <w:kern w:val="2"/>
          <w:sz w:val="22"/>
          <w:szCs w:val="22"/>
          <w:lang w:eastAsia="zh-CN"/>
        </w:rPr>
      </w:pPr>
      <w:r>
        <w:rPr>
          <w:rFonts w:eastAsia="楷体" w:cs="Calibri"/>
          <w:b/>
          <w:bCs/>
          <w:kern w:val="2"/>
          <w:sz w:val="22"/>
          <w:szCs w:val="22"/>
          <w:lang w:eastAsia="zh-CN"/>
        </w:rPr>
        <w:t xml:space="preserve">Also, regulations are pushing on-site power generation as well directly or indirectly. </w:t>
      </w:r>
      <w:r>
        <w:rPr>
          <w:rFonts w:eastAsia="楷体" w:cs="Calibri"/>
          <w:kern w:val="2"/>
          <w:sz w:val="22"/>
          <w:szCs w:val="22"/>
          <w:lang w:eastAsia="zh-CN"/>
        </w:rPr>
        <w:t>The proposed federal rules would favor data centers that have collocated power generation. State rules are likely to increase the electricity costs through either higher rates, contract terms, or renewable requirements. Both trends make on-site generation more attractive, in our view.</w:t>
      </w:r>
    </w:p>
    <w:p w14:paraId="0F476295">
      <w:pPr>
        <w:widowControl w:val="0"/>
        <w:jc w:val="both"/>
        <w:rPr>
          <w:rFonts w:eastAsia="楷体" w:cs="Calibri"/>
          <w:kern w:val="2"/>
          <w:sz w:val="22"/>
          <w:szCs w:val="22"/>
          <w:lang w:eastAsia="zh-CN"/>
        </w:rPr>
      </w:pPr>
    </w:p>
    <w:p w14:paraId="409DAD5E">
      <w:pPr>
        <w:widowControl w:val="0"/>
        <w:jc w:val="both"/>
        <w:rPr>
          <w:rFonts w:eastAsia="楷体" w:cs="Calibri"/>
          <w:kern w:val="2"/>
          <w:sz w:val="22"/>
          <w:szCs w:val="22"/>
          <w:lang w:eastAsia="zh-CN"/>
        </w:rPr>
      </w:pPr>
      <w:r>
        <w:rPr>
          <w:rFonts w:eastAsia="楷体" w:cs="Calibri"/>
          <w:kern w:val="2"/>
          <w:sz w:val="22"/>
          <w:szCs w:val="22"/>
          <w:lang w:eastAsia="zh-CN"/>
        </w:rPr>
        <w:t>Based on a survey pulled by Bloom Energy, 27% of data centers decision makers in April 2025 said they will be fully powered by on-site energy sources by the year 2030 vs. 1% in one year earlier.</w:t>
      </w:r>
    </w:p>
    <w:p w14:paraId="7C10D4AC">
      <w:pPr>
        <w:widowControl w:val="0"/>
        <w:jc w:val="both"/>
        <w:rPr>
          <w:rFonts w:eastAsia="楷体" w:cs="Calibri"/>
          <w:kern w:val="2"/>
          <w:sz w:val="22"/>
          <w:szCs w:val="22"/>
          <w:lang w:eastAsia="zh-CN"/>
        </w:rPr>
      </w:pPr>
    </w:p>
    <w:p w14:paraId="2CBBCF69">
      <w:pPr>
        <w:widowControl w:val="0"/>
        <w:jc w:val="both"/>
        <w:rPr>
          <w:rFonts w:eastAsia="楷体" w:cs="Calibri"/>
          <w:kern w:val="2"/>
          <w:sz w:val="22"/>
          <w:szCs w:val="22"/>
          <w:lang w:eastAsia="zh-CN"/>
        </w:rPr>
      </w:pPr>
    </w:p>
    <w:p w14:paraId="3C10AB9D">
      <w:pPr>
        <w:widowControl w:val="0"/>
        <w:jc w:val="both"/>
        <w:rPr>
          <w:rFonts w:eastAsia="楷体" w:cs="Calibri"/>
          <w:kern w:val="2"/>
          <w:sz w:val="22"/>
          <w:szCs w:val="22"/>
          <w:lang w:eastAsia="zh-CN"/>
        </w:rPr>
      </w:pPr>
    </w:p>
    <w:p w14:paraId="66946FEA">
      <w:pPr>
        <w:widowControl w:val="0"/>
        <w:jc w:val="both"/>
        <w:rPr>
          <w:rFonts w:eastAsia="楷体" w:cs="Calibri"/>
          <w:kern w:val="2"/>
          <w:sz w:val="22"/>
          <w:szCs w:val="22"/>
          <w:lang w:eastAsia="zh-CN"/>
        </w:rPr>
      </w:pPr>
    </w:p>
    <w:tbl>
      <w:tblPr>
        <w:tblStyle w:val="20"/>
        <w:tblW w:w="7466" w:type="dxa"/>
        <w:tblInd w:w="0" w:type="dxa"/>
        <w:tblLayout w:type="fixed"/>
        <w:tblCellMar>
          <w:top w:w="0" w:type="dxa"/>
          <w:left w:w="108" w:type="dxa"/>
          <w:bottom w:w="0" w:type="dxa"/>
          <w:right w:w="108" w:type="dxa"/>
        </w:tblCellMar>
      </w:tblPr>
      <w:tblGrid>
        <w:gridCol w:w="7466"/>
      </w:tblGrid>
      <w:tr w14:paraId="0A5F390B">
        <w:trPr>
          <w:trHeight w:val="302" w:hRule="atLeast"/>
        </w:trPr>
        <w:tc>
          <w:tcPr>
            <w:tcW w:w="7466" w:type="dxa"/>
            <w:tcBorders>
              <w:top w:val="nil"/>
              <w:left w:val="nil"/>
              <w:bottom w:val="nil"/>
              <w:right w:val="nil"/>
            </w:tcBorders>
            <w:tcMar>
              <w:left w:w="0" w:type="dxa"/>
              <w:right w:w="28" w:type="dxa"/>
            </w:tcMar>
          </w:tcPr>
          <w:p w14:paraId="67964197">
            <w:pPr>
              <w:widowControl w:val="0"/>
              <w:jc w:val="both"/>
              <w:rPr>
                <w:rFonts w:eastAsia="楷体" w:cs="Calibri"/>
                <w:kern w:val="2"/>
                <w:sz w:val="20"/>
                <w:szCs w:val="20"/>
                <w:lang w:eastAsia="zh-CN"/>
              </w:rPr>
            </w:pPr>
            <w:r>
              <w:rPr>
                <w:rFonts w:eastAsia="楷体" w:cs="Calibri"/>
                <w:b/>
                <w:bCs/>
                <w:kern w:val="2"/>
                <w:sz w:val="20"/>
                <w:szCs w:val="20"/>
                <w:lang w:eastAsia="zh-CN"/>
              </w:rPr>
              <w:t>Table: Examples of recent regulatory actions</w:t>
            </w:r>
          </w:p>
        </w:tc>
      </w:tr>
      <w:tr w14:paraId="0ED9AC73">
        <w:tblPrEx>
          <w:tblCellMar>
            <w:top w:w="0" w:type="dxa"/>
            <w:left w:w="108" w:type="dxa"/>
            <w:bottom w:w="0" w:type="dxa"/>
            <w:right w:w="108" w:type="dxa"/>
          </w:tblCellMar>
        </w:tblPrEx>
        <w:trPr>
          <w:trHeight w:val="856" w:hRule="atLeast"/>
        </w:trPr>
        <w:tc>
          <w:tcPr>
            <w:tcW w:w="7466" w:type="dxa"/>
            <w:tcBorders>
              <w:top w:val="nil"/>
              <w:left w:val="nil"/>
              <w:bottom w:val="nil"/>
              <w:right w:val="nil"/>
            </w:tcBorders>
            <w:vAlign w:val="center"/>
          </w:tcPr>
          <w:tbl>
            <w:tblPr>
              <w:tblStyle w:val="20"/>
              <w:tblW w:w="7389" w:type="dxa"/>
              <w:tblInd w:w="0" w:type="dxa"/>
              <w:tblLayout w:type="fixed"/>
              <w:tblCellMar>
                <w:top w:w="0" w:type="dxa"/>
                <w:left w:w="108" w:type="dxa"/>
                <w:bottom w:w="0" w:type="dxa"/>
                <w:right w:w="108" w:type="dxa"/>
              </w:tblCellMar>
            </w:tblPr>
            <w:tblGrid>
              <w:gridCol w:w="1308"/>
              <w:gridCol w:w="960"/>
              <w:gridCol w:w="5121"/>
            </w:tblGrid>
            <w:tr w14:paraId="0730A2FB">
              <w:tblPrEx>
                <w:tblCellMar>
                  <w:top w:w="0" w:type="dxa"/>
                  <w:left w:w="108" w:type="dxa"/>
                  <w:bottom w:w="0" w:type="dxa"/>
                  <w:right w:w="108" w:type="dxa"/>
                </w:tblCellMar>
              </w:tblPrEx>
              <w:trPr>
                <w:trHeight w:val="319" w:hRule="atLeast"/>
              </w:trPr>
              <w:tc>
                <w:tcPr>
                  <w:tcW w:w="7389" w:type="dxa"/>
                  <w:gridSpan w:val="3"/>
                  <w:tcBorders>
                    <w:top w:val="single" w:color="000000" w:sz="4" w:space="0"/>
                    <w:left w:val="single" w:color="000000" w:sz="4" w:space="0"/>
                    <w:bottom w:val="single" w:color="000000" w:sz="4" w:space="0"/>
                    <w:right w:val="single" w:color="000000" w:sz="4" w:space="0"/>
                  </w:tcBorders>
                  <w:shd w:val="clear" w:color="auto" w:fill="23558C"/>
                  <w:noWrap/>
                  <w:vAlign w:val="center"/>
                </w:tcPr>
                <w:p w14:paraId="021BFFCA">
                  <w:pPr>
                    <w:tabs>
                      <w:tab w:val="center" w:pos="3646"/>
                      <w:tab w:val="right" w:pos="7173"/>
                    </w:tabs>
                    <w:textAlignment w:val="center"/>
                    <w:rPr>
                      <w:rFonts w:eastAsia="宋体" w:cs="Calibri"/>
                      <w:b/>
                      <w:bCs/>
                      <w:color w:val="FFFFFF"/>
                      <w:sz w:val="20"/>
                      <w:szCs w:val="20"/>
                    </w:rPr>
                  </w:pPr>
                  <w:r>
                    <w:rPr>
                      <w:rFonts w:hint="eastAsia" w:eastAsia="宋体" w:cs="Calibri"/>
                      <w:b/>
                      <w:bCs/>
                      <w:color w:val="FFFFFF"/>
                      <w:sz w:val="20"/>
                      <w:szCs w:val="20"/>
                      <w:shd w:val="clear" w:color="auto" w:fill="23558C"/>
                      <w:lang w:eastAsia="zh-CN" w:bidi="ar"/>
                    </w:rPr>
                    <w:tab/>
                  </w:r>
                  <w:r>
                    <w:rPr>
                      <w:rFonts w:eastAsia="宋体" w:cs="Calibri"/>
                      <w:b/>
                      <w:bCs/>
                      <w:color w:val="FFFFFF"/>
                      <w:sz w:val="20"/>
                      <w:szCs w:val="20"/>
                      <w:shd w:val="clear" w:color="auto" w:fill="23558C"/>
                      <w:lang w:eastAsia="zh-CN" w:bidi="ar"/>
                    </w:rPr>
                    <w:t>Examples of recent regulatory actions</w:t>
                  </w:r>
                  <w:r>
                    <w:rPr>
                      <w:rFonts w:hint="eastAsia" w:eastAsia="宋体" w:cs="Calibri"/>
                      <w:b/>
                      <w:bCs/>
                      <w:color w:val="FFFFFF"/>
                      <w:sz w:val="20"/>
                      <w:szCs w:val="20"/>
                      <w:shd w:val="clear" w:color="auto" w:fill="23558C"/>
                      <w:lang w:eastAsia="zh-CN" w:bidi="ar"/>
                    </w:rPr>
                    <w:tab/>
                  </w:r>
                </w:p>
              </w:tc>
            </w:tr>
            <w:tr w14:paraId="3D92F87B">
              <w:tblPrEx>
                <w:tblCellMar>
                  <w:top w:w="0" w:type="dxa"/>
                  <w:left w:w="108" w:type="dxa"/>
                  <w:bottom w:w="0" w:type="dxa"/>
                  <w:right w:w="108" w:type="dxa"/>
                </w:tblCellMar>
              </w:tblPrEx>
              <w:trPr>
                <w:trHeight w:val="1552" w:hRule="atLeast"/>
              </w:trPr>
              <w:tc>
                <w:tcPr>
                  <w:tcW w:w="1308" w:type="dxa"/>
                  <w:tcBorders>
                    <w:top w:val="single" w:color="000000" w:sz="4" w:space="0"/>
                    <w:left w:val="single" w:color="000000" w:sz="4" w:space="0"/>
                    <w:bottom w:val="single" w:color="000000" w:sz="4" w:space="0"/>
                    <w:right w:val="single" w:color="000000" w:sz="4" w:space="0"/>
                  </w:tcBorders>
                  <w:noWrap/>
                  <w:vAlign w:val="center"/>
                </w:tcPr>
                <w:p w14:paraId="6FE92C4F">
                  <w:pPr>
                    <w:jc w:val="both"/>
                    <w:textAlignment w:val="center"/>
                    <w:rPr>
                      <w:rFonts w:eastAsia="宋体" w:cs="Calibri"/>
                      <w:b/>
                      <w:bCs/>
                      <w:color w:val="000000"/>
                      <w:sz w:val="20"/>
                      <w:szCs w:val="20"/>
                    </w:rPr>
                  </w:pPr>
                  <w:r>
                    <w:rPr>
                      <w:rFonts w:eastAsia="宋体" w:cs="Calibri"/>
                      <w:b/>
                      <w:bCs/>
                      <w:color w:val="000000"/>
                      <w:sz w:val="20"/>
                      <w:szCs w:val="20"/>
                      <w:lang w:eastAsia="zh-CN" w:bidi="ar"/>
                    </w:rPr>
                    <w:t>Federal</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5F55BB37">
                  <w:pPr>
                    <w:textAlignment w:val="center"/>
                    <w:rPr>
                      <w:rFonts w:eastAsia="宋体" w:cs="Calibri"/>
                      <w:color w:val="000000"/>
                      <w:sz w:val="20"/>
                      <w:szCs w:val="20"/>
                    </w:rPr>
                  </w:pPr>
                  <w:r>
                    <w:rPr>
                      <w:rFonts w:eastAsia="宋体" w:cs="Calibri"/>
                      <w:color w:val="000000"/>
                      <w:sz w:val="20"/>
                      <w:szCs w:val="20"/>
                      <w:lang w:eastAsia="zh-CN" w:bidi="ar"/>
                    </w:rPr>
                    <w:t>October</w:t>
                  </w:r>
                </w:p>
              </w:tc>
              <w:tc>
                <w:tcPr>
                  <w:tcW w:w="5121" w:type="dxa"/>
                  <w:tcBorders>
                    <w:top w:val="single" w:color="000000" w:sz="4" w:space="0"/>
                    <w:left w:val="single" w:color="000000" w:sz="4" w:space="0"/>
                    <w:bottom w:val="single" w:color="000000" w:sz="4" w:space="0"/>
                    <w:right w:val="single" w:color="000000" w:sz="4" w:space="0"/>
                  </w:tcBorders>
                  <w:vAlign w:val="center"/>
                </w:tcPr>
                <w:p w14:paraId="76FC0684">
                  <w:pPr>
                    <w:textAlignment w:val="center"/>
                    <w:rPr>
                      <w:rFonts w:eastAsia="宋体" w:cs="Calibri"/>
                      <w:color w:val="000000"/>
                      <w:sz w:val="20"/>
                      <w:szCs w:val="20"/>
                    </w:rPr>
                  </w:pPr>
                  <w:r>
                    <w:rPr>
                      <w:rFonts w:eastAsia="宋体" w:cs="Calibri"/>
                      <w:color w:val="000000"/>
                      <w:sz w:val="20"/>
                      <w:szCs w:val="20"/>
                      <w:lang w:eastAsia="zh-CN" w:bidi="ar"/>
                    </w:rPr>
                    <w:t>Secretary of Energy Chris Wright initiated rulemaking to accelerate connection of large loads, historically defined as over 20 megawatts (MW) with the aim to "ensure efficient, timely, and non-discriminatory load interconnections." Data centers that add on-site power generation or agree to voluntarily reduce demand during peak times could get expedited reviews (e.g., 60 days versus current years-long processes).</w:t>
                  </w:r>
                </w:p>
              </w:tc>
            </w:tr>
            <w:tr w14:paraId="736C1245">
              <w:tblPrEx>
                <w:tblCellMar>
                  <w:top w:w="0" w:type="dxa"/>
                  <w:left w:w="108" w:type="dxa"/>
                  <w:bottom w:w="0" w:type="dxa"/>
                  <w:right w:w="108" w:type="dxa"/>
                </w:tblCellMar>
              </w:tblPrEx>
              <w:trPr>
                <w:trHeight w:val="508" w:hRule="atLeast"/>
              </w:trPr>
              <w:tc>
                <w:tcPr>
                  <w:tcW w:w="1308" w:type="dxa"/>
                  <w:vMerge w:val="restart"/>
                  <w:tcBorders>
                    <w:top w:val="single" w:color="000000" w:sz="4" w:space="0"/>
                    <w:left w:val="single" w:color="000000" w:sz="4" w:space="0"/>
                    <w:bottom w:val="single" w:color="000000" w:sz="4" w:space="0"/>
                    <w:right w:val="single" w:color="000000" w:sz="4" w:space="0"/>
                  </w:tcBorders>
                  <w:noWrap/>
                  <w:vAlign w:val="center"/>
                </w:tcPr>
                <w:p w14:paraId="4A534A58">
                  <w:pPr>
                    <w:jc w:val="both"/>
                    <w:textAlignment w:val="center"/>
                    <w:rPr>
                      <w:rFonts w:eastAsia="宋体" w:cs="Calibri"/>
                      <w:b/>
                      <w:bCs/>
                      <w:color w:val="000000"/>
                      <w:sz w:val="20"/>
                      <w:szCs w:val="20"/>
                    </w:rPr>
                  </w:pPr>
                  <w:r>
                    <w:rPr>
                      <w:rFonts w:eastAsia="宋体" w:cs="Calibri"/>
                      <w:b/>
                      <w:bCs/>
                      <w:color w:val="000000"/>
                      <w:sz w:val="20"/>
                      <w:szCs w:val="20"/>
                      <w:lang w:eastAsia="zh-CN" w:bidi="ar"/>
                    </w:rPr>
                    <w:t>State</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7857ECA1">
                  <w:pPr>
                    <w:textAlignment w:val="center"/>
                    <w:rPr>
                      <w:rFonts w:eastAsia="宋体" w:cs="Calibri"/>
                      <w:color w:val="000000"/>
                      <w:sz w:val="20"/>
                      <w:szCs w:val="20"/>
                    </w:rPr>
                  </w:pPr>
                  <w:r>
                    <w:rPr>
                      <w:rFonts w:eastAsia="宋体" w:cs="Calibri"/>
                      <w:color w:val="000000"/>
                      <w:sz w:val="20"/>
                      <w:szCs w:val="20"/>
                      <w:lang w:eastAsia="zh-CN" w:bidi="ar"/>
                    </w:rPr>
                    <w:t>April</w:t>
                  </w:r>
                </w:p>
              </w:tc>
              <w:tc>
                <w:tcPr>
                  <w:tcW w:w="5121" w:type="dxa"/>
                  <w:tcBorders>
                    <w:top w:val="single" w:color="000000" w:sz="4" w:space="0"/>
                    <w:left w:val="single" w:color="000000" w:sz="4" w:space="0"/>
                    <w:bottom w:val="single" w:color="000000" w:sz="4" w:space="0"/>
                    <w:right w:val="single" w:color="000000" w:sz="4" w:space="0"/>
                  </w:tcBorders>
                  <w:vAlign w:val="center"/>
                </w:tcPr>
                <w:p w14:paraId="601DD472">
                  <w:pPr>
                    <w:textAlignment w:val="center"/>
                    <w:rPr>
                      <w:rFonts w:eastAsia="宋体" w:cs="Calibri"/>
                      <w:color w:val="000000"/>
                      <w:sz w:val="20"/>
                      <w:szCs w:val="20"/>
                    </w:rPr>
                  </w:pPr>
                  <w:r>
                    <w:rPr>
                      <w:rFonts w:eastAsia="宋体" w:cs="Calibri"/>
                      <w:color w:val="000000"/>
                      <w:sz w:val="20"/>
                      <w:szCs w:val="20"/>
                      <w:lang w:eastAsia="zh-CN" w:bidi="ar"/>
                    </w:rPr>
                    <w:t>South Carolina’s state-owned utility began charging a higher rate to customers &gt;50 MW.</w:t>
                  </w:r>
                </w:p>
              </w:tc>
            </w:tr>
            <w:tr w14:paraId="23115888">
              <w:tblPrEx>
                <w:tblCellMar>
                  <w:top w:w="0" w:type="dxa"/>
                  <w:left w:w="108" w:type="dxa"/>
                  <w:bottom w:w="0" w:type="dxa"/>
                  <w:right w:w="108" w:type="dxa"/>
                </w:tblCellMar>
              </w:tblPrEx>
              <w:trPr>
                <w:trHeight w:val="1354" w:hRule="atLeast"/>
              </w:trPr>
              <w:tc>
                <w:tcPr>
                  <w:tcW w:w="1308" w:type="dxa"/>
                  <w:vMerge w:val="continue"/>
                  <w:tcBorders>
                    <w:top w:val="single" w:color="000000" w:sz="4" w:space="0"/>
                    <w:left w:val="single" w:color="000000" w:sz="4" w:space="0"/>
                    <w:bottom w:val="single" w:color="000000" w:sz="4" w:space="0"/>
                    <w:right w:val="single" w:color="000000" w:sz="4" w:space="0"/>
                  </w:tcBorders>
                  <w:noWrap/>
                  <w:vAlign w:val="center"/>
                </w:tcPr>
                <w:p w14:paraId="1405E0BF">
                  <w:pPr>
                    <w:jc w:val="center"/>
                    <w:rPr>
                      <w:rFonts w:eastAsia="宋体" w:cs="Calibri"/>
                      <w:b/>
                      <w:bCs/>
                      <w:color w:val="000000"/>
                      <w:sz w:val="20"/>
                      <w:szCs w:val="20"/>
                    </w:rPr>
                  </w:pP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408BC6A5">
                  <w:pPr>
                    <w:textAlignment w:val="center"/>
                    <w:rPr>
                      <w:rFonts w:eastAsia="宋体" w:cs="Calibri"/>
                      <w:color w:val="000000"/>
                      <w:sz w:val="20"/>
                      <w:szCs w:val="20"/>
                    </w:rPr>
                  </w:pPr>
                  <w:r>
                    <w:rPr>
                      <w:rFonts w:eastAsia="宋体" w:cs="Calibri"/>
                      <w:color w:val="000000"/>
                      <w:sz w:val="20"/>
                      <w:szCs w:val="20"/>
                      <w:lang w:eastAsia="zh-CN" w:bidi="ar"/>
                    </w:rPr>
                    <w:t>June</w:t>
                  </w:r>
                </w:p>
              </w:tc>
              <w:tc>
                <w:tcPr>
                  <w:tcW w:w="5121" w:type="dxa"/>
                  <w:tcBorders>
                    <w:top w:val="single" w:color="000000" w:sz="4" w:space="0"/>
                    <w:left w:val="single" w:color="000000" w:sz="4" w:space="0"/>
                    <w:bottom w:val="single" w:color="000000" w:sz="4" w:space="0"/>
                    <w:right w:val="single" w:color="000000" w:sz="4" w:space="0"/>
                  </w:tcBorders>
                  <w:vAlign w:val="center"/>
                </w:tcPr>
                <w:p w14:paraId="4D5077D1">
                  <w:pPr>
                    <w:textAlignment w:val="center"/>
                    <w:rPr>
                      <w:rFonts w:eastAsia="宋体" w:cs="Calibri"/>
                      <w:color w:val="000000"/>
                      <w:sz w:val="20"/>
                      <w:szCs w:val="20"/>
                    </w:rPr>
                  </w:pPr>
                  <w:r>
                    <w:rPr>
                      <w:rFonts w:eastAsia="宋体" w:cs="Calibri"/>
                      <w:color w:val="000000"/>
                      <w:sz w:val="20"/>
                      <w:szCs w:val="20"/>
                      <w:lang w:eastAsia="zh-CN" w:bidi="ar"/>
                    </w:rPr>
                    <w:t>Texas passed legislation (SB 6) that requires the PUCT to create rules that large load customers (&gt;75 MW) contribute to interconnection costs and agree "only after all available market services have been deployed" to use backup generating facilities during emergencies.</w:t>
                  </w:r>
                </w:p>
              </w:tc>
            </w:tr>
            <w:tr w14:paraId="71051879">
              <w:tblPrEx>
                <w:tblCellMar>
                  <w:top w:w="0" w:type="dxa"/>
                  <w:left w:w="108" w:type="dxa"/>
                  <w:bottom w:w="0" w:type="dxa"/>
                  <w:right w:w="108" w:type="dxa"/>
                </w:tblCellMar>
              </w:tblPrEx>
              <w:trPr>
                <w:trHeight w:val="508" w:hRule="atLeast"/>
              </w:trPr>
              <w:tc>
                <w:tcPr>
                  <w:tcW w:w="1308" w:type="dxa"/>
                  <w:vMerge w:val="continue"/>
                  <w:tcBorders>
                    <w:top w:val="single" w:color="000000" w:sz="4" w:space="0"/>
                    <w:left w:val="single" w:color="000000" w:sz="4" w:space="0"/>
                    <w:bottom w:val="single" w:color="000000" w:sz="4" w:space="0"/>
                    <w:right w:val="single" w:color="000000" w:sz="4" w:space="0"/>
                  </w:tcBorders>
                  <w:noWrap/>
                  <w:vAlign w:val="center"/>
                </w:tcPr>
                <w:p w14:paraId="6B7E1772">
                  <w:pPr>
                    <w:jc w:val="center"/>
                    <w:rPr>
                      <w:rFonts w:eastAsia="宋体" w:cs="Calibri"/>
                      <w:b/>
                      <w:bCs/>
                      <w:color w:val="000000"/>
                      <w:sz w:val="20"/>
                      <w:szCs w:val="20"/>
                    </w:rPr>
                  </w:pP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5F565989">
                  <w:pPr>
                    <w:textAlignment w:val="center"/>
                    <w:rPr>
                      <w:rFonts w:eastAsia="宋体" w:cs="Calibri"/>
                      <w:color w:val="000000"/>
                      <w:sz w:val="20"/>
                      <w:szCs w:val="20"/>
                    </w:rPr>
                  </w:pPr>
                  <w:r>
                    <w:rPr>
                      <w:rFonts w:eastAsia="宋体" w:cs="Calibri"/>
                      <w:color w:val="000000"/>
                      <w:sz w:val="20"/>
                      <w:szCs w:val="20"/>
                      <w:lang w:eastAsia="zh-CN" w:bidi="ar"/>
                    </w:rPr>
                    <w:t>July</w:t>
                  </w:r>
                </w:p>
              </w:tc>
              <w:tc>
                <w:tcPr>
                  <w:tcW w:w="5121" w:type="dxa"/>
                  <w:tcBorders>
                    <w:top w:val="single" w:color="000000" w:sz="4" w:space="0"/>
                    <w:left w:val="single" w:color="000000" w:sz="4" w:space="0"/>
                    <w:bottom w:val="single" w:color="000000" w:sz="4" w:space="0"/>
                    <w:right w:val="single" w:color="000000" w:sz="4" w:space="0"/>
                  </w:tcBorders>
                  <w:vAlign w:val="center"/>
                </w:tcPr>
                <w:p w14:paraId="0EB5D6FB">
                  <w:pPr>
                    <w:textAlignment w:val="center"/>
                    <w:rPr>
                      <w:rFonts w:eastAsia="宋体" w:cs="Calibri"/>
                      <w:color w:val="000000"/>
                      <w:sz w:val="20"/>
                      <w:szCs w:val="20"/>
                    </w:rPr>
                  </w:pPr>
                  <w:r>
                    <w:rPr>
                      <w:rFonts w:eastAsia="宋体" w:cs="Calibri"/>
                      <w:color w:val="000000"/>
                      <w:sz w:val="20"/>
                      <w:szCs w:val="20"/>
                      <w:lang w:eastAsia="zh-CN" w:bidi="ar"/>
                    </w:rPr>
                    <w:t>the Public Utilities Commission of Ohio ordered AEP Ohio to file new tariffs applying to data centers.</w:t>
                  </w:r>
                </w:p>
              </w:tc>
            </w:tr>
            <w:tr w14:paraId="4292C4D8">
              <w:tblPrEx>
                <w:tblCellMar>
                  <w:top w:w="0" w:type="dxa"/>
                  <w:left w:w="108" w:type="dxa"/>
                  <w:bottom w:w="0" w:type="dxa"/>
                  <w:right w:w="108" w:type="dxa"/>
                </w:tblCellMar>
              </w:tblPrEx>
              <w:trPr>
                <w:trHeight w:val="767" w:hRule="atLeast"/>
              </w:trPr>
              <w:tc>
                <w:tcPr>
                  <w:tcW w:w="1308" w:type="dxa"/>
                  <w:vMerge w:val="continue"/>
                  <w:tcBorders>
                    <w:top w:val="single" w:color="000000" w:sz="4" w:space="0"/>
                    <w:left w:val="single" w:color="000000" w:sz="4" w:space="0"/>
                    <w:bottom w:val="single" w:color="000000" w:sz="4" w:space="0"/>
                    <w:right w:val="single" w:color="000000" w:sz="4" w:space="0"/>
                  </w:tcBorders>
                  <w:noWrap/>
                  <w:vAlign w:val="center"/>
                </w:tcPr>
                <w:p w14:paraId="6B88CA1F">
                  <w:pPr>
                    <w:jc w:val="center"/>
                    <w:rPr>
                      <w:rFonts w:eastAsia="宋体" w:cs="Calibri"/>
                      <w:b/>
                      <w:bCs/>
                      <w:color w:val="000000"/>
                      <w:sz w:val="20"/>
                      <w:szCs w:val="20"/>
                    </w:rPr>
                  </w:pP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79BF0450">
                  <w:pPr>
                    <w:textAlignment w:val="center"/>
                    <w:rPr>
                      <w:rFonts w:eastAsia="宋体" w:cs="Calibri"/>
                      <w:color w:val="000000"/>
                      <w:sz w:val="20"/>
                      <w:szCs w:val="20"/>
                    </w:rPr>
                  </w:pPr>
                  <w:r>
                    <w:rPr>
                      <w:rFonts w:eastAsia="宋体" w:cs="Calibri"/>
                      <w:color w:val="000000"/>
                      <w:sz w:val="20"/>
                      <w:szCs w:val="20"/>
                      <w:lang w:eastAsia="zh-CN" w:bidi="ar"/>
                    </w:rPr>
                    <w:t>August</w:t>
                  </w:r>
                </w:p>
              </w:tc>
              <w:tc>
                <w:tcPr>
                  <w:tcW w:w="5121" w:type="dxa"/>
                  <w:tcBorders>
                    <w:top w:val="single" w:color="000000" w:sz="4" w:space="0"/>
                    <w:left w:val="single" w:color="000000" w:sz="4" w:space="0"/>
                    <w:bottom w:val="single" w:color="000000" w:sz="4" w:space="0"/>
                    <w:right w:val="single" w:color="000000" w:sz="4" w:space="0"/>
                  </w:tcBorders>
                  <w:vAlign w:val="center"/>
                </w:tcPr>
                <w:p w14:paraId="30157769">
                  <w:pPr>
                    <w:textAlignment w:val="center"/>
                    <w:rPr>
                      <w:rFonts w:eastAsia="宋体" w:cs="Calibri"/>
                      <w:color w:val="000000"/>
                      <w:sz w:val="20"/>
                      <w:szCs w:val="20"/>
                    </w:rPr>
                  </w:pPr>
                  <w:r>
                    <w:rPr>
                      <w:rFonts w:eastAsia="宋体" w:cs="Calibri"/>
                      <w:color w:val="000000"/>
                      <w:sz w:val="20"/>
                      <w:szCs w:val="20"/>
                      <w:lang w:eastAsia="zh-CN" w:bidi="ar"/>
                    </w:rPr>
                    <w:t xml:space="preserve">the Arkansas Public Service Commission approved Arkansas Electric </w:t>
                  </w:r>
                  <w:r>
                    <w:rPr>
                      <w:rFonts w:hint="eastAsia" w:eastAsia="宋体" w:cs="Calibri"/>
                      <w:color w:val="000000"/>
                      <w:sz w:val="20"/>
                      <w:szCs w:val="20"/>
                      <w:lang w:eastAsia="zh-CN" w:bidi="ar"/>
                    </w:rPr>
                    <w:t>C</w:t>
                  </w:r>
                  <w:r>
                    <w:rPr>
                      <w:rFonts w:eastAsia="宋体" w:cs="Calibri"/>
                      <w:color w:val="000000"/>
                      <w:sz w:val="20"/>
                      <w:szCs w:val="20"/>
                      <w:lang w:eastAsia="zh-CN" w:bidi="ar"/>
                    </w:rPr>
                    <w:t>ooperative Corporation new Transmission Extension of Facilities Tariff, which puts higher costs to customers exceeding 50 MW.</w:t>
                  </w:r>
                </w:p>
              </w:tc>
            </w:tr>
          </w:tbl>
          <w:p w14:paraId="13967A2C">
            <w:pPr>
              <w:widowControl w:val="0"/>
              <w:jc w:val="both"/>
              <w:rPr>
                <w:rFonts w:eastAsia="楷体" w:cs="Calibri"/>
                <w:kern w:val="2"/>
                <w:sz w:val="20"/>
                <w:szCs w:val="20"/>
                <w:lang w:eastAsia="zh-CN"/>
              </w:rPr>
            </w:pPr>
          </w:p>
        </w:tc>
      </w:tr>
      <w:tr w14:paraId="17FE06A8">
        <w:tblPrEx>
          <w:tblCellMar>
            <w:top w:w="0" w:type="dxa"/>
            <w:left w:w="108" w:type="dxa"/>
            <w:bottom w:w="0" w:type="dxa"/>
            <w:right w:w="108" w:type="dxa"/>
          </w:tblCellMar>
        </w:tblPrEx>
        <w:trPr>
          <w:trHeight w:val="64" w:hRule="atLeast"/>
        </w:trPr>
        <w:tc>
          <w:tcPr>
            <w:tcW w:w="7466" w:type="dxa"/>
            <w:tcBorders>
              <w:top w:val="nil"/>
              <w:left w:val="nil"/>
              <w:bottom w:val="nil"/>
              <w:right w:val="nil"/>
            </w:tcBorders>
            <w:tcMar>
              <w:left w:w="0" w:type="dxa"/>
              <w:right w:w="28" w:type="dxa"/>
            </w:tcMar>
            <w:vAlign w:val="center"/>
          </w:tcPr>
          <w:p w14:paraId="4FB96FAC">
            <w:pPr>
              <w:widowControl w:val="0"/>
              <w:jc w:val="both"/>
              <w:rPr>
                <w:rFonts w:eastAsia="楷体" w:cs="Calibri"/>
                <w:kern w:val="2"/>
                <w:sz w:val="20"/>
                <w:szCs w:val="20"/>
                <w:lang w:eastAsia="zh-CN"/>
              </w:rPr>
            </w:pPr>
            <w:r>
              <w:rPr>
                <w:rFonts w:eastAsia="楷体" w:cs="Calibri"/>
                <w:b/>
                <w:bCs/>
                <w:kern w:val="2"/>
                <w:sz w:val="20"/>
                <w:szCs w:val="20"/>
                <w:lang w:eastAsia="zh-CN"/>
              </w:rPr>
              <w:t>Source: Bloomberg, HFI</w:t>
            </w:r>
          </w:p>
        </w:tc>
      </w:tr>
    </w:tbl>
    <w:p w14:paraId="07522776">
      <w:pPr>
        <w:rPr>
          <w:rFonts w:eastAsia="楷体" w:cs="Calibri"/>
          <w:kern w:val="2"/>
          <w:sz w:val="22"/>
          <w:szCs w:val="22"/>
        </w:rPr>
      </w:pPr>
    </w:p>
    <w:tbl>
      <w:tblPr>
        <w:tblStyle w:val="20"/>
        <w:tblW w:w="7466" w:type="dxa"/>
        <w:tblInd w:w="0" w:type="dxa"/>
        <w:tblLayout w:type="fixed"/>
        <w:tblCellMar>
          <w:top w:w="0" w:type="dxa"/>
          <w:left w:w="108" w:type="dxa"/>
          <w:bottom w:w="0" w:type="dxa"/>
          <w:right w:w="108" w:type="dxa"/>
        </w:tblCellMar>
      </w:tblPr>
      <w:tblGrid>
        <w:gridCol w:w="7466"/>
      </w:tblGrid>
      <w:tr w14:paraId="788DA888">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75C097D4">
            <w:pPr>
              <w:spacing w:before="48" w:beforeLines="20" w:after="48" w:afterLines="20"/>
              <w:jc w:val="both"/>
              <w:textAlignment w:val="center"/>
              <w:rPr>
                <w:rFonts w:cs="Calibri"/>
                <w:sz w:val="20"/>
                <w:szCs w:val="20"/>
                <w:lang w:eastAsia="zh-CN"/>
              </w:rPr>
            </w:pPr>
            <w:r>
              <w:rPr>
                <w:rFonts w:eastAsia="楷体_GB2312" w:cs="Calibri"/>
                <w:b/>
                <w:sz w:val="20"/>
                <w:szCs w:val="20"/>
              </w:rPr>
              <w:t xml:space="preserve">Figure: </w:t>
            </w:r>
            <w:r>
              <w:rPr>
                <w:rFonts w:eastAsia="楷体_GB2312" w:cs="Calibri"/>
                <w:b/>
                <w:sz w:val="20"/>
                <w:szCs w:val="20"/>
                <w:lang w:eastAsia="zh-CN"/>
              </w:rPr>
              <w:t>27% of DC cites says they will have 100% onsite power generation in 2030</w:t>
            </w:r>
          </w:p>
        </w:tc>
      </w:tr>
      <w:tr w14:paraId="7EA65A85">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6D8767CF">
            <w:pPr>
              <w:spacing w:before="48" w:beforeLines="20" w:after="48" w:afterLines="20"/>
              <w:jc w:val="both"/>
              <w:textAlignment w:val="center"/>
              <w:rPr>
                <w:rFonts w:eastAsia="宋体" w:cs="Calibri"/>
                <w:b/>
                <w:bCs/>
                <w:sz w:val="20"/>
                <w:szCs w:val="20"/>
                <w:lang w:eastAsia="zh-CN"/>
              </w:rPr>
            </w:pPr>
            <w:r>
              <w:rPr>
                <w:rFonts w:eastAsia="宋体" w:cs="Calibri"/>
                <w:b/>
                <w:bCs/>
                <w:sz w:val="20"/>
                <w:szCs w:val="20"/>
                <w:lang w:eastAsia="zh-CN"/>
              </w:rPr>
              <w:drawing>
                <wp:inline distT="0" distB="0" distL="114300" distR="114300">
                  <wp:extent cx="4602480" cy="1870075"/>
                  <wp:effectExtent l="0" t="0" r="0" b="4445"/>
                  <wp:docPr id="1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3"/>
                          <pic:cNvPicPr>
                            <a:picLocks noChangeAspect="1"/>
                          </pic:cNvPicPr>
                        </pic:nvPicPr>
                        <pic:blipFill>
                          <a:blip r:embed="rId42"/>
                          <a:stretch>
                            <a:fillRect/>
                          </a:stretch>
                        </pic:blipFill>
                        <pic:spPr>
                          <a:xfrm>
                            <a:off x="0" y="0"/>
                            <a:ext cx="4602480" cy="1870075"/>
                          </a:xfrm>
                          <a:prstGeom prst="rect">
                            <a:avLst/>
                          </a:prstGeom>
                          <a:noFill/>
                          <a:ln>
                            <a:noFill/>
                          </a:ln>
                        </pic:spPr>
                      </pic:pic>
                    </a:graphicData>
                  </a:graphic>
                </wp:inline>
              </w:drawing>
            </w:r>
          </w:p>
        </w:tc>
      </w:tr>
      <w:tr w14:paraId="3F09F09E">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4EEB96ED">
            <w:pPr>
              <w:spacing w:line="240" w:lineRule="atLeast"/>
              <w:jc w:val="both"/>
              <w:textAlignment w:val="center"/>
              <w:rPr>
                <w:rFonts w:cs="Calibri"/>
                <w:sz w:val="20"/>
                <w:szCs w:val="20"/>
              </w:rPr>
            </w:pPr>
            <w:r>
              <w:rPr>
                <w:rFonts w:eastAsia="楷体_GB2312" w:cs="Calibri"/>
                <w:b/>
                <w:bCs/>
                <w:sz w:val="20"/>
                <w:szCs w:val="20"/>
              </w:rPr>
              <w:t>Source:</w:t>
            </w:r>
            <w:r>
              <w:rPr>
                <w:rFonts w:eastAsia="楷体_GB2312" w:cs="Calibri"/>
                <w:b/>
                <w:bCs/>
                <w:sz w:val="20"/>
                <w:szCs w:val="20"/>
                <w:lang w:eastAsia="zh-CN"/>
              </w:rPr>
              <w:t xml:space="preserve"> Company</w:t>
            </w:r>
            <w:r>
              <w:rPr>
                <w:rFonts w:eastAsia="楷体_GB2312" w:cs="Calibri"/>
                <w:b/>
                <w:bCs/>
                <w:sz w:val="20"/>
                <w:szCs w:val="20"/>
              </w:rPr>
              <w:t>, HFI</w:t>
            </w:r>
          </w:p>
        </w:tc>
      </w:tr>
    </w:tbl>
    <w:p w14:paraId="7B60B429">
      <w:pPr>
        <w:rPr>
          <w:rFonts w:eastAsia="楷体" w:cs="Calibri"/>
          <w:kern w:val="2"/>
          <w:sz w:val="22"/>
          <w:szCs w:val="22"/>
        </w:rPr>
      </w:pPr>
    </w:p>
    <w:p w14:paraId="47EC9622">
      <w:pPr>
        <w:pStyle w:val="79"/>
        <w:jc w:val="both"/>
        <w:rPr>
          <w:rFonts w:ascii="Calibri" w:hAnsi="Calibri" w:eastAsia="楷体" w:cs="Calibri"/>
          <w:color w:val="23558C"/>
          <w:kern w:val="2"/>
          <w:sz w:val="22"/>
          <w:szCs w:val="22"/>
        </w:rPr>
      </w:pPr>
      <w:bookmarkStart w:id="11" w:name="_Toc1967"/>
      <w:r>
        <w:rPr>
          <w:rFonts w:ascii="Calibri" w:hAnsi="Calibri" w:eastAsia="楷体_GB2312" w:cs="Calibri"/>
          <w:color w:val="23558C"/>
          <w:sz w:val="24"/>
        </w:rPr>
        <w:t>2.2 SOFC: an ideal o</w:t>
      </w:r>
      <w:r>
        <w:rPr>
          <w:rFonts w:ascii="Calibri" w:hAnsi="Calibri" w:eastAsia="楷体" w:cs="Calibri"/>
          <w:color w:val="23558C"/>
          <w:sz w:val="24"/>
        </w:rPr>
        <w:t>nsite power generation solution</w:t>
      </w:r>
      <w:bookmarkEnd w:id="11"/>
    </w:p>
    <w:p w14:paraId="5A487F53">
      <w:pPr>
        <w:rPr>
          <w:rFonts w:eastAsia="楷体" w:cs="Calibri"/>
          <w:kern w:val="2"/>
          <w:sz w:val="22"/>
          <w:szCs w:val="22"/>
          <w:lang w:eastAsia="zh-CN"/>
        </w:rPr>
      </w:pPr>
      <w:r>
        <w:rPr>
          <w:rFonts w:eastAsia="楷体" w:cs="Calibri"/>
          <w:b/>
          <w:bCs/>
          <w:kern w:val="2"/>
          <w:sz w:val="22"/>
          <w:szCs w:val="22"/>
          <w:lang w:eastAsia="zh-CN"/>
        </w:rPr>
        <w:t>SOFC</w:t>
      </w:r>
      <w:r>
        <w:rPr>
          <w:rFonts w:hint="eastAsia" w:eastAsia="楷体" w:cs="Calibri"/>
          <w:b/>
          <w:bCs/>
          <w:kern w:val="2"/>
          <w:sz w:val="22"/>
          <w:szCs w:val="22"/>
          <w:lang w:eastAsia="zh-CN"/>
        </w:rPr>
        <w:t>s</w:t>
      </w:r>
      <w:r>
        <w:rPr>
          <w:rFonts w:eastAsia="楷体" w:cs="Calibri"/>
          <w:b/>
          <w:bCs/>
          <w:kern w:val="2"/>
          <w:sz w:val="22"/>
          <w:szCs w:val="22"/>
          <w:lang w:eastAsia="zh-CN"/>
        </w:rPr>
        <w:t xml:space="preserve"> generate electricity through electrochemical reactions—without combustion. </w:t>
      </w:r>
      <w:r>
        <w:rPr>
          <w:rFonts w:eastAsia="楷体" w:cs="Calibri"/>
          <w:kern w:val="2"/>
          <w:sz w:val="22"/>
          <w:szCs w:val="22"/>
          <w:lang w:eastAsia="zh-CN"/>
        </w:rPr>
        <w:t>They use a solid ceramic electrolyte that conducts oxygen ions at high temperatures (600–1,000°C). Air flows to the cathode, where oxygen molecules gain electrons and become oxygen ions. These ions travel through the electrolyte to the anode, where they react with fuels like hydrogen or natural gas, producing water, carbon dioxide (if using hydrocarbons), and releasing electrons. The electrons flow through an external circuit, creating usable electric current before returning to the cathode.</w:t>
      </w:r>
    </w:p>
    <w:p w14:paraId="2A497F5A">
      <w:pPr>
        <w:rPr>
          <w:rFonts w:eastAsia="楷体" w:cs="Calibri"/>
          <w:kern w:val="2"/>
          <w:sz w:val="22"/>
          <w:szCs w:val="22"/>
          <w:lang w:eastAsia="zh-CN"/>
        </w:rPr>
      </w:pPr>
    </w:p>
    <w:p w14:paraId="60A75E42">
      <w:pPr>
        <w:rPr>
          <w:rFonts w:eastAsia="楷体" w:cs="Calibri"/>
          <w:kern w:val="2"/>
          <w:sz w:val="22"/>
          <w:szCs w:val="22"/>
          <w:lang w:eastAsia="zh-CN"/>
        </w:rPr>
      </w:pPr>
    </w:p>
    <w:p w14:paraId="0FD7FD85">
      <w:pPr>
        <w:rPr>
          <w:rFonts w:eastAsia="楷体" w:cs="Calibri"/>
          <w:kern w:val="2"/>
          <w:sz w:val="22"/>
          <w:szCs w:val="22"/>
          <w:lang w:eastAsia="zh-CN"/>
        </w:rPr>
      </w:pPr>
    </w:p>
    <w:p w14:paraId="6C258E3D">
      <w:pPr>
        <w:rPr>
          <w:rFonts w:eastAsia="楷体" w:cs="Calibri"/>
          <w:kern w:val="2"/>
          <w:sz w:val="22"/>
          <w:szCs w:val="22"/>
          <w:lang w:eastAsia="zh-CN"/>
        </w:rPr>
      </w:pPr>
    </w:p>
    <w:tbl>
      <w:tblPr>
        <w:tblStyle w:val="21"/>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14:paraId="4BE26C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0206" w:type="dxa"/>
            <w:tcBorders>
              <w:bottom w:val="nil"/>
            </w:tcBorders>
          </w:tcPr>
          <w:p w14:paraId="77CE9977">
            <w:pPr>
              <w:rPr>
                <w:rFonts w:eastAsia="楷体" w:cs="Calibri"/>
                <w:b/>
                <w:bCs/>
                <w:kern w:val="2"/>
                <w:sz w:val="22"/>
                <w:szCs w:val="22"/>
                <w:lang w:eastAsia="zh-CN"/>
              </w:rPr>
            </w:pPr>
            <w:r>
              <w:rPr>
                <w:rFonts w:eastAsia="楷体" w:cs="Calibri"/>
                <w:b/>
                <w:bCs/>
                <w:kern w:val="2"/>
                <w:sz w:val="22"/>
                <w:szCs w:val="22"/>
                <w:lang w:eastAsia="zh-CN"/>
              </w:rPr>
              <w:t>Figure: How Fuel Cell Technology Provides Electric Power</w:t>
            </w:r>
          </w:p>
        </w:tc>
      </w:tr>
      <w:tr w14:paraId="7D9BDE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5" w:hRule="atLeast"/>
        </w:trPr>
        <w:tc>
          <w:tcPr>
            <w:tcW w:w="10206" w:type="dxa"/>
            <w:tcBorders>
              <w:top w:val="nil"/>
              <w:bottom w:val="nil"/>
            </w:tcBorders>
            <w:tcMar>
              <w:top w:w="28" w:type="dxa"/>
              <w:bottom w:w="28" w:type="dxa"/>
            </w:tcMar>
            <w:vAlign w:val="center"/>
          </w:tcPr>
          <w:p w14:paraId="485EF2F8">
            <w:pPr>
              <w:rPr>
                <w:rFonts w:eastAsia="楷体" w:cs="Calibri"/>
                <w:b/>
                <w:bCs/>
                <w:kern w:val="2"/>
                <w:sz w:val="22"/>
                <w:szCs w:val="22"/>
                <w:lang w:eastAsia="zh-CN"/>
              </w:rPr>
            </w:pPr>
            <w:r>
              <w:rPr>
                <w:rFonts w:eastAsia="楷体" w:cs="Calibri"/>
                <w:b/>
                <w:bCs/>
                <w:kern w:val="2"/>
                <w:sz w:val="22"/>
                <w:szCs w:val="22"/>
                <w:lang w:eastAsia="zh-CN"/>
              </w:rPr>
              <w:drawing>
                <wp:inline distT="0" distB="0" distL="114300" distR="114300">
                  <wp:extent cx="6332855" cy="1646555"/>
                  <wp:effectExtent l="0" t="0" r="6985" b="14605"/>
                  <wp:docPr id="2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8"/>
                          <pic:cNvPicPr>
                            <a:picLocks noChangeAspect="1"/>
                          </pic:cNvPicPr>
                        </pic:nvPicPr>
                        <pic:blipFill>
                          <a:blip r:embed="rId43"/>
                          <a:stretch>
                            <a:fillRect/>
                          </a:stretch>
                        </pic:blipFill>
                        <pic:spPr>
                          <a:xfrm>
                            <a:off x="0" y="0"/>
                            <a:ext cx="6332855" cy="1646555"/>
                          </a:xfrm>
                          <a:prstGeom prst="rect">
                            <a:avLst/>
                          </a:prstGeom>
                          <a:noFill/>
                          <a:ln>
                            <a:noFill/>
                          </a:ln>
                        </pic:spPr>
                      </pic:pic>
                    </a:graphicData>
                  </a:graphic>
                </wp:inline>
              </w:drawing>
            </w:r>
          </w:p>
        </w:tc>
      </w:tr>
      <w:tr w14:paraId="3CC05D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nil"/>
            </w:tcBorders>
          </w:tcPr>
          <w:p w14:paraId="5FAAF686">
            <w:pPr>
              <w:rPr>
                <w:rFonts w:eastAsia="楷体" w:cs="Calibri"/>
                <w:b/>
                <w:bCs/>
                <w:kern w:val="2"/>
                <w:sz w:val="22"/>
                <w:szCs w:val="22"/>
                <w:lang w:eastAsia="zh-CN"/>
              </w:rPr>
            </w:pPr>
            <w:r>
              <w:rPr>
                <w:rFonts w:eastAsia="楷体" w:cs="Calibri"/>
                <w:b/>
                <w:bCs/>
                <w:kern w:val="2"/>
                <w:sz w:val="22"/>
                <w:szCs w:val="22"/>
                <w:lang w:eastAsia="zh-CN"/>
              </w:rPr>
              <w:t>Source：Company, HFI</w:t>
            </w:r>
          </w:p>
        </w:tc>
      </w:tr>
    </w:tbl>
    <w:p w14:paraId="3ACDFEC3">
      <w:pPr>
        <w:rPr>
          <w:rFonts w:eastAsia="楷体" w:cs="Calibri"/>
          <w:b/>
          <w:bCs/>
          <w:kern w:val="2"/>
          <w:sz w:val="22"/>
          <w:szCs w:val="22"/>
          <w:lang w:eastAsia="zh-CN"/>
        </w:rPr>
      </w:pPr>
    </w:p>
    <w:p w14:paraId="0BB34D98">
      <w:pPr>
        <w:rPr>
          <w:rFonts w:eastAsia="楷体" w:cs="Calibri"/>
          <w:kern w:val="2"/>
          <w:sz w:val="22"/>
          <w:szCs w:val="22"/>
          <w:lang w:eastAsia="zh-CN"/>
        </w:rPr>
      </w:pPr>
      <w:r>
        <w:rPr>
          <w:rFonts w:eastAsia="楷体" w:cs="Calibri"/>
          <w:b/>
          <w:bCs/>
          <w:kern w:val="2"/>
          <w:sz w:val="22"/>
          <w:szCs w:val="22"/>
          <w:lang w:eastAsia="zh-CN"/>
        </w:rPr>
        <w:t>Popular onsite power generation technology routes includes nuclear, gas turbines, solar, SOFC and SMR.</w:t>
      </w:r>
      <w:r>
        <w:rPr>
          <w:rFonts w:eastAsia="楷体" w:cs="Calibri"/>
          <w:kern w:val="2"/>
          <w:sz w:val="22"/>
          <w:szCs w:val="22"/>
          <w:lang w:eastAsia="zh-CN"/>
        </w:rPr>
        <w:t xml:space="preserve"> We summerized the key elements below, while cost is important (measured by LCOE), developers also prioritize speed to market (Time to power) and physical constraints (Land and Siting): </w:t>
      </w:r>
    </w:p>
    <w:tbl>
      <w:tblPr>
        <w:tblStyle w:val="21"/>
        <w:tblpPr w:leftFromText="180" w:rightFromText="180" w:vertAnchor="text" w:horzAnchor="page" w:tblpX="871" w:tblpY="223"/>
        <w:tblOverlap w:val="never"/>
        <w:tblW w:w="103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340"/>
      </w:tblGrid>
      <w:tr w14:paraId="3D3A6B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77" w:hRule="atLeast"/>
        </w:trPr>
        <w:tc>
          <w:tcPr>
            <w:tcW w:w="10340" w:type="dxa"/>
            <w:tcBorders>
              <w:bottom w:val="nil"/>
            </w:tcBorders>
          </w:tcPr>
          <w:p w14:paraId="78B47005">
            <w:pPr>
              <w:rPr>
                <w:rFonts w:eastAsia="楷体" w:cs="Calibri"/>
                <w:b/>
                <w:bCs/>
                <w:kern w:val="2"/>
                <w:sz w:val="22"/>
                <w:szCs w:val="22"/>
                <w:lang w:eastAsia="zh-CN"/>
              </w:rPr>
            </w:pPr>
            <w:r>
              <w:rPr>
                <w:rFonts w:eastAsia="楷体" w:cs="Calibri"/>
                <w:b/>
                <w:bCs/>
                <w:kern w:val="2"/>
                <w:sz w:val="22"/>
                <w:szCs w:val="22"/>
                <w:lang w:eastAsia="zh-CN"/>
              </w:rPr>
              <w:t>Table</w:t>
            </w:r>
            <w:r>
              <w:rPr>
                <w:rFonts w:eastAsia="楷体" w:cs="Calibri"/>
                <w:b/>
                <w:bCs/>
                <w:kern w:val="2"/>
                <w:sz w:val="22"/>
                <w:szCs w:val="22"/>
              </w:rPr>
              <w:t xml:space="preserve">: </w:t>
            </w:r>
            <w:r>
              <w:rPr>
                <w:rFonts w:eastAsia="楷体" w:cs="Calibri"/>
                <w:b/>
                <w:bCs/>
                <w:kern w:val="2"/>
                <w:sz w:val="22"/>
                <w:szCs w:val="22"/>
                <w:lang w:eastAsia="zh-CN"/>
              </w:rPr>
              <w:t>Different technology routes of onsite power generation</w:t>
            </w:r>
          </w:p>
        </w:tc>
      </w:tr>
      <w:tr w14:paraId="27B5FF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9" w:hRule="atLeast"/>
        </w:trPr>
        <w:tc>
          <w:tcPr>
            <w:tcW w:w="10340" w:type="dxa"/>
            <w:tcBorders>
              <w:top w:val="nil"/>
              <w:bottom w:val="nil"/>
            </w:tcBorders>
            <w:tcMar>
              <w:top w:w="28" w:type="dxa"/>
              <w:bottom w:w="28" w:type="dxa"/>
            </w:tcMar>
            <w:vAlign w:val="center"/>
          </w:tcPr>
          <w:tbl>
            <w:tblPr>
              <w:tblStyle w:val="20"/>
              <w:tblW w:w="10296" w:type="dxa"/>
              <w:tblInd w:w="0" w:type="dxa"/>
              <w:tblLayout w:type="fixed"/>
              <w:tblCellMar>
                <w:top w:w="0" w:type="dxa"/>
                <w:left w:w="108" w:type="dxa"/>
                <w:bottom w:w="0" w:type="dxa"/>
                <w:right w:w="108" w:type="dxa"/>
              </w:tblCellMar>
            </w:tblPr>
            <w:tblGrid>
              <w:gridCol w:w="2880"/>
              <w:gridCol w:w="1848"/>
              <w:gridCol w:w="1800"/>
              <w:gridCol w:w="1875"/>
              <w:gridCol w:w="1893"/>
            </w:tblGrid>
            <w:tr w14:paraId="35DD826D">
              <w:trPr>
                <w:trHeight w:val="288" w:hRule="atLeast"/>
              </w:trPr>
              <w:tc>
                <w:tcPr>
                  <w:tcW w:w="2880" w:type="dxa"/>
                  <w:tcBorders>
                    <w:top w:val="nil"/>
                    <w:left w:val="nil"/>
                    <w:bottom w:val="nil"/>
                    <w:right w:val="nil"/>
                  </w:tcBorders>
                  <w:shd w:val="clear" w:color="auto" w:fill="23558C"/>
                  <w:noWrap/>
                  <w:vAlign w:val="center"/>
                </w:tcPr>
                <w:p w14:paraId="05418911">
                  <w:pPr>
                    <w:textAlignment w:val="center"/>
                    <w:rPr>
                      <w:rFonts w:eastAsia="宋体" w:cs="Calibri"/>
                      <w:b/>
                      <w:bCs/>
                      <w:color w:val="FFFFFF"/>
                      <w:sz w:val="22"/>
                      <w:szCs w:val="22"/>
                    </w:rPr>
                  </w:pPr>
                  <w:r>
                    <w:rPr>
                      <w:rFonts w:eastAsia="宋体" w:cs="Calibri"/>
                      <w:b/>
                      <w:bCs/>
                      <w:color w:val="FFFFFF"/>
                      <w:sz w:val="22"/>
                      <w:szCs w:val="22"/>
                      <w:lang w:eastAsia="zh-CN" w:bidi="ar"/>
                    </w:rPr>
                    <w:t>Technology</w:t>
                  </w:r>
                </w:p>
              </w:tc>
              <w:tc>
                <w:tcPr>
                  <w:tcW w:w="1848" w:type="dxa"/>
                  <w:tcBorders>
                    <w:top w:val="nil"/>
                    <w:left w:val="nil"/>
                    <w:bottom w:val="nil"/>
                    <w:right w:val="nil"/>
                  </w:tcBorders>
                  <w:shd w:val="clear" w:color="auto" w:fill="23558C"/>
                  <w:noWrap/>
                  <w:vAlign w:val="center"/>
                </w:tcPr>
                <w:p w14:paraId="3E341403">
                  <w:pPr>
                    <w:textAlignment w:val="center"/>
                    <w:rPr>
                      <w:rFonts w:eastAsia="宋体" w:cs="Calibri"/>
                      <w:b/>
                      <w:bCs/>
                      <w:color w:val="FFFFFF"/>
                      <w:sz w:val="22"/>
                      <w:szCs w:val="22"/>
                    </w:rPr>
                  </w:pPr>
                  <w:r>
                    <w:rPr>
                      <w:rFonts w:eastAsia="宋体" w:cs="Calibri"/>
                      <w:b/>
                      <w:bCs/>
                      <w:color w:val="FFFFFF"/>
                      <w:sz w:val="22"/>
                      <w:szCs w:val="22"/>
                      <w:lang w:eastAsia="zh-CN" w:bidi="ar"/>
                    </w:rPr>
                    <w:t>LCOE ($/MWh)</w:t>
                  </w:r>
                </w:p>
              </w:tc>
              <w:tc>
                <w:tcPr>
                  <w:tcW w:w="1800" w:type="dxa"/>
                  <w:tcBorders>
                    <w:top w:val="nil"/>
                    <w:left w:val="nil"/>
                    <w:bottom w:val="nil"/>
                    <w:right w:val="nil"/>
                  </w:tcBorders>
                  <w:shd w:val="clear" w:color="auto" w:fill="23558C"/>
                  <w:noWrap/>
                  <w:vAlign w:val="center"/>
                </w:tcPr>
                <w:p w14:paraId="6EF091D3">
                  <w:pPr>
                    <w:textAlignment w:val="center"/>
                    <w:rPr>
                      <w:rFonts w:eastAsia="宋体" w:cs="Calibri"/>
                      <w:b/>
                      <w:bCs/>
                      <w:color w:val="FFFFFF"/>
                      <w:sz w:val="22"/>
                      <w:szCs w:val="22"/>
                    </w:rPr>
                  </w:pPr>
                  <w:r>
                    <w:rPr>
                      <w:rFonts w:eastAsia="宋体" w:cs="Calibri"/>
                      <w:b/>
                      <w:bCs/>
                      <w:color w:val="FFFFFF"/>
                      <w:sz w:val="22"/>
                      <w:szCs w:val="22"/>
                      <w:lang w:eastAsia="zh-CN" w:bidi="ar"/>
                    </w:rPr>
                    <w:t>Time to power</w:t>
                  </w:r>
                </w:p>
              </w:tc>
              <w:tc>
                <w:tcPr>
                  <w:tcW w:w="1875" w:type="dxa"/>
                  <w:tcBorders>
                    <w:top w:val="nil"/>
                    <w:left w:val="nil"/>
                    <w:bottom w:val="nil"/>
                    <w:right w:val="nil"/>
                  </w:tcBorders>
                  <w:shd w:val="clear" w:color="auto" w:fill="23558C"/>
                  <w:noWrap/>
                  <w:vAlign w:val="center"/>
                </w:tcPr>
                <w:p w14:paraId="1E174A95">
                  <w:pPr>
                    <w:textAlignment w:val="center"/>
                    <w:rPr>
                      <w:rFonts w:eastAsia="宋体" w:cs="Calibri"/>
                      <w:b/>
                      <w:bCs/>
                      <w:color w:val="FFFFFF"/>
                      <w:sz w:val="22"/>
                      <w:szCs w:val="22"/>
                    </w:rPr>
                  </w:pPr>
                  <w:r>
                    <w:rPr>
                      <w:rFonts w:eastAsia="宋体" w:cs="Calibri"/>
                      <w:b/>
                      <w:bCs/>
                      <w:color w:val="FFFFFF"/>
                      <w:sz w:val="22"/>
                      <w:szCs w:val="22"/>
                      <w:lang w:eastAsia="zh-CN" w:bidi="ar"/>
                    </w:rPr>
                    <w:t>Land need for</w:t>
                  </w:r>
                  <w:r>
                    <w:rPr>
                      <w:rFonts w:hint="eastAsia" w:eastAsia="宋体" w:cs="Calibri"/>
                      <w:b/>
                      <w:bCs/>
                      <w:color w:val="FFFFFF"/>
                      <w:sz w:val="22"/>
                      <w:szCs w:val="22"/>
                      <w:lang w:eastAsia="zh-CN" w:bidi="ar"/>
                    </w:rPr>
                    <w:t xml:space="preserve"> </w:t>
                  </w:r>
                  <w:r>
                    <w:rPr>
                      <w:rFonts w:eastAsia="宋体" w:cs="Calibri"/>
                      <w:b/>
                      <w:bCs/>
                      <w:color w:val="FFFFFF"/>
                      <w:sz w:val="22"/>
                      <w:szCs w:val="22"/>
                      <w:lang w:eastAsia="zh-CN" w:bidi="ar"/>
                    </w:rPr>
                    <w:t>co-location</w:t>
                  </w:r>
                </w:p>
              </w:tc>
              <w:tc>
                <w:tcPr>
                  <w:tcW w:w="1893" w:type="dxa"/>
                  <w:tcBorders>
                    <w:top w:val="nil"/>
                    <w:left w:val="nil"/>
                    <w:bottom w:val="nil"/>
                    <w:right w:val="nil"/>
                  </w:tcBorders>
                  <w:shd w:val="clear" w:color="auto" w:fill="23558C"/>
                  <w:noWrap/>
                  <w:vAlign w:val="center"/>
                </w:tcPr>
                <w:p w14:paraId="7E950493">
                  <w:pPr>
                    <w:textAlignment w:val="center"/>
                    <w:rPr>
                      <w:rFonts w:eastAsia="宋体" w:cs="Calibri"/>
                      <w:b/>
                      <w:bCs/>
                      <w:color w:val="FFFFFF"/>
                      <w:sz w:val="22"/>
                      <w:szCs w:val="22"/>
                    </w:rPr>
                  </w:pPr>
                  <w:r>
                    <w:rPr>
                      <w:rFonts w:eastAsia="宋体" w:cs="Calibri"/>
                      <w:b/>
                      <w:bCs/>
                      <w:color w:val="FFFFFF"/>
                      <w:sz w:val="22"/>
                      <w:szCs w:val="22"/>
                      <w:lang w:eastAsia="zh-CN" w:bidi="ar"/>
                    </w:rPr>
                    <w:t>Siting challenge</w:t>
                  </w:r>
                </w:p>
              </w:tc>
            </w:tr>
            <w:tr w14:paraId="6F95DE40">
              <w:tblPrEx>
                <w:tblCellMar>
                  <w:top w:w="0" w:type="dxa"/>
                  <w:left w:w="108" w:type="dxa"/>
                  <w:bottom w:w="0" w:type="dxa"/>
                  <w:right w:w="108" w:type="dxa"/>
                </w:tblCellMar>
              </w:tblPrEx>
              <w:trPr>
                <w:trHeight w:val="288" w:hRule="atLeast"/>
              </w:trPr>
              <w:tc>
                <w:tcPr>
                  <w:tcW w:w="2880" w:type="dxa"/>
                  <w:tcBorders>
                    <w:top w:val="nil"/>
                    <w:left w:val="nil"/>
                    <w:bottom w:val="nil"/>
                    <w:right w:val="nil"/>
                  </w:tcBorders>
                  <w:noWrap/>
                  <w:vAlign w:val="center"/>
                </w:tcPr>
                <w:p w14:paraId="0DE14F5D">
                  <w:pPr>
                    <w:textAlignment w:val="center"/>
                    <w:rPr>
                      <w:rFonts w:eastAsia="宋体" w:cs="Calibri"/>
                      <w:b/>
                      <w:bCs/>
                      <w:color w:val="000000"/>
                      <w:sz w:val="22"/>
                      <w:szCs w:val="22"/>
                    </w:rPr>
                  </w:pPr>
                  <w:r>
                    <w:rPr>
                      <w:rFonts w:eastAsia="宋体" w:cs="Calibri"/>
                      <w:b/>
                      <w:bCs/>
                      <w:color w:val="000000"/>
                      <w:sz w:val="22"/>
                      <w:szCs w:val="22"/>
                      <w:lang w:eastAsia="zh-CN" w:bidi="ar"/>
                    </w:rPr>
                    <w:t xml:space="preserve">Solar + 4 hour storage </w:t>
                  </w:r>
                </w:p>
              </w:tc>
              <w:tc>
                <w:tcPr>
                  <w:tcW w:w="1848" w:type="dxa"/>
                  <w:tcBorders>
                    <w:top w:val="nil"/>
                    <w:left w:val="nil"/>
                    <w:bottom w:val="nil"/>
                    <w:right w:val="nil"/>
                  </w:tcBorders>
                  <w:noWrap/>
                  <w:vAlign w:val="center"/>
                </w:tcPr>
                <w:p w14:paraId="17AE6C5E">
                  <w:pPr>
                    <w:jc w:val="center"/>
                    <w:textAlignment w:val="center"/>
                    <w:rPr>
                      <w:rFonts w:eastAsia="宋体" w:cs="Calibri"/>
                      <w:color w:val="000000"/>
                      <w:sz w:val="22"/>
                      <w:szCs w:val="22"/>
                    </w:rPr>
                  </w:pPr>
                  <w:r>
                    <w:rPr>
                      <w:rFonts w:eastAsia="宋体" w:cs="Calibri"/>
                      <w:color w:val="000000"/>
                      <w:sz w:val="22"/>
                      <w:szCs w:val="22"/>
                      <w:lang w:eastAsia="zh-CN" w:bidi="ar"/>
                    </w:rPr>
                    <w:t>$81-135</w:t>
                  </w:r>
                </w:p>
              </w:tc>
              <w:tc>
                <w:tcPr>
                  <w:tcW w:w="1800" w:type="dxa"/>
                  <w:tcBorders>
                    <w:top w:val="nil"/>
                    <w:left w:val="nil"/>
                    <w:bottom w:val="nil"/>
                    <w:right w:val="nil"/>
                  </w:tcBorders>
                  <w:noWrap/>
                  <w:vAlign w:val="center"/>
                </w:tcPr>
                <w:p w14:paraId="198013DD">
                  <w:pPr>
                    <w:jc w:val="center"/>
                    <w:textAlignment w:val="center"/>
                    <w:rPr>
                      <w:rFonts w:eastAsia="宋体" w:cs="Calibri"/>
                      <w:color w:val="000000"/>
                      <w:sz w:val="22"/>
                      <w:szCs w:val="22"/>
                    </w:rPr>
                  </w:pPr>
                  <w:r>
                    <w:rPr>
                      <w:rFonts w:eastAsia="宋体" w:cs="Calibri"/>
                      <w:color w:val="000000"/>
                      <w:sz w:val="22"/>
                      <w:szCs w:val="22"/>
                      <w:lang w:eastAsia="zh-CN" w:bidi="ar"/>
                    </w:rPr>
                    <w:t>1-2 years*</w:t>
                  </w:r>
                </w:p>
              </w:tc>
              <w:tc>
                <w:tcPr>
                  <w:tcW w:w="1875" w:type="dxa"/>
                  <w:tcBorders>
                    <w:top w:val="nil"/>
                    <w:left w:val="nil"/>
                    <w:bottom w:val="nil"/>
                    <w:right w:val="nil"/>
                  </w:tcBorders>
                  <w:noWrap/>
                  <w:vAlign w:val="center"/>
                </w:tcPr>
                <w:p w14:paraId="6186C439">
                  <w:pPr>
                    <w:jc w:val="center"/>
                    <w:textAlignment w:val="center"/>
                    <w:rPr>
                      <w:rFonts w:eastAsia="宋体" w:cs="Calibri"/>
                      <w:color w:val="000000"/>
                      <w:sz w:val="22"/>
                      <w:szCs w:val="22"/>
                    </w:rPr>
                  </w:pPr>
                  <w:r>
                    <w:rPr>
                      <w:rFonts w:eastAsia="宋体" w:cs="Calibri"/>
                      <w:color w:val="000000"/>
                      <w:sz w:val="22"/>
                      <w:szCs w:val="22"/>
                      <w:lang w:eastAsia="zh-CN" w:bidi="ar"/>
                    </w:rPr>
                    <w:t>Large</w:t>
                  </w:r>
                </w:p>
              </w:tc>
              <w:tc>
                <w:tcPr>
                  <w:tcW w:w="1893" w:type="dxa"/>
                  <w:tcBorders>
                    <w:top w:val="nil"/>
                    <w:left w:val="nil"/>
                    <w:bottom w:val="nil"/>
                    <w:right w:val="nil"/>
                  </w:tcBorders>
                  <w:noWrap/>
                  <w:vAlign w:val="center"/>
                </w:tcPr>
                <w:p w14:paraId="0A22AEBA">
                  <w:pPr>
                    <w:jc w:val="center"/>
                    <w:textAlignment w:val="center"/>
                    <w:rPr>
                      <w:rFonts w:eastAsia="宋体" w:cs="Calibri"/>
                      <w:color w:val="000000"/>
                      <w:sz w:val="22"/>
                      <w:szCs w:val="22"/>
                    </w:rPr>
                  </w:pPr>
                  <w:r>
                    <w:rPr>
                      <w:rFonts w:eastAsia="宋体" w:cs="Calibri"/>
                      <w:color w:val="000000"/>
                      <w:sz w:val="22"/>
                      <w:szCs w:val="22"/>
                      <w:lang w:eastAsia="zh-CN" w:bidi="ar"/>
                    </w:rPr>
                    <w:t>Low</w:t>
                  </w:r>
                </w:p>
              </w:tc>
            </w:tr>
            <w:tr w14:paraId="5E9D8D5E">
              <w:tblPrEx>
                <w:tblCellMar>
                  <w:top w:w="0" w:type="dxa"/>
                  <w:left w:w="108" w:type="dxa"/>
                  <w:bottom w:w="0" w:type="dxa"/>
                  <w:right w:w="108" w:type="dxa"/>
                </w:tblCellMar>
              </w:tblPrEx>
              <w:trPr>
                <w:trHeight w:val="288" w:hRule="atLeast"/>
              </w:trPr>
              <w:tc>
                <w:tcPr>
                  <w:tcW w:w="2880" w:type="dxa"/>
                  <w:tcBorders>
                    <w:top w:val="nil"/>
                    <w:left w:val="nil"/>
                    <w:bottom w:val="nil"/>
                    <w:right w:val="nil"/>
                  </w:tcBorders>
                  <w:noWrap/>
                  <w:vAlign w:val="center"/>
                </w:tcPr>
                <w:p w14:paraId="637C1E6E">
                  <w:pPr>
                    <w:textAlignment w:val="center"/>
                    <w:rPr>
                      <w:rFonts w:eastAsia="宋体" w:cs="Calibri"/>
                      <w:b/>
                      <w:bCs/>
                      <w:color w:val="000000"/>
                      <w:sz w:val="22"/>
                      <w:szCs w:val="22"/>
                    </w:rPr>
                  </w:pPr>
                  <w:r>
                    <w:rPr>
                      <w:rFonts w:eastAsia="宋体" w:cs="Calibri"/>
                      <w:b/>
                      <w:bCs/>
                      <w:color w:val="000000"/>
                      <w:sz w:val="22"/>
                      <w:szCs w:val="22"/>
                      <w:lang w:eastAsia="zh-CN" w:bidi="ar"/>
                    </w:rPr>
                    <w:t>Large sized gas turbines</w:t>
                  </w:r>
                </w:p>
              </w:tc>
              <w:tc>
                <w:tcPr>
                  <w:tcW w:w="1848" w:type="dxa"/>
                  <w:tcBorders>
                    <w:top w:val="nil"/>
                    <w:left w:val="nil"/>
                    <w:bottom w:val="nil"/>
                    <w:right w:val="nil"/>
                  </w:tcBorders>
                  <w:noWrap/>
                  <w:vAlign w:val="center"/>
                </w:tcPr>
                <w:p w14:paraId="2BA8526E">
                  <w:pPr>
                    <w:jc w:val="center"/>
                    <w:textAlignment w:val="center"/>
                    <w:rPr>
                      <w:rFonts w:eastAsia="宋体" w:cs="Calibri"/>
                      <w:color w:val="000000"/>
                      <w:sz w:val="22"/>
                      <w:szCs w:val="22"/>
                    </w:rPr>
                  </w:pPr>
                  <w:r>
                    <w:rPr>
                      <w:rFonts w:eastAsia="宋体" w:cs="Calibri"/>
                      <w:color w:val="000000"/>
                      <w:sz w:val="22"/>
                      <w:szCs w:val="22"/>
                      <w:lang w:eastAsia="zh-CN" w:bidi="ar"/>
                    </w:rPr>
                    <w:t>$70-80</w:t>
                  </w:r>
                </w:p>
              </w:tc>
              <w:tc>
                <w:tcPr>
                  <w:tcW w:w="1800" w:type="dxa"/>
                  <w:tcBorders>
                    <w:top w:val="nil"/>
                    <w:left w:val="nil"/>
                    <w:bottom w:val="nil"/>
                    <w:right w:val="nil"/>
                  </w:tcBorders>
                  <w:noWrap/>
                  <w:vAlign w:val="center"/>
                </w:tcPr>
                <w:p w14:paraId="736F1216">
                  <w:pPr>
                    <w:jc w:val="center"/>
                    <w:textAlignment w:val="center"/>
                    <w:rPr>
                      <w:rFonts w:eastAsia="宋体" w:cs="Calibri"/>
                      <w:color w:val="000000"/>
                      <w:sz w:val="22"/>
                      <w:szCs w:val="22"/>
                    </w:rPr>
                  </w:pPr>
                  <w:r>
                    <w:rPr>
                      <w:rFonts w:eastAsia="宋体" w:cs="Calibri"/>
                      <w:color w:val="000000"/>
                      <w:sz w:val="22"/>
                      <w:szCs w:val="22"/>
                      <w:lang w:eastAsia="zh-CN" w:bidi="ar"/>
                    </w:rPr>
                    <w:t>~4 years</w:t>
                  </w:r>
                </w:p>
              </w:tc>
              <w:tc>
                <w:tcPr>
                  <w:tcW w:w="1875" w:type="dxa"/>
                  <w:tcBorders>
                    <w:top w:val="nil"/>
                    <w:left w:val="nil"/>
                    <w:bottom w:val="nil"/>
                    <w:right w:val="nil"/>
                  </w:tcBorders>
                  <w:noWrap/>
                  <w:vAlign w:val="center"/>
                </w:tcPr>
                <w:p w14:paraId="0715C4D1">
                  <w:pPr>
                    <w:jc w:val="center"/>
                    <w:textAlignment w:val="center"/>
                    <w:rPr>
                      <w:rFonts w:eastAsia="宋体" w:cs="Calibri"/>
                      <w:color w:val="000000"/>
                      <w:sz w:val="22"/>
                      <w:szCs w:val="22"/>
                    </w:rPr>
                  </w:pPr>
                  <w:r>
                    <w:rPr>
                      <w:rFonts w:eastAsia="宋体" w:cs="Calibri"/>
                      <w:color w:val="000000"/>
                      <w:sz w:val="22"/>
                      <w:szCs w:val="22"/>
                      <w:lang w:eastAsia="zh-CN" w:bidi="ar"/>
                    </w:rPr>
                    <w:t>Small</w:t>
                  </w:r>
                </w:p>
              </w:tc>
              <w:tc>
                <w:tcPr>
                  <w:tcW w:w="1893" w:type="dxa"/>
                  <w:tcBorders>
                    <w:top w:val="nil"/>
                    <w:left w:val="nil"/>
                    <w:bottom w:val="nil"/>
                    <w:right w:val="nil"/>
                  </w:tcBorders>
                  <w:noWrap/>
                  <w:vAlign w:val="center"/>
                </w:tcPr>
                <w:p w14:paraId="692C2BEA">
                  <w:pPr>
                    <w:jc w:val="center"/>
                    <w:textAlignment w:val="center"/>
                    <w:rPr>
                      <w:rFonts w:eastAsia="宋体" w:cs="Calibri"/>
                      <w:color w:val="000000"/>
                      <w:sz w:val="22"/>
                      <w:szCs w:val="22"/>
                    </w:rPr>
                  </w:pPr>
                  <w:r>
                    <w:rPr>
                      <w:rFonts w:eastAsia="宋体" w:cs="Calibri"/>
                      <w:color w:val="000000"/>
                      <w:sz w:val="22"/>
                      <w:szCs w:val="22"/>
                      <w:lang w:eastAsia="zh-CN" w:bidi="ar"/>
                    </w:rPr>
                    <w:t>Mid</w:t>
                  </w:r>
                </w:p>
              </w:tc>
            </w:tr>
            <w:tr w14:paraId="0BC215C6">
              <w:tblPrEx>
                <w:tblCellMar>
                  <w:top w:w="0" w:type="dxa"/>
                  <w:left w:w="108" w:type="dxa"/>
                  <w:bottom w:w="0" w:type="dxa"/>
                  <w:right w:w="108" w:type="dxa"/>
                </w:tblCellMar>
              </w:tblPrEx>
              <w:trPr>
                <w:trHeight w:val="360" w:hRule="atLeast"/>
              </w:trPr>
              <w:tc>
                <w:tcPr>
                  <w:tcW w:w="2880" w:type="dxa"/>
                  <w:tcBorders>
                    <w:top w:val="nil"/>
                    <w:left w:val="nil"/>
                    <w:bottom w:val="nil"/>
                    <w:right w:val="nil"/>
                  </w:tcBorders>
                  <w:noWrap/>
                  <w:vAlign w:val="center"/>
                </w:tcPr>
                <w:p w14:paraId="5D45356D">
                  <w:pPr>
                    <w:textAlignment w:val="center"/>
                    <w:rPr>
                      <w:rFonts w:eastAsia="宋体" w:cs="Calibri"/>
                      <w:b/>
                      <w:bCs/>
                      <w:color w:val="000000"/>
                      <w:sz w:val="22"/>
                      <w:szCs w:val="22"/>
                    </w:rPr>
                  </w:pPr>
                  <w:r>
                    <w:rPr>
                      <w:rFonts w:eastAsia="宋体" w:cs="Calibri"/>
                      <w:b/>
                      <w:bCs/>
                      <w:color w:val="000000"/>
                      <w:sz w:val="22"/>
                      <w:szCs w:val="22"/>
                      <w:lang w:eastAsia="zh-CN" w:bidi="ar"/>
                    </w:rPr>
                    <w:t>Medium sized gas turbines</w:t>
                  </w:r>
                </w:p>
              </w:tc>
              <w:tc>
                <w:tcPr>
                  <w:tcW w:w="1848" w:type="dxa"/>
                  <w:tcBorders>
                    <w:top w:val="nil"/>
                    <w:left w:val="nil"/>
                    <w:bottom w:val="nil"/>
                    <w:right w:val="nil"/>
                  </w:tcBorders>
                  <w:vAlign w:val="center"/>
                </w:tcPr>
                <w:p w14:paraId="431F6E1D">
                  <w:pPr>
                    <w:jc w:val="center"/>
                    <w:textAlignment w:val="center"/>
                    <w:rPr>
                      <w:rFonts w:eastAsia="宋体" w:cs="Calibri"/>
                      <w:color w:val="000000"/>
                      <w:sz w:val="22"/>
                      <w:szCs w:val="22"/>
                    </w:rPr>
                  </w:pPr>
                  <w:r>
                    <w:rPr>
                      <w:rFonts w:eastAsia="宋体" w:cs="Calibri"/>
                      <w:color w:val="000000"/>
                      <w:sz w:val="22"/>
                      <w:szCs w:val="22"/>
                      <w:lang w:eastAsia="zh-CN" w:bidi="ar"/>
                    </w:rPr>
                    <w:t>$80-90</w:t>
                  </w:r>
                </w:p>
              </w:tc>
              <w:tc>
                <w:tcPr>
                  <w:tcW w:w="1800" w:type="dxa"/>
                  <w:tcBorders>
                    <w:top w:val="nil"/>
                    <w:left w:val="nil"/>
                    <w:bottom w:val="nil"/>
                    <w:right w:val="nil"/>
                  </w:tcBorders>
                  <w:noWrap/>
                  <w:vAlign w:val="center"/>
                </w:tcPr>
                <w:p w14:paraId="27D02E5F">
                  <w:pPr>
                    <w:jc w:val="center"/>
                    <w:textAlignment w:val="center"/>
                    <w:rPr>
                      <w:rFonts w:eastAsia="宋体" w:cs="Calibri"/>
                      <w:color w:val="000000"/>
                      <w:sz w:val="22"/>
                      <w:szCs w:val="22"/>
                    </w:rPr>
                  </w:pPr>
                  <w:r>
                    <w:rPr>
                      <w:rFonts w:eastAsia="宋体" w:cs="Calibri"/>
                      <w:color w:val="000000"/>
                      <w:sz w:val="22"/>
                      <w:szCs w:val="22"/>
                      <w:lang w:eastAsia="zh-CN" w:bidi="ar"/>
                    </w:rPr>
                    <w:t>~2 years</w:t>
                  </w:r>
                </w:p>
              </w:tc>
              <w:tc>
                <w:tcPr>
                  <w:tcW w:w="1875" w:type="dxa"/>
                  <w:tcBorders>
                    <w:top w:val="nil"/>
                    <w:left w:val="nil"/>
                    <w:bottom w:val="nil"/>
                    <w:right w:val="nil"/>
                  </w:tcBorders>
                  <w:noWrap/>
                  <w:vAlign w:val="center"/>
                </w:tcPr>
                <w:p w14:paraId="788FB233">
                  <w:pPr>
                    <w:jc w:val="center"/>
                    <w:textAlignment w:val="center"/>
                    <w:rPr>
                      <w:rFonts w:eastAsia="宋体" w:cs="Calibri"/>
                      <w:color w:val="000000"/>
                      <w:sz w:val="22"/>
                      <w:szCs w:val="22"/>
                    </w:rPr>
                  </w:pPr>
                  <w:r>
                    <w:rPr>
                      <w:rFonts w:eastAsia="宋体" w:cs="Calibri"/>
                      <w:color w:val="000000"/>
                      <w:sz w:val="22"/>
                      <w:szCs w:val="22"/>
                      <w:lang w:eastAsia="zh-CN" w:bidi="ar"/>
                    </w:rPr>
                    <w:t>Small</w:t>
                  </w:r>
                </w:p>
              </w:tc>
              <w:tc>
                <w:tcPr>
                  <w:tcW w:w="1893" w:type="dxa"/>
                  <w:tcBorders>
                    <w:top w:val="nil"/>
                    <w:left w:val="nil"/>
                    <w:bottom w:val="nil"/>
                    <w:right w:val="nil"/>
                  </w:tcBorders>
                  <w:noWrap/>
                  <w:vAlign w:val="center"/>
                </w:tcPr>
                <w:p w14:paraId="3BB43781">
                  <w:pPr>
                    <w:jc w:val="center"/>
                    <w:textAlignment w:val="center"/>
                    <w:rPr>
                      <w:rFonts w:eastAsia="宋体" w:cs="Calibri"/>
                      <w:color w:val="000000"/>
                      <w:sz w:val="22"/>
                      <w:szCs w:val="22"/>
                    </w:rPr>
                  </w:pPr>
                  <w:r>
                    <w:rPr>
                      <w:rFonts w:eastAsia="宋体" w:cs="Calibri"/>
                      <w:color w:val="000000"/>
                      <w:sz w:val="22"/>
                      <w:szCs w:val="22"/>
                      <w:lang w:eastAsia="zh-CN" w:bidi="ar"/>
                    </w:rPr>
                    <w:t>Mid</w:t>
                  </w:r>
                </w:p>
              </w:tc>
            </w:tr>
            <w:tr w14:paraId="272C8585">
              <w:tblPrEx>
                <w:tblCellMar>
                  <w:top w:w="0" w:type="dxa"/>
                  <w:left w:w="108" w:type="dxa"/>
                  <w:bottom w:w="0" w:type="dxa"/>
                  <w:right w:w="108" w:type="dxa"/>
                </w:tblCellMar>
              </w:tblPrEx>
              <w:trPr>
                <w:trHeight w:val="288" w:hRule="atLeast"/>
              </w:trPr>
              <w:tc>
                <w:tcPr>
                  <w:tcW w:w="2880" w:type="dxa"/>
                  <w:tcBorders>
                    <w:top w:val="nil"/>
                    <w:left w:val="nil"/>
                    <w:bottom w:val="nil"/>
                    <w:right w:val="nil"/>
                  </w:tcBorders>
                  <w:noWrap/>
                  <w:vAlign w:val="center"/>
                </w:tcPr>
                <w:p w14:paraId="2FCA1277">
                  <w:pPr>
                    <w:textAlignment w:val="center"/>
                    <w:rPr>
                      <w:rFonts w:eastAsia="宋体" w:cs="Calibri"/>
                      <w:b/>
                      <w:bCs/>
                      <w:color w:val="000000"/>
                      <w:sz w:val="22"/>
                      <w:szCs w:val="22"/>
                    </w:rPr>
                  </w:pPr>
                  <w:r>
                    <w:rPr>
                      <w:rFonts w:eastAsia="宋体" w:cs="Calibri"/>
                      <w:b/>
                      <w:bCs/>
                      <w:color w:val="000000"/>
                      <w:sz w:val="22"/>
                      <w:szCs w:val="22"/>
                      <w:lang w:eastAsia="zh-CN" w:bidi="ar"/>
                    </w:rPr>
                    <w:t>Gas engines</w:t>
                  </w:r>
                </w:p>
              </w:tc>
              <w:tc>
                <w:tcPr>
                  <w:tcW w:w="1848" w:type="dxa"/>
                  <w:tcBorders>
                    <w:top w:val="nil"/>
                    <w:left w:val="nil"/>
                    <w:bottom w:val="nil"/>
                    <w:right w:val="nil"/>
                  </w:tcBorders>
                  <w:noWrap/>
                  <w:vAlign w:val="center"/>
                </w:tcPr>
                <w:p w14:paraId="76332848">
                  <w:pPr>
                    <w:jc w:val="center"/>
                    <w:textAlignment w:val="center"/>
                    <w:rPr>
                      <w:rFonts w:eastAsia="宋体" w:cs="Calibri"/>
                      <w:color w:val="000000"/>
                      <w:sz w:val="22"/>
                      <w:szCs w:val="22"/>
                    </w:rPr>
                  </w:pPr>
                  <w:r>
                    <w:rPr>
                      <w:rFonts w:eastAsia="宋体" w:cs="Calibri"/>
                      <w:color w:val="000000"/>
                      <w:sz w:val="22"/>
                      <w:szCs w:val="22"/>
                      <w:lang w:eastAsia="zh-CN" w:bidi="ar"/>
                    </w:rPr>
                    <w:t>$110-120</w:t>
                  </w:r>
                </w:p>
              </w:tc>
              <w:tc>
                <w:tcPr>
                  <w:tcW w:w="1800" w:type="dxa"/>
                  <w:tcBorders>
                    <w:top w:val="nil"/>
                    <w:left w:val="nil"/>
                    <w:bottom w:val="nil"/>
                    <w:right w:val="nil"/>
                  </w:tcBorders>
                  <w:noWrap/>
                  <w:vAlign w:val="center"/>
                </w:tcPr>
                <w:p w14:paraId="239D562F">
                  <w:pPr>
                    <w:jc w:val="center"/>
                    <w:textAlignment w:val="center"/>
                    <w:rPr>
                      <w:rFonts w:eastAsia="宋体" w:cs="Calibri"/>
                      <w:color w:val="000000"/>
                      <w:sz w:val="22"/>
                      <w:szCs w:val="22"/>
                    </w:rPr>
                  </w:pPr>
                  <w:r>
                    <w:rPr>
                      <w:rFonts w:eastAsia="宋体" w:cs="Calibri"/>
                      <w:color w:val="000000"/>
                      <w:sz w:val="22"/>
                      <w:szCs w:val="22"/>
                      <w:lang w:eastAsia="zh-CN" w:bidi="ar"/>
                    </w:rPr>
                    <w:t>1-2 years*</w:t>
                  </w:r>
                </w:p>
              </w:tc>
              <w:tc>
                <w:tcPr>
                  <w:tcW w:w="1875" w:type="dxa"/>
                  <w:tcBorders>
                    <w:top w:val="nil"/>
                    <w:left w:val="nil"/>
                    <w:bottom w:val="nil"/>
                    <w:right w:val="nil"/>
                  </w:tcBorders>
                  <w:noWrap/>
                  <w:vAlign w:val="center"/>
                </w:tcPr>
                <w:p w14:paraId="65FFFEA5">
                  <w:pPr>
                    <w:jc w:val="center"/>
                    <w:textAlignment w:val="center"/>
                    <w:rPr>
                      <w:rFonts w:eastAsia="宋体" w:cs="Calibri"/>
                      <w:color w:val="000000"/>
                      <w:sz w:val="22"/>
                      <w:szCs w:val="22"/>
                    </w:rPr>
                  </w:pPr>
                  <w:r>
                    <w:rPr>
                      <w:rFonts w:eastAsia="宋体" w:cs="Calibri"/>
                      <w:color w:val="000000"/>
                      <w:sz w:val="22"/>
                      <w:szCs w:val="22"/>
                      <w:lang w:eastAsia="zh-CN" w:bidi="ar"/>
                    </w:rPr>
                    <w:t>Small</w:t>
                  </w:r>
                </w:p>
              </w:tc>
              <w:tc>
                <w:tcPr>
                  <w:tcW w:w="1893" w:type="dxa"/>
                  <w:tcBorders>
                    <w:top w:val="nil"/>
                    <w:left w:val="nil"/>
                    <w:bottom w:val="nil"/>
                    <w:right w:val="nil"/>
                  </w:tcBorders>
                  <w:noWrap/>
                  <w:vAlign w:val="center"/>
                </w:tcPr>
                <w:p w14:paraId="28D8FB46">
                  <w:pPr>
                    <w:jc w:val="center"/>
                    <w:textAlignment w:val="center"/>
                    <w:rPr>
                      <w:rFonts w:eastAsia="宋体" w:cs="Calibri"/>
                      <w:color w:val="000000"/>
                      <w:sz w:val="22"/>
                      <w:szCs w:val="22"/>
                    </w:rPr>
                  </w:pPr>
                  <w:r>
                    <w:rPr>
                      <w:rFonts w:eastAsia="宋体" w:cs="Calibri"/>
                      <w:color w:val="000000"/>
                      <w:sz w:val="22"/>
                      <w:szCs w:val="22"/>
                      <w:lang w:eastAsia="zh-CN" w:bidi="ar"/>
                    </w:rPr>
                    <w:t>Mid</w:t>
                  </w:r>
                </w:p>
              </w:tc>
            </w:tr>
            <w:tr w14:paraId="1E9A03A5">
              <w:tblPrEx>
                <w:tblCellMar>
                  <w:top w:w="0" w:type="dxa"/>
                  <w:left w:w="108" w:type="dxa"/>
                  <w:bottom w:w="0" w:type="dxa"/>
                  <w:right w:w="108" w:type="dxa"/>
                </w:tblCellMar>
              </w:tblPrEx>
              <w:trPr>
                <w:trHeight w:val="288" w:hRule="atLeast"/>
              </w:trPr>
              <w:tc>
                <w:tcPr>
                  <w:tcW w:w="2880" w:type="dxa"/>
                  <w:tcBorders>
                    <w:top w:val="nil"/>
                    <w:left w:val="nil"/>
                    <w:bottom w:val="nil"/>
                    <w:right w:val="nil"/>
                  </w:tcBorders>
                  <w:shd w:val="clear" w:color="auto" w:fill="FFFF00"/>
                  <w:noWrap/>
                  <w:vAlign w:val="center"/>
                </w:tcPr>
                <w:p w14:paraId="720B1807">
                  <w:pPr>
                    <w:textAlignment w:val="center"/>
                    <w:rPr>
                      <w:rFonts w:eastAsia="宋体" w:cs="Calibri"/>
                      <w:b/>
                      <w:bCs/>
                      <w:color w:val="000000"/>
                      <w:sz w:val="22"/>
                      <w:szCs w:val="22"/>
                    </w:rPr>
                  </w:pPr>
                  <w:r>
                    <w:rPr>
                      <w:rFonts w:eastAsia="宋体" w:cs="Calibri"/>
                      <w:b/>
                      <w:bCs/>
                      <w:color w:val="000000"/>
                      <w:sz w:val="22"/>
                      <w:szCs w:val="22"/>
                      <w:lang w:eastAsia="zh-CN" w:bidi="ar"/>
                    </w:rPr>
                    <w:t xml:space="preserve">Solid Oxide Fuel Cell-NG </w:t>
                  </w:r>
                </w:p>
              </w:tc>
              <w:tc>
                <w:tcPr>
                  <w:tcW w:w="1848" w:type="dxa"/>
                  <w:tcBorders>
                    <w:top w:val="nil"/>
                    <w:left w:val="nil"/>
                    <w:bottom w:val="nil"/>
                    <w:right w:val="nil"/>
                  </w:tcBorders>
                  <w:shd w:val="clear" w:color="auto" w:fill="FFFF00"/>
                  <w:noWrap/>
                  <w:vAlign w:val="center"/>
                </w:tcPr>
                <w:p w14:paraId="2EA5C725">
                  <w:pPr>
                    <w:jc w:val="center"/>
                    <w:textAlignment w:val="center"/>
                    <w:rPr>
                      <w:rFonts w:eastAsia="宋体" w:cs="Calibri"/>
                      <w:color w:val="000000"/>
                      <w:sz w:val="22"/>
                      <w:szCs w:val="22"/>
                    </w:rPr>
                  </w:pPr>
                  <w:r>
                    <w:rPr>
                      <w:rFonts w:eastAsia="宋体" w:cs="Calibri"/>
                      <w:color w:val="000000"/>
                      <w:sz w:val="22"/>
                      <w:szCs w:val="22"/>
                      <w:lang w:eastAsia="zh-CN" w:bidi="ar"/>
                    </w:rPr>
                    <w:t xml:space="preserve">$90 </w:t>
                  </w:r>
                </w:p>
              </w:tc>
              <w:tc>
                <w:tcPr>
                  <w:tcW w:w="1800" w:type="dxa"/>
                  <w:tcBorders>
                    <w:top w:val="nil"/>
                    <w:left w:val="nil"/>
                    <w:bottom w:val="nil"/>
                    <w:right w:val="nil"/>
                  </w:tcBorders>
                  <w:shd w:val="clear" w:color="auto" w:fill="FFFF00"/>
                  <w:noWrap/>
                  <w:vAlign w:val="center"/>
                </w:tcPr>
                <w:p w14:paraId="28D5A0FF">
                  <w:pPr>
                    <w:jc w:val="center"/>
                    <w:textAlignment w:val="center"/>
                    <w:rPr>
                      <w:rFonts w:eastAsia="宋体" w:cs="Calibri"/>
                      <w:color w:val="000000"/>
                      <w:sz w:val="22"/>
                      <w:szCs w:val="22"/>
                    </w:rPr>
                  </w:pPr>
                  <w:r>
                    <w:rPr>
                      <w:rFonts w:eastAsia="宋体" w:cs="Calibri"/>
                      <w:color w:val="000000"/>
                      <w:sz w:val="22"/>
                      <w:szCs w:val="22"/>
                      <w:lang w:eastAsia="zh-CN" w:bidi="ar"/>
                    </w:rPr>
                    <w:t>&lt;1 year</w:t>
                  </w:r>
                </w:p>
              </w:tc>
              <w:tc>
                <w:tcPr>
                  <w:tcW w:w="1875" w:type="dxa"/>
                  <w:tcBorders>
                    <w:top w:val="nil"/>
                    <w:left w:val="nil"/>
                    <w:bottom w:val="nil"/>
                    <w:right w:val="nil"/>
                  </w:tcBorders>
                  <w:shd w:val="clear" w:color="auto" w:fill="FFFF00"/>
                  <w:noWrap/>
                  <w:vAlign w:val="center"/>
                </w:tcPr>
                <w:p w14:paraId="268E2636">
                  <w:pPr>
                    <w:jc w:val="center"/>
                    <w:textAlignment w:val="center"/>
                    <w:rPr>
                      <w:rFonts w:eastAsia="宋体" w:cs="Calibri"/>
                      <w:color w:val="000000"/>
                      <w:sz w:val="22"/>
                      <w:szCs w:val="22"/>
                    </w:rPr>
                  </w:pPr>
                  <w:r>
                    <w:rPr>
                      <w:rFonts w:eastAsia="宋体" w:cs="Calibri"/>
                      <w:color w:val="000000"/>
                      <w:sz w:val="22"/>
                      <w:szCs w:val="22"/>
                      <w:lang w:eastAsia="zh-CN" w:bidi="ar"/>
                    </w:rPr>
                    <w:t>Small</w:t>
                  </w:r>
                </w:p>
              </w:tc>
              <w:tc>
                <w:tcPr>
                  <w:tcW w:w="1893" w:type="dxa"/>
                  <w:tcBorders>
                    <w:top w:val="nil"/>
                    <w:left w:val="nil"/>
                    <w:bottom w:val="nil"/>
                    <w:right w:val="nil"/>
                  </w:tcBorders>
                  <w:shd w:val="clear" w:color="auto" w:fill="FFFF00"/>
                  <w:noWrap/>
                  <w:vAlign w:val="center"/>
                </w:tcPr>
                <w:p w14:paraId="365CBBB6">
                  <w:pPr>
                    <w:jc w:val="center"/>
                    <w:textAlignment w:val="center"/>
                    <w:rPr>
                      <w:rFonts w:eastAsia="宋体" w:cs="Calibri"/>
                      <w:color w:val="000000"/>
                      <w:sz w:val="22"/>
                      <w:szCs w:val="22"/>
                    </w:rPr>
                  </w:pPr>
                  <w:r>
                    <w:rPr>
                      <w:rFonts w:eastAsia="宋体" w:cs="Calibri"/>
                      <w:color w:val="000000"/>
                      <w:sz w:val="22"/>
                      <w:szCs w:val="22"/>
                      <w:lang w:eastAsia="zh-CN" w:bidi="ar"/>
                    </w:rPr>
                    <w:t>Mid</w:t>
                  </w:r>
                </w:p>
              </w:tc>
            </w:tr>
            <w:tr w14:paraId="3F1C5F50">
              <w:tblPrEx>
                <w:tblCellMar>
                  <w:top w:w="0" w:type="dxa"/>
                  <w:left w:w="108" w:type="dxa"/>
                  <w:bottom w:w="0" w:type="dxa"/>
                  <w:right w:w="108" w:type="dxa"/>
                </w:tblCellMar>
              </w:tblPrEx>
              <w:trPr>
                <w:trHeight w:val="288" w:hRule="atLeast"/>
              </w:trPr>
              <w:tc>
                <w:tcPr>
                  <w:tcW w:w="2880" w:type="dxa"/>
                  <w:tcBorders>
                    <w:top w:val="nil"/>
                    <w:left w:val="nil"/>
                    <w:bottom w:val="nil"/>
                    <w:right w:val="nil"/>
                  </w:tcBorders>
                  <w:noWrap/>
                  <w:vAlign w:val="center"/>
                </w:tcPr>
                <w:p w14:paraId="158A9235">
                  <w:pPr>
                    <w:textAlignment w:val="center"/>
                    <w:rPr>
                      <w:rFonts w:eastAsia="宋体" w:cs="Calibri"/>
                      <w:b/>
                      <w:bCs/>
                      <w:color w:val="000000"/>
                      <w:sz w:val="22"/>
                      <w:szCs w:val="22"/>
                    </w:rPr>
                  </w:pPr>
                  <w:r>
                    <w:rPr>
                      <w:rFonts w:eastAsia="宋体" w:cs="Calibri"/>
                      <w:b/>
                      <w:bCs/>
                      <w:color w:val="000000"/>
                      <w:sz w:val="22"/>
                      <w:szCs w:val="22"/>
                      <w:lang w:eastAsia="zh-CN" w:bidi="ar"/>
                    </w:rPr>
                    <w:t>Nuclear-new</w:t>
                  </w:r>
                </w:p>
              </w:tc>
              <w:tc>
                <w:tcPr>
                  <w:tcW w:w="1848" w:type="dxa"/>
                  <w:tcBorders>
                    <w:top w:val="nil"/>
                    <w:left w:val="nil"/>
                    <w:bottom w:val="nil"/>
                    <w:right w:val="nil"/>
                  </w:tcBorders>
                  <w:noWrap/>
                  <w:vAlign w:val="center"/>
                </w:tcPr>
                <w:p w14:paraId="0017B6C0">
                  <w:pPr>
                    <w:jc w:val="center"/>
                    <w:textAlignment w:val="center"/>
                    <w:rPr>
                      <w:rFonts w:eastAsia="宋体" w:cs="Calibri"/>
                      <w:color w:val="000000"/>
                      <w:sz w:val="22"/>
                      <w:szCs w:val="22"/>
                    </w:rPr>
                  </w:pPr>
                  <w:r>
                    <w:rPr>
                      <w:rFonts w:eastAsia="宋体" w:cs="Calibri"/>
                      <w:color w:val="000000"/>
                      <w:sz w:val="22"/>
                      <w:szCs w:val="22"/>
                      <w:lang w:eastAsia="zh-CN" w:bidi="ar"/>
                    </w:rPr>
                    <w:t xml:space="preserve">$180 </w:t>
                  </w:r>
                </w:p>
              </w:tc>
              <w:tc>
                <w:tcPr>
                  <w:tcW w:w="1800" w:type="dxa"/>
                  <w:tcBorders>
                    <w:top w:val="nil"/>
                    <w:left w:val="nil"/>
                    <w:bottom w:val="nil"/>
                    <w:right w:val="nil"/>
                  </w:tcBorders>
                  <w:noWrap/>
                  <w:vAlign w:val="center"/>
                </w:tcPr>
                <w:p w14:paraId="28CA9FC5">
                  <w:pPr>
                    <w:jc w:val="center"/>
                    <w:textAlignment w:val="center"/>
                    <w:rPr>
                      <w:rFonts w:eastAsia="宋体" w:cs="Calibri"/>
                      <w:color w:val="000000"/>
                      <w:sz w:val="22"/>
                      <w:szCs w:val="22"/>
                    </w:rPr>
                  </w:pPr>
                  <w:r>
                    <w:rPr>
                      <w:rFonts w:eastAsia="宋体" w:cs="Calibri"/>
                      <w:color w:val="000000"/>
                      <w:sz w:val="22"/>
                      <w:szCs w:val="22"/>
                      <w:lang w:eastAsia="zh-CN" w:bidi="ar"/>
                    </w:rPr>
                    <w:t>&gt;10 years</w:t>
                  </w:r>
                </w:p>
              </w:tc>
              <w:tc>
                <w:tcPr>
                  <w:tcW w:w="1875" w:type="dxa"/>
                  <w:tcBorders>
                    <w:top w:val="nil"/>
                    <w:left w:val="nil"/>
                    <w:bottom w:val="nil"/>
                    <w:right w:val="nil"/>
                  </w:tcBorders>
                  <w:noWrap/>
                  <w:vAlign w:val="center"/>
                </w:tcPr>
                <w:p w14:paraId="00600F01">
                  <w:pPr>
                    <w:jc w:val="center"/>
                    <w:textAlignment w:val="center"/>
                    <w:rPr>
                      <w:rFonts w:eastAsia="宋体" w:cs="Calibri"/>
                      <w:color w:val="000000"/>
                      <w:sz w:val="22"/>
                      <w:szCs w:val="22"/>
                    </w:rPr>
                  </w:pPr>
                  <w:r>
                    <w:rPr>
                      <w:rFonts w:eastAsia="宋体" w:cs="Calibri"/>
                      <w:color w:val="000000"/>
                      <w:sz w:val="22"/>
                      <w:szCs w:val="22"/>
                      <w:lang w:eastAsia="zh-CN" w:bidi="ar"/>
                    </w:rPr>
                    <w:t>Large</w:t>
                  </w:r>
                </w:p>
              </w:tc>
              <w:tc>
                <w:tcPr>
                  <w:tcW w:w="1893" w:type="dxa"/>
                  <w:tcBorders>
                    <w:top w:val="nil"/>
                    <w:left w:val="nil"/>
                    <w:bottom w:val="nil"/>
                    <w:right w:val="nil"/>
                  </w:tcBorders>
                  <w:noWrap/>
                  <w:vAlign w:val="center"/>
                </w:tcPr>
                <w:p w14:paraId="002C5097">
                  <w:pPr>
                    <w:jc w:val="center"/>
                    <w:textAlignment w:val="center"/>
                    <w:rPr>
                      <w:rFonts w:eastAsia="宋体" w:cs="Calibri"/>
                      <w:color w:val="000000"/>
                      <w:sz w:val="22"/>
                      <w:szCs w:val="22"/>
                    </w:rPr>
                  </w:pPr>
                  <w:r>
                    <w:rPr>
                      <w:rFonts w:eastAsia="宋体" w:cs="Calibri"/>
                      <w:color w:val="000000"/>
                      <w:sz w:val="22"/>
                      <w:szCs w:val="22"/>
                      <w:lang w:eastAsia="zh-CN" w:bidi="ar"/>
                    </w:rPr>
                    <w:t>High</w:t>
                  </w:r>
                </w:p>
              </w:tc>
            </w:tr>
            <w:tr w14:paraId="235F78C9">
              <w:tblPrEx>
                <w:tblCellMar>
                  <w:top w:w="0" w:type="dxa"/>
                  <w:left w:w="108" w:type="dxa"/>
                  <w:bottom w:w="0" w:type="dxa"/>
                  <w:right w:w="108" w:type="dxa"/>
                </w:tblCellMar>
              </w:tblPrEx>
              <w:trPr>
                <w:trHeight w:val="300" w:hRule="exact"/>
              </w:trPr>
              <w:tc>
                <w:tcPr>
                  <w:tcW w:w="2880" w:type="dxa"/>
                  <w:tcBorders>
                    <w:top w:val="nil"/>
                    <w:left w:val="nil"/>
                    <w:bottom w:val="nil"/>
                    <w:right w:val="nil"/>
                  </w:tcBorders>
                  <w:noWrap/>
                  <w:vAlign w:val="center"/>
                </w:tcPr>
                <w:p w14:paraId="3E815997">
                  <w:pPr>
                    <w:textAlignment w:val="center"/>
                    <w:rPr>
                      <w:rFonts w:eastAsia="宋体" w:cs="Calibri"/>
                      <w:b/>
                      <w:bCs/>
                      <w:color w:val="000000"/>
                      <w:sz w:val="22"/>
                      <w:szCs w:val="22"/>
                    </w:rPr>
                  </w:pPr>
                  <w:r>
                    <w:rPr>
                      <w:rFonts w:eastAsia="宋体" w:cs="Calibri"/>
                      <w:b/>
                      <w:bCs/>
                      <w:color w:val="000000"/>
                      <w:sz w:val="22"/>
                      <w:szCs w:val="22"/>
                      <w:lang w:eastAsia="zh-CN" w:bidi="ar"/>
                    </w:rPr>
                    <w:t>Nuclear-operating</w:t>
                  </w:r>
                </w:p>
              </w:tc>
              <w:tc>
                <w:tcPr>
                  <w:tcW w:w="1848" w:type="dxa"/>
                  <w:tcBorders>
                    <w:top w:val="nil"/>
                    <w:left w:val="nil"/>
                    <w:bottom w:val="nil"/>
                    <w:right w:val="nil"/>
                  </w:tcBorders>
                  <w:vAlign w:val="center"/>
                </w:tcPr>
                <w:p w14:paraId="0356CC67">
                  <w:pPr>
                    <w:jc w:val="center"/>
                    <w:textAlignment w:val="center"/>
                    <w:rPr>
                      <w:rFonts w:eastAsia="宋体" w:cs="Calibri"/>
                      <w:color w:val="000000"/>
                      <w:sz w:val="22"/>
                      <w:szCs w:val="22"/>
                    </w:rPr>
                  </w:pPr>
                  <w:r>
                    <w:rPr>
                      <w:rFonts w:eastAsia="宋体" w:cs="Calibri"/>
                      <w:color w:val="000000"/>
                      <w:sz w:val="22"/>
                      <w:szCs w:val="22"/>
                      <w:lang w:eastAsia="zh-CN" w:bidi="ar"/>
                    </w:rPr>
                    <w:t>$80-90</w:t>
                  </w:r>
                </w:p>
              </w:tc>
              <w:tc>
                <w:tcPr>
                  <w:tcW w:w="1800" w:type="dxa"/>
                  <w:tcBorders>
                    <w:top w:val="nil"/>
                    <w:left w:val="nil"/>
                    <w:bottom w:val="nil"/>
                    <w:right w:val="nil"/>
                  </w:tcBorders>
                  <w:noWrap/>
                  <w:vAlign w:val="center"/>
                </w:tcPr>
                <w:p w14:paraId="33EC3707">
                  <w:pPr>
                    <w:jc w:val="center"/>
                    <w:textAlignment w:val="center"/>
                    <w:rPr>
                      <w:rFonts w:eastAsia="宋体" w:cs="Calibri"/>
                      <w:color w:val="000000"/>
                      <w:sz w:val="22"/>
                      <w:szCs w:val="22"/>
                    </w:rPr>
                  </w:pPr>
                  <w:r>
                    <w:rPr>
                      <w:rFonts w:eastAsia="宋体" w:cs="Calibri"/>
                      <w:color w:val="000000"/>
                      <w:sz w:val="22"/>
                      <w:szCs w:val="22"/>
                      <w:lang w:eastAsia="zh-CN" w:bidi="ar"/>
                    </w:rPr>
                    <w:t>1-2 years*</w:t>
                  </w:r>
                </w:p>
              </w:tc>
              <w:tc>
                <w:tcPr>
                  <w:tcW w:w="1875" w:type="dxa"/>
                  <w:tcBorders>
                    <w:top w:val="nil"/>
                    <w:left w:val="nil"/>
                    <w:bottom w:val="nil"/>
                    <w:right w:val="nil"/>
                  </w:tcBorders>
                  <w:noWrap/>
                  <w:vAlign w:val="center"/>
                </w:tcPr>
                <w:p w14:paraId="0807D672">
                  <w:pPr>
                    <w:jc w:val="center"/>
                    <w:textAlignment w:val="center"/>
                    <w:rPr>
                      <w:rFonts w:eastAsia="宋体" w:cs="Calibri"/>
                      <w:color w:val="000000"/>
                      <w:sz w:val="22"/>
                      <w:szCs w:val="22"/>
                    </w:rPr>
                  </w:pPr>
                  <w:r>
                    <w:rPr>
                      <w:rFonts w:eastAsia="宋体" w:cs="Calibri"/>
                      <w:color w:val="000000"/>
                      <w:sz w:val="22"/>
                      <w:szCs w:val="22"/>
                      <w:lang w:eastAsia="zh-CN" w:bidi="ar"/>
                    </w:rPr>
                    <w:t>High</w:t>
                  </w:r>
                </w:p>
              </w:tc>
              <w:tc>
                <w:tcPr>
                  <w:tcW w:w="1893" w:type="dxa"/>
                  <w:tcBorders>
                    <w:top w:val="nil"/>
                    <w:left w:val="nil"/>
                    <w:bottom w:val="nil"/>
                    <w:right w:val="nil"/>
                  </w:tcBorders>
                  <w:noWrap/>
                  <w:vAlign w:val="center"/>
                </w:tcPr>
                <w:p w14:paraId="2FBA9128">
                  <w:pPr>
                    <w:tabs>
                      <w:tab w:val="left" w:pos="1440"/>
                    </w:tabs>
                    <w:jc w:val="center"/>
                    <w:textAlignment w:val="center"/>
                    <w:rPr>
                      <w:rFonts w:eastAsia="宋体" w:cs="Calibri"/>
                      <w:color w:val="000000"/>
                      <w:sz w:val="22"/>
                      <w:szCs w:val="22"/>
                    </w:rPr>
                  </w:pPr>
                  <w:r>
                    <w:rPr>
                      <w:rFonts w:eastAsia="宋体" w:cs="Calibri"/>
                      <w:color w:val="000000"/>
                      <w:sz w:val="22"/>
                      <w:szCs w:val="22"/>
                      <w:lang w:eastAsia="zh-CN" w:bidi="ar"/>
                    </w:rPr>
                    <w:t>Low</w:t>
                  </w:r>
                </w:p>
              </w:tc>
            </w:tr>
            <w:tr w14:paraId="75412492">
              <w:tblPrEx>
                <w:tblCellMar>
                  <w:top w:w="0" w:type="dxa"/>
                  <w:left w:w="108" w:type="dxa"/>
                  <w:bottom w:w="0" w:type="dxa"/>
                  <w:right w:w="108" w:type="dxa"/>
                </w:tblCellMar>
              </w:tblPrEx>
              <w:trPr>
                <w:trHeight w:val="288" w:hRule="atLeast"/>
              </w:trPr>
              <w:tc>
                <w:tcPr>
                  <w:tcW w:w="2880" w:type="dxa"/>
                  <w:tcBorders>
                    <w:top w:val="nil"/>
                    <w:left w:val="nil"/>
                    <w:bottom w:val="nil"/>
                    <w:right w:val="nil"/>
                  </w:tcBorders>
                  <w:noWrap/>
                  <w:vAlign w:val="center"/>
                </w:tcPr>
                <w:p w14:paraId="20A974EA">
                  <w:pPr>
                    <w:textAlignment w:val="center"/>
                    <w:rPr>
                      <w:rFonts w:eastAsia="宋体" w:cs="Calibri"/>
                      <w:b/>
                      <w:bCs/>
                      <w:color w:val="000000"/>
                      <w:sz w:val="22"/>
                      <w:szCs w:val="22"/>
                    </w:rPr>
                  </w:pPr>
                  <w:r>
                    <w:rPr>
                      <w:rFonts w:eastAsia="宋体" w:cs="Calibri"/>
                      <w:b/>
                      <w:bCs/>
                      <w:color w:val="000000"/>
                      <w:sz w:val="22"/>
                      <w:szCs w:val="22"/>
                      <w:lang w:eastAsia="zh-CN" w:bidi="ar"/>
                    </w:rPr>
                    <w:t>SMR</w:t>
                  </w:r>
                </w:p>
              </w:tc>
              <w:tc>
                <w:tcPr>
                  <w:tcW w:w="1848" w:type="dxa"/>
                  <w:tcBorders>
                    <w:top w:val="nil"/>
                    <w:left w:val="nil"/>
                    <w:bottom w:val="nil"/>
                    <w:right w:val="nil"/>
                  </w:tcBorders>
                  <w:noWrap/>
                  <w:vAlign w:val="center"/>
                </w:tcPr>
                <w:p w14:paraId="1FF6E9D6">
                  <w:pPr>
                    <w:jc w:val="center"/>
                    <w:textAlignment w:val="center"/>
                    <w:rPr>
                      <w:rFonts w:eastAsia="宋体" w:cs="Calibri"/>
                      <w:color w:val="000000"/>
                      <w:sz w:val="22"/>
                      <w:szCs w:val="22"/>
                    </w:rPr>
                  </w:pPr>
                  <w:r>
                    <w:rPr>
                      <w:rFonts w:eastAsia="宋体" w:cs="Calibri"/>
                      <w:color w:val="000000"/>
                      <w:sz w:val="22"/>
                      <w:szCs w:val="22"/>
                      <w:lang w:eastAsia="zh-CN" w:bidi="ar"/>
                    </w:rPr>
                    <w:t>$88-155</w:t>
                  </w:r>
                </w:p>
              </w:tc>
              <w:tc>
                <w:tcPr>
                  <w:tcW w:w="1800" w:type="dxa"/>
                  <w:tcBorders>
                    <w:top w:val="nil"/>
                    <w:left w:val="nil"/>
                    <w:bottom w:val="nil"/>
                    <w:right w:val="nil"/>
                  </w:tcBorders>
                  <w:noWrap/>
                  <w:vAlign w:val="center"/>
                </w:tcPr>
                <w:p w14:paraId="5E756C64">
                  <w:pPr>
                    <w:jc w:val="center"/>
                    <w:textAlignment w:val="center"/>
                    <w:rPr>
                      <w:rFonts w:eastAsia="宋体" w:cs="Calibri"/>
                      <w:color w:val="000000"/>
                      <w:sz w:val="22"/>
                      <w:szCs w:val="22"/>
                    </w:rPr>
                  </w:pPr>
                  <w:r>
                    <w:rPr>
                      <w:rFonts w:eastAsia="宋体" w:cs="Calibri"/>
                      <w:color w:val="000000"/>
                      <w:sz w:val="22"/>
                      <w:szCs w:val="22"/>
                      <w:lang w:eastAsia="zh-CN" w:bidi="ar"/>
                    </w:rPr>
                    <w:t>&gt;5 years</w:t>
                  </w:r>
                </w:p>
              </w:tc>
              <w:tc>
                <w:tcPr>
                  <w:tcW w:w="1875" w:type="dxa"/>
                  <w:tcBorders>
                    <w:top w:val="nil"/>
                    <w:left w:val="nil"/>
                    <w:bottom w:val="nil"/>
                    <w:right w:val="nil"/>
                  </w:tcBorders>
                  <w:noWrap/>
                  <w:vAlign w:val="center"/>
                </w:tcPr>
                <w:p w14:paraId="59CC1444">
                  <w:pPr>
                    <w:jc w:val="center"/>
                    <w:textAlignment w:val="center"/>
                    <w:rPr>
                      <w:rFonts w:eastAsia="宋体" w:cs="Calibri"/>
                      <w:color w:val="000000"/>
                      <w:sz w:val="22"/>
                      <w:szCs w:val="22"/>
                    </w:rPr>
                  </w:pPr>
                  <w:r>
                    <w:rPr>
                      <w:rFonts w:eastAsia="宋体" w:cs="Calibri"/>
                      <w:color w:val="000000"/>
                      <w:sz w:val="22"/>
                      <w:szCs w:val="22"/>
                      <w:lang w:eastAsia="zh-CN" w:bidi="ar"/>
                    </w:rPr>
                    <w:t>Small</w:t>
                  </w:r>
                </w:p>
              </w:tc>
              <w:tc>
                <w:tcPr>
                  <w:tcW w:w="1893" w:type="dxa"/>
                  <w:tcBorders>
                    <w:top w:val="nil"/>
                    <w:left w:val="nil"/>
                    <w:bottom w:val="nil"/>
                    <w:right w:val="nil"/>
                  </w:tcBorders>
                  <w:noWrap/>
                  <w:vAlign w:val="center"/>
                </w:tcPr>
                <w:p w14:paraId="053249AD">
                  <w:pPr>
                    <w:jc w:val="center"/>
                    <w:textAlignment w:val="center"/>
                    <w:rPr>
                      <w:rFonts w:eastAsia="宋体" w:cs="Calibri"/>
                      <w:color w:val="000000"/>
                      <w:sz w:val="22"/>
                      <w:szCs w:val="22"/>
                    </w:rPr>
                  </w:pPr>
                  <w:r>
                    <w:rPr>
                      <w:rFonts w:eastAsia="宋体" w:cs="Calibri"/>
                      <w:color w:val="000000"/>
                      <w:sz w:val="22"/>
                      <w:szCs w:val="22"/>
                      <w:lang w:eastAsia="zh-CN" w:bidi="ar"/>
                    </w:rPr>
                    <w:t>High</w:t>
                  </w:r>
                </w:p>
              </w:tc>
            </w:tr>
          </w:tbl>
          <w:p w14:paraId="5F24F41E">
            <w:pPr>
              <w:rPr>
                <w:rFonts w:eastAsia="楷体" w:cs="Calibri"/>
                <w:b/>
                <w:bCs/>
                <w:kern w:val="2"/>
                <w:sz w:val="22"/>
                <w:szCs w:val="22"/>
                <w:lang w:eastAsia="zh-CN"/>
              </w:rPr>
            </w:pPr>
          </w:p>
        </w:tc>
      </w:tr>
      <w:tr w14:paraId="5F7FD9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6" w:hRule="atLeast"/>
        </w:trPr>
        <w:tc>
          <w:tcPr>
            <w:tcW w:w="10340" w:type="dxa"/>
            <w:tcBorders>
              <w:top w:val="nil"/>
            </w:tcBorders>
          </w:tcPr>
          <w:p w14:paraId="0C09AC32">
            <w:pPr>
              <w:rPr>
                <w:rFonts w:eastAsia="楷体" w:cs="Calibri"/>
                <w:b/>
                <w:bCs/>
                <w:kern w:val="2"/>
              </w:rPr>
            </w:pPr>
            <w:r>
              <w:rPr>
                <w:rFonts w:eastAsia="楷体" w:cs="Calibri"/>
                <w:b/>
                <w:bCs/>
                <w:kern w:val="2"/>
                <w:lang w:eastAsia="zh-CN"/>
              </w:rPr>
              <w:t>*</w:t>
            </w:r>
            <w:r>
              <w:rPr>
                <w:rFonts w:eastAsia="楷体" w:cs="Calibri"/>
                <w:b/>
                <w:bCs/>
                <w:kern w:val="2"/>
              </w:rPr>
              <w:t>does not include interconnection queues and permiting delays that can add up to 5-7 years</w:t>
            </w:r>
          </w:p>
          <w:p w14:paraId="6A1FC2C4">
            <w:pPr>
              <w:rPr>
                <w:rFonts w:eastAsia="楷体" w:cs="Calibri"/>
                <w:b/>
                <w:bCs/>
                <w:kern w:val="2"/>
                <w:sz w:val="22"/>
                <w:szCs w:val="22"/>
              </w:rPr>
            </w:pPr>
            <w:r>
              <w:rPr>
                <w:rFonts w:eastAsia="楷体" w:cs="Calibri"/>
                <w:b/>
                <w:bCs/>
                <w:kern w:val="2"/>
                <w:sz w:val="22"/>
                <w:szCs w:val="22"/>
              </w:rPr>
              <w:t>Source：</w:t>
            </w:r>
            <w:r>
              <w:rPr>
                <w:rFonts w:eastAsia="楷体" w:cs="Calibri"/>
                <w:b/>
                <w:bCs/>
                <w:kern w:val="2"/>
                <w:sz w:val="22"/>
                <w:szCs w:val="22"/>
                <w:lang w:eastAsia="zh-CN"/>
              </w:rPr>
              <w:t>BloombergN</w:t>
            </w:r>
            <w:r>
              <w:rPr>
                <w:rFonts w:hint="eastAsia" w:eastAsia="楷体" w:cs="Calibri"/>
                <w:b/>
                <w:bCs/>
                <w:kern w:val="2"/>
                <w:sz w:val="22"/>
                <w:szCs w:val="22"/>
                <w:lang w:eastAsia="zh-CN"/>
              </w:rPr>
              <w:t>E</w:t>
            </w:r>
            <w:r>
              <w:rPr>
                <w:rFonts w:eastAsia="楷体" w:cs="Calibri"/>
                <w:b/>
                <w:bCs/>
                <w:kern w:val="2"/>
                <w:sz w:val="22"/>
                <w:szCs w:val="22"/>
                <w:lang w:eastAsia="zh-CN"/>
              </w:rPr>
              <w:t>F, Wood Mackenzie, NREL</w:t>
            </w:r>
            <w:r>
              <w:rPr>
                <w:rFonts w:eastAsia="楷体" w:cs="Calibri"/>
                <w:b/>
                <w:bCs/>
                <w:kern w:val="2"/>
                <w:sz w:val="22"/>
                <w:szCs w:val="22"/>
              </w:rPr>
              <w:t>, HFI</w:t>
            </w:r>
          </w:p>
        </w:tc>
      </w:tr>
    </w:tbl>
    <w:p w14:paraId="46D29BCE">
      <w:pPr>
        <w:rPr>
          <w:rFonts w:eastAsia="楷体" w:cs="Calibri"/>
          <w:kern w:val="2"/>
          <w:sz w:val="22"/>
          <w:szCs w:val="22"/>
          <w:lang w:eastAsia="zh-CN"/>
        </w:rPr>
      </w:pPr>
    </w:p>
    <w:p w14:paraId="18B018FC">
      <w:pPr>
        <w:rPr>
          <w:rFonts w:eastAsia="楷体" w:cs="Calibri"/>
          <w:kern w:val="2"/>
          <w:sz w:val="22"/>
          <w:szCs w:val="22"/>
          <w:lang w:eastAsia="zh-CN"/>
        </w:rPr>
      </w:pPr>
      <w:r>
        <w:rPr>
          <w:rFonts w:eastAsia="楷体" w:cs="Calibri"/>
          <w:kern w:val="2"/>
          <w:sz w:val="22"/>
          <w:szCs w:val="22"/>
          <w:lang w:eastAsia="zh-CN"/>
        </w:rPr>
        <w:t>The comparison suggests that data center developers are facing a balancing act. While DC developers evaluating more than just cost in technology decisions, SOFCs are structurally advantaged for DC applications offering higher efficiency, modularity and shorter lead times than gas turbines.</w:t>
      </w:r>
    </w:p>
    <w:p w14:paraId="36BB4BA5">
      <w:pPr>
        <w:rPr>
          <w:rFonts w:eastAsia="楷体" w:cs="Calibri"/>
          <w:kern w:val="2"/>
          <w:sz w:val="22"/>
          <w:szCs w:val="22"/>
          <w:lang w:eastAsia="zh-CN"/>
        </w:rPr>
      </w:pPr>
    </w:p>
    <w:p w14:paraId="4A51D973">
      <w:pPr>
        <w:numPr>
          <w:ilvl w:val="0"/>
          <w:numId w:val="3"/>
        </w:numPr>
        <w:rPr>
          <w:rFonts w:eastAsia="楷体" w:cs="Calibri"/>
          <w:kern w:val="2"/>
          <w:sz w:val="22"/>
          <w:szCs w:val="22"/>
          <w:lang w:eastAsia="zh-CN"/>
        </w:rPr>
      </w:pPr>
      <w:r>
        <w:rPr>
          <w:rFonts w:eastAsia="楷体" w:cs="Calibri"/>
          <w:b/>
          <w:bCs/>
          <w:kern w:val="2"/>
          <w:sz w:val="22"/>
          <w:szCs w:val="22"/>
          <w:lang w:eastAsia="zh-CN"/>
        </w:rPr>
        <w:t xml:space="preserve">Excellent time-to-power capacity: </w:t>
      </w:r>
      <w:r>
        <w:rPr>
          <w:rFonts w:eastAsia="楷体" w:cs="Calibri"/>
          <w:kern w:val="2"/>
          <w:sz w:val="22"/>
          <w:szCs w:val="22"/>
          <w:lang w:eastAsia="zh-CN"/>
        </w:rPr>
        <w:t>SOFC Orders can be deployed in a matter of months (or within 90 days in the case of Bloom Energy’s deal with Oracle), whereas utility connection can take years in some parts of the US and 3+ years lead times for gas turbines. Other distributed power options, such as solar-plus-BESS systems and operating nuclear plant co-location solutions, require extra regulatory approvals and potentially substantial land area.</w:t>
      </w:r>
    </w:p>
    <w:p w14:paraId="410FE8D1">
      <w:pPr>
        <w:rPr>
          <w:rFonts w:eastAsia="楷体" w:cs="Calibri"/>
          <w:kern w:val="2"/>
          <w:sz w:val="22"/>
          <w:szCs w:val="22"/>
          <w:lang w:eastAsia="zh-CN"/>
        </w:rPr>
      </w:pPr>
    </w:p>
    <w:p w14:paraId="1A63842D">
      <w:pPr>
        <w:rPr>
          <w:rFonts w:eastAsia="楷体" w:cs="Calibri"/>
          <w:kern w:val="2"/>
          <w:sz w:val="22"/>
          <w:szCs w:val="22"/>
          <w:lang w:eastAsia="zh-CN"/>
        </w:rPr>
      </w:pPr>
    </w:p>
    <w:p w14:paraId="76D27B8D">
      <w:pPr>
        <w:rPr>
          <w:rFonts w:eastAsia="楷体" w:cs="Calibri"/>
          <w:kern w:val="2"/>
          <w:sz w:val="22"/>
          <w:szCs w:val="22"/>
          <w:lang w:eastAsia="zh-CN"/>
        </w:rPr>
      </w:pPr>
    </w:p>
    <w:p w14:paraId="03DABBD3">
      <w:pPr>
        <w:rPr>
          <w:rFonts w:eastAsia="楷体" w:cs="Calibri"/>
          <w:kern w:val="2"/>
          <w:sz w:val="22"/>
          <w:szCs w:val="22"/>
          <w:lang w:eastAsia="zh-CN"/>
        </w:rPr>
      </w:pPr>
    </w:p>
    <w:p w14:paraId="79643AD5">
      <w:pPr>
        <w:rPr>
          <w:rFonts w:eastAsia="楷体" w:cs="Calibri"/>
          <w:kern w:val="2"/>
          <w:sz w:val="22"/>
          <w:szCs w:val="22"/>
          <w:lang w:eastAsia="zh-CN"/>
        </w:rPr>
      </w:pPr>
    </w:p>
    <w:p w14:paraId="1531EB87">
      <w:pPr>
        <w:rPr>
          <w:rFonts w:eastAsia="楷体" w:cs="Calibri"/>
          <w:kern w:val="2"/>
          <w:sz w:val="22"/>
          <w:szCs w:val="22"/>
          <w:lang w:eastAsia="zh-CN"/>
        </w:rPr>
      </w:pPr>
    </w:p>
    <w:p w14:paraId="37254E1E">
      <w:pPr>
        <w:rPr>
          <w:rFonts w:eastAsia="楷体" w:cs="Calibri"/>
          <w:kern w:val="2"/>
          <w:sz w:val="22"/>
          <w:szCs w:val="22"/>
          <w:lang w:eastAsia="zh-CN"/>
        </w:rPr>
      </w:pPr>
    </w:p>
    <w:tbl>
      <w:tblPr>
        <w:tblStyle w:val="20"/>
        <w:tblW w:w="7466" w:type="dxa"/>
        <w:tblInd w:w="0" w:type="dxa"/>
        <w:tblLayout w:type="fixed"/>
        <w:tblCellMar>
          <w:top w:w="0" w:type="dxa"/>
          <w:left w:w="108" w:type="dxa"/>
          <w:bottom w:w="0" w:type="dxa"/>
          <w:right w:w="108" w:type="dxa"/>
        </w:tblCellMar>
      </w:tblPr>
      <w:tblGrid>
        <w:gridCol w:w="7466"/>
      </w:tblGrid>
      <w:tr w14:paraId="0DC7EA6E">
        <w:trPr>
          <w:trHeight w:val="302" w:hRule="atLeast"/>
        </w:trPr>
        <w:tc>
          <w:tcPr>
            <w:tcW w:w="7466" w:type="dxa"/>
            <w:tcBorders>
              <w:top w:val="nil"/>
              <w:left w:val="nil"/>
              <w:bottom w:val="nil"/>
              <w:right w:val="nil"/>
            </w:tcBorders>
            <w:tcMar>
              <w:left w:w="0" w:type="dxa"/>
              <w:right w:w="28" w:type="dxa"/>
            </w:tcMar>
          </w:tcPr>
          <w:p w14:paraId="2D32B7F5">
            <w:pPr>
              <w:rPr>
                <w:rFonts w:eastAsia="楷体" w:cs="Calibri"/>
                <w:kern w:val="2"/>
                <w:sz w:val="22"/>
                <w:szCs w:val="22"/>
                <w:lang w:eastAsia="zh-CN"/>
              </w:rPr>
            </w:pPr>
            <w:r>
              <w:rPr>
                <w:rFonts w:eastAsia="楷体" w:cs="Calibri"/>
                <w:b/>
                <w:bCs/>
                <w:kern w:val="2"/>
                <w:sz w:val="22"/>
                <w:szCs w:val="22"/>
                <w:lang w:eastAsia="zh-CN"/>
              </w:rPr>
              <w:t>Figure: GEV’s massive gas turbines backlogs in 2028</w:t>
            </w:r>
          </w:p>
        </w:tc>
      </w:tr>
      <w:tr w14:paraId="481FD63B">
        <w:tblPrEx>
          <w:tblCellMar>
            <w:top w:w="0" w:type="dxa"/>
            <w:left w:w="108" w:type="dxa"/>
            <w:bottom w:w="0" w:type="dxa"/>
            <w:right w:w="108" w:type="dxa"/>
          </w:tblCellMar>
        </w:tblPrEx>
        <w:trPr>
          <w:trHeight w:val="708" w:hRule="atLeast"/>
        </w:trPr>
        <w:tc>
          <w:tcPr>
            <w:tcW w:w="7466" w:type="dxa"/>
            <w:tcBorders>
              <w:top w:val="nil"/>
              <w:left w:val="nil"/>
              <w:bottom w:val="nil"/>
              <w:right w:val="nil"/>
            </w:tcBorders>
            <w:vAlign w:val="center"/>
          </w:tcPr>
          <w:p w14:paraId="497928D2">
            <w:pPr>
              <w:rPr>
                <w:rFonts w:eastAsia="楷体" w:cs="Calibri"/>
                <w:kern w:val="2"/>
                <w:sz w:val="22"/>
                <w:szCs w:val="22"/>
                <w:lang w:eastAsia="zh-CN"/>
              </w:rPr>
            </w:pPr>
            <w:r>
              <w:rPr>
                <w:rFonts w:eastAsia="楷体" w:cs="Calibri"/>
                <w:kern w:val="2"/>
                <w:sz w:val="22"/>
                <w:szCs w:val="22"/>
                <w:lang w:eastAsia="zh-CN"/>
              </w:rPr>
              <w:drawing>
                <wp:inline distT="0" distB="0" distL="114300" distR="114300">
                  <wp:extent cx="2482215" cy="2421890"/>
                  <wp:effectExtent l="0" t="0" r="1905" b="1270"/>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44"/>
                          <a:stretch>
                            <a:fillRect/>
                          </a:stretch>
                        </pic:blipFill>
                        <pic:spPr>
                          <a:xfrm>
                            <a:off x="0" y="0"/>
                            <a:ext cx="2482215" cy="2421890"/>
                          </a:xfrm>
                          <a:prstGeom prst="rect">
                            <a:avLst/>
                          </a:prstGeom>
                          <a:noFill/>
                          <a:ln>
                            <a:noFill/>
                          </a:ln>
                        </pic:spPr>
                      </pic:pic>
                    </a:graphicData>
                  </a:graphic>
                </wp:inline>
              </w:drawing>
            </w:r>
          </w:p>
        </w:tc>
      </w:tr>
      <w:tr w14:paraId="7832AB77">
        <w:tblPrEx>
          <w:tblCellMar>
            <w:top w:w="0" w:type="dxa"/>
            <w:left w:w="108" w:type="dxa"/>
            <w:bottom w:w="0" w:type="dxa"/>
            <w:right w:w="108" w:type="dxa"/>
          </w:tblCellMar>
        </w:tblPrEx>
        <w:trPr>
          <w:trHeight w:val="64" w:hRule="atLeast"/>
        </w:trPr>
        <w:tc>
          <w:tcPr>
            <w:tcW w:w="7466" w:type="dxa"/>
            <w:tcBorders>
              <w:top w:val="nil"/>
              <w:left w:val="nil"/>
              <w:bottom w:val="nil"/>
              <w:right w:val="nil"/>
            </w:tcBorders>
            <w:tcMar>
              <w:left w:w="0" w:type="dxa"/>
              <w:right w:w="28" w:type="dxa"/>
            </w:tcMar>
            <w:vAlign w:val="center"/>
          </w:tcPr>
          <w:p w14:paraId="086A7C64">
            <w:pPr>
              <w:rPr>
                <w:rFonts w:eastAsia="楷体" w:cs="Calibri"/>
                <w:kern w:val="2"/>
                <w:sz w:val="22"/>
                <w:szCs w:val="22"/>
                <w:lang w:eastAsia="zh-CN"/>
              </w:rPr>
            </w:pPr>
            <w:r>
              <w:rPr>
                <w:rFonts w:eastAsia="楷体" w:cs="Calibri"/>
                <w:b/>
                <w:bCs/>
                <w:kern w:val="2"/>
                <w:sz w:val="22"/>
                <w:szCs w:val="22"/>
                <w:lang w:eastAsia="zh-CN"/>
              </w:rPr>
              <w:t>Source: GEV, HFI</w:t>
            </w:r>
          </w:p>
        </w:tc>
      </w:tr>
    </w:tbl>
    <w:p w14:paraId="4AE8FBB3">
      <w:pPr>
        <w:rPr>
          <w:rFonts w:eastAsia="楷体" w:cs="Calibri"/>
          <w:kern w:val="2"/>
          <w:sz w:val="22"/>
          <w:szCs w:val="22"/>
          <w:lang w:eastAsia="zh-CN"/>
        </w:rPr>
      </w:pPr>
    </w:p>
    <w:p w14:paraId="670CEB73">
      <w:pPr>
        <w:numPr>
          <w:ilvl w:val="0"/>
          <w:numId w:val="3"/>
        </w:numPr>
        <w:rPr>
          <w:rFonts w:eastAsia="楷体" w:cs="Calibri"/>
          <w:kern w:val="2"/>
          <w:sz w:val="22"/>
          <w:szCs w:val="22"/>
          <w:lang w:eastAsia="zh-CN"/>
        </w:rPr>
      </w:pPr>
      <w:r>
        <w:rPr>
          <w:rFonts w:eastAsia="楷体" w:cs="Calibri"/>
          <w:b/>
          <w:bCs/>
          <w:kern w:val="2"/>
          <w:sz w:val="22"/>
          <w:szCs w:val="22"/>
          <w:lang w:eastAsia="zh-CN"/>
        </w:rPr>
        <w:t>Higher Efficiency:</w:t>
      </w:r>
      <w:r>
        <w:rPr>
          <w:rFonts w:eastAsia="楷体" w:cs="Calibri"/>
          <w:kern w:val="2"/>
          <w:sz w:val="22"/>
          <w:szCs w:val="22"/>
          <w:lang w:eastAsia="zh-CN"/>
        </w:rPr>
        <w:t xml:space="preserve"> SOFCs convert chemical energy directly into electricity via electrochemical reactions, bypassing the thermal losses of combustion engines. This allows them to achieve electrical efficiencies exceeding 60%, which makes up for higher OpEx from a shorter designed lifecycle of 5-7 years. Crucially, SOFCs maintain high efficiency during "part-load" operations, whereas gas turbines suffer significant efficiency drops when not running at peak capacity.</w:t>
      </w:r>
    </w:p>
    <w:p w14:paraId="75B18A6B">
      <w:pPr>
        <w:rPr>
          <w:rFonts w:eastAsia="楷体" w:cs="Calibri"/>
          <w:kern w:val="2"/>
          <w:sz w:val="22"/>
          <w:szCs w:val="22"/>
          <w:lang w:eastAsia="zh-CN"/>
        </w:rPr>
      </w:pPr>
    </w:p>
    <w:p w14:paraId="37181D70">
      <w:pPr>
        <w:numPr>
          <w:ilvl w:val="0"/>
          <w:numId w:val="4"/>
        </w:numPr>
        <w:rPr>
          <w:rFonts w:eastAsia="楷体" w:cs="Calibri"/>
          <w:kern w:val="2"/>
          <w:sz w:val="22"/>
          <w:szCs w:val="22"/>
          <w:lang w:eastAsia="zh-CN"/>
        </w:rPr>
      </w:pPr>
      <w:r>
        <w:rPr>
          <w:rFonts w:eastAsia="楷体" w:cs="Calibri"/>
          <w:b/>
          <w:bCs/>
          <w:kern w:val="2"/>
          <w:sz w:val="22"/>
          <w:szCs w:val="22"/>
          <w:lang w:eastAsia="zh-CN"/>
        </w:rPr>
        <w:t>Modularity:</w:t>
      </w:r>
      <w:r>
        <w:rPr>
          <w:rFonts w:eastAsia="楷体" w:cs="Calibri"/>
          <w:kern w:val="2"/>
          <w:sz w:val="22"/>
          <w:szCs w:val="22"/>
          <w:lang w:eastAsia="zh-CN"/>
        </w:rPr>
        <w:t xml:space="preserve"> Built from scalable, independent power stacks, SOFCs offer a "Lego-like" architecture. This allows operators to add power capacity in small increments to match IT load growth, preventing the massive upfront over-provisioning required by large turbines. This modularity also enhances redundancy; a single module failure does not compromise the entire facility's uptime.</w:t>
      </w:r>
    </w:p>
    <w:tbl>
      <w:tblPr>
        <w:tblStyle w:val="21"/>
        <w:tblpPr w:leftFromText="180" w:rightFromText="180" w:vertAnchor="text" w:horzAnchor="page" w:tblpX="1041" w:tblpY="255"/>
        <w:tblOverlap w:val="never"/>
        <w:tblW w:w="102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0"/>
      </w:tblGrid>
      <w:tr w14:paraId="0BBBFD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37" w:hRule="atLeast"/>
        </w:trPr>
        <w:tc>
          <w:tcPr>
            <w:tcW w:w="10200" w:type="dxa"/>
            <w:tcBorders>
              <w:bottom w:val="single" w:color="023F97" w:sz="4" w:space="0"/>
            </w:tcBorders>
          </w:tcPr>
          <w:p w14:paraId="332E2130">
            <w:pPr>
              <w:rPr>
                <w:rFonts w:eastAsia="楷体" w:cs="Calibri"/>
                <w:b/>
                <w:bCs/>
                <w:kern w:val="2"/>
                <w:sz w:val="20"/>
                <w:szCs w:val="20"/>
                <w:lang w:eastAsia="zh-CN"/>
              </w:rPr>
            </w:pPr>
            <w:r>
              <w:rPr>
                <w:rFonts w:eastAsia="楷体" w:cs="Calibri"/>
                <w:b/>
                <w:bCs/>
                <w:kern w:val="2"/>
                <w:sz w:val="20"/>
                <w:szCs w:val="20"/>
                <w:lang w:eastAsia="zh-CN"/>
              </w:rPr>
              <w:t>Figure: BE’s product modularity</w:t>
            </w:r>
          </w:p>
        </w:tc>
      </w:tr>
      <w:tr w14:paraId="55375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98" w:hRule="atLeast"/>
        </w:trPr>
        <w:tc>
          <w:tcPr>
            <w:tcW w:w="10200" w:type="dxa"/>
            <w:tcBorders>
              <w:top w:val="single" w:color="023F97" w:sz="4" w:space="0"/>
              <w:bottom w:val="single" w:color="023F97" w:sz="4" w:space="0"/>
            </w:tcBorders>
            <w:tcMar>
              <w:top w:w="28" w:type="dxa"/>
              <w:bottom w:w="28" w:type="dxa"/>
            </w:tcMar>
            <w:vAlign w:val="center"/>
          </w:tcPr>
          <w:p w14:paraId="45FB4FF5">
            <w:pPr>
              <w:rPr>
                <w:rFonts w:eastAsia="楷体" w:cs="Calibri"/>
                <w:b/>
                <w:bCs/>
                <w:kern w:val="2"/>
                <w:sz w:val="20"/>
                <w:szCs w:val="20"/>
                <w:lang w:eastAsia="zh-CN"/>
              </w:rPr>
            </w:pPr>
            <w:r>
              <w:rPr>
                <w:rFonts w:eastAsia="楷体" w:cs="Calibri"/>
                <w:b/>
                <w:bCs/>
                <w:kern w:val="2"/>
                <w:sz w:val="20"/>
                <w:szCs w:val="20"/>
                <w:lang w:eastAsia="zh-CN"/>
              </w:rPr>
              <w:drawing>
                <wp:inline distT="0" distB="0" distL="114300" distR="114300">
                  <wp:extent cx="6330315" cy="1047115"/>
                  <wp:effectExtent l="0" t="0" r="9525" b="4445"/>
                  <wp:docPr id="2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9"/>
                          <pic:cNvPicPr>
                            <a:picLocks noChangeAspect="1"/>
                          </pic:cNvPicPr>
                        </pic:nvPicPr>
                        <pic:blipFill>
                          <a:blip r:embed="rId45"/>
                          <a:stretch>
                            <a:fillRect/>
                          </a:stretch>
                        </pic:blipFill>
                        <pic:spPr>
                          <a:xfrm>
                            <a:off x="0" y="0"/>
                            <a:ext cx="6330315" cy="1047115"/>
                          </a:xfrm>
                          <a:prstGeom prst="rect">
                            <a:avLst/>
                          </a:prstGeom>
                          <a:noFill/>
                          <a:ln>
                            <a:noFill/>
                          </a:ln>
                        </pic:spPr>
                      </pic:pic>
                    </a:graphicData>
                  </a:graphic>
                </wp:inline>
              </w:drawing>
            </w:r>
          </w:p>
        </w:tc>
      </w:tr>
      <w:tr w14:paraId="7CB353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atLeast"/>
        </w:trPr>
        <w:tc>
          <w:tcPr>
            <w:tcW w:w="10200" w:type="dxa"/>
            <w:tcBorders>
              <w:top w:val="single" w:color="023F97" w:sz="4" w:space="0"/>
            </w:tcBorders>
          </w:tcPr>
          <w:p w14:paraId="46350FFE">
            <w:pPr>
              <w:rPr>
                <w:rFonts w:eastAsia="楷体" w:cs="Calibri"/>
                <w:b/>
                <w:bCs/>
                <w:kern w:val="2"/>
                <w:sz w:val="20"/>
                <w:szCs w:val="20"/>
                <w:lang w:eastAsia="zh-CN"/>
              </w:rPr>
            </w:pPr>
            <w:r>
              <w:rPr>
                <w:rFonts w:eastAsia="楷体" w:cs="Calibri"/>
                <w:b/>
                <w:bCs/>
                <w:kern w:val="2"/>
                <w:sz w:val="20"/>
                <w:szCs w:val="20"/>
                <w:lang w:eastAsia="zh-CN"/>
              </w:rPr>
              <w:t>Source：Company, HFI</w:t>
            </w:r>
          </w:p>
        </w:tc>
      </w:tr>
    </w:tbl>
    <w:p w14:paraId="06A6631E">
      <w:pPr>
        <w:pStyle w:val="2"/>
        <w:spacing w:before="240" w:beforeLines="100" w:after="240" w:afterLines="100"/>
        <w:jc w:val="both"/>
        <w:rPr>
          <w:rFonts w:ascii="Calibri" w:hAnsi="Calibri" w:eastAsia="楷体" w:cs="Calibri"/>
          <w:b/>
          <w:bCs/>
          <w:color w:val="23558C"/>
          <w:sz w:val="28"/>
          <w:szCs w:val="28"/>
          <w:lang w:eastAsia="zh-CN"/>
        </w:rPr>
      </w:pPr>
      <w:bookmarkStart w:id="12" w:name="_Toc30579"/>
    </w:p>
    <w:p w14:paraId="3835312B">
      <w:pPr>
        <w:pStyle w:val="2"/>
        <w:spacing w:before="240" w:beforeLines="100" w:after="240" w:afterLines="100"/>
        <w:jc w:val="both"/>
        <w:rPr>
          <w:rFonts w:ascii="Calibri" w:hAnsi="Calibri" w:eastAsia="楷体_GB2312" w:cs="Calibri"/>
          <w:b/>
          <w:bCs/>
          <w:color w:val="23558C"/>
          <w:sz w:val="28"/>
          <w:szCs w:val="28"/>
        </w:rPr>
      </w:pPr>
      <w:r>
        <w:rPr>
          <w:rFonts w:ascii="Calibri" w:hAnsi="Calibri" w:eastAsia="楷体" w:cs="Calibri"/>
          <w:b/>
          <w:bCs/>
          <w:color w:val="23558C"/>
          <w:sz w:val="28"/>
          <w:szCs w:val="28"/>
          <w:lang w:eastAsia="zh-CN"/>
        </w:rPr>
        <w:t>3</w:t>
      </w:r>
      <w:r>
        <w:rPr>
          <w:rFonts w:hint="eastAsia" w:ascii="Calibri" w:hAnsi="Calibri" w:eastAsia="楷体" w:cs="Calibri"/>
          <w:b/>
          <w:bCs/>
          <w:color w:val="23558C"/>
          <w:sz w:val="28"/>
          <w:szCs w:val="28"/>
          <w:lang w:eastAsia="zh-CN"/>
        </w:rPr>
        <w:t>.</w:t>
      </w:r>
      <w:r>
        <w:rPr>
          <w:rFonts w:ascii="Calibri" w:hAnsi="Calibri" w:eastAsia="楷体" w:cs="Calibri"/>
          <w:b/>
          <w:bCs/>
          <w:color w:val="23558C"/>
          <w:sz w:val="28"/>
          <w:szCs w:val="28"/>
          <w:lang w:eastAsia="zh-CN"/>
        </w:rPr>
        <w:t xml:space="preserve"> Bloom Is Set to Bloom</w:t>
      </w:r>
      <w:bookmarkEnd w:id="12"/>
      <w:r>
        <w:rPr>
          <w:rFonts w:ascii="Calibri" w:hAnsi="Calibri" w:eastAsia="楷体" w:cs="Calibri"/>
          <w:b/>
          <w:bCs/>
          <w:color w:val="23558C"/>
          <w:sz w:val="28"/>
          <w:szCs w:val="28"/>
          <w:lang w:eastAsia="zh-CN"/>
        </w:rPr>
        <w:t xml:space="preserve"> </w:t>
      </w:r>
    </w:p>
    <w:p w14:paraId="6BAC0C18">
      <w:pPr>
        <w:rPr>
          <w:rFonts w:eastAsia="楷体" w:cs="Calibri"/>
          <w:kern w:val="2"/>
          <w:sz w:val="22"/>
          <w:szCs w:val="22"/>
        </w:rPr>
      </w:pPr>
      <w:r>
        <w:rPr>
          <w:rFonts w:eastAsia="楷体" w:cs="Calibri"/>
          <w:kern w:val="2"/>
          <w:sz w:val="22"/>
          <w:szCs w:val="22"/>
        </w:rPr>
        <w:t>we are bullish on Bloom into 2026 on</w:t>
      </w:r>
      <w:r>
        <w:rPr>
          <w:rFonts w:eastAsia="楷体" w:cs="Calibri"/>
          <w:kern w:val="2"/>
          <w:sz w:val="22"/>
          <w:szCs w:val="22"/>
          <w:lang w:eastAsia="zh-CN"/>
        </w:rPr>
        <w:t xml:space="preserve"> increased demand for micro-grid solutions that offer 24x7 power,</w:t>
      </w:r>
      <w:r>
        <w:rPr>
          <w:rFonts w:eastAsia="楷体" w:cs="Calibri"/>
          <w:kern w:val="2"/>
          <w:sz w:val="22"/>
          <w:szCs w:val="22"/>
        </w:rPr>
        <w:t xml:space="preserve"> execution against building the backlog, </w:t>
      </w:r>
      <w:r>
        <w:rPr>
          <w:rFonts w:eastAsia="楷体" w:cs="Calibri"/>
          <w:kern w:val="2"/>
          <w:sz w:val="22"/>
          <w:szCs w:val="22"/>
          <w:lang w:eastAsia="zh-CN"/>
        </w:rPr>
        <w:t>and further increased penetration</w:t>
      </w:r>
      <w:r>
        <w:rPr>
          <w:rFonts w:eastAsia="楷体" w:cs="Calibri"/>
          <w:kern w:val="2"/>
          <w:sz w:val="22"/>
          <w:szCs w:val="22"/>
        </w:rPr>
        <w:t xml:space="preserve">. We see a substantial power bottleneck emerging in the next 3 years and would expect to see further evidence of this trend in 2026 as utility interconnect times get longer, onsite power solutions are pursued more broadly, and power prices rise in the market. </w:t>
      </w:r>
    </w:p>
    <w:p w14:paraId="30574986">
      <w:pPr>
        <w:tabs>
          <w:tab w:val="left" w:pos="320"/>
        </w:tabs>
        <w:rPr>
          <w:rFonts w:eastAsia="楷体" w:cs="Calibri"/>
          <w:kern w:val="2"/>
          <w:sz w:val="22"/>
          <w:szCs w:val="22"/>
        </w:rPr>
        <w:sectPr>
          <w:pgSz w:w="11910" w:h="16840"/>
          <w:pgMar w:top="567" w:right="567" w:bottom="1021" w:left="3440" w:header="567" w:footer="919" w:gutter="0"/>
          <w:cols w:space="425" w:num="1"/>
          <w:docGrid w:linePitch="299" w:charSpace="0"/>
        </w:sectPr>
      </w:pPr>
    </w:p>
    <w:p w14:paraId="74BB1451">
      <w:pPr>
        <w:outlineLvl w:val="1"/>
        <w:rPr>
          <w:rFonts w:eastAsia="楷体" w:cs="Calibri"/>
          <w:b/>
          <w:bCs/>
          <w:color w:val="23558C"/>
          <w:kern w:val="2"/>
          <w:sz w:val="24"/>
          <w:szCs w:val="24"/>
        </w:rPr>
      </w:pPr>
      <w:bookmarkStart w:id="13" w:name="_Toc9281"/>
      <w:r>
        <w:rPr>
          <w:rFonts w:eastAsia="楷体" w:cs="Calibri"/>
          <w:b/>
          <w:bCs/>
          <w:color w:val="23558C"/>
          <w:kern w:val="2"/>
          <w:sz w:val="24"/>
          <w:szCs w:val="24"/>
        </w:rPr>
        <w:t xml:space="preserve">3.1 Building and </w:t>
      </w:r>
      <w:r>
        <w:rPr>
          <w:rFonts w:eastAsia="楷体" w:cs="Calibri"/>
          <w:b/>
          <w:bCs/>
          <w:color w:val="23558C"/>
          <w:kern w:val="2"/>
          <w:sz w:val="24"/>
          <w:szCs w:val="24"/>
          <w:lang w:eastAsia="zh-CN"/>
        </w:rPr>
        <w:t>e</w:t>
      </w:r>
      <w:r>
        <w:rPr>
          <w:rFonts w:eastAsia="楷体" w:cs="Calibri"/>
          <w:b/>
          <w:bCs/>
          <w:color w:val="23558C"/>
          <w:kern w:val="2"/>
          <w:sz w:val="24"/>
          <w:szCs w:val="24"/>
        </w:rPr>
        <w:t xml:space="preserve">xecuting on </w:t>
      </w:r>
      <w:r>
        <w:rPr>
          <w:rFonts w:eastAsia="楷体" w:cs="Calibri"/>
          <w:b/>
          <w:bCs/>
          <w:color w:val="23558C"/>
          <w:kern w:val="2"/>
          <w:sz w:val="24"/>
          <w:szCs w:val="24"/>
          <w:lang w:eastAsia="zh-CN"/>
        </w:rPr>
        <w:t>o</w:t>
      </w:r>
      <w:r>
        <w:rPr>
          <w:rFonts w:eastAsia="楷体" w:cs="Calibri"/>
          <w:b/>
          <w:bCs/>
          <w:color w:val="23558C"/>
          <w:kern w:val="2"/>
          <w:sz w:val="24"/>
          <w:szCs w:val="24"/>
        </w:rPr>
        <w:t xml:space="preserve">rder </w:t>
      </w:r>
      <w:r>
        <w:rPr>
          <w:rFonts w:eastAsia="楷体" w:cs="Calibri"/>
          <w:b/>
          <w:bCs/>
          <w:color w:val="23558C"/>
          <w:kern w:val="2"/>
          <w:sz w:val="24"/>
          <w:szCs w:val="24"/>
          <w:lang w:eastAsia="zh-CN"/>
        </w:rPr>
        <w:t>b</w:t>
      </w:r>
      <w:r>
        <w:rPr>
          <w:rFonts w:eastAsia="楷体" w:cs="Calibri"/>
          <w:b/>
          <w:bCs/>
          <w:color w:val="23558C"/>
          <w:kern w:val="2"/>
          <w:sz w:val="24"/>
          <w:szCs w:val="24"/>
        </w:rPr>
        <w:t>acklog</w:t>
      </w:r>
      <w:bookmarkEnd w:id="13"/>
    </w:p>
    <w:p w14:paraId="48075B0A">
      <w:pPr>
        <w:rPr>
          <w:rFonts w:eastAsia="楷体" w:cs="Calibri"/>
          <w:kern w:val="2"/>
          <w:sz w:val="22"/>
          <w:szCs w:val="22"/>
        </w:rPr>
      </w:pPr>
    </w:p>
    <w:p w14:paraId="5D3C72F6">
      <w:pPr>
        <w:rPr>
          <w:rFonts w:eastAsia="楷体" w:cs="Calibri"/>
          <w:kern w:val="2"/>
          <w:sz w:val="22"/>
          <w:szCs w:val="22"/>
          <w:lang w:eastAsia="zh-CN"/>
        </w:rPr>
      </w:pPr>
      <w:r>
        <w:rPr>
          <w:rFonts w:eastAsia="楷体" w:cs="Calibri"/>
          <w:b/>
          <w:bCs/>
          <w:kern w:val="2"/>
          <w:sz w:val="22"/>
          <w:szCs w:val="22"/>
        </w:rPr>
        <w:t>Building and Executing on Order Backlog:</w:t>
      </w:r>
      <w:r>
        <w:rPr>
          <w:rFonts w:eastAsia="楷体" w:cs="Calibri"/>
          <w:b/>
          <w:bCs/>
          <w:kern w:val="2"/>
          <w:sz w:val="22"/>
          <w:szCs w:val="22"/>
          <w:lang w:eastAsia="zh-CN"/>
        </w:rPr>
        <w:t xml:space="preserve"> </w:t>
      </w:r>
      <w:r>
        <w:rPr>
          <w:rFonts w:eastAsia="楷体" w:cs="Calibri"/>
          <w:kern w:val="2"/>
          <w:sz w:val="22"/>
          <w:szCs w:val="22"/>
          <w:lang w:eastAsia="zh-CN"/>
        </w:rPr>
        <w:t>BE</w:t>
      </w:r>
      <w:r>
        <w:rPr>
          <w:rFonts w:eastAsia="楷体" w:cs="Calibri"/>
          <w:kern w:val="2"/>
          <w:sz w:val="22"/>
          <w:szCs w:val="22"/>
        </w:rPr>
        <w:t xml:space="preserve"> is poised to showcase robust execution in delivering on its expanding backlog, fueled by key high-profile contracts secured in 2025. </w:t>
      </w:r>
      <w:r>
        <w:rPr>
          <w:rFonts w:eastAsia="楷体" w:cs="Calibri"/>
          <w:kern w:val="2"/>
          <w:sz w:val="22"/>
          <w:szCs w:val="22"/>
          <w:lang w:eastAsia="zh-CN"/>
        </w:rPr>
        <w:t xml:space="preserve">BE delivered volumes for first ORCL site within 55 days (revenue recognized in 3Q) vs 90 day commitment. We think smooth execution here could lead to follow-on orders with Oracle, and the company indicated it is working on multiple potential project opportunities with Oracle. </w:t>
      </w:r>
      <w:r>
        <w:rPr>
          <w:rFonts w:eastAsia="楷体" w:cs="Calibri"/>
          <w:kern w:val="2"/>
          <w:sz w:val="22"/>
          <w:szCs w:val="22"/>
        </w:rPr>
        <w:t>Brookfield</w:t>
      </w:r>
      <w:r>
        <w:rPr>
          <w:rFonts w:eastAsia="楷体" w:cs="Calibri"/>
          <w:kern w:val="2"/>
          <w:sz w:val="22"/>
          <w:szCs w:val="22"/>
          <w:lang w:eastAsia="zh-CN"/>
        </w:rPr>
        <w:t xml:space="preserve"> also</w:t>
      </w:r>
      <w:r>
        <w:rPr>
          <w:rFonts w:eastAsia="楷体" w:cs="Calibri"/>
          <w:kern w:val="2"/>
          <w:sz w:val="22"/>
          <w:szCs w:val="22"/>
        </w:rPr>
        <w:t xml:space="preserve"> plans to announce a Bloom-powered European AI inference data center project by the end of the year</w:t>
      </w:r>
      <w:r>
        <w:rPr>
          <w:rFonts w:eastAsia="楷体" w:cs="Calibri"/>
          <w:kern w:val="2"/>
          <w:sz w:val="22"/>
          <w:szCs w:val="22"/>
          <w:lang w:eastAsia="zh-CN"/>
        </w:rPr>
        <w:t xml:space="preserve"> and may </w:t>
      </w:r>
      <w:r>
        <w:rPr>
          <w:rFonts w:eastAsia="楷体" w:cs="Calibri"/>
          <w:kern w:val="2"/>
          <w:sz w:val="22"/>
          <w:szCs w:val="22"/>
        </w:rPr>
        <w:t xml:space="preserve">want to triple </w:t>
      </w:r>
      <w:r>
        <w:rPr>
          <w:rFonts w:eastAsia="楷体" w:cs="Calibri"/>
          <w:kern w:val="2"/>
          <w:sz w:val="22"/>
          <w:szCs w:val="22"/>
          <w:lang w:eastAsia="zh-CN"/>
        </w:rPr>
        <w:t xml:space="preserve">the investment </w:t>
      </w:r>
      <w:r>
        <w:rPr>
          <w:rFonts w:eastAsia="楷体" w:cs="Calibri"/>
          <w:kern w:val="2"/>
          <w:sz w:val="22"/>
          <w:szCs w:val="22"/>
        </w:rPr>
        <w:t xml:space="preserve">very quickly in the next two to three years. </w:t>
      </w:r>
      <w:r>
        <w:rPr>
          <w:rFonts w:eastAsia="楷体" w:cs="Calibri"/>
          <w:kern w:val="2"/>
          <w:sz w:val="22"/>
          <w:szCs w:val="22"/>
          <w:lang w:eastAsia="zh-CN"/>
        </w:rPr>
        <w:t>N</w:t>
      </w:r>
      <w:r>
        <w:rPr>
          <w:rFonts w:eastAsia="楷体" w:cs="Calibri"/>
          <w:kern w:val="2"/>
          <w:sz w:val="22"/>
          <w:szCs w:val="22"/>
        </w:rPr>
        <w:t xml:space="preserve">otable signs of advancement </w:t>
      </w:r>
      <w:r>
        <w:rPr>
          <w:rFonts w:eastAsia="楷体" w:cs="Calibri"/>
          <w:kern w:val="2"/>
          <w:sz w:val="22"/>
          <w:szCs w:val="22"/>
          <w:lang w:eastAsia="zh-CN"/>
        </w:rPr>
        <w:t xml:space="preserve">of the agreement with AEP regarding the remaining 900MW orders </w:t>
      </w:r>
      <w:r>
        <w:rPr>
          <w:rFonts w:eastAsia="楷体" w:cs="Calibri"/>
          <w:kern w:val="2"/>
          <w:sz w:val="22"/>
          <w:szCs w:val="22"/>
        </w:rPr>
        <w:t xml:space="preserve">surfaced in 2025, including regulatory approvals, </w:t>
      </w:r>
      <w:r>
        <w:rPr>
          <w:rFonts w:eastAsia="楷体" w:cs="Calibri"/>
          <w:kern w:val="2"/>
          <w:sz w:val="22"/>
          <w:szCs w:val="22"/>
          <w:lang w:eastAsia="zh-CN"/>
        </w:rPr>
        <w:t xml:space="preserve">may also lead to </w:t>
      </w:r>
      <w:r>
        <w:rPr>
          <w:rFonts w:eastAsia="楷体" w:cs="Calibri"/>
          <w:kern w:val="2"/>
          <w:sz w:val="22"/>
          <w:szCs w:val="22"/>
        </w:rPr>
        <w:t xml:space="preserve">further expansion orders to roll out </w:t>
      </w:r>
      <w:r>
        <w:rPr>
          <w:rFonts w:eastAsia="楷体" w:cs="Calibri"/>
          <w:kern w:val="2"/>
          <w:sz w:val="22"/>
          <w:szCs w:val="22"/>
          <w:lang w:eastAsia="zh-CN"/>
        </w:rPr>
        <w:t>going forward</w:t>
      </w:r>
      <w:r>
        <w:rPr>
          <w:rFonts w:eastAsia="楷体" w:cs="Calibri"/>
          <w:kern w:val="2"/>
          <w:sz w:val="22"/>
          <w:szCs w:val="22"/>
        </w:rPr>
        <w:t>.</w:t>
      </w:r>
    </w:p>
    <w:p w14:paraId="73132985">
      <w:pPr>
        <w:rPr>
          <w:rFonts w:eastAsia="楷体" w:cs="Calibri"/>
          <w:color w:val="23558C"/>
          <w:kern w:val="2"/>
          <w:sz w:val="22"/>
          <w:szCs w:val="22"/>
        </w:rPr>
      </w:pPr>
    </w:p>
    <w:p w14:paraId="412CD192">
      <w:pPr>
        <w:outlineLvl w:val="1"/>
        <w:rPr>
          <w:rFonts w:eastAsia="楷体" w:cs="Calibri"/>
          <w:b/>
          <w:bCs/>
          <w:color w:val="23558C"/>
          <w:kern w:val="2"/>
          <w:sz w:val="24"/>
          <w:szCs w:val="24"/>
          <w:lang w:eastAsia="zh-CN"/>
        </w:rPr>
      </w:pPr>
      <w:bookmarkStart w:id="14" w:name="_Toc30584"/>
      <w:r>
        <w:rPr>
          <w:rFonts w:eastAsia="楷体" w:cs="Calibri"/>
          <w:b/>
          <w:bCs/>
          <w:color w:val="23558C"/>
          <w:kern w:val="2"/>
          <w:sz w:val="24"/>
          <w:szCs w:val="24"/>
        </w:rPr>
        <w:t>3.</w:t>
      </w:r>
      <w:r>
        <w:rPr>
          <w:rFonts w:eastAsia="楷体" w:cs="Calibri"/>
          <w:b/>
          <w:bCs/>
          <w:color w:val="23558C"/>
          <w:kern w:val="2"/>
          <w:sz w:val="24"/>
          <w:szCs w:val="24"/>
          <w:lang w:eastAsia="zh-CN"/>
        </w:rPr>
        <w:t>2 A new “go-to-market” strategy</w:t>
      </w:r>
      <w:bookmarkEnd w:id="14"/>
    </w:p>
    <w:p w14:paraId="6F70AA6C">
      <w:pPr>
        <w:rPr>
          <w:rFonts w:eastAsia="楷体" w:cs="Calibri"/>
          <w:kern w:val="2"/>
          <w:sz w:val="22"/>
          <w:szCs w:val="22"/>
          <w:lang w:eastAsia="zh-CN"/>
        </w:rPr>
      </w:pPr>
    </w:p>
    <w:p w14:paraId="5046F003">
      <w:pPr>
        <w:rPr>
          <w:rFonts w:eastAsia="楷体" w:cs="Calibri"/>
          <w:kern w:val="2"/>
          <w:sz w:val="22"/>
          <w:szCs w:val="22"/>
          <w:lang w:eastAsia="zh-CN"/>
        </w:rPr>
      </w:pPr>
      <w:r>
        <w:rPr>
          <w:rFonts w:eastAsia="楷体" w:cs="Calibri"/>
          <w:b/>
          <w:bCs/>
          <w:kern w:val="2"/>
          <w:sz w:val="22"/>
          <w:szCs w:val="22"/>
          <w:lang w:eastAsia="zh-CN"/>
        </w:rPr>
        <w:t xml:space="preserve">A new “go-to-market” stategy: </w:t>
      </w:r>
      <w:r>
        <w:rPr>
          <w:rFonts w:eastAsia="楷体" w:cs="Calibri"/>
          <w:kern w:val="2"/>
          <w:sz w:val="22"/>
          <w:szCs w:val="22"/>
          <w:lang w:eastAsia="zh-CN"/>
        </w:rPr>
        <w:t xml:space="preserve">Bloom Energy (BE) has introduced a novel go-to-market strategy by securing a Q3 agreement with a major gas provider. Under this deal, the provider will utilize BE’s fuel cells to convert natural gas into onsite electricity for a hyperscale data center. This aligns with a growing trend where oil and gas firms, such as Williams (WMB) and Liberty Energy (LBRT), are exploring fuel cells for data center power. We view this contract as a significant validation of </w:t>
      </w:r>
      <w:r>
        <w:rPr>
          <w:rFonts w:hint="eastAsia" w:eastAsia="楷体" w:cs="Calibri"/>
          <w:kern w:val="2"/>
          <w:sz w:val="22"/>
          <w:szCs w:val="22"/>
          <w:lang w:eastAsia="zh-CN"/>
        </w:rPr>
        <w:t>BE</w:t>
      </w:r>
      <w:r>
        <w:rPr>
          <w:rFonts w:eastAsia="楷体" w:cs="Calibri"/>
          <w:kern w:val="2"/>
          <w:sz w:val="22"/>
          <w:szCs w:val="22"/>
          <w:lang w:eastAsia="zh-CN"/>
        </w:rPr>
        <w:t>’</w:t>
      </w:r>
      <w:r>
        <w:rPr>
          <w:rFonts w:hint="eastAsia" w:eastAsia="楷体" w:cs="Calibri"/>
          <w:kern w:val="2"/>
          <w:sz w:val="22"/>
          <w:szCs w:val="22"/>
          <w:lang w:eastAsia="zh-CN"/>
        </w:rPr>
        <w:t xml:space="preserve">s </w:t>
      </w:r>
      <w:r>
        <w:rPr>
          <w:rFonts w:eastAsia="楷体" w:cs="Calibri"/>
          <w:kern w:val="2"/>
          <w:sz w:val="22"/>
          <w:szCs w:val="22"/>
          <w:lang w:eastAsia="zh-CN"/>
        </w:rPr>
        <w:t>technology and a catalyst for further expansion into this vertical. As BE prepares to double its capacity to 2 GW next year, this momentum strengthens its status as a scalable leader in onsite power.</w:t>
      </w:r>
      <w:bookmarkStart w:id="15" w:name="_Toc18210"/>
    </w:p>
    <w:p w14:paraId="4C7289D1">
      <w:pPr>
        <w:rPr>
          <w:rFonts w:eastAsia="楷体" w:cs="Calibri"/>
          <w:kern w:val="2"/>
          <w:sz w:val="22"/>
          <w:szCs w:val="22"/>
          <w:lang w:eastAsia="zh-CN"/>
        </w:rPr>
      </w:pPr>
    </w:p>
    <w:p w14:paraId="611DF1E3">
      <w:pPr>
        <w:rPr>
          <w:rFonts w:eastAsia="楷体" w:cs="Calibri"/>
          <w:kern w:val="2"/>
          <w:sz w:val="22"/>
          <w:szCs w:val="22"/>
          <w:lang w:eastAsia="zh-CN"/>
        </w:rPr>
      </w:pPr>
    </w:p>
    <w:p w14:paraId="54D57EEF">
      <w:pPr>
        <w:rPr>
          <w:rFonts w:eastAsia="楷体" w:cs="Calibri"/>
          <w:kern w:val="2"/>
          <w:sz w:val="22"/>
          <w:szCs w:val="22"/>
          <w:lang w:eastAsia="zh-CN"/>
        </w:rPr>
      </w:pPr>
    </w:p>
    <w:p w14:paraId="1D737F20">
      <w:pPr>
        <w:rPr>
          <w:rFonts w:eastAsia="楷体" w:cs="Calibri"/>
          <w:kern w:val="2"/>
          <w:sz w:val="22"/>
          <w:szCs w:val="22"/>
          <w:lang w:eastAsia="zh-CN"/>
        </w:rPr>
      </w:pPr>
    </w:p>
    <w:p w14:paraId="72E0C278">
      <w:pPr>
        <w:rPr>
          <w:rFonts w:eastAsia="楷体" w:cs="Calibri"/>
          <w:kern w:val="2"/>
          <w:sz w:val="22"/>
          <w:szCs w:val="22"/>
          <w:lang w:eastAsia="zh-CN"/>
        </w:rPr>
      </w:pPr>
    </w:p>
    <w:p w14:paraId="33915940">
      <w:pPr>
        <w:rPr>
          <w:rFonts w:eastAsia="楷体" w:cs="Calibri"/>
          <w:kern w:val="2"/>
          <w:sz w:val="22"/>
          <w:szCs w:val="22"/>
          <w:lang w:eastAsia="zh-CN"/>
        </w:rPr>
      </w:pPr>
    </w:p>
    <w:p w14:paraId="6A19B634">
      <w:pPr>
        <w:rPr>
          <w:rFonts w:eastAsia="楷体" w:cs="Calibri"/>
          <w:kern w:val="2"/>
          <w:sz w:val="22"/>
          <w:szCs w:val="22"/>
          <w:lang w:eastAsia="zh-CN"/>
        </w:rPr>
      </w:pPr>
    </w:p>
    <w:p w14:paraId="776FCD71">
      <w:pPr>
        <w:rPr>
          <w:rFonts w:eastAsia="楷体" w:cs="Calibri"/>
          <w:kern w:val="2"/>
          <w:sz w:val="22"/>
          <w:szCs w:val="22"/>
          <w:lang w:eastAsia="zh-CN"/>
        </w:rPr>
      </w:pPr>
    </w:p>
    <w:p w14:paraId="17295F1D">
      <w:pPr>
        <w:rPr>
          <w:rFonts w:eastAsia="楷体" w:cs="Calibri"/>
          <w:kern w:val="2"/>
          <w:sz w:val="22"/>
          <w:szCs w:val="22"/>
          <w:lang w:eastAsia="zh-CN"/>
        </w:rPr>
      </w:pPr>
    </w:p>
    <w:p w14:paraId="2932A724">
      <w:pPr>
        <w:rPr>
          <w:rFonts w:eastAsia="楷体" w:cs="Calibri"/>
          <w:kern w:val="2"/>
          <w:sz w:val="22"/>
          <w:szCs w:val="22"/>
          <w:lang w:eastAsia="zh-CN"/>
        </w:rPr>
      </w:pPr>
    </w:p>
    <w:p w14:paraId="1742CE1F">
      <w:pPr>
        <w:rPr>
          <w:rFonts w:eastAsia="楷体" w:cs="Calibri"/>
          <w:kern w:val="2"/>
          <w:sz w:val="22"/>
          <w:szCs w:val="22"/>
          <w:lang w:eastAsia="zh-CN"/>
        </w:rPr>
      </w:pPr>
    </w:p>
    <w:p w14:paraId="78EA3E05">
      <w:pPr>
        <w:rPr>
          <w:rFonts w:eastAsia="楷体" w:cs="Calibri"/>
          <w:kern w:val="2"/>
          <w:sz w:val="22"/>
          <w:szCs w:val="22"/>
          <w:lang w:eastAsia="zh-CN"/>
        </w:rPr>
      </w:pPr>
    </w:p>
    <w:p w14:paraId="4D5A3FF3">
      <w:pPr>
        <w:rPr>
          <w:rFonts w:eastAsia="楷体" w:cs="Calibri"/>
          <w:kern w:val="2"/>
          <w:sz w:val="22"/>
          <w:szCs w:val="22"/>
          <w:lang w:eastAsia="zh-CN"/>
        </w:rPr>
      </w:pPr>
    </w:p>
    <w:p w14:paraId="1A542A1E">
      <w:pPr>
        <w:rPr>
          <w:rFonts w:eastAsia="楷体" w:cs="Calibri"/>
          <w:kern w:val="2"/>
          <w:sz w:val="22"/>
          <w:szCs w:val="22"/>
          <w:lang w:eastAsia="zh-CN"/>
        </w:rPr>
      </w:pPr>
    </w:p>
    <w:p w14:paraId="29E07666">
      <w:pPr>
        <w:rPr>
          <w:rFonts w:eastAsia="楷体" w:cs="Calibri"/>
          <w:kern w:val="2"/>
          <w:sz w:val="22"/>
          <w:szCs w:val="22"/>
          <w:lang w:eastAsia="zh-CN"/>
        </w:rPr>
      </w:pPr>
    </w:p>
    <w:p w14:paraId="232AF50F">
      <w:pPr>
        <w:rPr>
          <w:rFonts w:eastAsia="楷体" w:cs="Calibri"/>
          <w:kern w:val="2"/>
          <w:sz w:val="22"/>
          <w:szCs w:val="22"/>
          <w:lang w:eastAsia="zh-CN"/>
        </w:rPr>
      </w:pPr>
    </w:p>
    <w:p w14:paraId="0A76A429">
      <w:pPr>
        <w:rPr>
          <w:rFonts w:eastAsia="楷体" w:cs="Calibri"/>
          <w:kern w:val="2"/>
          <w:sz w:val="22"/>
          <w:szCs w:val="22"/>
          <w:lang w:eastAsia="zh-CN"/>
        </w:rPr>
      </w:pPr>
    </w:p>
    <w:p w14:paraId="4207F74C">
      <w:pPr>
        <w:rPr>
          <w:rFonts w:eastAsia="楷体" w:cs="Calibri"/>
          <w:kern w:val="2"/>
          <w:sz w:val="22"/>
          <w:szCs w:val="22"/>
          <w:lang w:eastAsia="zh-CN"/>
        </w:rPr>
      </w:pPr>
    </w:p>
    <w:p w14:paraId="46A6F6F3">
      <w:pPr>
        <w:rPr>
          <w:rFonts w:eastAsia="楷体" w:cs="Calibri"/>
          <w:kern w:val="2"/>
          <w:sz w:val="22"/>
          <w:szCs w:val="22"/>
          <w:lang w:eastAsia="zh-CN"/>
        </w:rPr>
      </w:pPr>
    </w:p>
    <w:p w14:paraId="0E5CA80A">
      <w:pPr>
        <w:rPr>
          <w:rFonts w:eastAsia="楷体" w:cs="Calibri"/>
          <w:kern w:val="2"/>
          <w:sz w:val="22"/>
          <w:szCs w:val="22"/>
          <w:lang w:eastAsia="zh-CN"/>
        </w:rPr>
      </w:pPr>
    </w:p>
    <w:p w14:paraId="13A7405B">
      <w:pPr>
        <w:rPr>
          <w:rFonts w:eastAsia="楷体" w:cs="Calibri"/>
          <w:kern w:val="2"/>
          <w:sz w:val="22"/>
          <w:szCs w:val="22"/>
          <w:lang w:eastAsia="zh-CN"/>
        </w:rPr>
      </w:pPr>
    </w:p>
    <w:p w14:paraId="125CA9CB">
      <w:pPr>
        <w:rPr>
          <w:rFonts w:eastAsia="楷体" w:cs="Calibri"/>
          <w:kern w:val="2"/>
          <w:sz w:val="22"/>
          <w:szCs w:val="22"/>
          <w:lang w:eastAsia="zh-CN"/>
        </w:rPr>
      </w:pPr>
    </w:p>
    <w:p w14:paraId="07EA9635">
      <w:pPr>
        <w:rPr>
          <w:rFonts w:eastAsia="楷体" w:cs="Calibri"/>
          <w:kern w:val="2"/>
          <w:sz w:val="22"/>
          <w:szCs w:val="22"/>
          <w:lang w:eastAsia="zh-CN"/>
        </w:rPr>
      </w:pPr>
    </w:p>
    <w:p w14:paraId="4D913157">
      <w:pPr>
        <w:rPr>
          <w:rFonts w:eastAsia="楷体" w:cs="Calibri"/>
          <w:kern w:val="2"/>
          <w:sz w:val="22"/>
          <w:szCs w:val="22"/>
          <w:lang w:eastAsia="zh-CN"/>
        </w:rPr>
      </w:pPr>
    </w:p>
    <w:p w14:paraId="561EB863">
      <w:pPr>
        <w:rPr>
          <w:rFonts w:eastAsia="楷体" w:cs="Calibri"/>
          <w:kern w:val="2"/>
          <w:sz w:val="22"/>
          <w:szCs w:val="22"/>
          <w:lang w:eastAsia="zh-CN"/>
        </w:rPr>
      </w:pPr>
    </w:p>
    <w:p w14:paraId="73948960">
      <w:pPr>
        <w:rPr>
          <w:rFonts w:eastAsia="楷体" w:cs="Calibri"/>
          <w:kern w:val="2"/>
          <w:sz w:val="22"/>
          <w:szCs w:val="22"/>
          <w:lang w:eastAsia="zh-CN"/>
        </w:rPr>
      </w:pPr>
    </w:p>
    <w:p w14:paraId="246718CB">
      <w:pPr>
        <w:rPr>
          <w:rFonts w:eastAsia="楷体" w:cs="Calibri"/>
          <w:kern w:val="2"/>
          <w:sz w:val="22"/>
          <w:szCs w:val="22"/>
          <w:lang w:eastAsia="zh-CN"/>
        </w:rPr>
      </w:pPr>
    </w:p>
    <w:p w14:paraId="222EF366">
      <w:pPr>
        <w:rPr>
          <w:rFonts w:eastAsia="楷体_GB2312" w:cs="Calibri"/>
          <w:b/>
          <w:bCs/>
          <w:color w:val="23558C"/>
          <w:sz w:val="30"/>
          <w:lang w:eastAsia="zh-CN"/>
        </w:rPr>
      </w:pPr>
      <w:r>
        <w:rPr>
          <w:rFonts w:eastAsia="楷体_GB2312" w:cs="Calibri"/>
          <w:b/>
          <w:bCs/>
          <w:color w:val="23558C"/>
          <w:sz w:val="30"/>
          <w:lang w:eastAsia="zh-CN"/>
        </w:rPr>
        <w:t>4</w:t>
      </w:r>
      <w:r>
        <w:rPr>
          <w:rFonts w:eastAsia="楷体_GB2312" w:cs="Calibri"/>
          <w:b/>
          <w:bCs/>
          <w:color w:val="23558C"/>
          <w:sz w:val="30"/>
        </w:rPr>
        <w:t>.</w:t>
      </w:r>
      <w:r>
        <w:rPr>
          <w:rFonts w:cs="Calibri"/>
          <w:b/>
          <w:bCs/>
          <w:color w:val="23558C"/>
        </w:rPr>
        <w:t xml:space="preserve"> </w:t>
      </w:r>
      <w:bookmarkEnd w:id="9"/>
      <w:r>
        <w:rPr>
          <w:rFonts w:eastAsia="楷体" w:cs="Calibri"/>
          <w:b/>
          <w:bCs/>
          <w:color w:val="23558C"/>
          <w:sz w:val="30"/>
          <w:lang w:eastAsia="zh-CN"/>
        </w:rPr>
        <w:t>Valuation&amp; recommendation</w:t>
      </w:r>
      <w:bookmarkEnd w:id="15"/>
    </w:p>
    <w:p w14:paraId="7E3C46C0">
      <w:pPr>
        <w:jc w:val="both"/>
        <w:rPr>
          <w:rFonts w:eastAsia="楷体" w:cs="Calibri"/>
          <w:sz w:val="22"/>
          <w:szCs w:val="22"/>
          <w:lang w:eastAsia="zh-CN"/>
        </w:rPr>
      </w:pPr>
    </w:p>
    <w:p w14:paraId="69732484">
      <w:pPr>
        <w:jc w:val="both"/>
        <w:rPr>
          <w:rFonts w:eastAsia="楷体" w:cs="Calibri"/>
          <w:sz w:val="22"/>
          <w:szCs w:val="22"/>
          <w:lang w:eastAsia="zh-CN"/>
        </w:rPr>
      </w:pPr>
      <w:r>
        <w:rPr>
          <w:rFonts w:eastAsia="楷体" w:cs="Calibri"/>
          <w:b/>
          <w:bCs/>
          <w:sz w:val="22"/>
          <w:szCs w:val="22"/>
          <w:lang w:eastAsia="zh-CN"/>
        </w:rPr>
        <w:t xml:space="preserve">We initiate coverage on Bloom Energy with “Outperform”. Our </w:t>
      </w:r>
      <w:r>
        <w:rPr>
          <w:rFonts w:hint="eastAsia" w:eastAsia="楷体" w:cs="Calibri"/>
          <w:b/>
          <w:bCs/>
          <w:sz w:val="22"/>
          <w:szCs w:val="22"/>
          <w:lang w:val="en-US" w:eastAsia="zh-CN"/>
        </w:rPr>
        <w:t>12-month</w:t>
      </w:r>
      <w:r>
        <w:rPr>
          <w:rFonts w:eastAsia="楷体" w:cs="Calibri"/>
          <w:b/>
          <w:bCs/>
          <w:sz w:val="22"/>
          <w:szCs w:val="22"/>
          <w:lang w:eastAsia="zh-CN"/>
        </w:rPr>
        <w:t xml:space="preserve"> price target is USD </w:t>
      </w:r>
      <w:r>
        <w:rPr>
          <w:rFonts w:hint="eastAsia" w:eastAsia="楷体" w:cs="Calibri"/>
          <w:b/>
          <w:bCs/>
          <w:sz w:val="22"/>
          <w:szCs w:val="22"/>
          <w:lang w:eastAsia="zh-CN"/>
        </w:rPr>
        <w:t>138</w:t>
      </w:r>
      <w:r>
        <w:rPr>
          <w:rFonts w:eastAsia="楷体" w:cs="Calibri"/>
          <w:b/>
          <w:bCs/>
          <w:sz w:val="22"/>
          <w:szCs w:val="22"/>
          <w:lang w:eastAsia="zh-CN"/>
        </w:rPr>
        <w:t>.</w:t>
      </w:r>
      <w:r>
        <w:rPr>
          <w:rFonts w:eastAsia="楷体" w:cs="Calibri"/>
          <w:sz w:val="22"/>
          <w:szCs w:val="22"/>
          <w:lang w:eastAsia="zh-CN"/>
        </w:rPr>
        <w:t xml:space="preserve"> We estimate the revenue of Bloom Energy from year 2025 to 202</w:t>
      </w:r>
      <w:r>
        <w:rPr>
          <w:rFonts w:hint="eastAsia" w:eastAsia="楷体" w:cs="Calibri"/>
          <w:sz w:val="22"/>
          <w:szCs w:val="22"/>
          <w:lang w:eastAsia="zh-CN"/>
        </w:rPr>
        <w:t>8</w:t>
      </w:r>
      <w:r>
        <w:rPr>
          <w:rFonts w:eastAsia="楷体" w:cs="Calibri"/>
          <w:sz w:val="22"/>
          <w:szCs w:val="22"/>
          <w:lang w:eastAsia="zh-CN"/>
        </w:rPr>
        <w:t xml:space="preserve"> will be USD 1,859/ 2,3</w:t>
      </w:r>
      <w:r>
        <w:rPr>
          <w:rFonts w:hint="eastAsia" w:eastAsia="楷体" w:cs="Calibri"/>
          <w:sz w:val="22"/>
          <w:szCs w:val="22"/>
          <w:lang w:eastAsia="zh-CN"/>
        </w:rPr>
        <w:t>42</w:t>
      </w:r>
      <w:r>
        <w:rPr>
          <w:rFonts w:eastAsia="楷体" w:cs="Calibri"/>
          <w:sz w:val="22"/>
          <w:szCs w:val="22"/>
          <w:lang w:eastAsia="zh-CN"/>
        </w:rPr>
        <w:t>/ 4,</w:t>
      </w:r>
      <w:r>
        <w:rPr>
          <w:rFonts w:hint="eastAsia" w:eastAsia="楷体" w:cs="Calibri"/>
          <w:sz w:val="22"/>
          <w:szCs w:val="22"/>
          <w:lang w:eastAsia="zh-CN"/>
        </w:rPr>
        <w:t>557/ 7,274</w:t>
      </w:r>
      <w:r>
        <w:rPr>
          <w:rFonts w:eastAsia="楷体" w:cs="Calibri"/>
          <w:sz w:val="22"/>
          <w:szCs w:val="22"/>
          <w:lang w:eastAsia="zh-CN"/>
        </w:rPr>
        <w:t xml:space="preserve"> million, with the Non-GAAP EBITDA of USD 215/ 379/ 1,221/2,122 million, reflecting upside to expectations for ramping revenue and margin. We assign a </w:t>
      </w:r>
      <w:r>
        <w:rPr>
          <w:rFonts w:hint="eastAsia" w:eastAsia="楷体" w:cs="Calibri"/>
          <w:sz w:val="22"/>
          <w:szCs w:val="22"/>
          <w:lang w:eastAsia="zh-CN"/>
        </w:rPr>
        <w:t>26</w:t>
      </w:r>
      <w:r>
        <w:rPr>
          <w:rFonts w:eastAsia="楷体" w:cs="Calibri"/>
          <w:sz w:val="22"/>
          <w:szCs w:val="22"/>
          <w:lang w:eastAsia="zh-CN"/>
        </w:rPr>
        <w:t>X FY27E EV/EBITDA to our FY2</w:t>
      </w:r>
      <w:r>
        <w:rPr>
          <w:rFonts w:hint="eastAsia" w:eastAsia="楷体" w:cs="Calibri"/>
          <w:sz w:val="22"/>
          <w:szCs w:val="22"/>
          <w:lang w:val="en-US" w:eastAsia="zh-CN"/>
        </w:rPr>
        <w:t>8</w:t>
      </w:r>
      <w:r>
        <w:rPr>
          <w:rFonts w:eastAsia="楷体" w:cs="Calibri"/>
          <w:sz w:val="22"/>
          <w:szCs w:val="22"/>
          <w:lang w:eastAsia="zh-CN"/>
        </w:rPr>
        <w:t xml:space="preserve">E Non-GAAP EBITDA, as we believe a premium is justified given elevated power demand needs with continued execution and order announcements with improving visibility from recent deals, including the Brookfield partnership. </w:t>
      </w:r>
    </w:p>
    <w:p w14:paraId="014CC408">
      <w:pPr>
        <w:jc w:val="both"/>
        <w:rPr>
          <w:rFonts w:eastAsia="楷体" w:cs="Calibri"/>
          <w:sz w:val="22"/>
          <w:szCs w:val="22"/>
          <w:lang w:eastAsia="zh-CN"/>
        </w:rPr>
      </w:pPr>
    </w:p>
    <w:tbl>
      <w:tblPr>
        <w:tblStyle w:val="21"/>
        <w:tblW w:w="7456" w:type="dxa"/>
        <w:tblInd w:w="0"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autofit"/>
        <w:tblCellMar>
          <w:top w:w="0" w:type="dxa"/>
          <w:left w:w="0" w:type="dxa"/>
          <w:bottom w:w="0" w:type="dxa"/>
          <w:right w:w="0" w:type="dxa"/>
        </w:tblCellMar>
      </w:tblPr>
      <w:tblGrid>
        <w:gridCol w:w="7456"/>
      </w:tblGrid>
      <w:tr w14:paraId="6EFDBF7C">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3604" w:type="dxa"/>
          </w:tcPr>
          <w:p w14:paraId="790925D8">
            <w:pPr>
              <w:jc w:val="both"/>
              <w:rPr>
                <w:rFonts w:eastAsia="楷体_GB2312" w:cs="Calibri"/>
                <w:b/>
                <w:sz w:val="17"/>
              </w:rPr>
            </w:pPr>
            <w:r>
              <w:rPr>
                <w:rFonts w:eastAsia="楷体_GB2312" w:cs="Calibri"/>
                <w:b/>
                <w:sz w:val="17"/>
              </w:rPr>
              <w:t xml:space="preserve">Table: </w:t>
            </w:r>
            <w:r>
              <w:rPr>
                <w:rFonts w:eastAsia="楷体_GB2312" w:cs="Calibri"/>
                <w:b/>
                <w:sz w:val="17"/>
                <w:lang w:eastAsia="zh-CN"/>
              </w:rPr>
              <w:t>Valuation</w:t>
            </w:r>
            <w:r>
              <w:rPr>
                <w:rFonts w:eastAsia="楷体_GB2312" w:cs="Calibri"/>
                <w:b/>
                <w:sz w:val="17"/>
              </w:rPr>
              <w:t xml:space="preserve"> Model</w:t>
            </w:r>
          </w:p>
        </w:tc>
      </w:tr>
      <w:tr w14:paraId="75614B42">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rPr>
          <w:trHeight w:val="284" w:hRule="atLeast"/>
        </w:trPr>
        <w:tc>
          <w:tcPr>
            <w:tcW w:w="3604" w:type="dxa"/>
          </w:tcPr>
          <w:tbl>
            <w:tblPr>
              <w:tblStyle w:val="20"/>
              <w:tblW w:w="3236" w:type="dxa"/>
              <w:tblInd w:w="0" w:type="dxa"/>
              <w:tblLayout w:type="autofit"/>
              <w:tblCellMar>
                <w:top w:w="0" w:type="dxa"/>
                <w:left w:w="108" w:type="dxa"/>
                <w:bottom w:w="0" w:type="dxa"/>
                <w:right w:w="108" w:type="dxa"/>
              </w:tblCellMar>
            </w:tblPr>
            <w:tblGrid>
              <w:gridCol w:w="2000"/>
              <w:gridCol w:w="1236"/>
            </w:tblGrid>
            <w:tr w14:paraId="2116CA92">
              <w:tblPrEx>
                <w:tblCellMar>
                  <w:top w:w="0" w:type="dxa"/>
                  <w:left w:w="108" w:type="dxa"/>
                  <w:bottom w:w="0" w:type="dxa"/>
                  <w:right w:w="108" w:type="dxa"/>
                </w:tblCellMar>
              </w:tblPrEx>
              <w:trPr>
                <w:trHeight w:val="264" w:hRule="atLeast"/>
              </w:trPr>
              <w:tc>
                <w:tcPr>
                  <w:tcW w:w="3236" w:type="dxa"/>
                  <w:gridSpan w:val="2"/>
                  <w:tcBorders>
                    <w:top w:val="nil"/>
                    <w:left w:val="nil"/>
                    <w:bottom w:val="nil"/>
                    <w:right w:val="nil"/>
                  </w:tcBorders>
                  <w:shd w:val="clear" w:color="auto" w:fill="23558C"/>
                  <w:noWrap/>
                  <w:vAlign w:val="bottom"/>
                </w:tcPr>
                <w:p w14:paraId="17A7F2B5">
                  <w:pPr>
                    <w:textAlignment w:val="bottom"/>
                    <w:rPr>
                      <w:rFonts w:eastAsia="宋体" w:cs="Calibri"/>
                      <w:b/>
                      <w:bCs/>
                      <w:color w:val="FFFFFF"/>
                    </w:rPr>
                  </w:pPr>
                  <w:r>
                    <w:rPr>
                      <w:rFonts w:eastAsia="宋体" w:cs="Calibri"/>
                      <w:b/>
                      <w:bCs/>
                      <w:color w:val="FFFFFF"/>
                      <w:lang w:eastAsia="zh-CN" w:bidi="ar"/>
                    </w:rPr>
                    <w:t>EV/EBITDA Valuation</w:t>
                  </w:r>
                </w:p>
              </w:tc>
            </w:tr>
            <w:tr w14:paraId="4625C9D9">
              <w:tblPrEx>
                <w:tblCellMar>
                  <w:top w:w="0" w:type="dxa"/>
                  <w:left w:w="108" w:type="dxa"/>
                  <w:bottom w:w="0" w:type="dxa"/>
                  <w:right w:w="108" w:type="dxa"/>
                </w:tblCellMar>
              </w:tblPrEx>
              <w:trPr>
                <w:trHeight w:val="204" w:hRule="atLeast"/>
              </w:trPr>
              <w:tc>
                <w:tcPr>
                  <w:tcW w:w="0" w:type="auto"/>
                  <w:shd w:val="clear" w:color="auto" w:fill="FFFFFF"/>
                  <w:vAlign w:val="bottom"/>
                </w:tcPr>
                <w:p w14:paraId="0265FB17">
                  <w:pPr>
                    <w:textAlignment w:val="bottom"/>
                    <w:rPr>
                      <w:rFonts w:eastAsia="宋体" w:cs="Calibri"/>
                      <w:b/>
                      <w:bCs/>
                      <w:color w:val="000000"/>
                      <w:lang w:eastAsia="zh-CN"/>
                    </w:rPr>
                  </w:pPr>
                  <w:r>
                    <w:rPr>
                      <w:rFonts w:eastAsia="宋体" w:cs="Calibri"/>
                      <w:b/>
                      <w:bCs/>
                      <w:color w:val="000000"/>
                      <w:lang w:eastAsia="zh-CN" w:bidi="ar"/>
                    </w:rPr>
                    <w:t>Valuation Terminal Date</w:t>
                  </w:r>
                </w:p>
              </w:tc>
              <w:tc>
                <w:tcPr>
                  <w:tcW w:w="0" w:type="auto"/>
                  <w:shd w:val="clear" w:color="auto" w:fill="FFFFFF"/>
                  <w:vAlign w:val="bottom"/>
                </w:tcPr>
                <w:p w14:paraId="1D5E4FBD">
                  <w:pPr>
                    <w:jc w:val="right"/>
                    <w:textAlignment w:val="bottom"/>
                    <w:rPr>
                      <w:rFonts w:eastAsia="宋体" w:cs="Calibri"/>
                      <w:b/>
                      <w:bCs/>
                      <w:color w:val="000000"/>
                      <w:lang w:eastAsia="zh-CN"/>
                    </w:rPr>
                  </w:pPr>
                  <w:r>
                    <w:rPr>
                      <w:rFonts w:eastAsia="宋体" w:cs="Calibri"/>
                      <w:b/>
                      <w:bCs/>
                      <w:color w:val="000000"/>
                      <w:lang w:eastAsia="zh-CN" w:bidi="ar"/>
                    </w:rPr>
                    <w:t>12/31/2028</w:t>
                  </w:r>
                </w:p>
              </w:tc>
            </w:tr>
            <w:tr w14:paraId="07510AF0">
              <w:tblPrEx>
                <w:tblCellMar>
                  <w:top w:w="0" w:type="dxa"/>
                  <w:left w:w="108" w:type="dxa"/>
                  <w:bottom w:w="0" w:type="dxa"/>
                  <w:right w:w="108" w:type="dxa"/>
                </w:tblCellMar>
              </w:tblPrEx>
              <w:trPr>
                <w:trHeight w:val="204" w:hRule="atLeast"/>
              </w:trPr>
              <w:tc>
                <w:tcPr>
                  <w:tcW w:w="0" w:type="auto"/>
                  <w:vAlign w:val="bottom"/>
                </w:tcPr>
                <w:p w14:paraId="32BD5F8D">
                  <w:pPr>
                    <w:textAlignment w:val="bottom"/>
                    <w:rPr>
                      <w:rFonts w:eastAsia="宋体" w:cs="Calibri"/>
                      <w:b/>
                      <w:bCs/>
                      <w:color w:val="000000"/>
                      <w:lang w:eastAsia="zh-CN"/>
                    </w:rPr>
                  </w:pPr>
                  <w:r>
                    <w:rPr>
                      <w:rFonts w:eastAsia="宋体" w:cs="Calibri"/>
                      <w:b/>
                      <w:bCs/>
                      <w:color w:val="000000"/>
                      <w:lang w:eastAsia="zh-CN" w:bidi="ar"/>
                    </w:rPr>
                    <w:t>Non-GAAP EBITDA 28E</w:t>
                  </w:r>
                </w:p>
              </w:tc>
              <w:tc>
                <w:tcPr>
                  <w:tcW w:w="0" w:type="auto"/>
                  <w:vAlign w:val="bottom"/>
                </w:tcPr>
                <w:p w14:paraId="26077645">
                  <w:pPr>
                    <w:jc w:val="right"/>
                    <w:textAlignment w:val="bottom"/>
                    <w:rPr>
                      <w:rFonts w:eastAsia="宋体" w:cs="Calibri"/>
                      <w:b/>
                      <w:bCs/>
                      <w:color w:val="000000"/>
                      <w:lang w:eastAsia="zh-CN"/>
                    </w:rPr>
                  </w:pPr>
                  <w:r>
                    <w:rPr>
                      <w:rFonts w:eastAsia="宋体" w:cs="Calibri"/>
                      <w:b/>
                      <w:bCs/>
                      <w:color w:val="000000"/>
                      <w:lang w:eastAsia="zh-CN" w:bidi="ar"/>
                    </w:rPr>
                    <w:t>2,122.0</w:t>
                  </w:r>
                </w:p>
              </w:tc>
            </w:tr>
            <w:tr w14:paraId="48D32B62">
              <w:tblPrEx>
                <w:tblCellMar>
                  <w:top w:w="0" w:type="dxa"/>
                  <w:left w:w="108" w:type="dxa"/>
                  <w:bottom w:w="0" w:type="dxa"/>
                  <w:right w:w="108" w:type="dxa"/>
                </w:tblCellMar>
              </w:tblPrEx>
              <w:trPr>
                <w:trHeight w:val="204" w:hRule="atLeast"/>
              </w:trPr>
              <w:tc>
                <w:tcPr>
                  <w:tcW w:w="0" w:type="auto"/>
                  <w:vAlign w:val="bottom"/>
                </w:tcPr>
                <w:p w14:paraId="4B1D52CF">
                  <w:pPr>
                    <w:textAlignment w:val="bottom"/>
                    <w:rPr>
                      <w:rFonts w:eastAsia="宋体" w:cs="Calibri"/>
                      <w:b/>
                      <w:bCs/>
                      <w:color w:val="000000"/>
                      <w:lang w:eastAsia="zh-CN"/>
                    </w:rPr>
                  </w:pPr>
                  <w:r>
                    <w:rPr>
                      <w:rFonts w:eastAsia="宋体" w:cs="Calibri"/>
                      <w:b/>
                      <w:bCs/>
                      <w:color w:val="000000"/>
                      <w:lang w:eastAsia="zh-CN" w:bidi="ar"/>
                    </w:rPr>
                    <w:t>EV/EBITDA</w:t>
                  </w:r>
                </w:p>
              </w:tc>
              <w:tc>
                <w:tcPr>
                  <w:tcW w:w="0" w:type="auto"/>
                  <w:vAlign w:val="bottom"/>
                </w:tcPr>
                <w:p w14:paraId="3EFE9CD3">
                  <w:pPr>
                    <w:jc w:val="right"/>
                    <w:textAlignment w:val="bottom"/>
                    <w:rPr>
                      <w:rFonts w:eastAsia="宋体" w:cs="Calibri"/>
                      <w:b/>
                      <w:bCs/>
                      <w:color w:val="000000"/>
                      <w:lang w:eastAsia="zh-CN"/>
                    </w:rPr>
                  </w:pPr>
                  <w:r>
                    <w:rPr>
                      <w:rFonts w:eastAsia="宋体" w:cs="Calibri"/>
                      <w:b/>
                      <w:bCs/>
                      <w:color w:val="000000"/>
                      <w:lang w:eastAsia="zh-CN" w:bidi="ar"/>
                    </w:rPr>
                    <w:t>26</w:t>
                  </w:r>
                </w:p>
              </w:tc>
            </w:tr>
            <w:tr w14:paraId="621634B7">
              <w:tblPrEx>
                <w:tblCellMar>
                  <w:top w:w="0" w:type="dxa"/>
                  <w:left w:w="108" w:type="dxa"/>
                  <w:bottom w:w="0" w:type="dxa"/>
                  <w:right w:w="108" w:type="dxa"/>
                </w:tblCellMar>
              </w:tblPrEx>
              <w:trPr>
                <w:trHeight w:val="204" w:hRule="atLeast"/>
              </w:trPr>
              <w:tc>
                <w:tcPr>
                  <w:tcW w:w="0" w:type="auto"/>
                  <w:shd w:val="clear" w:color="auto" w:fill="FFFFFF"/>
                  <w:vAlign w:val="bottom"/>
                </w:tcPr>
                <w:p w14:paraId="68343B8C">
                  <w:pPr>
                    <w:textAlignment w:val="bottom"/>
                    <w:rPr>
                      <w:rFonts w:eastAsia="宋体" w:cs="Calibri"/>
                      <w:b/>
                      <w:bCs/>
                      <w:color w:val="000000"/>
                      <w:lang w:eastAsia="zh-CN"/>
                    </w:rPr>
                  </w:pPr>
                  <w:r>
                    <w:rPr>
                      <w:rFonts w:eastAsia="宋体" w:cs="Calibri"/>
                      <w:b/>
                      <w:bCs/>
                      <w:color w:val="000000"/>
                      <w:lang w:eastAsia="zh-CN" w:bidi="ar"/>
                    </w:rPr>
                    <w:t>EV 28E</w:t>
                  </w:r>
                </w:p>
              </w:tc>
              <w:tc>
                <w:tcPr>
                  <w:tcW w:w="0" w:type="auto"/>
                  <w:shd w:val="clear" w:color="auto" w:fill="FFFFFF"/>
                  <w:vAlign w:val="bottom"/>
                </w:tcPr>
                <w:p w14:paraId="36DD47BF">
                  <w:pPr>
                    <w:jc w:val="right"/>
                    <w:textAlignment w:val="bottom"/>
                    <w:rPr>
                      <w:rFonts w:eastAsia="宋体" w:cs="Calibri"/>
                      <w:color w:val="000000"/>
                      <w:lang w:eastAsia="zh-CN"/>
                    </w:rPr>
                  </w:pPr>
                  <w:r>
                    <w:rPr>
                      <w:rFonts w:eastAsia="宋体" w:cs="Calibri"/>
                      <w:color w:val="000000"/>
                      <w:lang w:eastAsia="zh-CN" w:bidi="ar"/>
                    </w:rPr>
                    <w:t>55,172</w:t>
                  </w:r>
                </w:p>
              </w:tc>
            </w:tr>
            <w:tr w14:paraId="6F0306C2">
              <w:tblPrEx>
                <w:tblCellMar>
                  <w:top w:w="0" w:type="dxa"/>
                  <w:left w:w="108" w:type="dxa"/>
                  <w:bottom w:w="0" w:type="dxa"/>
                  <w:right w:w="108" w:type="dxa"/>
                </w:tblCellMar>
              </w:tblPrEx>
              <w:trPr>
                <w:trHeight w:val="204" w:hRule="atLeast"/>
              </w:trPr>
              <w:tc>
                <w:tcPr>
                  <w:tcW w:w="0" w:type="auto"/>
                  <w:shd w:val="clear" w:color="auto" w:fill="FFFFFF"/>
                  <w:vAlign w:val="bottom"/>
                </w:tcPr>
                <w:p w14:paraId="08F13184">
                  <w:pPr>
                    <w:textAlignment w:val="bottom"/>
                    <w:rPr>
                      <w:rFonts w:eastAsia="宋体" w:cs="Calibri"/>
                      <w:b/>
                      <w:bCs/>
                      <w:color w:val="000000"/>
                      <w:lang w:eastAsia="zh-CN"/>
                    </w:rPr>
                  </w:pPr>
                  <w:r>
                    <w:rPr>
                      <w:rFonts w:eastAsia="宋体" w:cs="Calibri"/>
                      <w:b/>
                      <w:bCs/>
                      <w:color w:val="000000"/>
                      <w:lang w:eastAsia="zh-CN" w:bidi="ar"/>
                    </w:rPr>
                    <w:t>Total Debt 28E</w:t>
                  </w:r>
                </w:p>
              </w:tc>
              <w:tc>
                <w:tcPr>
                  <w:tcW w:w="0" w:type="auto"/>
                  <w:shd w:val="clear" w:color="auto" w:fill="FFFFFF"/>
                  <w:vAlign w:val="bottom"/>
                </w:tcPr>
                <w:p w14:paraId="2805510C">
                  <w:pPr>
                    <w:jc w:val="right"/>
                    <w:textAlignment w:val="bottom"/>
                    <w:rPr>
                      <w:rFonts w:eastAsia="宋体" w:cs="Calibri"/>
                      <w:color w:val="000000"/>
                      <w:lang w:eastAsia="zh-CN"/>
                    </w:rPr>
                  </w:pPr>
                  <w:r>
                    <w:rPr>
                      <w:rFonts w:eastAsia="宋体" w:cs="Calibri"/>
                      <w:color w:val="000000"/>
                      <w:lang w:eastAsia="zh-CN" w:bidi="ar"/>
                    </w:rPr>
                    <w:t>2,694</w:t>
                  </w:r>
                </w:p>
              </w:tc>
            </w:tr>
            <w:tr w14:paraId="7BC971EF">
              <w:tblPrEx>
                <w:tblCellMar>
                  <w:top w:w="0" w:type="dxa"/>
                  <w:left w:w="108" w:type="dxa"/>
                  <w:bottom w:w="0" w:type="dxa"/>
                  <w:right w:w="108" w:type="dxa"/>
                </w:tblCellMar>
              </w:tblPrEx>
              <w:trPr>
                <w:trHeight w:val="204" w:hRule="atLeast"/>
              </w:trPr>
              <w:tc>
                <w:tcPr>
                  <w:tcW w:w="0" w:type="auto"/>
                  <w:shd w:val="clear" w:color="auto" w:fill="FFFFFF"/>
                  <w:vAlign w:val="bottom"/>
                </w:tcPr>
                <w:p w14:paraId="622732AA">
                  <w:pPr>
                    <w:textAlignment w:val="bottom"/>
                    <w:rPr>
                      <w:rFonts w:eastAsia="宋体" w:cs="Calibri"/>
                      <w:b/>
                      <w:bCs/>
                      <w:color w:val="000000"/>
                      <w:lang w:eastAsia="zh-CN"/>
                    </w:rPr>
                  </w:pPr>
                  <w:r>
                    <w:rPr>
                      <w:rFonts w:eastAsia="宋体" w:cs="Calibri"/>
                      <w:b/>
                      <w:bCs/>
                      <w:color w:val="000000"/>
                      <w:lang w:eastAsia="zh-CN" w:bidi="ar"/>
                    </w:rPr>
                    <w:t>Total Cash 28E</w:t>
                  </w:r>
                </w:p>
              </w:tc>
              <w:tc>
                <w:tcPr>
                  <w:tcW w:w="0" w:type="auto"/>
                  <w:shd w:val="clear" w:color="auto" w:fill="FFFFFF"/>
                  <w:vAlign w:val="bottom"/>
                </w:tcPr>
                <w:p w14:paraId="14CF9D12">
                  <w:pPr>
                    <w:jc w:val="right"/>
                    <w:textAlignment w:val="bottom"/>
                    <w:rPr>
                      <w:rFonts w:eastAsia="宋体" w:cs="Calibri"/>
                      <w:color w:val="000000"/>
                      <w:lang w:eastAsia="zh-CN"/>
                    </w:rPr>
                  </w:pPr>
                  <w:r>
                    <w:rPr>
                      <w:rFonts w:eastAsia="宋体" w:cs="Calibri"/>
                      <w:color w:val="000000"/>
                      <w:lang w:eastAsia="zh-CN" w:bidi="ar"/>
                    </w:rPr>
                    <w:t>2,082</w:t>
                  </w:r>
                </w:p>
              </w:tc>
            </w:tr>
            <w:tr w14:paraId="50C69E88">
              <w:tblPrEx>
                <w:tblCellMar>
                  <w:top w:w="0" w:type="dxa"/>
                  <w:left w:w="108" w:type="dxa"/>
                  <w:bottom w:w="0" w:type="dxa"/>
                  <w:right w:w="108" w:type="dxa"/>
                </w:tblCellMar>
              </w:tblPrEx>
              <w:trPr>
                <w:trHeight w:val="204" w:hRule="atLeast"/>
              </w:trPr>
              <w:tc>
                <w:tcPr>
                  <w:tcW w:w="0" w:type="auto"/>
                  <w:shd w:val="clear" w:color="auto" w:fill="FFFFFF"/>
                  <w:vAlign w:val="bottom"/>
                </w:tcPr>
                <w:p w14:paraId="7A24D914">
                  <w:pPr>
                    <w:textAlignment w:val="bottom"/>
                    <w:rPr>
                      <w:rFonts w:eastAsia="宋体" w:cs="Calibri"/>
                      <w:b/>
                      <w:bCs/>
                      <w:color w:val="000000"/>
                      <w:lang w:eastAsia="zh-CN"/>
                    </w:rPr>
                  </w:pPr>
                  <w:r>
                    <w:rPr>
                      <w:rFonts w:eastAsia="宋体" w:cs="Calibri"/>
                      <w:b/>
                      <w:bCs/>
                      <w:color w:val="000000"/>
                      <w:lang w:eastAsia="zh-CN" w:bidi="ar"/>
                    </w:rPr>
                    <w:t>EquityValue 28E</w:t>
                  </w:r>
                </w:p>
              </w:tc>
              <w:tc>
                <w:tcPr>
                  <w:tcW w:w="0" w:type="auto"/>
                  <w:shd w:val="clear" w:color="auto" w:fill="FFFFFF"/>
                  <w:vAlign w:val="bottom"/>
                </w:tcPr>
                <w:p w14:paraId="72A8CCD3">
                  <w:pPr>
                    <w:jc w:val="right"/>
                    <w:textAlignment w:val="bottom"/>
                    <w:rPr>
                      <w:rFonts w:eastAsia="宋体" w:cs="Calibri"/>
                      <w:color w:val="000000"/>
                      <w:lang w:eastAsia="zh-CN"/>
                    </w:rPr>
                  </w:pPr>
                  <w:r>
                    <w:rPr>
                      <w:rFonts w:eastAsia="宋体" w:cs="Calibri"/>
                      <w:color w:val="000000"/>
                      <w:lang w:eastAsia="zh-CN" w:bidi="ar"/>
                    </w:rPr>
                    <w:t>54,560</w:t>
                  </w:r>
                </w:p>
              </w:tc>
            </w:tr>
            <w:tr w14:paraId="0222F720">
              <w:tblPrEx>
                <w:tblCellMar>
                  <w:top w:w="0" w:type="dxa"/>
                  <w:left w:w="108" w:type="dxa"/>
                  <w:bottom w:w="0" w:type="dxa"/>
                  <w:right w:w="108" w:type="dxa"/>
                </w:tblCellMar>
              </w:tblPrEx>
              <w:trPr>
                <w:trHeight w:val="204" w:hRule="atLeast"/>
              </w:trPr>
              <w:tc>
                <w:tcPr>
                  <w:tcW w:w="0" w:type="auto"/>
                  <w:shd w:val="clear" w:color="auto" w:fill="FFFFFF"/>
                  <w:vAlign w:val="bottom"/>
                </w:tcPr>
                <w:p w14:paraId="6EBCA630">
                  <w:pPr>
                    <w:textAlignment w:val="bottom"/>
                    <w:rPr>
                      <w:rFonts w:eastAsia="宋体" w:cs="Calibri"/>
                      <w:b/>
                      <w:bCs/>
                      <w:color w:val="000000"/>
                      <w:lang w:eastAsia="zh-CN"/>
                    </w:rPr>
                  </w:pPr>
                  <w:r>
                    <w:rPr>
                      <w:rFonts w:eastAsia="宋体" w:cs="Calibri"/>
                      <w:b/>
                      <w:bCs/>
                      <w:color w:val="000000"/>
                      <w:lang w:eastAsia="zh-CN" w:bidi="ar"/>
                    </w:rPr>
                    <w:t>Diluted Shares 28E</w:t>
                  </w:r>
                </w:p>
              </w:tc>
              <w:tc>
                <w:tcPr>
                  <w:tcW w:w="0" w:type="auto"/>
                  <w:shd w:val="clear" w:color="auto" w:fill="FFFFFF"/>
                  <w:vAlign w:val="bottom"/>
                </w:tcPr>
                <w:p w14:paraId="56407706">
                  <w:pPr>
                    <w:jc w:val="right"/>
                    <w:textAlignment w:val="bottom"/>
                    <w:rPr>
                      <w:rFonts w:eastAsia="宋体" w:cs="Calibri"/>
                      <w:color w:val="000000"/>
                      <w:lang w:eastAsia="zh-CN"/>
                    </w:rPr>
                  </w:pPr>
                  <w:r>
                    <w:rPr>
                      <w:rFonts w:eastAsia="宋体" w:cs="Calibri"/>
                      <w:color w:val="000000"/>
                      <w:lang w:eastAsia="zh-CN" w:bidi="ar"/>
                    </w:rPr>
                    <w:t>316</w:t>
                  </w:r>
                </w:p>
              </w:tc>
            </w:tr>
            <w:tr w14:paraId="2A96D729">
              <w:tblPrEx>
                <w:tblCellMar>
                  <w:top w:w="0" w:type="dxa"/>
                  <w:left w:w="108" w:type="dxa"/>
                  <w:bottom w:w="0" w:type="dxa"/>
                  <w:right w:w="108" w:type="dxa"/>
                </w:tblCellMar>
              </w:tblPrEx>
              <w:trPr>
                <w:trHeight w:val="204" w:hRule="atLeast"/>
              </w:trPr>
              <w:tc>
                <w:tcPr>
                  <w:tcW w:w="0" w:type="auto"/>
                  <w:shd w:val="clear" w:color="auto" w:fill="FFFFFF"/>
                  <w:vAlign w:val="bottom"/>
                </w:tcPr>
                <w:p w14:paraId="126F4737">
                  <w:pPr>
                    <w:textAlignment w:val="bottom"/>
                    <w:rPr>
                      <w:rFonts w:eastAsia="宋体" w:cs="Calibri"/>
                      <w:b/>
                      <w:bCs/>
                      <w:color w:val="000000"/>
                      <w:lang w:eastAsia="zh-CN"/>
                    </w:rPr>
                  </w:pPr>
                  <w:r>
                    <w:rPr>
                      <w:rFonts w:eastAsia="宋体" w:cs="Calibri"/>
                      <w:b/>
                      <w:bCs/>
                      <w:color w:val="000000"/>
                      <w:lang w:eastAsia="zh-CN" w:bidi="ar"/>
                    </w:rPr>
                    <w:t>PT 28E</w:t>
                  </w:r>
                </w:p>
              </w:tc>
              <w:tc>
                <w:tcPr>
                  <w:tcW w:w="0" w:type="auto"/>
                  <w:shd w:val="clear" w:color="auto" w:fill="FFFFFF"/>
                  <w:vAlign w:val="bottom"/>
                </w:tcPr>
                <w:p w14:paraId="520BD27D">
                  <w:pPr>
                    <w:jc w:val="right"/>
                    <w:textAlignment w:val="bottom"/>
                    <w:rPr>
                      <w:rFonts w:eastAsia="宋体" w:cs="Calibri"/>
                      <w:color w:val="000000"/>
                      <w:lang w:eastAsia="zh-CN"/>
                    </w:rPr>
                  </w:pPr>
                  <w:r>
                    <w:rPr>
                      <w:rFonts w:eastAsia="宋体" w:cs="Calibri"/>
                      <w:color w:val="000000"/>
                      <w:lang w:eastAsia="zh-CN" w:bidi="ar"/>
                    </w:rPr>
                    <w:t>173</w:t>
                  </w:r>
                </w:p>
              </w:tc>
            </w:tr>
            <w:tr w14:paraId="2717C207">
              <w:tblPrEx>
                <w:tblCellMar>
                  <w:top w:w="0" w:type="dxa"/>
                  <w:left w:w="108" w:type="dxa"/>
                  <w:bottom w:w="0" w:type="dxa"/>
                  <w:right w:w="108" w:type="dxa"/>
                </w:tblCellMar>
              </w:tblPrEx>
              <w:trPr>
                <w:trHeight w:val="204" w:hRule="atLeast"/>
              </w:trPr>
              <w:tc>
                <w:tcPr>
                  <w:tcW w:w="0" w:type="auto"/>
                  <w:shd w:val="clear" w:color="auto" w:fill="FFFFFF"/>
                  <w:vAlign w:val="bottom"/>
                </w:tcPr>
                <w:p w14:paraId="77C8F9E3">
                  <w:pPr>
                    <w:textAlignment w:val="bottom"/>
                    <w:rPr>
                      <w:rFonts w:eastAsia="宋体" w:cs="Calibri"/>
                      <w:b/>
                      <w:bCs/>
                      <w:color w:val="000000"/>
                      <w:lang w:eastAsia="zh-CN"/>
                    </w:rPr>
                  </w:pPr>
                  <w:r>
                    <w:rPr>
                      <w:rFonts w:eastAsia="宋体" w:cs="Calibri"/>
                      <w:b/>
                      <w:bCs/>
                      <w:color w:val="000000"/>
                      <w:lang w:eastAsia="zh-CN" w:bidi="ar"/>
                    </w:rPr>
                    <w:t>Discounted Rate</w:t>
                  </w:r>
                </w:p>
              </w:tc>
              <w:tc>
                <w:tcPr>
                  <w:tcW w:w="0" w:type="auto"/>
                  <w:shd w:val="clear" w:color="auto" w:fill="FFFFFF"/>
                  <w:vAlign w:val="bottom"/>
                </w:tcPr>
                <w:p w14:paraId="742769EE">
                  <w:pPr>
                    <w:jc w:val="right"/>
                    <w:textAlignment w:val="bottom"/>
                    <w:rPr>
                      <w:rFonts w:eastAsia="宋体" w:cs="Calibri"/>
                      <w:color w:val="000000"/>
                      <w:lang w:eastAsia="zh-CN"/>
                    </w:rPr>
                  </w:pPr>
                  <w:r>
                    <w:rPr>
                      <w:rFonts w:eastAsia="宋体" w:cs="Calibri"/>
                      <w:color w:val="000000"/>
                      <w:lang w:eastAsia="zh-CN" w:bidi="ar"/>
                    </w:rPr>
                    <w:t>12%</w:t>
                  </w:r>
                </w:p>
              </w:tc>
            </w:tr>
            <w:tr w14:paraId="6B047EE8">
              <w:tblPrEx>
                <w:tblCellMar>
                  <w:top w:w="0" w:type="dxa"/>
                  <w:left w:w="108" w:type="dxa"/>
                  <w:bottom w:w="0" w:type="dxa"/>
                  <w:right w:w="108" w:type="dxa"/>
                </w:tblCellMar>
              </w:tblPrEx>
              <w:trPr>
                <w:trHeight w:val="204" w:hRule="atLeast"/>
              </w:trPr>
              <w:tc>
                <w:tcPr>
                  <w:tcW w:w="0" w:type="auto"/>
                  <w:shd w:val="clear" w:color="auto" w:fill="FFFFFF"/>
                  <w:vAlign w:val="bottom"/>
                </w:tcPr>
                <w:p w14:paraId="557B560A">
                  <w:pPr>
                    <w:textAlignment w:val="bottom"/>
                    <w:rPr>
                      <w:rFonts w:eastAsia="宋体" w:cs="Calibri"/>
                      <w:b/>
                      <w:bCs/>
                      <w:color w:val="000000"/>
                      <w:lang w:eastAsia="zh-CN"/>
                    </w:rPr>
                  </w:pPr>
                  <w:r>
                    <w:rPr>
                      <w:rFonts w:eastAsia="宋体" w:cs="Calibri"/>
                      <w:b/>
                      <w:bCs/>
                      <w:color w:val="000000"/>
                      <w:lang w:eastAsia="zh-CN" w:bidi="ar"/>
                    </w:rPr>
                    <w:t>PT 12-month</w:t>
                  </w:r>
                </w:p>
              </w:tc>
              <w:tc>
                <w:tcPr>
                  <w:tcW w:w="0" w:type="auto"/>
                  <w:shd w:val="clear" w:color="auto" w:fill="FFFFFF"/>
                  <w:vAlign w:val="bottom"/>
                </w:tcPr>
                <w:p w14:paraId="77A0B31E">
                  <w:pPr>
                    <w:jc w:val="right"/>
                    <w:textAlignment w:val="bottom"/>
                    <w:rPr>
                      <w:rFonts w:eastAsia="宋体" w:cs="Calibri"/>
                      <w:b/>
                      <w:bCs/>
                      <w:color w:val="000000"/>
                      <w:lang w:eastAsia="zh-CN"/>
                    </w:rPr>
                  </w:pPr>
                  <w:r>
                    <w:rPr>
                      <w:rFonts w:eastAsia="宋体" w:cs="Calibri"/>
                      <w:b/>
                      <w:bCs/>
                      <w:color w:val="000000"/>
                      <w:lang w:eastAsia="zh-CN" w:bidi="ar"/>
                    </w:rPr>
                    <w:t xml:space="preserve">137.81 </w:t>
                  </w:r>
                </w:p>
              </w:tc>
            </w:tr>
            <w:tr w14:paraId="67216067">
              <w:tblPrEx>
                <w:tblCellMar>
                  <w:top w:w="0" w:type="dxa"/>
                  <w:left w:w="108" w:type="dxa"/>
                  <w:bottom w:w="0" w:type="dxa"/>
                  <w:right w:w="108" w:type="dxa"/>
                </w:tblCellMar>
              </w:tblPrEx>
              <w:trPr>
                <w:trHeight w:val="204" w:hRule="atLeast"/>
              </w:trPr>
              <w:tc>
                <w:tcPr>
                  <w:tcW w:w="0" w:type="auto"/>
                  <w:shd w:val="clear" w:color="auto" w:fill="FFFFFF"/>
                  <w:vAlign w:val="bottom"/>
                </w:tcPr>
                <w:p w14:paraId="2685719C">
                  <w:pPr>
                    <w:textAlignment w:val="bottom"/>
                    <w:rPr>
                      <w:rFonts w:eastAsia="宋体" w:cs="Calibri"/>
                      <w:color w:val="000000"/>
                      <w:lang w:eastAsia="zh-CN"/>
                    </w:rPr>
                  </w:pPr>
                  <w:r>
                    <w:rPr>
                      <w:rFonts w:eastAsia="宋体" w:cs="Calibri"/>
                      <w:color w:val="000000"/>
                      <w:lang w:eastAsia="zh-CN" w:bidi="ar"/>
                    </w:rPr>
                    <w:t>Current</w:t>
                  </w:r>
                </w:p>
              </w:tc>
              <w:tc>
                <w:tcPr>
                  <w:tcW w:w="0" w:type="auto"/>
                  <w:shd w:val="clear" w:color="auto" w:fill="FFFFFF"/>
                  <w:vAlign w:val="bottom"/>
                </w:tcPr>
                <w:p w14:paraId="686433BA">
                  <w:pPr>
                    <w:jc w:val="right"/>
                    <w:textAlignment w:val="bottom"/>
                    <w:rPr>
                      <w:rFonts w:eastAsia="宋体" w:cs="Calibri"/>
                      <w:color w:val="000000"/>
                      <w:lang w:eastAsia="zh-CN"/>
                    </w:rPr>
                  </w:pPr>
                  <w:r>
                    <w:rPr>
                      <w:rFonts w:eastAsia="宋体" w:cs="Calibri"/>
                      <w:color w:val="000000"/>
                      <w:lang w:eastAsia="zh-CN" w:bidi="ar"/>
                    </w:rPr>
                    <w:t>92</w:t>
                  </w:r>
                </w:p>
              </w:tc>
            </w:tr>
            <w:tr w14:paraId="56FA4C3B">
              <w:tblPrEx>
                <w:tblCellMar>
                  <w:top w:w="0" w:type="dxa"/>
                  <w:left w:w="108" w:type="dxa"/>
                  <w:bottom w:w="0" w:type="dxa"/>
                  <w:right w:w="108" w:type="dxa"/>
                </w:tblCellMar>
              </w:tblPrEx>
              <w:trPr>
                <w:trHeight w:val="204" w:hRule="atLeast"/>
              </w:trPr>
              <w:tc>
                <w:tcPr>
                  <w:tcW w:w="0" w:type="auto"/>
                  <w:shd w:val="clear" w:color="auto" w:fill="FFFFFF"/>
                  <w:vAlign w:val="bottom"/>
                </w:tcPr>
                <w:p w14:paraId="067C3699">
                  <w:pPr>
                    <w:textAlignment w:val="bottom"/>
                    <w:rPr>
                      <w:rFonts w:eastAsia="宋体" w:cs="Calibri"/>
                      <w:b/>
                      <w:bCs/>
                      <w:color w:val="000000"/>
                      <w:lang w:eastAsia="zh-CN"/>
                    </w:rPr>
                  </w:pPr>
                  <w:r>
                    <w:rPr>
                      <w:rFonts w:eastAsia="宋体" w:cs="Calibri"/>
                      <w:b/>
                      <w:bCs/>
                      <w:color w:val="000000"/>
                      <w:lang w:eastAsia="zh-CN" w:bidi="ar"/>
                    </w:rPr>
                    <w:t>Upside/Downside</w:t>
                  </w:r>
                </w:p>
              </w:tc>
              <w:tc>
                <w:tcPr>
                  <w:tcW w:w="0" w:type="auto"/>
                  <w:shd w:val="clear" w:color="auto" w:fill="FFFFFF"/>
                  <w:vAlign w:val="bottom"/>
                </w:tcPr>
                <w:p w14:paraId="664743A0">
                  <w:pPr>
                    <w:jc w:val="right"/>
                    <w:textAlignment w:val="bottom"/>
                    <w:rPr>
                      <w:rFonts w:eastAsia="宋体" w:cs="Calibri"/>
                      <w:b/>
                      <w:bCs/>
                      <w:color w:val="000000"/>
                      <w:lang w:eastAsia="zh-CN"/>
                    </w:rPr>
                  </w:pPr>
                  <w:r>
                    <w:rPr>
                      <w:rFonts w:eastAsia="宋体" w:cs="Calibri"/>
                      <w:b/>
                      <w:bCs/>
                      <w:color w:val="000000"/>
                      <w:lang w:eastAsia="zh-CN" w:bidi="ar"/>
                    </w:rPr>
                    <w:t>50%</w:t>
                  </w:r>
                </w:p>
              </w:tc>
            </w:tr>
          </w:tbl>
          <w:p w14:paraId="5B4B5DFB">
            <w:pPr>
              <w:jc w:val="both"/>
              <w:rPr>
                <w:rFonts w:cs="Calibri" w:eastAsiaTheme="minorEastAsia"/>
                <w:sz w:val="10"/>
                <w:lang w:eastAsia="zh-CN"/>
              </w:rPr>
            </w:pPr>
          </w:p>
        </w:tc>
      </w:tr>
      <w:tr w14:paraId="4B304B2F">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3604" w:type="dxa"/>
          </w:tcPr>
          <w:p w14:paraId="30912474">
            <w:pPr>
              <w:spacing w:line="240" w:lineRule="atLeast"/>
              <w:jc w:val="both"/>
              <w:textAlignment w:val="center"/>
              <w:rPr>
                <w:rFonts w:cs="Calibri"/>
              </w:rPr>
            </w:pPr>
            <w:r>
              <w:rPr>
                <w:rFonts w:eastAsia="楷体_GB2312" w:cs="Calibri"/>
                <w:b/>
                <w:bCs/>
                <w:sz w:val="18"/>
                <w:szCs w:val="18"/>
              </w:rPr>
              <w:t xml:space="preserve">Source: </w:t>
            </w:r>
            <w:r>
              <w:rPr>
                <w:rFonts w:eastAsia="楷体_GB2312" w:cs="Calibri"/>
                <w:sz w:val="18"/>
                <w:szCs w:val="18"/>
              </w:rPr>
              <w:t>Company, HTI</w:t>
            </w:r>
            <w:r>
              <w:rPr>
                <w:rFonts w:cs="Calibri"/>
              </w:rPr>
              <w:t xml:space="preserve"> </w:t>
            </w:r>
          </w:p>
        </w:tc>
      </w:tr>
    </w:tbl>
    <w:p w14:paraId="16C12A23">
      <w:pPr>
        <w:jc w:val="both"/>
        <w:rPr>
          <w:rFonts w:eastAsia="楷体_GB2312" w:cs="Calibri"/>
          <w:b/>
          <w:sz w:val="17"/>
        </w:rPr>
      </w:pPr>
    </w:p>
    <w:p w14:paraId="0B7A2EF3">
      <w:pPr>
        <w:jc w:val="both"/>
        <w:rPr>
          <w:rFonts w:eastAsia="楷体_GB2312" w:cs="Calibri"/>
          <w:b/>
          <w:sz w:val="17"/>
        </w:rPr>
      </w:pPr>
      <w:r>
        <w:rPr>
          <w:rFonts w:eastAsia="楷体_GB2312" w:cs="Calibri"/>
          <w:b/>
          <w:sz w:val="17"/>
          <w:lang w:eastAsia="zh-CN"/>
        </w:rPr>
        <w:t>Ta</w:t>
      </w:r>
      <w:r>
        <w:rPr>
          <w:rFonts w:eastAsia="楷体_GB2312" w:cs="Calibri"/>
          <w:b/>
          <w:sz w:val="17"/>
        </w:rPr>
        <w:t>ble: Financial Summary</w:t>
      </w:r>
    </w:p>
    <w:p w14:paraId="6967D686">
      <w:pPr>
        <w:pStyle w:val="58"/>
        <w:jc w:val="both"/>
        <w:rPr>
          <w:rFonts w:eastAsia="楷体_GB2312" w:cs="Calibri"/>
          <w:b/>
          <w:bCs/>
          <w:color w:val="23558C"/>
          <w:kern w:val="28"/>
          <w:sz w:val="22"/>
          <w:szCs w:val="22"/>
          <w:lang w:eastAsia="zh-CN"/>
        </w:rPr>
      </w:pPr>
      <w:r>
        <w:rPr>
          <w:rFonts w:eastAsia="楷体_GB2312" w:cs="Calibri"/>
          <w:b/>
          <w:bCs/>
          <w:color w:val="23558C"/>
          <w:kern w:val="28"/>
          <w:sz w:val="22"/>
          <w:szCs w:val="22"/>
          <w:lang w:eastAsia="zh-CN"/>
        </w:rPr>
        <w:drawing>
          <wp:inline distT="0" distB="0" distL="114300" distR="114300">
            <wp:extent cx="4907915" cy="2486025"/>
            <wp:effectExtent l="0" t="0" r="14605" b="13335"/>
            <wp:docPr id="3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1"/>
                    <pic:cNvPicPr>
                      <a:picLocks noChangeAspect="1"/>
                    </pic:cNvPicPr>
                  </pic:nvPicPr>
                  <pic:blipFill>
                    <a:blip r:embed="rId46"/>
                    <a:stretch>
                      <a:fillRect/>
                    </a:stretch>
                  </pic:blipFill>
                  <pic:spPr>
                    <a:xfrm>
                      <a:off x="0" y="0"/>
                      <a:ext cx="4907915" cy="2486025"/>
                    </a:xfrm>
                    <a:prstGeom prst="rect">
                      <a:avLst/>
                    </a:prstGeom>
                    <a:noFill/>
                    <a:ln>
                      <a:noFill/>
                    </a:ln>
                  </pic:spPr>
                </pic:pic>
              </a:graphicData>
            </a:graphic>
          </wp:inline>
        </w:drawing>
      </w:r>
    </w:p>
    <w:p w14:paraId="4F9DC000">
      <w:pPr>
        <w:spacing w:line="240" w:lineRule="atLeast"/>
        <w:jc w:val="both"/>
        <w:textAlignment w:val="center"/>
        <w:rPr>
          <w:rFonts w:cs="Calibri"/>
        </w:rPr>
      </w:pPr>
      <w:r>
        <w:rPr>
          <w:rFonts w:eastAsia="楷体_GB2312" w:cs="Calibri"/>
          <w:b/>
          <w:bCs/>
          <w:sz w:val="18"/>
          <w:szCs w:val="18"/>
        </w:rPr>
        <w:t xml:space="preserve">Source: </w:t>
      </w:r>
      <w:r>
        <w:rPr>
          <w:rFonts w:eastAsia="楷体_GB2312" w:cs="Calibri"/>
          <w:sz w:val="18"/>
          <w:szCs w:val="18"/>
        </w:rPr>
        <w:t>Company, HTI</w:t>
      </w:r>
      <w:r>
        <w:rPr>
          <w:rFonts w:cs="Calibri"/>
        </w:rPr>
        <w:t xml:space="preserve"> </w:t>
      </w:r>
    </w:p>
    <w:p w14:paraId="71DB9A5C">
      <w:pPr>
        <w:pStyle w:val="58"/>
        <w:jc w:val="both"/>
        <w:rPr>
          <w:rFonts w:eastAsia="楷体_GB2312" w:cs="Calibri"/>
          <w:b/>
          <w:bCs/>
          <w:color w:val="23558C"/>
          <w:kern w:val="28"/>
          <w:sz w:val="22"/>
          <w:szCs w:val="22"/>
          <w:lang w:eastAsia="zh-CN"/>
        </w:rPr>
      </w:pPr>
    </w:p>
    <w:p w14:paraId="10BDBDE0">
      <w:pPr>
        <w:rPr>
          <w:rFonts w:eastAsia="楷体_GB2312" w:cs="Calibri"/>
          <w:b/>
          <w:bCs/>
          <w:snapToGrid/>
          <w:color w:val="23558C"/>
          <w:kern w:val="28"/>
          <w:sz w:val="22"/>
          <w:szCs w:val="22"/>
          <w:lang w:eastAsia="zh-CN"/>
        </w:rPr>
      </w:pPr>
      <w:r>
        <w:rPr>
          <w:rFonts w:eastAsia="楷体_GB2312" w:cs="Calibri"/>
          <w:b/>
          <w:bCs/>
          <w:color w:val="23558C"/>
          <w:kern w:val="28"/>
          <w:sz w:val="22"/>
          <w:szCs w:val="22"/>
          <w:lang w:eastAsia="zh-CN"/>
        </w:rPr>
        <w:br w:type="page"/>
      </w:r>
    </w:p>
    <w:p w14:paraId="5A29F6FE">
      <w:pPr>
        <w:pStyle w:val="2"/>
        <w:spacing w:before="240" w:beforeLines="100" w:after="240" w:afterLines="100"/>
        <w:jc w:val="both"/>
        <w:rPr>
          <w:rFonts w:ascii="Calibri" w:hAnsi="Calibri" w:eastAsia="楷体_GB2312" w:cs="Calibri"/>
          <w:b/>
          <w:bCs/>
          <w:color w:val="23558C"/>
          <w:sz w:val="30"/>
          <w:lang w:eastAsia="zh-CN"/>
        </w:rPr>
      </w:pPr>
      <w:bookmarkStart w:id="16" w:name="_Toc186105501"/>
      <w:bookmarkStart w:id="17" w:name="_Toc14754"/>
      <w:r>
        <w:rPr>
          <w:rFonts w:ascii="Calibri" w:hAnsi="Calibri" w:eastAsia="楷体_GB2312" w:cs="Calibri"/>
          <w:b/>
          <w:bCs/>
          <w:color w:val="23558C"/>
          <w:sz w:val="30"/>
        </w:rPr>
        <w:t xml:space="preserve">5. </w:t>
      </w:r>
      <w:bookmarkEnd w:id="16"/>
      <w:r>
        <w:rPr>
          <w:rFonts w:ascii="Calibri" w:hAnsi="Calibri" w:eastAsia="楷体_GB2312" w:cs="Calibri"/>
          <w:b/>
          <w:bCs/>
          <w:color w:val="23558C"/>
          <w:sz w:val="30"/>
          <w:lang w:eastAsia="zh-CN"/>
        </w:rPr>
        <w:t>Risks</w:t>
      </w:r>
      <w:bookmarkEnd w:id="17"/>
    </w:p>
    <w:p w14:paraId="16F54618">
      <w:pPr>
        <w:pStyle w:val="46"/>
        <w:rPr>
          <w:rFonts w:eastAsia="宋体" w:cs="Calibri"/>
          <w:sz w:val="22"/>
          <w:szCs w:val="22"/>
          <w:lang w:eastAsia="zh-CN"/>
        </w:rPr>
      </w:pPr>
      <w:r>
        <w:rPr>
          <w:rFonts w:eastAsia="宋体" w:cs="Calibri"/>
          <w:b/>
          <w:bCs/>
          <w:sz w:val="22"/>
          <w:szCs w:val="22"/>
          <w:lang w:eastAsia="zh-CN"/>
        </w:rPr>
        <w:t>Change of base-load power supply bottleneck status:</w:t>
      </w:r>
      <w:r>
        <w:rPr>
          <w:rFonts w:eastAsia="宋体" w:cs="Calibri"/>
          <w:sz w:val="22"/>
          <w:szCs w:val="22"/>
          <w:lang w:eastAsia="zh-CN"/>
        </w:rPr>
        <w:t xml:space="preserve"> potential easing of the power-grid interconnection queue; an increase in gas turbine supply; potential competition from other power sources; any higher-than-company-expected order intake leading to potential tightness in production capacity. </w:t>
      </w:r>
    </w:p>
    <w:p w14:paraId="5A8EB5B3">
      <w:pPr>
        <w:pStyle w:val="46"/>
        <w:rPr>
          <w:rFonts w:eastAsia="宋体" w:cs="Calibri"/>
          <w:b/>
          <w:bCs/>
          <w:sz w:val="22"/>
          <w:szCs w:val="22"/>
          <w:lang w:eastAsia="zh-CN"/>
        </w:rPr>
      </w:pPr>
    </w:p>
    <w:p w14:paraId="2FDD6999">
      <w:pPr>
        <w:pStyle w:val="46"/>
        <w:rPr>
          <w:rFonts w:eastAsia="宋体" w:cs="Calibri"/>
          <w:sz w:val="22"/>
          <w:szCs w:val="22"/>
          <w:lang w:eastAsia="zh-CN"/>
        </w:rPr>
      </w:pPr>
      <w:r>
        <w:rPr>
          <w:rFonts w:eastAsia="宋体" w:cs="Calibri"/>
          <w:b/>
          <w:bCs/>
          <w:sz w:val="22"/>
          <w:szCs w:val="22"/>
          <w:lang w:eastAsia="zh-CN"/>
        </w:rPr>
        <w:t>Regulatory limits:</w:t>
      </w:r>
      <w:r>
        <w:rPr>
          <w:rFonts w:eastAsia="宋体" w:cs="Calibri"/>
          <w:sz w:val="22"/>
          <w:szCs w:val="22"/>
          <w:lang w:eastAsia="zh-CN"/>
        </w:rPr>
        <w:t xml:space="preserve"> change in the gas-pipeline regulatory process; ITC policy requirements for FCs</w:t>
      </w:r>
    </w:p>
    <w:p w14:paraId="5C28D6B1">
      <w:pPr>
        <w:pStyle w:val="46"/>
        <w:rPr>
          <w:rFonts w:eastAsia="宋体" w:cs="Calibri"/>
          <w:b/>
          <w:bCs/>
          <w:sz w:val="22"/>
          <w:szCs w:val="22"/>
          <w:lang w:eastAsia="zh-CN"/>
        </w:rPr>
      </w:pPr>
    </w:p>
    <w:p w14:paraId="25C1226A">
      <w:pPr>
        <w:pStyle w:val="46"/>
        <w:rPr>
          <w:rFonts w:eastAsia="宋体" w:cs="Calibri"/>
          <w:sz w:val="22"/>
          <w:szCs w:val="22"/>
          <w:lang w:eastAsia="zh-CN"/>
        </w:rPr>
      </w:pPr>
      <w:r>
        <w:rPr>
          <w:rFonts w:eastAsia="宋体" w:cs="Calibri"/>
          <w:b/>
          <w:bCs/>
          <w:sz w:val="22"/>
          <w:szCs w:val="22"/>
          <w:lang w:eastAsia="zh-CN"/>
        </w:rPr>
        <w:t xml:space="preserve">Concerns around future cost-savings: </w:t>
      </w:r>
      <w:r>
        <w:rPr>
          <w:rFonts w:eastAsia="宋体" w:cs="Calibri"/>
          <w:sz w:val="22"/>
          <w:szCs w:val="22"/>
          <w:lang w:eastAsia="zh-CN"/>
        </w:rPr>
        <w:t xml:space="preserve">below-expectation cost-savings with scale and efficiency improvements; higher opex from a shorter designed lifecycle of 5-7 years. </w:t>
      </w:r>
    </w:p>
    <w:p w14:paraId="7D51F560">
      <w:pPr>
        <w:pStyle w:val="46"/>
        <w:rPr>
          <w:rFonts w:eastAsia="宋体" w:cs="Calibri"/>
          <w:lang w:eastAsia="zh-CN"/>
        </w:rPr>
      </w:pPr>
    </w:p>
    <w:p w14:paraId="4C3F5EE8">
      <w:pPr>
        <w:tabs>
          <w:tab w:val="left" w:pos="871"/>
        </w:tabs>
        <w:rPr>
          <w:rFonts w:cs="Calibri" w:eastAsiaTheme="minorEastAsia"/>
          <w:lang w:eastAsia="zh-CN"/>
        </w:rPr>
      </w:pPr>
    </w:p>
    <w:p w14:paraId="3628CE03">
      <w:pPr>
        <w:tabs>
          <w:tab w:val="left" w:pos="871"/>
        </w:tabs>
        <w:rPr>
          <w:rFonts w:cs="Calibri" w:eastAsiaTheme="minorEastAsia"/>
          <w:lang w:eastAsia="zh-CN"/>
        </w:rPr>
      </w:pPr>
    </w:p>
    <w:p w14:paraId="567419DD">
      <w:pPr>
        <w:tabs>
          <w:tab w:val="left" w:pos="871"/>
        </w:tabs>
        <w:rPr>
          <w:rFonts w:cs="Calibri" w:eastAsiaTheme="minorEastAsia"/>
          <w:lang w:eastAsia="zh-CN"/>
        </w:rPr>
        <w:sectPr>
          <w:pgSz w:w="11910" w:h="16840"/>
          <w:pgMar w:top="567" w:right="567" w:bottom="1021" w:left="3600" w:header="567" w:footer="919" w:gutter="0"/>
          <w:cols w:space="425" w:num="1"/>
          <w:titlePg/>
          <w:docGrid w:linePitch="299" w:charSpace="0"/>
        </w:sectPr>
      </w:pPr>
    </w:p>
    <w:p w14:paraId="3F1105C8">
      <w:pPr>
        <w:rPr>
          <w:rFonts w:cs="Calibri" w:eastAsiaTheme="minorEastAsia"/>
          <w:lang w:eastAsia="zh-CN"/>
        </w:rPr>
        <w:sectPr>
          <w:headerReference r:id="rId19" w:type="first"/>
          <w:footerReference r:id="rId20" w:type="first"/>
          <w:headerReference r:id="rId18" w:type="default"/>
          <w:pgSz w:w="11910" w:h="16840"/>
          <w:pgMar w:top="567" w:right="567" w:bottom="567" w:left="851" w:header="567" w:footer="919" w:gutter="0"/>
          <w:cols w:space="425" w:num="1"/>
          <w:titlePg/>
          <w:docGrid w:linePitch="299" w:charSpace="0"/>
        </w:sectPr>
      </w:pPr>
    </w:p>
    <w:tbl>
      <w:tblPr>
        <w:tblStyle w:val="21"/>
        <w:tblW w:w="10773" w:type="dxa"/>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0773"/>
      </w:tblGrid>
      <w:tr w14:paraId="533BA13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0773" w:type="dxa"/>
          </w:tcPr>
          <w:tbl>
            <w:tblPr>
              <w:tblStyle w:val="21"/>
              <w:tblW w:w="10773" w:type="dxa"/>
              <w:tblCaption w:val="[Table_disclaimer]"/>
              <w:tblDescription w:val="表格隐藏唯一标识（请勿删除和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28" w:type="dxa"/>
                <w:bottom w:w="0" w:type="dxa"/>
                <w:right w:w="28" w:type="dxa"/>
              </w:tblCellMar>
            </w:tblPr>
            <w:tblGrid>
              <w:gridCol w:w="10773"/>
            </w:tblGrid>
            <w:tr w14:paraId="24D3F1B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23" w:hRule="exact"/>
              </w:trPr>
              <w:tc>
                <w:tcPr>
                  <w:tcW w:w="10773" w:type="dxa"/>
                  <w:tcBorders>
                    <w:top w:val="nil"/>
                    <w:bottom w:val="single" w:color="C0C0C0" w:sz="4" w:space="0"/>
                  </w:tcBorders>
                </w:tcPr>
                <w:p w14:paraId="0B17A2F9">
                  <w:pPr>
                    <w:pStyle w:val="73"/>
                    <w:spacing w:after="60"/>
                    <w:rPr>
                      <w:rFonts w:eastAsia="楷体_GB2312" w:cs="Calibri"/>
                      <w:b/>
                      <w:bCs/>
                      <w:w w:val="70"/>
                      <w:sz w:val="22"/>
                      <w:szCs w:val="22"/>
                    </w:rPr>
                  </w:pPr>
                  <w:r>
                    <w:rPr>
                      <w:rFonts w:eastAsia="楷体_GB2312" w:cs="Calibri"/>
                      <w:b/>
                      <w:bCs/>
                      <w:color w:val="FFFFFF" w:themeColor="background1"/>
                      <w:w w:val="70"/>
                      <w:sz w:val="22"/>
                      <w:szCs w:val="22"/>
                      <w14:textFill>
                        <w14:solidFill>
                          <w14:schemeClr w14:val="bg1"/>
                        </w14:solidFill>
                      </w14:textFill>
                    </w:rPr>
                    <w:t>[Table_disclaimer]</w:t>
                  </w:r>
                </w:p>
              </w:tc>
            </w:tr>
            <w:tr w14:paraId="1AB35D9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24" w:space="0"/>
                  </w:tcBorders>
                </w:tcPr>
                <w:p w14:paraId="71ECC95A">
                  <w:pPr>
                    <w:pStyle w:val="73"/>
                    <w:spacing w:after="60"/>
                    <w:rPr>
                      <w:rFonts w:eastAsia="楷体_GB2312" w:cs="Calibri"/>
                      <w:b/>
                      <w:bCs/>
                      <w:w w:val="70"/>
                      <w:sz w:val="22"/>
                      <w:szCs w:val="22"/>
                      <w:lang w:eastAsia="zh-CN"/>
                    </w:rPr>
                  </w:pPr>
                  <w:r>
                    <w:rPr>
                      <w:rFonts w:eastAsia="楷体_GB2312" w:cs="Calibri"/>
                      <w:b/>
                      <w:bCs/>
                      <w:w w:val="70"/>
                      <w:sz w:val="22"/>
                      <w:szCs w:val="22"/>
                    </w:rPr>
                    <w:t>附录APPENDIX</w:t>
                  </w:r>
                </w:p>
                <w:p w14:paraId="23F573AA">
                  <w:pPr>
                    <w:pStyle w:val="73"/>
                    <w:rPr>
                      <w:rFonts w:eastAsia="楷体_GB2312" w:cs="Calibri"/>
                      <w:b/>
                      <w:w w:val="70"/>
                      <w:sz w:val="20"/>
                      <w:szCs w:val="20"/>
                    </w:rPr>
                  </w:pPr>
                  <w:r>
                    <w:rPr>
                      <w:rFonts w:eastAsia="楷体_GB2312" w:cs="Calibri"/>
                      <w:b/>
                      <w:w w:val="70"/>
                      <w:sz w:val="20"/>
                      <w:szCs w:val="20"/>
                    </w:rPr>
                    <w:t>重要信息披露</w:t>
                  </w:r>
                </w:p>
                <w:p w14:paraId="1A62FEE0">
                  <w:pPr>
                    <w:pStyle w:val="73"/>
                    <w:rPr>
                      <w:rFonts w:eastAsia="楷体_GB2312" w:cs="Calibri"/>
                      <w:w w:val="70"/>
                      <w:sz w:val="20"/>
                      <w:szCs w:val="20"/>
                      <w:lang w:eastAsia="zh-CN"/>
                    </w:rPr>
                  </w:pPr>
                  <w:r>
                    <w:rPr>
                      <w:rFonts w:eastAsia="楷体_GB2312" w:cs="Calibri"/>
                      <w:w w:val="70"/>
                      <w:sz w:val="20"/>
                      <w:szCs w:val="20"/>
                    </w:rPr>
                    <w:t>本研究报告由</w:t>
                  </w:r>
                  <w:r>
                    <w:rPr>
                      <w:rFonts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（香港）金融控股有限公司（下称华福国际）</w:t>
                  </w:r>
                  <w:r>
                    <w:rPr>
                      <w:rFonts w:eastAsia="楷体_GB2312" w:cs="Calibri"/>
                      <w:w w:val="70"/>
                      <w:sz w:val="20"/>
                      <w:szCs w:val="20"/>
                    </w:rPr>
                    <w:t>分销</w:t>
                  </w:r>
                  <w:r>
                    <w:rPr>
                      <w:rFonts w:eastAsia="楷体_GB2312" w:cs="Calibri"/>
                      <w:w w:val="70"/>
                      <w:sz w:val="20"/>
                      <w:szCs w:val="20"/>
                      <w:lang w:eastAsia="zh-CN"/>
                    </w:rPr>
                    <w:t>，</w:t>
                  </w:r>
                  <w:r>
                    <w:rPr>
                      <w:rFonts w:eastAsia="楷体_GB2312" w:cs="Calibri"/>
                      <w:w w:val="70"/>
                      <w:sz w:val="20"/>
                      <w:szCs w:val="20"/>
                    </w:rPr>
                    <w:t>在其许可的司法管辖区内从事证券活动。</w:t>
                  </w:r>
                </w:p>
                <w:p w14:paraId="62D8A11A">
                  <w:pPr>
                    <w:pStyle w:val="73"/>
                    <w:rPr>
                      <w:rFonts w:eastAsia="楷体_GB2312" w:cs="Calibri"/>
                      <w:b/>
                      <w:bCs/>
                      <w:w w:val="70"/>
                      <w:sz w:val="20"/>
                      <w:szCs w:val="20"/>
                    </w:rPr>
                  </w:pPr>
                  <w:r>
                    <w:rPr>
                      <w:rFonts w:eastAsia="楷体_GB2312" w:cs="Calibri"/>
                      <w:b/>
                      <w:bCs/>
                      <w:w w:val="70"/>
                      <w:sz w:val="20"/>
                      <w:szCs w:val="20"/>
                    </w:rPr>
                    <w:t>IMPORTANT DISCLOSURES</w:t>
                  </w:r>
                </w:p>
                <w:p w14:paraId="2BA95875">
                  <w:pPr>
                    <w:pStyle w:val="73"/>
                    <w:spacing w:after="60"/>
                    <w:rPr>
                      <w:rFonts w:eastAsia="楷体_GB2312" w:cs="Calibri"/>
                      <w:lang w:eastAsia="zh-CN"/>
                    </w:rPr>
                  </w:pPr>
                  <w:r>
                    <w:rPr>
                      <w:rFonts w:eastAsia="楷体_GB2312" w:cs="Calibri"/>
                      <w:w w:val="70"/>
                      <w:sz w:val="20"/>
                      <w:szCs w:val="20"/>
                    </w:rPr>
                    <w:t xml:space="preserve">This research report is distributed by </w:t>
                  </w:r>
                  <w:r>
                    <w:rPr>
                      <w:rFonts w:eastAsia="楷体_GB2312" w:cs="Calibri"/>
                      <w:w w:val="70"/>
                      <w:sz w:val="20"/>
                      <w:szCs w:val="20"/>
                      <w:lang w:eastAsia="zh-CN"/>
                    </w:rPr>
                    <w:t>HuaFu</w:t>
                  </w:r>
                  <w:r>
                    <w:rPr>
                      <w:rFonts w:eastAsia="楷体_GB2312" w:cs="Calibri"/>
                      <w:w w:val="70"/>
                      <w:sz w:val="20"/>
                      <w:szCs w:val="20"/>
                    </w:rPr>
                    <w:t xml:space="preserve"> International</w:t>
                  </w:r>
                  <w:r>
                    <w:rPr>
                      <w:rFonts w:eastAsia="楷体_GB2312" w:cs="Calibri"/>
                      <w:w w:val="70"/>
                      <w:sz w:val="20"/>
                      <w:szCs w:val="20"/>
                      <w:lang w:eastAsia="zh-CN"/>
                    </w:rPr>
                    <w:t xml:space="preserve"> (HK) Financial Holdings Limited (referred as HuaFu International below)</w:t>
                  </w:r>
                  <w:r>
                    <w:rPr>
                      <w:rFonts w:eastAsia="楷体_GB2312" w:cs="Calibri"/>
                      <w:w w:val="70"/>
                      <w:sz w:val="20"/>
                      <w:szCs w:val="20"/>
                    </w:rPr>
                    <w:t xml:space="preserve">, </w:t>
                  </w:r>
                  <w:r>
                    <w:rPr>
                      <w:rFonts w:eastAsia="楷体_GB2312" w:cs="Calibri"/>
                      <w:w w:val="70"/>
                      <w:sz w:val="20"/>
                      <w:szCs w:val="20"/>
                      <w:lang w:eastAsia="zh-CN"/>
                    </w:rPr>
                    <w:t>which</w:t>
                  </w:r>
                  <w:r>
                    <w:rPr>
                      <w:rFonts w:eastAsia="楷体_GB2312" w:cs="Calibri"/>
                      <w:w w:val="70"/>
                      <w:sz w:val="20"/>
                      <w:szCs w:val="20"/>
                    </w:rPr>
                    <w:t xml:space="preserve"> </w:t>
                  </w:r>
                  <w:r>
                    <w:rPr>
                      <w:rFonts w:eastAsia="楷体_GB2312" w:cs="Calibri"/>
                      <w:w w:val="70"/>
                      <w:sz w:val="20"/>
                      <w:szCs w:val="20"/>
                      <w:lang w:eastAsia="zh-CN"/>
                    </w:rPr>
                    <w:t xml:space="preserve">is </w:t>
                  </w:r>
                  <w:r>
                    <w:rPr>
                      <w:rFonts w:eastAsia="楷体_GB2312" w:cs="Calibri"/>
                      <w:w w:val="70"/>
                      <w:sz w:val="20"/>
                      <w:szCs w:val="20"/>
                    </w:rPr>
                    <w:t>authorized to engage in securities activities in its respective jurisdiction.</w:t>
                  </w:r>
                </w:p>
              </w:tc>
            </w:tr>
            <w:tr w14:paraId="5BD53D44">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24" w:space="0"/>
                  </w:tcBorders>
                </w:tcPr>
                <w:p w14:paraId="6E194E14">
                  <w:pPr>
                    <w:pStyle w:val="73"/>
                    <w:spacing w:after="48" w:afterLines="20"/>
                    <w:rPr>
                      <w:rFonts w:eastAsia="楷体_GB2312" w:cs="Calibri"/>
                      <w:w w:val="70"/>
                      <w:sz w:val="20"/>
                      <w:szCs w:val="20"/>
                    </w:rPr>
                  </w:pPr>
                  <w:r>
                    <w:rPr>
                      <w:rFonts w:eastAsia="楷体_GB2312" w:cs="Calibri"/>
                      <w:b/>
                      <w:w w:val="70"/>
                      <w:sz w:val="20"/>
                      <w:szCs w:val="20"/>
                    </w:rPr>
                    <w:t>分析师认证Analyst Certification</w:t>
                  </w:r>
                  <w:r>
                    <w:rPr>
                      <w:rFonts w:eastAsia="楷体_GB2312" w:cs="Calibri"/>
                      <w:w w:val="70"/>
                      <w:sz w:val="20"/>
                      <w:szCs w:val="20"/>
                    </w:rPr>
                    <w:t>:</w:t>
                  </w:r>
                </w:p>
              </w:tc>
            </w:tr>
            <w:tr w14:paraId="6A1EA568">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bottom w:val="single" w:color="C0C0C0" w:sz="24" w:space="0"/>
                  </w:tcBorders>
                </w:tcPr>
                <w:p w14:paraId="1E9C380A">
                  <w:pPr>
                    <w:rPr>
                      <w:rFonts w:eastAsia="楷体_GB2312" w:cs="Calibri"/>
                      <w:w w:val="70"/>
                      <w:sz w:val="20"/>
                      <w:szCs w:val="20"/>
                      <w:lang w:eastAsia="zh-CN"/>
                    </w:rPr>
                  </w:pPr>
                  <w:r>
                    <w:rPr>
                      <w:rFonts w:eastAsia="楷体_GB2312" w:cs="Calibri"/>
                      <w:w w:val="70"/>
                      <w:sz w:val="20"/>
                      <w:szCs w:val="20"/>
                    </w:rPr>
                    <w:t>我， xxxx，在此保证（i）本研究报告中的意见准确反映了我们对本研究中提及的任何或所有目标公司或上市公司的个人观点，并且（ii）我的报酬中没有任何部分与本研究报告中表达的具体建议或观点直接或间接相关；及就此报告中所讨论目标公司的证券，我们（包括我们的家属）在其中均不持有任何财务利益。I, xxxx, certify that (i) the views expressed in this research report accurately reflect my personal views about any or all of the subject companies or issuers referred to in this research and (ii) no part of my compensation was, is or will be directly or indirectly related to the specific recommendations or views expressed in this research report; and that I (including members of my household) have no financial interest in the security or securities of the subject companies discussed.</w:t>
                  </w:r>
                </w:p>
              </w:tc>
            </w:tr>
            <w:tr w14:paraId="3CF2A17B">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24" w:space="0"/>
                    <w:bottom w:val="nil"/>
                  </w:tcBorders>
                </w:tcPr>
                <w:p w14:paraId="34BC7574">
                  <w:pPr>
                    <w:pStyle w:val="73"/>
                    <w:spacing w:after="48" w:afterLines="20"/>
                    <w:rPr>
                      <w:rFonts w:eastAsia="楷体_GB2312" w:cs="Calibri"/>
                      <w:b/>
                      <w:bCs/>
                      <w:w w:val="70"/>
                      <w:sz w:val="20"/>
                      <w:szCs w:val="20"/>
                    </w:rPr>
                  </w:pPr>
                  <w:r>
                    <w:rPr>
                      <w:rFonts w:eastAsia="楷体_GB2312" w:cs="Calibri"/>
                      <w:b/>
                      <w:bCs/>
                      <w:w w:val="70"/>
                      <w:sz w:val="20"/>
                      <w:szCs w:val="20"/>
                    </w:rPr>
                    <w:t>利益冲突披露Conflict of Interest Disclosures</w:t>
                  </w:r>
                </w:p>
              </w:tc>
            </w:tr>
            <w:tr w14:paraId="77090A1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nil"/>
                    <w:bottom w:val="single" w:color="C0C0C0" w:sz="4" w:space="0"/>
                  </w:tcBorders>
                </w:tcPr>
                <w:p w14:paraId="4329CA51">
                  <w:pPr>
                    <w:pStyle w:val="73"/>
                    <w:rPr>
                      <w:rFonts w:eastAsia="楷体_GB2312" w:cs="Calibri"/>
                      <w:w w:val="70"/>
                      <w:sz w:val="20"/>
                      <w:szCs w:val="20"/>
                    </w:rPr>
                  </w:pPr>
                  <w:r>
                    <w:rPr>
                      <w:rFonts w:eastAsia="楷体_GB2312" w:cs="Calibri"/>
                      <w:w w:val="70"/>
                      <w:sz w:val="20"/>
                      <w:szCs w:val="20"/>
                      <w:lang w:eastAsia="zh-CN"/>
                    </w:rPr>
                    <w:t>华福</w:t>
                  </w:r>
                  <w:r>
                    <w:rPr>
                      <w:rFonts w:eastAsia="楷体_GB2312" w:cs="Calibri"/>
                      <w:w w:val="70"/>
                      <w:sz w:val="20"/>
                      <w:szCs w:val="20"/>
                    </w:rPr>
                    <w:t>国际及其某些关联公司可从事投资银行业务和/或对本研究中的特定股票或公司进行做市或持有自营头寸。就本研究报告而言，如需了解其中提到的某一公司信息，</w:t>
                  </w:r>
                  <w:r>
                    <w:fldChar w:fldCharType="begin"/>
                  </w:r>
                  <w:r>
                    <w:instrText xml:space="preserve"> HYPERLINK "mailto:请发邮件至ERD-Disclosure@htisec.com" </w:instrText>
                  </w:r>
                  <w:r>
                    <w:fldChar w:fldCharType="separate"/>
                  </w:r>
                  <w:r>
                    <w:rPr>
                      <w:rStyle w:val="25"/>
                      <w:rFonts w:eastAsia="楷体_GB2312" w:cs="Calibri"/>
                      <w:color w:val="000000" w:themeColor="text1"/>
                      <w:w w:val="70"/>
                      <w:sz w:val="20"/>
                      <w:szCs w:val="20"/>
                      <w14:textFill>
                        <w14:solidFill>
                          <w14:schemeClr w14:val="tx1"/>
                        </w14:solidFill>
                      </w14:textFill>
                    </w:rPr>
                    <w:t>请发邮件至lcd@hfisec.com</w:t>
                  </w:r>
                  <w:r>
                    <w:rPr>
                      <w:rStyle w:val="25"/>
                      <w:rFonts w:eastAsia="楷体_GB2312" w:cs="Calibri"/>
                      <w:color w:val="000000" w:themeColor="text1"/>
                      <w:w w:val="70"/>
                      <w:sz w:val="20"/>
                      <w:szCs w:val="20"/>
                      <w14:textFill>
                        <w14:solidFill>
                          <w14:schemeClr w14:val="tx1"/>
                        </w14:solidFill>
                      </w14:textFill>
                    </w:rPr>
                    <w:fldChar w:fldCharType="end"/>
                  </w:r>
                  <w:r>
                    <w:rPr>
                      <w:rFonts w:eastAsia="宋体" w:cs="Calibri"/>
                      <w:u w:val="single"/>
                    </w:rPr>
                    <w:t>.hk</w:t>
                  </w:r>
                  <w:r>
                    <w:rPr>
                      <w:rFonts w:eastAsia="楷体_GB2312" w:cs="Calibri"/>
                      <w:w w:val="70"/>
                      <w:sz w:val="20"/>
                      <w:szCs w:val="20"/>
                    </w:rPr>
                    <w:t>）</w:t>
                  </w:r>
                </w:p>
                <w:p w14:paraId="35436F13">
                  <w:pPr>
                    <w:pStyle w:val="73"/>
                    <w:rPr>
                      <w:rFonts w:eastAsia="楷体_GB2312" w:cs="Calibri"/>
                      <w:b/>
                      <w:bCs/>
                      <w:w w:val="70"/>
                      <w:sz w:val="20"/>
                      <w:szCs w:val="20"/>
                      <w:lang w:eastAsia="zh-CN"/>
                    </w:rPr>
                  </w:pPr>
                  <w:r>
                    <w:rPr>
                      <w:rFonts w:eastAsia="楷体_GB2312" w:cs="Calibri"/>
                      <w:w w:val="70"/>
                      <w:sz w:val="20"/>
                      <w:szCs w:val="20"/>
                      <w:lang w:eastAsia="zh-CN"/>
                    </w:rPr>
                    <w:t>HuaFu International</w:t>
                  </w:r>
                  <w:r>
                    <w:rPr>
                      <w:rFonts w:eastAsia="楷体_GB2312" w:cs="Calibri"/>
                      <w:w w:val="70"/>
                      <w:sz w:val="20"/>
                      <w:szCs w:val="20"/>
                    </w:rPr>
                    <w:t xml:space="preserve"> and some of its affiliates may engage in investment banking and / or serve as a market maker or hold proprietary trading positions of certain stocks or companies in this research report. As far as this research report is concerned, </w:t>
                  </w:r>
                  <w:r>
                    <w:rPr>
                      <w:rFonts w:eastAsia="楷体_GB2312" w:cs="Calibri"/>
                      <w:color w:val="000000" w:themeColor="text1"/>
                      <w:w w:val="70"/>
                      <w:sz w:val="20"/>
                      <w:szCs w:val="20"/>
                      <w14:textFill>
                        <w14:solidFill>
                          <w14:schemeClr w14:val="tx1"/>
                        </w14:solidFill>
                      </w14:textFill>
                    </w:rPr>
                    <w:t xml:space="preserve">please send an email to </w:t>
                  </w:r>
                  <w:r>
                    <w:rPr>
                      <w:rFonts w:eastAsia="楷体_GB2312" w:cs="Calibri"/>
                      <w:color w:val="000000" w:themeColor="text1"/>
                      <w:w w:val="70"/>
                      <w:sz w:val="20"/>
                      <w:szCs w:val="20"/>
                      <w:lang w:eastAsia="zh-CN"/>
                      <w14:textFill>
                        <w14:solidFill>
                          <w14:schemeClr w14:val="tx1"/>
                        </w14:solidFill>
                      </w14:textFill>
                    </w:rPr>
                    <w:t>lcd</w:t>
                  </w:r>
                  <w:r>
                    <w:rPr>
                      <w:rFonts w:eastAsia="楷体_GB2312" w:cs="Calibri"/>
                      <w:color w:val="000000" w:themeColor="text1"/>
                      <w:w w:val="70"/>
                      <w:sz w:val="20"/>
                      <w:szCs w:val="20"/>
                      <w14:textFill>
                        <w14:solidFill>
                          <w14:schemeClr w14:val="tx1"/>
                        </w14:solidFill>
                      </w14:textFill>
                    </w:rPr>
                    <w:t>@</w:t>
                  </w:r>
                  <w:r>
                    <w:rPr>
                      <w:rFonts w:eastAsia="楷体_GB2312" w:cs="Calibri"/>
                      <w:color w:val="000000" w:themeColor="text1"/>
                      <w:w w:val="70"/>
                      <w:sz w:val="20"/>
                      <w:szCs w:val="20"/>
                      <w:lang w:eastAsia="zh-CN"/>
                      <w14:textFill>
                        <w14:solidFill>
                          <w14:schemeClr w14:val="tx1"/>
                        </w14:solidFill>
                      </w14:textFill>
                    </w:rPr>
                    <w:t>hfisec</w:t>
                  </w:r>
                  <w:r>
                    <w:rPr>
                      <w:rFonts w:eastAsia="楷体_GB2312" w:cs="Calibri"/>
                      <w:color w:val="000000" w:themeColor="text1"/>
                      <w:w w:val="70"/>
                      <w:sz w:val="20"/>
                      <w:szCs w:val="20"/>
                      <w14:textFill>
                        <w14:solidFill>
                          <w14:schemeClr w14:val="tx1"/>
                        </w14:solidFill>
                      </w14:textFill>
                    </w:rPr>
                    <w:t>.com</w:t>
                  </w:r>
                  <w:r>
                    <w:rPr>
                      <w:rFonts w:eastAsia="楷体_GB2312" w:cs="Calibri"/>
                      <w:color w:val="000000" w:themeColor="text1"/>
                      <w:w w:val="70"/>
                      <w:sz w:val="20"/>
                      <w:szCs w:val="20"/>
                      <w:lang w:eastAsia="zh-CN"/>
                      <w14:textFill>
                        <w14:solidFill>
                          <w14:schemeClr w14:val="tx1"/>
                        </w14:solidFill>
                      </w14:textFill>
                    </w:rPr>
                    <w:t>.hk</w:t>
                  </w:r>
                  <w:r>
                    <w:rPr>
                      <w:rFonts w:eastAsia="楷体_GB2312" w:cs="Calibri"/>
                      <w:color w:val="000000" w:themeColor="text1"/>
                      <w:w w:val="70"/>
                      <w:sz w:val="20"/>
                      <w:szCs w:val="20"/>
                      <w14:textFill>
                        <w14:solidFill>
                          <w14:schemeClr w14:val="tx1"/>
                        </w14:solidFill>
                      </w14:textFill>
                    </w:rPr>
                    <w:t xml:space="preserve"> if </w:t>
                  </w:r>
                  <w:r>
                    <w:rPr>
                      <w:rFonts w:eastAsia="楷体_GB2312" w:cs="Calibri"/>
                      <w:color w:val="000000" w:themeColor="text1"/>
                      <w:w w:val="70"/>
                      <w:sz w:val="20"/>
                      <w:szCs w:val="20"/>
                      <w:lang w:eastAsia="zh-CN"/>
                      <w14:textFill>
                        <w14:solidFill>
                          <w14:schemeClr w14:val="tx1"/>
                        </w14:solidFill>
                      </w14:textFill>
                    </w:rPr>
                    <w:t>the</w:t>
                  </w:r>
                  <w:r>
                    <w:rPr>
                      <w:rFonts w:eastAsia="楷体_GB2312" w:cs="Calibri"/>
                      <w:color w:val="000000" w:themeColor="text1"/>
                      <w:w w:val="70"/>
                      <w:sz w:val="20"/>
                      <w:szCs w:val="20"/>
                      <w14:textFill>
                        <w14:solidFill>
                          <w14:schemeClr w14:val="tx1"/>
                        </w14:solidFill>
                      </w14:textFill>
                    </w:rPr>
                    <w:t xml:space="preserve"> information </w:t>
                  </w:r>
                  <w:r>
                    <w:rPr>
                      <w:rFonts w:eastAsia="楷体_GB2312" w:cs="Calibri"/>
                      <w:color w:val="000000" w:themeColor="text1"/>
                      <w:w w:val="70"/>
                      <w:sz w:val="20"/>
                      <w:szCs w:val="20"/>
                      <w:lang w:eastAsia="zh-CN"/>
                      <w14:textFill>
                        <w14:solidFill>
                          <w14:schemeClr w14:val="tx1"/>
                        </w14:solidFill>
                      </w14:textFill>
                    </w:rPr>
                    <w:t xml:space="preserve">about any company mentioned in this report </w:t>
                  </w:r>
                  <w:r>
                    <w:rPr>
                      <w:rFonts w:eastAsia="楷体_GB2312" w:cs="Calibri"/>
                      <w:color w:val="000000" w:themeColor="text1"/>
                      <w:w w:val="70"/>
                      <w:sz w:val="20"/>
                      <w:szCs w:val="20"/>
                      <w14:textFill>
                        <w14:solidFill>
                          <w14:schemeClr w14:val="tx1"/>
                        </w14:solidFill>
                      </w14:textFill>
                    </w:rPr>
                    <w:t>is needed).</w:t>
                  </w:r>
                </w:p>
              </w:tc>
            </w:tr>
            <w:tr w14:paraId="6FDD52B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14:paraId="30D4D432">
                  <w:pPr>
                    <w:pStyle w:val="73"/>
                    <w:rPr>
                      <w:rFonts w:eastAsia="楷体_GB2312" w:cs="Calibri"/>
                      <w:w w:val="70"/>
                      <w:sz w:val="20"/>
                      <w:szCs w:val="20"/>
                    </w:rPr>
                  </w:pPr>
                </w:p>
              </w:tc>
            </w:tr>
            <w:tr w14:paraId="11B1908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5096" w:hRule="atLeast"/>
              </w:trPr>
              <w:tc>
                <w:tcPr>
                  <w:tcW w:w="10773" w:type="dxa"/>
                  <w:tcBorders>
                    <w:top w:val="single" w:color="C0C0C0" w:sz="4" w:space="0"/>
                  </w:tcBorders>
                </w:tcPr>
                <w:p w14:paraId="18BAF413">
                  <w:pPr>
                    <w:pStyle w:val="73"/>
                    <w:rPr>
                      <w:rFonts w:eastAsia="楷体_GB2312" w:cs="Calibri"/>
                      <w:b/>
                      <w:w w:val="70"/>
                      <w:sz w:val="20"/>
                      <w:szCs w:val="20"/>
                    </w:rPr>
                  </w:pPr>
                  <w:r>
                    <w:rPr>
                      <w:rFonts w:eastAsia="楷体_GB2312" w:cs="Calibri"/>
                      <w:b/>
                      <w:w w:val="70"/>
                      <w:sz w:val="20"/>
                      <w:szCs w:val="20"/>
                    </w:rPr>
                    <w:t>评级定义</w:t>
                  </w:r>
                  <w:r>
                    <w:rPr>
                      <w:rFonts w:eastAsia="楷体_GB2312" w:cs="Calibri"/>
                      <w:b/>
                      <w:w w:val="70"/>
                      <w:sz w:val="20"/>
                      <w:szCs w:val="20"/>
                      <w:lang w:eastAsia="zh-CN"/>
                    </w:rPr>
                    <w:t>（从2020年7月1日开始执行）</w:t>
                  </w:r>
                  <w:r>
                    <w:rPr>
                      <w:rFonts w:eastAsia="楷体_GB2312" w:cs="Calibri"/>
                      <w:b/>
                      <w:w w:val="70"/>
                      <w:sz w:val="20"/>
                      <w:szCs w:val="20"/>
                    </w:rPr>
                    <w:t>：</w:t>
                  </w:r>
                </w:p>
                <w:p w14:paraId="57323C5E">
                  <w:pPr>
                    <w:pStyle w:val="73"/>
                    <w:rPr>
                      <w:rFonts w:eastAsia="楷体_GB2312" w:cs="Calibri"/>
                      <w:w w:val="70"/>
                      <w:sz w:val="20"/>
                      <w:szCs w:val="20"/>
                    </w:rPr>
                  </w:pPr>
                  <w:r>
                    <w:rPr>
                      <w:rFonts w:eastAsia="楷体_GB2312" w:cs="Calibri"/>
                      <w:w w:val="70"/>
                      <w:sz w:val="20"/>
                      <w:szCs w:val="20"/>
                      <w:lang w:eastAsia="zh-CN"/>
                    </w:rPr>
                    <w:t>华福</w:t>
                  </w:r>
                  <w:r>
                    <w:rPr>
                      <w:rFonts w:eastAsia="楷体_GB2312" w:cs="Calibri"/>
                      <w:w w:val="70"/>
                      <w:sz w:val="20"/>
                      <w:szCs w:val="20"/>
                    </w:rPr>
                    <w:t>国际采用相对评级系统</w:t>
                  </w:r>
                  <w:r>
                    <w:rPr>
                      <w:rFonts w:eastAsia="楷体_GB2312" w:cs="Calibri"/>
                      <w:w w:val="70"/>
                      <w:sz w:val="20"/>
                      <w:szCs w:val="20"/>
                      <w:lang w:eastAsia="zh-CN"/>
                    </w:rPr>
                    <w:t>来为投资者推荐我们覆盖的公司</w:t>
                  </w:r>
                  <w:r>
                    <w:rPr>
                      <w:rFonts w:eastAsia="楷体_GB2312" w:cs="Calibri"/>
                      <w:w w:val="70"/>
                      <w:sz w:val="20"/>
                      <w:szCs w:val="20"/>
                    </w:rPr>
                    <w:t>：</w:t>
                  </w:r>
                  <w:r>
                    <w:rPr>
                      <w:rFonts w:eastAsia="楷体_GB2312" w:cs="Calibri"/>
                      <w:w w:val="70"/>
                      <w:sz w:val="20"/>
                      <w:szCs w:val="20"/>
                      <w:lang w:eastAsia="zh-CN"/>
                    </w:rPr>
                    <w:t>优于大市</w:t>
                  </w:r>
                  <w:r>
                    <w:rPr>
                      <w:rFonts w:eastAsia="楷体_GB2312" w:cs="Calibri"/>
                      <w:w w:val="70"/>
                      <w:sz w:val="20"/>
                      <w:szCs w:val="20"/>
                    </w:rPr>
                    <w:t>、中性</w:t>
                  </w:r>
                  <w:r>
                    <w:rPr>
                      <w:rFonts w:eastAsia="楷体_GB2312" w:cs="Calibri"/>
                      <w:w w:val="70"/>
                      <w:sz w:val="20"/>
                      <w:szCs w:val="20"/>
                      <w:lang w:eastAsia="zh-CN"/>
                    </w:rPr>
                    <w:t>或弱于大市</w:t>
                  </w:r>
                  <w:r>
                    <w:rPr>
                      <w:rFonts w:eastAsia="楷体_GB2312" w:cs="Calibri"/>
                      <w:w w:val="70"/>
                      <w:sz w:val="20"/>
                      <w:szCs w:val="20"/>
                    </w:rPr>
                    <w:t>。</w:t>
                  </w:r>
                  <w:r>
                    <w:rPr>
                      <w:rFonts w:eastAsia="楷体_GB2312" w:cs="Calibri"/>
                      <w:w w:val="70"/>
                      <w:sz w:val="20"/>
                      <w:szCs w:val="20"/>
                      <w:lang w:eastAsia="zh-CN"/>
                    </w:rPr>
                    <w:t>投资者应仔细阅读华福</w:t>
                  </w:r>
                  <w:r>
                    <w:rPr>
                      <w:rFonts w:eastAsia="楷体_GB2312" w:cs="Calibri"/>
                      <w:w w:val="70"/>
                      <w:sz w:val="20"/>
                      <w:szCs w:val="20"/>
                    </w:rPr>
                    <w:t>国际</w:t>
                  </w:r>
                  <w:r>
                    <w:rPr>
                      <w:rFonts w:eastAsia="楷体_GB2312" w:cs="Calibri"/>
                      <w:w w:val="70"/>
                      <w:sz w:val="20"/>
                      <w:szCs w:val="20"/>
                      <w:lang w:eastAsia="zh-CN"/>
                    </w:rPr>
                    <w:t>的评级定义。并且华福</w:t>
                  </w:r>
                  <w:r>
                    <w:rPr>
                      <w:rFonts w:eastAsia="楷体_GB2312" w:cs="Calibri"/>
                      <w:w w:val="70"/>
                      <w:sz w:val="20"/>
                      <w:szCs w:val="20"/>
                    </w:rPr>
                    <w:t>国际</w:t>
                  </w:r>
                  <w:r>
                    <w:rPr>
                      <w:rFonts w:eastAsia="楷体_GB2312" w:cs="Calibri"/>
                      <w:w w:val="70"/>
                      <w:sz w:val="20"/>
                      <w:szCs w:val="20"/>
                      <w:lang w:eastAsia="zh-CN"/>
                    </w:rPr>
                    <w:t>发布分析师观点的完整信息，投资者应仔细阅读全文而非仅看评级。在任何情况下，分析师的评级和研究都不能作为投资建议。投资者的买卖股票的决策应基于各自情况（比如投资者的现有持仓）以及其他因素。</w:t>
                  </w:r>
                </w:p>
                <w:p w14:paraId="3D42B638">
                  <w:pPr>
                    <w:pStyle w:val="73"/>
                    <w:rPr>
                      <w:rFonts w:eastAsia="楷体_GB2312" w:cs="Calibri"/>
                      <w:b/>
                      <w:w w:val="70"/>
                      <w:sz w:val="20"/>
                      <w:szCs w:val="20"/>
                      <w:lang w:eastAsia="zh-CN"/>
                    </w:rPr>
                  </w:pPr>
                  <w:r>
                    <w:rPr>
                      <w:rFonts w:eastAsia="楷体_GB2312" w:cs="Calibri"/>
                      <w:b/>
                      <w:w w:val="70"/>
                      <w:sz w:val="20"/>
                      <w:szCs w:val="20"/>
                      <w:lang w:eastAsia="zh-CN"/>
                    </w:rPr>
                    <w:t>分析师股票评级</w:t>
                  </w:r>
                </w:p>
                <w:p w14:paraId="4355548A">
                  <w:pPr>
                    <w:pStyle w:val="73"/>
                    <w:rPr>
                      <w:rFonts w:eastAsia="楷体_GB2312" w:cs="Calibri"/>
                      <w:w w:val="70"/>
                      <w:sz w:val="20"/>
                      <w:szCs w:val="20"/>
                      <w:lang w:eastAsia="zh-CN"/>
                    </w:rPr>
                  </w:pPr>
                  <w:r>
                    <w:rPr>
                      <w:rFonts w:eastAsia="楷体_GB2312" w:cs="Calibri"/>
                      <w:b/>
                      <w:w w:val="70"/>
                      <w:sz w:val="20"/>
                      <w:szCs w:val="20"/>
                    </w:rPr>
                    <w:t>优于大市</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预期相对基准指数涨幅在10%以上，基准定义如下</w:t>
                  </w:r>
                </w:p>
                <w:p w14:paraId="3B9915F0">
                  <w:pPr>
                    <w:pStyle w:val="73"/>
                    <w:rPr>
                      <w:rFonts w:eastAsia="楷体_GB2312" w:cs="Calibri"/>
                      <w:w w:val="70"/>
                      <w:sz w:val="20"/>
                      <w:szCs w:val="20"/>
                      <w:lang w:eastAsia="zh-CN"/>
                    </w:rPr>
                  </w:pPr>
                  <w:r>
                    <w:rPr>
                      <w:rFonts w:eastAsia="楷体_GB2312" w:cs="Calibri"/>
                      <w:b/>
                      <w:w w:val="70"/>
                      <w:sz w:val="20"/>
                      <w:szCs w:val="20"/>
                    </w:rPr>
                    <w:t>中性</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预期相对基准指数变化不大，基准定义如下</w:t>
                  </w:r>
                </w:p>
                <w:p w14:paraId="7AEB6FED">
                  <w:pPr>
                    <w:pStyle w:val="73"/>
                    <w:rPr>
                      <w:rFonts w:eastAsia="楷体_GB2312" w:cs="Calibri"/>
                      <w:w w:val="70"/>
                      <w:sz w:val="20"/>
                      <w:szCs w:val="20"/>
                    </w:rPr>
                  </w:pPr>
                  <w:r>
                    <w:rPr>
                      <w:rFonts w:eastAsia="楷体_GB2312" w:cs="Calibri"/>
                      <w:b/>
                      <w:w w:val="70"/>
                      <w:sz w:val="20"/>
                      <w:szCs w:val="20"/>
                      <w:lang w:eastAsia="zh-CN"/>
                    </w:rPr>
                    <w:t>弱于大市</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预期相对基准指数跌幅在10%以上，基准定义如下</w:t>
                  </w:r>
                </w:p>
                <w:p w14:paraId="3531CBD6">
                  <w:pPr>
                    <w:pStyle w:val="73"/>
                    <w:rPr>
                      <w:rFonts w:eastAsia="楷体_GB2312" w:cs="Calibri"/>
                      <w:w w:val="70"/>
                      <w:sz w:val="20"/>
                      <w:szCs w:val="20"/>
                      <w:lang w:eastAsia="zh-CN"/>
                    </w:rPr>
                  </w:pPr>
                  <w:r>
                    <w:rPr>
                      <w:rFonts w:eastAsia="楷体_GB2312" w:cs="Calibri"/>
                      <w:w w:val="70"/>
                      <w:sz w:val="20"/>
                      <w:szCs w:val="20"/>
                      <w:lang w:eastAsia="zh-CN"/>
                    </w:rPr>
                    <w:t xml:space="preserve">各地股票基准指数：日本 </w:t>
                  </w:r>
                  <w:r>
                    <w:rPr>
                      <w:rFonts w:eastAsia="微软雅黑" w:cs="Calibri"/>
                      <w:w w:val="70"/>
                      <w:sz w:val="20"/>
                      <w:szCs w:val="20"/>
                      <w:lang w:eastAsia="zh-CN"/>
                    </w:rPr>
                    <w:t>–</w:t>
                  </w:r>
                  <w:r>
                    <w:rPr>
                      <w:rFonts w:eastAsia="楷体_GB2312" w:cs="Calibri"/>
                      <w:w w:val="70"/>
                      <w:sz w:val="20"/>
                      <w:szCs w:val="20"/>
                      <w:lang w:eastAsia="zh-CN"/>
                    </w:rPr>
                    <w:t xml:space="preserve"> TOPIX, 韩国 </w:t>
                  </w:r>
                  <w:r>
                    <w:rPr>
                      <w:rFonts w:eastAsia="微软雅黑" w:cs="Calibri"/>
                      <w:w w:val="70"/>
                      <w:sz w:val="20"/>
                      <w:szCs w:val="20"/>
                      <w:lang w:eastAsia="zh-CN"/>
                    </w:rPr>
                    <w:t>–</w:t>
                  </w:r>
                  <w:r>
                    <w:rPr>
                      <w:rFonts w:eastAsia="楷体_GB2312" w:cs="Calibri"/>
                      <w:w w:val="70"/>
                      <w:sz w:val="20"/>
                      <w:szCs w:val="20"/>
                      <w:lang w:eastAsia="zh-CN"/>
                    </w:rPr>
                    <w:t xml:space="preserve"> KOSPI, 台湾 </w:t>
                  </w:r>
                  <w:r>
                    <w:rPr>
                      <w:rFonts w:eastAsia="微软雅黑" w:cs="Calibri"/>
                      <w:w w:val="70"/>
                      <w:sz w:val="20"/>
                      <w:szCs w:val="20"/>
                      <w:lang w:eastAsia="zh-CN"/>
                    </w:rPr>
                    <w:t>–</w:t>
                  </w:r>
                  <w:r>
                    <w:rPr>
                      <w:rFonts w:eastAsia="楷体_GB2312" w:cs="Calibri"/>
                      <w:w w:val="70"/>
                      <w:sz w:val="20"/>
                      <w:szCs w:val="20"/>
                      <w:lang w:eastAsia="zh-CN"/>
                    </w:rPr>
                    <w:t xml:space="preserve"> TAIEX, 印度 </w:t>
                  </w:r>
                  <w:r>
                    <w:rPr>
                      <w:rFonts w:eastAsia="微软雅黑" w:cs="Calibri"/>
                      <w:w w:val="70"/>
                      <w:sz w:val="20"/>
                      <w:szCs w:val="20"/>
                      <w:lang w:eastAsia="zh-CN"/>
                    </w:rPr>
                    <w:t>–</w:t>
                  </w:r>
                  <w:r>
                    <w:rPr>
                      <w:rFonts w:eastAsia="楷体_GB2312" w:cs="Calibri"/>
                      <w:w w:val="70"/>
                      <w:sz w:val="20"/>
                      <w:szCs w:val="20"/>
                      <w:lang w:eastAsia="zh-CN"/>
                    </w:rPr>
                    <w:t xml:space="preserve"> Nifty100, 美国 </w:t>
                  </w:r>
                  <w:r>
                    <w:rPr>
                      <w:rFonts w:eastAsia="微软雅黑" w:cs="Calibri"/>
                      <w:w w:val="70"/>
                      <w:sz w:val="20"/>
                      <w:szCs w:val="20"/>
                      <w:lang w:eastAsia="zh-CN"/>
                    </w:rPr>
                    <w:t>–</w:t>
                  </w:r>
                  <w:r>
                    <w:rPr>
                      <w:rFonts w:eastAsia="楷体_GB2312" w:cs="Calibri"/>
                      <w:w w:val="70"/>
                      <w:sz w:val="20"/>
                      <w:szCs w:val="20"/>
                      <w:lang w:eastAsia="zh-CN"/>
                    </w:rPr>
                    <w:t xml:space="preserve"> SP500; 其他所有中国概念股 </w:t>
                  </w:r>
                  <w:r>
                    <w:rPr>
                      <w:rFonts w:eastAsia="微软雅黑" w:cs="Calibri"/>
                      <w:w w:val="70"/>
                      <w:sz w:val="20"/>
                      <w:szCs w:val="20"/>
                      <w:lang w:eastAsia="zh-CN"/>
                    </w:rPr>
                    <w:t>–</w:t>
                  </w:r>
                  <w:r>
                    <w:rPr>
                      <w:rFonts w:eastAsia="楷体_GB2312" w:cs="Calibri"/>
                      <w:w w:val="70"/>
                      <w:sz w:val="20"/>
                      <w:szCs w:val="20"/>
                      <w:lang w:eastAsia="zh-CN"/>
                    </w:rPr>
                    <w:t xml:space="preserve"> MSCI China.</w:t>
                  </w:r>
                </w:p>
                <w:p w14:paraId="5265AA95">
                  <w:pPr>
                    <w:pStyle w:val="73"/>
                    <w:rPr>
                      <w:rFonts w:eastAsia="楷体_GB2312" w:cs="Calibri"/>
                      <w:w w:val="79"/>
                      <w:sz w:val="20"/>
                      <w:szCs w:val="20"/>
                    </w:rPr>
                  </w:pPr>
                  <w:r>
                    <w:rPr>
                      <w:rFonts w:eastAsia="楷体_GB2312" w:cs="Calibri"/>
                      <w:b/>
                      <w:w w:val="79"/>
                      <w:sz w:val="20"/>
                      <w:szCs w:val="20"/>
                    </w:rPr>
                    <w:t xml:space="preserve">Ratings Definitions (from 1 Jul 2020): </w:t>
                  </w:r>
                </w:p>
                <w:p w14:paraId="214DE7CE">
                  <w:pPr>
                    <w:pStyle w:val="73"/>
                    <w:rPr>
                      <w:rFonts w:eastAsia="楷体_GB2312" w:cs="Calibri"/>
                      <w:w w:val="79"/>
                      <w:sz w:val="20"/>
                      <w:szCs w:val="20"/>
                    </w:rPr>
                  </w:pPr>
                  <w:r>
                    <w:rPr>
                      <w:rFonts w:eastAsia="楷体_GB2312" w:cs="Calibri"/>
                      <w:w w:val="79"/>
                      <w:sz w:val="20"/>
                      <w:szCs w:val="20"/>
                      <w:lang w:eastAsia="zh-CN"/>
                    </w:rPr>
                    <w:t>HuaFu</w:t>
                  </w:r>
                  <w:r>
                    <w:rPr>
                      <w:rFonts w:eastAsia="楷体_GB2312" w:cs="Calibri"/>
                      <w:w w:val="79"/>
                      <w:sz w:val="20"/>
                      <w:szCs w:val="20"/>
                    </w:rPr>
                    <w:t xml:space="preserve"> International uses a relative rating system using </w:t>
                  </w:r>
                  <w:r>
                    <w:rPr>
                      <w:rFonts w:eastAsia="楷体_GB2312" w:cs="Calibri"/>
                      <w:w w:val="79"/>
                      <w:sz w:val="20"/>
                      <w:szCs w:val="20"/>
                      <w:lang w:eastAsia="zh-HK"/>
                    </w:rPr>
                    <w:t>Outperform</w:t>
                  </w:r>
                  <w:r>
                    <w:rPr>
                      <w:rFonts w:eastAsia="楷体_GB2312" w:cs="Calibri"/>
                      <w:w w:val="79"/>
                      <w:sz w:val="20"/>
                      <w:szCs w:val="20"/>
                    </w:rPr>
                    <w:t>, Neutral</w:t>
                  </w:r>
                  <w:r>
                    <w:rPr>
                      <w:rFonts w:eastAsia="楷体_GB2312" w:cs="Calibri"/>
                      <w:w w:val="79"/>
                      <w:sz w:val="20"/>
                      <w:szCs w:val="20"/>
                      <w:lang w:eastAsia="zh-HK"/>
                    </w:rPr>
                    <w:t>,</w:t>
                  </w:r>
                  <w:r>
                    <w:rPr>
                      <w:rFonts w:eastAsia="楷体_GB2312" w:cs="Calibri"/>
                      <w:w w:val="79"/>
                      <w:sz w:val="20"/>
                      <w:szCs w:val="20"/>
                    </w:rPr>
                    <w:t xml:space="preserve"> or </w:t>
                  </w:r>
                  <w:r>
                    <w:rPr>
                      <w:rFonts w:eastAsia="楷体_GB2312" w:cs="Calibri"/>
                      <w:w w:val="79"/>
                      <w:sz w:val="20"/>
                      <w:szCs w:val="20"/>
                      <w:lang w:eastAsia="zh-HK"/>
                    </w:rPr>
                    <w:t xml:space="preserve">Underperform </w:t>
                  </w:r>
                  <w:r>
                    <w:rPr>
                      <w:rFonts w:eastAsia="楷体_GB2312" w:cs="Calibri"/>
                      <w:w w:val="79"/>
                      <w:sz w:val="20"/>
                      <w:szCs w:val="20"/>
                    </w:rPr>
                    <w:t xml:space="preserve">for recommending the stocks we cover to investors. Investors should carefully read the definitions of all ratings used in </w:t>
                  </w:r>
                  <w:r>
                    <w:rPr>
                      <w:rFonts w:eastAsia="楷体_GB2312" w:cs="Calibri"/>
                      <w:w w:val="79"/>
                      <w:sz w:val="20"/>
                      <w:szCs w:val="20"/>
                      <w:lang w:eastAsia="zh-CN"/>
                    </w:rPr>
                    <w:t>HuaFu</w:t>
                  </w:r>
                  <w:r>
                    <w:rPr>
                      <w:rFonts w:eastAsia="楷体_GB2312" w:cs="Calibri"/>
                      <w:w w:val="79"/>
                      <w:sz w:val="20"/>
                      <w:szCs w:val="20"/>
                    </w:rPr>
                    <w:t xml:space="preserve"> International Research. In addition, since </w:t>
                  </w:r>
                  <w:r>
                    <w:rPr>
                      <w:rFonts w:eastAsia="楷体_GB2312" w:cs="Calibri"/>
                      <w:w w:val="79"/>
                      <w:sz w:val="20"/>
                      <w:szCs w:val="20"/>
                      <w:lang w:eastAsia="zh-CN"/>
                    </w:rPr>
                    <w:t>HuaFu</w:t>
                  </w:r>
                  <w:r>
                    <w:rPr>
                      <w:rFonts w:eastAsia="楷体_GB2312" w:cs="Calibri"/>
                      <w:w w:val="79"/>
                      <w:sz w:val="20"/>
                      <w:szCs w:val="20"/>
                    </w:rPr>
                    <w:t xml:space="preserve"> International Research contains more complete information concerning the analyst's views, investors should carefully read </w:t>
                  </w:r>
                  <w:r>
                    <w:rPr>
                      <w:rFonts w:eastAsia="楷体_GB2312" w:cs="Calibri"/>
                      <w:w w:val="79"/>
                      <w:sz w:val="20"/>
                      <w:szCs w:val="20"/>
                      <w:lang w:eastAsia="zh-CN"/>
                    </w:rPr>
                    <w:t xml:space="preserve">HuaFu </w:t>
                  </w:r>
                  <w:r>
                    <w:rPr>
                      <w:rFonts w:eastAsia="楷体_GB2312" w:cs="Calibri"/>
                      <w:w w:val="79"/>
                      <w:sz w:val="20"/>
                      <w:szCs w:val="20"/>
                    </w:rPr>
                    <w:t>International Research, in its entirety, and not infer the contents from the rating alone. In any case, ratings (or research) should not be used or relied upon as investment advice. An investor's decision to buy or sell a stock should depend on individual circumstances (such as the investor's existing holdings) and other considerations.</w:t>
                  </w:r>
                </w:p>
                <w:p w14:paraId="44C27CDD">
                  <w:pPr>
                    <w:pStyle w:val="73"/>
                    <w:rPr>
                      <w:rFonts w:eastAsia="楷体_GB2312" w:cs="Calibri"/>
                      <w:b/>
                      <w:w w:val="79"/>
                      <w:sz w:val="20"/>
                      <w:szCs w:val="20"/>
                    </w:rPr>
                  </w:pPr>
                  <w:r>
                    <w:rPr>
                      <w:rFonts w:eastAsia="楷体_GB2312" w:cs="Calibri"/>
                      <w:b/>
                      <w:w w:val="79"/>
                      <w:sz w:val="20"/>
                      <w:szCs w:val="20"/>
                    </w:rPr>
                    <w:t>Analyst Stock Ratings</w:t>
                  </w:r>
                </w:p>
                <w:p w14:paraId="743CF882">
                  <w:pPr>
                    <w:pStyle w:val="73"/>
                    <w:rPr>
                      <w:rFonts w:eastAsia="楷体_GB2312" w:cs="Calibri"/>
                      <w:w w:val="79"/>
                      <w:sz w:val="20"/>
                      <w:szCs w:val="20"/>
                    </w:rPr>
                  </w:pPr>
                  <w:r>
                    <w:rPr>
                      <w:rFonts w:eastAsia="楷体_GB2312" w:cs="Calibri"/>
                      <w:b/>
                      <w:w w:val="79"/>
                      <w:sz w:val="20"/>
                      <w:szCs w:val="20"/>
                      <w:lang w:eastAsia="zh-HK"/>
                    </w:rPr>
                    <w:t>Outperform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exceed the return of its relevant broad market benchmark</w:t>
                  </w:r>
                  <w:r>
                    <w:rPr>
                      <w:rFonts w:eastAsia="楷体_GB2312" w:cs="Calibri"/>
                      <w:w w:val="79"/>
                      <w:sz w:val="20"/>
                      <w:szCs w:val="20"/>
                      <w:lang w:eastAsia="zh-CN"/>
                    </w:rPr>
                    <w:t xml:space="preserve"> by over 10%</w:t>
                  </w:r>
                  <w:r>
                    <w:rPr>
                      <w:rFonts w:eastAsia="楷体_GB2312" w:cs="Calibri"/>
                      <w:w w:val="79"/>
                      <w:sz w:val="20"/>
                      <w:szCs w:val="20"/>
                    </w:rPr>
                    <w:t xml:space="preserve">, as indicated below. </w:t>
                  </w:r>
                </w:p>
                <w:p w14:paraId="62168557">
                  <w:pPr>
                    <w:pStyle w:val="73"/>
                    <w:rPr>
                      <w:rFonts w:eastAsia="楷体_GB2312" w:cs="Calibri"/>
                      <w:w w:val="79"/>
                      <w:sz w:val="20"/>
                      <w:szCs w:val="20"/>
                    </w:rPr>
                  </w:pPr>
                  <w:r>
                    <w:rPr>
                      <w:rFonts w:eastAsia="楷体_GB2312" w:cs="Calibri"/>
                      <w:b/>
                      <w:w w:val="79"/>
                      <w:sz w:val="20"/>
                      <w:szCs w:val="20"/>
                    </w:rPr>
                    <w:t>Neutral:</w:t>
                  </w:r>
                  <w:r>
                    <w:rPr>
                      <w:rFonts w:eastAsia="楷体_GB2312" w:cs="Calibri"/>
                      <w:w w:val="79"/>
                      <w:sz w:val="20"/>
                      <w:szCs w:val="20"/>
                    </w:rPr>
                    <w:t xml:space="preserve"> The stock’s total return over the next 12-18 months is expected to be in line with the return of its relevant broad market benchmark, as indicated below. </w:t>
                  </w:r>
                  <w:r>
                    <w:rPr>
                      <w:rFonts w:eastAsia="楷体_GB2312" w:cs="Calibri"/>
                      <w:b/>
                      <w:w w:val="79"/>
                      <w:sz w:val="20"/>
                      <w:szCs w:val="20"/>
                      <w:lang w:eastAsia="zh-HK"/>
                    </w:rPr>
                    <w:t>Underperform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be below the return of its relevant broad market benchmark</w:t>
                  </w:r>
                  <w:r>
                    <w:rPr>
                      <w:rFonts w:eastAsia="楷体_GB2312" w:cs="Calibri"/>
                      <w:w w:val="79"/>
                      <w:sz w:val="20"/>
                      <w:szCs w:val="20"/>
                      <w:lang w:eastAsia="zh-CN"/>
                    </w:rPr>
                    <w:t xml:space="preserve"> by over 10%</w:t>
                  </w:r>
                  <w:r>
                    <w:rPr>
                      <w:rFonts w:eastAsia="楷体_GB2312" w:cs="Calibri"/>
                      <w:w w:val="79"/>
                      <w:sz w:val="20"/>
                      <w:szCs w:val="20"/>
                    </w:rPr>
                    <w:t>, as indicated below.</w:t>
                  </w:r>
                </w:p>
                <w:p w14:paraId="15064D06">
                  <w:pPr>
                    <w:pStyle w:val="73"/>
                    <w:rPr>
                      <w:rFonts w:eastAsia="楷体_GB2312" w:cs="Calibri"/>
                      <w:b/>
                      <w:w w:val="79"/>
                      <w:sz w:val="20"/>
                      <w:szCs w:val="20"/>
                    </w:rPr>
                  </w:pPr>
                  <w:r>
                    <w:rPr>
                      <w:rFonts w:eastAsia="楷体_GB2312" w:cs="Calibri"/>
                      <w:b/>
                      <w:w w:val="79"/>
                      <w:sz w:val="20"/>
                      <w:szCs w:val="20"/>
                    </w:rPr>
                    <w:t xml:space="preserve">Benchmarks for each stock’s listed region are as follows: Japan </w:t>
                  </w:r>
                  <w:r>
                    <w:rPr>
                      <w:rFonts w:eastAsia="微软雅黑" w:cs="Calibri"/>
                      <w:b/>
                      <w:w w:val="79"/>
                      <w:sz w:val="20"/>
                      <w:szCs w:val="20"/>
                    </w:rPr>
                    <w:t>–</w:t>
                  </w:r>
                  <w:r>
                    <w:rPr>
                      <w:rFonts w:eastAsia="楷体_GB2312" w:cs="Calibri"/>
                      <w:b/>
                      <w:w w:val="79"/>
                      <w:sz w:val="20"/>
                      <w:szCs w:val="20"/>
                    </w:rPr>
                    <w:t xml:space="preserve"> TOPIX, Korea </w:t>
                  </w:r>
                  <w:r>
                    <w:rPr>
                      <w:rFonts w:eastAsia="微软雅黑" w:cs="Calibri"/>
                      <w:b/>
                      <w:w w:val="79"/>
                      <w:sz w:val="20"/>
                      <w:szCs w:val="20"/>
                    </w:rPr>
                    <w:t>–</w:t>
                  </w:r>
                  <w:r>
                    <w:rPr>
                      <w:rFonts w:eastAsia="楷体_GB2312" w:cs="Calibri"/>
                      <w:b/>
                      <w:w w:val="79"/>
                      <w:sz w:val="20"/>
                      <w:szCs w:val="20"/>
                    </w:rPr>
                    <w:t xml:space="preserve"> KOSPI, Taiwan </w:t>
                  </w:r>
                  <w:r>
                    <w:rPr>
                      <w:rFonts w:eastAsia="微软雅黑" w:cs="Calibri"/>
                      <w:b/>
                      <w:w w:val="79"/>
                      <w:sz w:val="20"/>
                      <w:szCs w:val="20"/>
                    </w:rPr>
                    <w:t>–</w:t>
                  </w:r>
                  <w:r>
                    <w:rPr>
                      <w:rFonts w:eastAsia="楷体_GB2312" w:cs="Calibri"/>
                      <w:b/>
                      <w:w w:val="79"/>
                      <w:sz w:val="20"/>
                      <w:szCs w:val="20"/>
                    </w:rPr>
                    <w:t xml:space="preserve"> TAIEX, India </w:t>
                  </w:r>
                  <w:r>
                    <w:rPr>
                      <w:rFonts w:eastAsia="微软雅黑" w:cs="Calibri"/>
                      <w:b/>
                      <w:w w:val="79"/>
                      <w:sz w:val="20"/>
                      <w:szCs w:val="20"/>
                    </w:rPr>
                    <w:t>–</w:t>
                  </w:r>
                  <w:r>
                    <w:rPr>
                      <w:rFonts w:eastAsia="楷体_GB2312" w:cs="Calibri"/>
                      <w:b/>
                      <w:w w:val="79"/>
                      <w:sz w:val="20"/>
                      <w:szCs w:val="20"/>
                    </w:rPr>
                    <w:t xml:space="preserve"> Nifty100, US </w:t>
                  </w:r>
                  <w:r>
                    <w:rPr>
                      <w:rFonts w:eastAsia="微软雅黑" w:cs="Calibri"/>
                      <w:b/>
                      <w:w w:val="79"/>
                      <w:sz w:val="20"/>
                      <w:szCs w:val="20"/>
                    </w:rPr>
                    <w:t>–</w:t>
                  </w:r>
                  <w:r>
                    <w:rPr>
                      <w:rFonts w:eastAsia="楷体_GB2312" w:cs="Calibri"/>
                      <w:b/>
                      <w:w w:val="79"/>
                      <w:sz w:val="20"/>
                      <w:szCs w:val="20"/>
                    </w:rPr>
                    <w:t xml:space="preserve"> SP500; for all other China-concept stocks </w:t>
                  </w:r>
                  <w:r>
                    <w:rPr>
                      <w:rFonts w:eastAsia="微软雅黑" w:cs="Calibri"/>
                      <w:b/>
                      <w:w w:val="79"/>
                      <w:sz w:val="20"/>
                      <w:szCs w:val="20"/>
                    </w:rPr>
                    <w:t>–</w:t>
                  </w:r>
                  <w:r>
                    <w:rPr>
                      <w:rFonts w:eastAsia="楷体_GB2312" w:cs="Calibri"/>
                      <w:b/>
                      <w:w w:val="79"/>
                      <w:sz w:val="20"/>
                      <w:szCs w:val="20"/>
                    </w:rPr>
                    <w:t xml:space="preserve"> MSCI China.</w:t>
                  </w:r>
                </w:p>
                <w:p w14:paraId="2DC5A0AB">
                  <w:pPr>
                    <w:pStyle w:val="73"/>
                    <w:rPr>
                      <w:rFonts w:eastAsia="楷体_GB2312" w:cs="Calibri"/>
                      <w:w w:val="70"/>
                      <w:sz w:val="20"/>
                      <w:szCs w:val="20"/>
                      <w:lang w:eastAsia="zh-CN"/>
                    </w:rPr>
                  </w:pPr>
                </w:p>
              </w:tc>
            </w:tr>
            <w:tr w14:paraId="3D1FF3DB">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14:paraId="64021455">
                  <w:pPr>
                    <w:pStyle w:val="73"/>
                    <w:spacing w:after="60"/>
                    <w:rPr>
                      <w:rFonts w:eastAsia="楷体_GB2312" w:cs="Calibri"/>
                      <w:w w:val="70"/>
                      <w:sz w:val="20"/>
                      <w:szCs w:val="20"/>
                    </w:rPr>
                  </w:pPr>
                  <w:r>
                    <w:rPr>
                      <w:rFonts w:eastAsia="楷体_GB2312" w:cs="Calibri"/>
                      <w:b/>
                      <w:w w:val="70"/>
                      <w:sz w:val="20"/>
                      <w:szCs w:val="20"/>
                      <w:lang w:eastAsia="zh-CN"/>
                    </w:rPr>
                    <w:t>华福</w:t>
                  </w:r>
                  <w:r>
                    <w:rPr>
                      <w:rFonts w:eastAsia="楷体_GB2312" w:cs="Calibri"/>
                      <w:b/>
                      <w:w w:val="70"/>
                      <w:sz w:val="20"/>
                      <w:szCs w:val="20"/>
                    </w:rPr>
                    <w:t>国际非评级研究：</w:t>
                  </w:r>
                  <w:r>
                    <w:rPr>
                      <w:rFonts w:eastAsia="楷体_GB2312" w:cs="Calibri"/>
                      <w:bCs/>
                      <w:w w:val="70"/>
                      <w:sz w:val="20"/>
                      <w:szCs w:val="20"/>
                      <w:lang w:eastAsia="zh-CN"/>
                    </w:rPr>
                    <w:t>华福</w:t>
                  </w:r>
                  <w:r>
                    <w:rPr>
                      <w:rFonts w:eastAsia="楷体_GB2312" w:cs="Calibri"/>
                      <w:w w:val="70"/>
                      <w:sz w:val="20"/>
                      <w:szCs w:val="20"/>
                    </w:rPr>
                    <w:t>国际发布</w:t>
                  </w:r>
                  <w:r>
                    <w:rPr>
                      <w:rFonts w:eastAsia="楷体_GB2312" w:cs="Calibri"/>
                      <w:w w:val="70"/>
                      <w:sz w:val="20"/>
                      <w:szCs w:val="20"/>
                      <w:lang w:eastAsia="zh-CN"/>
                    </w:rPr>
                    <w:t>计</w:t>
                  </w:r>
                  <w:r>
                    <w:rPr>
                      <w:rFonts w:eastAsia="楷体_GB2312" w:cs="Calibri"/>
                      <w:w w:val="70"/>
                      <w:sz w:val="20"/>
                      <w:szCs w:val="20"/>
                    </w:rPr>
                    <w:t>量、筛选或短篇报告，并在报告中根据估值和其他指标对股票进行排名，或者基于可能的估值倍数提出建议价格。这种排名或建议价格并非为了进行股票评级、提出目标价格或进行基本面估值，而仅供参考使用。</w:t>
                  </w:r>
                </w:p>
                <w:p w14:paraId="3ED2EECD">
                  <w:pPr>
                    <w:pStyle w:val="73"/>
                    <w:rPr>
                      <w:rFonts w:eastAsia="楷体_GB2312" w:cs="Calibri"/>
                      <w:w w:val="70"/>
                      <w:sz w:val="20"/>
                      <w:szCs w:val="20"/>
                      <w:lang w:eastAsia="zh-CN"/>
                    </w:rPr>
                  </w:pPr>
                  <w:r>
                    <w:rPr>
                      <w:rFonts w:eastAsia="楷体_GB2312" w:cs="Calibri"/>
                      <w:b/>
                      <w:w w:val="70"/>
                      <w:sz w:val="20"/>
                      <w:szCs w:val="20"/>
                      <w:lang w:eastAsia="zh-CN"/>
                    </w:rPr>
                    <w:t>HuaFu</w:t>
                  </w:r>
                  <w:r>
                    <w:rPr>
                      <w:rFonts w:eastAsia="楷体_GB2312" w:cs="Calibri"/>
                      <w:b/>
                      <w:w w:val="70"/>
                      <w:sz w:val="20"/>
                      <w:szCs w:val="20"/>
                    </w:rPr>
                    <w:t xml:space="preserve"> International Non-Rated Research</w:t>
                  </w:r>
                  <w:r>
                    <w:rPr>
                      <w:rFonts w:eastAsia="楷体_GB2312" w:cs="Calibri"/>
                      <w:b/>
                      <w:bCs/>
                      <w:w w:val="70"/>
                      <w:sz w:val="20"/>
                      <w:szCs w:val="20"/>
                    </w:rPr>
                    <w:t>:</w:t>
                  </w:r>
                  <w:r>
                    <w:rPr>
                      <w:rFonts w:eastAsia="楷体_GB2312" w:cs="Calibri"/>
                      <w:w w:val="70"/>
                      <w:sz w:val="20"/>
                      <w:szCs w:val="20"/>
                    </w:rPr>
                    <w:t xml:space="preserve">  </w:t>
                  </w:r>
                  <w:r>
                    <w:rPr>
                      <w:rFonts w:eastAsia="楷体_GB2312" w:cs="Calibri"/>
                      <w:w w:val="70"/>
                      <w:sz w:val="20"/>
                      <w:szCs w:val="20"/>
                      <w:lang w:eastAsia="zh-CN"/>
                    </w:rPr>
                    <w:t>HuaFu</w:t>
                  </w:r>
                  <w:r>
                    <w:rPr>
                      <w:rFonts w:eastAsia="楷体_GB2312" w:cs="Calibri"/>
                      <w:w w:val="70"/>
                      <w:sz w:val="20"/>
                      <w:szCs w:val="20"/>
                    </w:rPr>
                    <w:t xml:space="preserve"> International publishes quantitative, screening or short reports which may rank stocks according to valuation and other metrics or may suggest prices based on possible valuation multiples. Such rankings or suggested prices do not purport to be stock ratings or target prices or fundamental values and are for information only.</w:t>
                  </w:r>
                </w:p>
              </w:tc>
            </w:tr>
            <w:tr w14:paraId="23DA5DC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14:paraId="0DDAFA0B">
                  <w:pPr>
                    <w:pStyle w:val="73"/>
                    <w:spacing w:after="60"/>
                    <w:rPr>
                      <w:rFonts w:eastAsia="楷体_GB2312" w:cs="Calibri"/>
                      <w:w w:val="70"/>
                      <w:sz w:val="20"/>
                      <w:szCs w:val="20"/>
                      <w:lang w:eastAsia="zh-CN"/>
                    </w:rPr>
                  </w:pPr>
                  <w:r>
                    <w:rPr>
                      <w:rFonts w:eastAsia="楷体_GB2312" w:cs="Calibri"/>
                      <w:b/>
                      <w:w w:val="70"/>
                      <w:sz w:val="20"/>
                      <w:szCs w:val="20"/>
                      <w:lang w:eastAsia="zh-CN"/>
                    </w:rPr>
                    <w:t>华福</w:t>
                  </w:r>
                  <w:r>
                    <w:rPr>
                      <w:rFonts w:eastAsia="楷体_GB2312" w:cs="Calibri"/>
                      <w:b/>
                      <w:w w:val="70"/>
                      <w:sz w:val="20"/>
                      <w:szCs w:val="20"/>
                    </w:rPr>
                    <w:t>国际</w:t>
                  </w:r>
                  <w:r>
                    <w:rPr>
                      <w:rFonts w:eastAsia="楷体_GB2312" w:cs="Calibri"/>
                      <w:b/>
                      <w:w w:val="70"/>
                      <w:sz w:val="20"/>
                      <w:szCs w:val="20"/>
                      <w:lang w:eastAsia="zh-CN"/>
                    </w:rPr>
                    <w:t>A股覆盖</w:t>
                  </w:r>
                  <w:r>
                    <w:rPr>
                      <w:rFonts w:eastAsia="楷体_GB2312" w:cs="Calibri"/>
                      <w:b/>
                      <w:w w:val="70"/>
                      <w:sz w:val="20"/>
                      <w:szCs w:val="20"/>
                    </w:rPr>
                    <w:t>：</w:t>
                  </w:r>
                  <w:r>
                    <w:rPr>
                      <w:rFonts w:eastAsia="楷体_GB2312" w:cs="Calibri"/>
                      <w:bCs/>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可能会就中国A股进行覆盖及评级。华福证券，华福国际于福州的母公司，也会于中国发布中国A股的研究报告。但是，华福</w:t>
                  </w:r>
                  <w:r>
                    <w:rPr>
                      <w:rFonts w:eastAsia="楷体_GB2312" w:cs="Calibri"/>
                      <w:w w:val="70"/>
                      <w:sz w:val="20"/>
                      <w:szCs w:val="20"/>
                    </w:rPr>
                    <w:t>国际</w:t>
                  </w:r>
                  <w:r>
                    <w:rPr>
                      <w:rFonts w:eastAsia="楷体_GB2312" w:cs="Calibri"/>
                      <w:w w:val="70"/>
                      <w:sz w:val="20"/>
                      <w:szCs w:val="20"/>
                      <w:lang w:eastAsia="zh-CN"/>
                    </w:rPr>
                    <w:t>使用与华福证券不同的评级系统，且可能有完全独立的不同研究覆盖团队，所以华福</w:t>
                  </w:r>
                  <w:r>
                    <w:rPr>
                      <w:rFonts w:eastAsia="楷体_GB2312" w:cs="Calibri"/>
                      <w:w w:val="70"/>
                      <w:sz w:val="20"/>
                      <w:szCs w:val="20"/>
                    </w:rPr>
                    <w:t>国际</w:t>
                  </w:r>
                  <w:r>
                    <w:rPr>
                      <w:rFonts w:eastAsia="楷体_GB2312" w:cs="Calibri"/>
                      <w:w w:val="70"/>
                      <w:sz w:val="20"/>
                      <w:szCs w:val="20"/>
                      <w:lang w:eastAsia="zh-CN"/>
                    </w:rPr>
                    <w:t>与华福证券的中国A股评级、目标价乃至分析逻辑可能有所不同。</w:t>
                  </w:r>
                </w:p>
                <w:p w14:paraId="24B7378A">
                  <w:pPr>
                    <w:pStyle w:val="73"/>
                    <w:rPr>
                      <w:rFonts w:eastAsia="楷体_GB2312" w:cs="Calibri"/>
                      <w:w w:val="70"/>
                      <w:sz w:val="20"/>
                      <w:szCs w:val="20"/>
                    </w:rPr>
                  </w:pPr>
                  <w:r>
                    <w:rPr>
                      <w:rFonts w:eastAsia="楷体_GB2312" w:cs="Calibri"/>
                      <w:b/>
                      <w:w w:val="70"/>
                      <w:sz w:val="20"/>
                      <w:szCs w:val="20"/>
                      <w:lang w:eastAsia="zh-CN"/>
                    </w:rPr>
                    <w:t>HuaFu</w:t>
                  </w:r>
                  <w:r>
                    <w:rPr>
                      <w:rFonts w:eastAsia="楷体_GB2312" w:cs="Calibri"/>
                      <w:b/>
                      <w:w w:val="70"/>
                      <w:sz w:val="20"/>
                      <w:szCs w:val="20"/>
                    </w:rPr>
                    <w:t xml:space="preserve"> International Coverage of A-Shares</w:t>
                  </w:r>
                  <w:r>
                    <w:rPr>
                      <w:rFonts w:eastAsia="楷体_GB2312" w:cs="Calibri"/>
                      <w:b/>
                      <w:bCs/>
                      <w:w w:val="70"/>
                      <w:sz w:val="20"/>
                      <w:szCs w:val="20"/>
                    </w:rPr>
                    <w:t>:</w:t>
                  </w:r>
                  <w:r>
                    <w:rPr>
                      <w:rFonts w:eastAsia="楷体_GB2312" w:cs="Calibri"/>
                      <w:w w:val="70"/>
                      <w:sz w:val="20"/>
                      <w:szCs w:val="20"/>
                    </w:rPr>
                    <w:t xml:space="preserve">  </w:t>
                  </w:r>
                  <w:r>
                    <w:rPr>
                      <w:rFonts w:eastAsia="楷体_GB2312" w:cs="Calibri"/>
                      <w:w w:val="70"/>
                      <w:sz w:val="20"/>
                      <w:szCs w:val="20"/>
                      <w:lang w:eastAsia="zh-CN"/>
                    </w:rPr>
                    <w:t>HuaFu</w:t>
                  </w:r>
                  <w:r>
                    <w:rPr>
                      <w:rFonts w:eastAsia="楷体_GB2312" w:cs="Calibri"/>
                      <w:w w:val="70"/>
                      <w:sz w:val="20"/>
                      <w:szCs w:val="20"/>
                    </w:rPr>
                    <w:t xml:space="preserve"> International may cover and rate A-Shares . </w:t>
                  </w:r>
                  <w:r>
                    <w:rPr>
                      <w:rFonts w:eastAsia="楷体_GB2312" w:cs="Calibri"/>
                      <w:w w:val="70"/>
                      <w:sz w:val="20"/>
                      <w:szCs w:val="20"/>
                      <w:lang w:eastAsia="zh-CN"/>
                    </w:rPr>
                    <w:t>HuaFu</w:t>
                  </w:r>
                  <w:r>
                    <w:rPr>
                      <w:rFonts w:eastAsia="楷体_GB2312" w:cs="Calibri"/>
                      <w:w w:val="70"/>
                      <w:sz w:val="20"/>
                      <w:szCs w:val="20"/>
                    </w:rPr>
                    <w:t xml:space="preserve"> Securities, the ultimate parent company of </w:t>
                  </w:r>
                  <w:r>
                    <w:rPr>
                      <w:rFonts w:eastAsia="楷体_GB2312" w:cs="Calibri"/>
                      <w:w w:val="70"/>
                      <w:sz w:val="20"/>
                      <w:szCs w:val="20"/>
                      <w:lang w:eastAsia="zh-CN"/>
                    </w:rPr>
                    <w:t>HuaFu International</w:t>
                  </w:r>
                  <w:r>
                    <w:rPr>
                      <w:rFonts w:eastAsia="楷体_GB2312" w:cs="Calibri"/>
                      <w:w w:val="70"/>
                      <w:sz w:val="20"/>
                      <w:szCs w:val="20"/>
                    </w:rPr>
                    <w:t xml:space="preserve"> based in </w:t>
                  </w:r>
                  <w:r>
                    <w:rPr>
                      <w:rFonts w:eastAsia="楷体_GB2312" w:cs="Calibri"/>
                      <w:w w:val="70"/>
                      <w:sz w:val="20"/>
                      <w:szCs w:val="20"/>
                      <w:lang w:eastAsia="zh-CN"/>
                    </w:rPr>
                    <w:t>FuZhou</w:t>
                  </w:r>
                  <w:r>
                    <w:rPr>
                      <w:rFonts w:eastAsia="楷体_GB2312" w:cs="Calibri"/>
                      <w:w w:val="70"/>
                      <w:sz w:val="20"/>
                      <w:szCs w:val="20"/>
                    </w:rPr>
                    <w:t>, covers and publishes research on these same A-Shares for distribution in mainland China. However, the rating system employed by H</w:t>
                  </w:r>
                  <w:r>
                    <w:rPr>
                      <w:rFonts w:eastAsia="楷体_GB2312" w:cs="Calibri"/>
                      <w:w w:val="70"/>
                      <w:sz w:val="20"/>
                      <w:szCs w:val="20"/>
                      <w:lang w:eastAsia="zh-CN"/>
                    </w:rPr>
                    <w:t>uaFu International</w:t>
                  </w:r>
                  <w:r>
                    <w:rPr>
                      <w:rFonts w:eastAsia="楷体_GB2312" w:cs="Calibri"/>
                      <w:w w:val="70"/>
                      <w:sz w:val="20"/>
                      <w:szCs w:val="20"/>
                    </w:rPr>
                    <w:t xml:space="preserve"> differs from that used by </w:t>
                  </w:r>
                  <w:r>
                    <w:rPr>
                      <w:rFonts w:eastAsia="楷体_GB2312" w:cs="Calibri"/>
                      <w:w w:val="70"/>
                      <w:sz w:val="20"/>
                      <w:szCs w:val="20"/>
                      <w:lang w:eastAsia="zh-CN"/>
                    </w:rPr>
                    <w:t>HuaFu Securites</w:t>
                  </w:r>
                  <w:r>
                    <w:rPr>
                      <w:rFonts w:eastAsia="楷体_GB2312" w:cs="Calibri"/>
                      <w:w w:val="70"/>
                      <w:sz w:val="20"/>
                      <w:szCs w:val="20"/>
                    </w:rPr>
                    <w:t xml:space="preserve"> and </w:t>
                  </w:r>
                  <w:r>
                    <w:rPr>
                      <w:rFonts w:eastAsia="楷体_GB2312" w:cs="Calibri"/>
                      <w:w w:val="70"/>
                      <w:sz w:val="20"/>
                      <w:szCs w:val="20"/>
                      <w:lang w:eastAsia="zh-CN"/>
                    </w:rPr>
                    <w:t xml:space="preserve">even the teams covering the same A-share stocks might be totally independently different, </w:t>
                  </w:r>
                  <w:r>
                    <w:rPr>
                      <w:rFonts w:eastAsia="楷体_GB2312" w:cs="Calibri"/>
                      <w:w w:val="70"/>
                      <w:sz w:val="20"/>
                      <w:szCs w:val="20"/>
                    </w:rPr>
                    <w:t xml:space="preserve">as a result there may be a difference in </w:t>
                  </w:r>
                  <w:r>
                    <w:rPr>
                      <w:rFonts w:eastAsia="楷体_GB2312" w:cs="Calibri"/>
                      <w:w w:val="70"/>
                      <w:sz w:val="20"/>
                      <w:szCs w:val="20"/>
                      <w:lang w:eastAsia="zh-CN"/>
                    </w:rPr>
                    <w:t>their coverage</w:t>
                  </w:r>
                  <w:r>
                    <w:rPr>
                      <w:rFonts w:eastAsia="楷体_GB2312" w:cs="Calibri"/>
                      <w:w w:val="70"/>
                      <w:sz w:val="20"/>
                      <w:szCs w:val="20"/>
                    </w:rPr>
                    <w:t xml:space="preserve"> ratings</w:t>
                  </w:r>
                  <w:r>
                    <w:rPr>
                      <w:rFonts w:eastAsia="楷体_GB2312" w:cs="Calibri"/>
                      <w:w w:val="70"/>
                      <w:sz w:val="20"/>
                      <w:szCs w:val="20"/>
                      <w:lang w:eastAsia="zh-CN"/>
                    </w:rPr>
                    <w:t>, target prices</w:t>
                  </w:r>
                  <w:r>
                    <w:rPr>
                      <w:rFonts w:eastAsia="楷体_GB2312" w:cs="Calibri"/>
                      <w:w w:val="70"/>
                      <w:sz w:val="20"/>
                      <w:szCs w:val="20"/>
                    </w:rPr>
                    <w:t xml:space="preserve"> </w:t>
                  </w:r>
                  <w:r>
                    <w:rPr>
                      <w:rFonts w:eastAsia="楷体_GB2312" w:cs="Calibri"/>
                      <w:w w:val="70"/>
                      <w:sz w:val="20"/>
                      <w:szCs w:val="20"/>
                      <w:lang w:eastAsia="zh-CN"/>
                    </w:rPr>
                    <w:t xml:space="preserve">and research logics </w:t>
                  </w:r>
                  <w:r>
                    <w:rPr>
                      <w:rFonts w:eastAsia="楷体_GB2312" w:cs="Calibri"/>
                      <w:w w:val="70"/>
                      <w:sz w:val="20"/>
                      <w:szCs w:val="20"/>
                    </w:rPr>
                    <w:t>for the same A-share stocks.</w:t>
                  </w:r>
                </w:p>
              </w:tc>
            </w:tr>
            <w:tr w14:paraId="3B710D9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14:paraId="0B4D9C47">
                  <w:pPr>
                    <w:pStyle w:val="73"/>
                    <w:rPr>
                      <w:rFonts w:eastAsia="楷体_GB2312" w:cs="Calibri"/>
                      <w:w w:val="70"/>
                      <w:sz w:val="20"/>
                      <w:szCs w:val="20"/>
                    </w:rPr>
                  </w:pPr>
                </w:p>
              </w:tc>
            </w:tr>
            <w:tr w14:paraId="3FAF21D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14:paraId="7B23EDE3">
                  <w:pPr>
                    <w:pStyle w:val="73"/>
                    <w:spacing w:after="60"/>
                    <w:rPr>
                      <w:rFonts w:eastAsia="楷体_GB2312" w:cs="Calibri"/>
                      <w:b/>
                      <w:w w:val="70"/>
                      <w:sz w:val="20"/>
                      <w:szCs w:val="20"/>
                    </w:rPr>
                  </w:pPr>
                  <w:r>
                    <w:rPr>
                      <w:rFonts w:eastAsia="楷体_GB2312" w:cs="Calibri"/>
                      <w:b/>
                      <w:w w:val="70"/>
                      <w:sz w:val="20"/>
                      <w:szCs w:val="20"/>
                    </w:rPr>
                    <w:t>重要免责声明：</w:t>
                  </w:r>
                </w:p>
                <w:p w14:paraId="2C6A23F6">
                  <w:pPr>
                    <w:pStyle w:val="73"/>
                    <w:spacing w:after="60"/>
                    <w:rPr>
                      <w:rFonts w:eastAsia="楷体_GB2312" w:cs="Calibri"/>
                      <w:w w:val="70"/>
                      <w:sz w:val="20"/>
                      <w:szCs w:val="20"/>
                    </w:rPr>
                  </w:pPr>
                  <w:r>
                    <w:rPr>
                      <w:rFonts w:eastAsia="楷体_GB2312" w:cs="Calibri"/>
                      <w:w w:val="70"/>
                      <w:sz w:val="20"/>
                      <w:szCs w:val="20"/>
                    </w:rPr>
                    <w:t>本报告由</w:t>
                  </w:r>
                  <w:r>
                    <w:rPr>
                      <w:rFonts w:eastAsia="楷体_GB2312" w:cs="Calibri"/>
                      <w:w w:val="70"/>
                      <w:sz w:val="20"/>
                      <w:szCs w:val="20"/>
                      <w:lang w:eastAsia="zh-CN"/>
                    </w:rPr>
                    <w:t>华福</w:t>
                  </w:r>
                  <w:r>
                    <w:rPr>
                      <w:rFonts w:eastAsia="楷体_GB2312" w:cs="Calibri"/>
                      <w:w w:val="70"/>
                      <w:sz w:val="20"/>
                      <w:szCs w:val="20"/>
                    </w:rPr>
                    <w:t>国际发行，该公司</w:t>
                  </w:r>
                  <w:r>
                    <w:rPr>
                      <w:rFonts w:eastAsia="楷体_GB2312" w:cs="Calibri"/>
                      <w:w w:val="70"/>
                      <w:sz w:val="20"/>
                      <w:szCs w:val="20"/>
                      <w:lang w:eastAsia="zh-CN"/>
                    </w:rPr>
                    <w:t>是根据</w:t>
                  </w:r>
                  <w:r>
                    <w:rPr>
                      <w:rFonts w:eastAsia="楷体_GB2312" w:cs="Calibri"/>
                      <w:w w:val="70"/>
                      <w:sz w:val="20"/>
                      <w:szCs w:val="20"/>
                    </w:rPr>
                    <w:t>香港证券及期货条例（第</w:t>
                  </w:r>
                  <w:r>
                    <w:rPr>
                      <w:rFonts w:eastAsia="楷体_GB2312" w:cs="Calibri"/>
                      <w:w w:val="70"/>
                      <w:sz w:val="20"/>
                      <w:szCs w:val="20"/>
                      <w:lang w:eastAsia="zh-CN"/>
                    </w:rPr>
                    <w:t>571</w:t>
                  </w:r>
                  <w:r>
                    <w:rPr>
                      <w:rFonts w:eastAsia="楷体_GB2312" w:cs="Calibri"/>
                      <w:w w:val="70"/>
                      <w:sz w:val="20"/>
                      <w:szCs w:val="20"/>
                    </w:rPr>
                    <w:t>章）</w:t>
                  </w:r>
                  <w:r>
                    <w:rPr>
                      <w:rFonts w:eastAsia="楷体_GB2312" w:cs="Calibri"/>
                      <w:w w:val="70"/>
                      <w:sz w:val="20"/>
                      <w:szCs w:val="20"/>
                      <w:lang w:eastAsia="zh-CN"/>
                    </w:rPr>
                    <w:t>持有</w:t>
                  </w:r>
                  <w:r>
                    <w:rPr>
                      <w:rFonts w:eastAsia="楷体_GB2312" w:cs="Calibri"/>
                      <w:w w:val="70"/>
                      <w:sz w:val="20"/>
                      <w:szCs w:val="20"/>
                    </w:rPr>
                    <w:t>第</w:t>
                  </w:r>
                  <w:r>
                    <w:rPr>
                      <w:rFonts w:eastAsia="楷体_GB2312" w:cs="Calibri"/>
                      <w:w w:val="70"/>
                      <w:sz w:val="20"/>
                      <w:szCs w:val="20"/>
                      <w:lang w:eastAsia="zh-CN"/>
                    </w:rPr>
                    <w:t>4</w:t>
                  </w:r>
                  <w:r>
                    <w:rPr>
                      <w:rFonts w:eastAsia="楷体_GB2312" w:cs="Calibri"/>
                      <w:w w:val="70"/>
                      <w:sz w:val="20"/>
                      <w:szCs w:val="20"/>
                    </w:rPr>
                    <w:t>类受规管活动（就证券提供意见）的持牌法团。</w:t>
                  </w:r>
                </w:p>
                <w:p w14:paraId="7EF27000">
                  <w:pPr>
                    <w:pStyle w:val="73"/>
                    <w:spacing w:after="60"/>
                    <w:rPr>
                      <w:rFonts w:eastAsia="楷体_GB2312" w:cs="Calibri"/>
                      <w:w w:val="70"/>
                      <w:sz w:val="20"/>
                      <w:szCs w:val="20"/>
                    </w:rPr>
                  </w:pPr>
                  <w:r>
                    <w:rPr>
                      <w:rFonts w:eastAsia="楷体_GB2312" w:cs="Calibri"/>
                      <w:w w:val="70"/>
                      <w:sz w:val="20"/>
                      <w:szCs w:val="20"/>
                    </w:rPr>
                    <w:t>本文件所载信息和观点已被编译或源自可靠来源，但</w:t>
                  </w:r>
                  <w:r>
                    <w:rPr>
                      <w:rFonts w:eastAsia="楷体_GB2312" w:cs="Calibri"/>
                      <w:w w:val="70"/>
                      <w:sz w:val="20"/>
                      <w:szCs w:val="20"/>
                      <w:lang w:eastAsia="zh-CN"/>
                    </w:rPr>
                    <w:t>华福国际</w:t>
                  </w:r>
                  <w:r>
                    <w:rPr>
                      <w:rFonts w:eastAsia="楷体_GB2312" w:cs="Calibri"/>
                      <w:w w:val="70"/>
                      <w:sz w:val="20"/>
                      <w:szCs w:val="20"/>
                    </w:rPr>
                    <w:t>或任何其他属于</w:t>
                  </w:r>
                  <w:r>
                    <w:rPr>
                      <w:rFonts w:eastAsia="楷体_GB2312" w:cs="Calibri"/>
                      <w:w w:val="70"/>
                      <w:sz w:val="20"/>
                      <w:szCs w:val="20"/>
                      <w:lang w:eastAsia="zh-CN"/>
                    </w:rPr>
                    <w:t>华福</w:t>
                  </w:r>
                  <w:r>
                    <w:rPr>
                      <w:rFonts w:eastAsia="楷体_GB2312" w:cs="Calibri"/>
                      <w:w w:val="70"/>
                      <w:sz w:val="20"/>
                      <w:szCs w:val="20"/>
                    </w:rPr>
                    <w:t>国际的成员对其准确性、完整性和正确性不做任何明示或暗示的声明或保证。本文件中所有观点均截至本报告日期，如有更改，恕不另行通知。本文件仅供参考使用。文件中提及的任何公司或其股票的说明并非意图展示完整的内容，本文件并非</w:t>
                  </w:r>
                  <w:r>
                    <w:rPr>
                      <w:rFonts w:eastAsia="楷体_GB2312" w:cs="Calibri"/>
                      <w:w w:val="70"/>
                      <w:sz w:val="20"/>
                      <w:szCs w:val="20"/>
                      <w:lang w:eastAsia="zh-CN"/>
                    </w:rPr>
                    <w:t>/</w:t>
                  </w:r>
                  <w:r>
                    <w:rPr>
                      <w:rFonts w:eastAsia="楷体_GB2312" w:cs="Calibri"/>
                      <w:w w:val="70"/>
                      <w:sz w:val="20"/>
                      <w:szCs w:val="20"/>
                    </w:rPr>
                    <w:t>不应被解释为对证券买卖的明示或暗示地出价或征价。在某些司法管辖区，本文件中提及的证券可能无法进行买卖。如果投资产品以投资者本国货币以外的币种进行计价，则汇率变化可能会对投资产生不利影响。过去的表现并不一定代表将来的结果。某些特定交易，包括设计金融衍生工具的，有产生重大风险的可能性，因此并不适合所有的投资者。您还应认识到本文件中的建议并非为您量身定制。分析师并未考虑到您自身的财务情况，如您的财务状况和风险偏好。因此您必须自行分析并在适用的情况下咨询自己的法律、税收、会计、金融和其他方面的专业顾问，以期在投资之前评估该项建议是否适合于您。若由于使用本文件所载的材料而产生任何直接或间接的损失，</w:t>
                  </w:r>
                  <w:r>
                    <w:rPr>
                      <w:rFonts w:eastAsia="楷体_GB2312" w:cs="Calibri"/>
                      <w:w w:val="70"/>
                      <w:sz w:val="20"/>
                      <w:szCs w:val="20"/>
                      <w:lang w:eastAsia="zh-CN"/>
                    </w:rPr>
                    <w:t>华福国际</w:t>
                  </w:r>
                  <w:r>
                    <w:rPr>
                      <w:rFonts w:eastAsia="楷体_GB2312" w:cs="Calibri"/>
                      <w:w w:val="70"/>
                      <w:sz w:val="20"/>
                      <w:szCs w:val="20"/>
                    </w:rPr>
                    <w:t xml:space="preserve">及其董事、雇员或代理人对此均不承担任何责任。 </w:t>
                  </w:r>
                </w:p>
                <w:p w14:paraId="35BFB5D3">
                  <w:pPr>
                    <w:pStyle w:val="73"/>
                    <w:spacing w:after="60"/>
                    <w:rPr>
                      <w:rFonts w:eastAsia="楷体_GB2312" w:cs="Calibri"/>
                      <w:w w:val="70"/>
                      <w:sz w:val="20"/>
                      <w:szCs w:val="20"/>
                    </w:rPr>
                  </w:pPr>
                  <w:r>
                    <w:rPr>
                      <w:rFonts w:eastAsia="楷体_GB2312" w:cs="Calibri"/>
                      <w:w w:val="70"/>
                      <w:sz w:val="20"/>
                      <w:szCs w:val="20"/>
                    </w:rPr>
                    <w:t>除对本文内容承担责任的分析师除外，</w:t>
                  </w:r>
                  <w:r>
                    <w:rPr>
                      <w:rFonts w:eastAsia="楷体_GB2312" w:cs="Calibri"/>
                      <w:w w:val="70"/>
                      <w:sz w:val="20"/>
                      <w:szCs w:val="20"/>
                      <w:lang w:eastAsia="zh-CN"/>
                    </w:rPr>
                    <w:t>华福国际</w:t>
                  </w:r>
                  <w:r>
                    <w:rPr>
                      <w:rFonts w:eastAsia="楷体_GB2312" w:cs="Calibri"/>
                      <w:w w:val="70"/>
                      <w:sz w:val="20"/>
                      <w:szCs w:val="20"/>
                    </w:rPr>
                    <w:t>及我们的关联公司、高级管理人员、董事和雇员，均可不时作为</w:t>
                  </w:r>
                  <w:r>
                    <w:rPr>
                      <w:rFonts w:eastAsia="楷体_GB2312" w:cs="Calibri"/>
                      <w:w w:val="70"/>
                      <w:sz w:val="20"/>
                      <w:szCs w:val="20"/>
                      <w:lang w:eastAsia="zh-CN"/>
                    </w:rPr>
                    <w:t>主事人</w:t>
                  </w:r>
                  <w:r>
                    <w:rPr>
                      <w:rFonts w:eastAsia="楷体_GB2312" w:cs="Calibri"/>
                      <w:w w:val="70"/>
                      <w:sz w:val="20"/>
                      <w:szCs w:val="20"/>
                    </w:rPr>
                    <w:t>就本文件所述的任何证券或衍生品持有长仓或短仓以及进行买卖。</w:t>
                  </w:r>
                  <w:r>
                    <w:rPr>
                      <w:rFonts w:eastAsia="楷体_GB2312" w:cs="Calibri"/>
                      <w:w w:val="70"/>
                      <w:sz w:val="20"/>
                      <w:szCs w:val="20"/>
                      <w:lang w:eastAsia="zh-CN"/>
                    </w:rPr>
                    <w:t>华福国际</w:t>
                  </w:r>
                  <w:r>
                    <w:rPr>
                      <w:rFonts w:eastAsia="楷体_GB2312" w:cs="Calibri"/>
                      <w:w w:val="70"/>
                      <w:sz w:val="20"/>
                      <w:szCs w:val="20"/>
                    </w:rPr>
                    <w:t>的销售员、交易员和其他专业人士均可向</w:t>
                  </w:r>
                  <w:r>
                    <w:rPr>
                      <w:rFonts w:eastAsia="楷体_GB2312" w:cs="Calibri"/>
                      <w:w w:val="70"/>
                      <w:sz w:val="20"/>
                      <w:szCs w:val="20"/>
                      <w:lang w:eastAsia="zh-CN"/>
                    </w:rPr>
                    <w:t>华福国际</w:t>
                  </w:r>
                  <w:r>
                    <w:rPr>
                      <w:rFonts w:eastAsia="楷体_GB2312" w:cs="Calibri"/>
                      <w:w w:val="70"/>
                      <w:sz w:val="20"/>
                      <w:szCs w:val="20"/>
                    </w:rPr>
                    <w:t>的相关客户和公司提供与本文件所述意见相反的口头或书面市场评论意见或交易策略</w:t>
                  </w:r>
                  <w:r>
                    <w:rPr>
                      <w:rFonts w:eastAsia="楷体_GB2312" w:cs="Calibri"/>
                      <w:w w:val="70"/>
                      <w:sz w:val="20"/>
                      <w:szCs w:val="20"/>
                      <w:lang w:eastAsia="zh-CN"/>
                    </w:rPr>
                    <w:t>。华福国际</w:t>
                  </w:r>
                  <w:r>
                    <w:rPr>
                      <w:rFonts w:eastAsia="楷体_GB2312" w:cs="Calibri"/>
                      <w:w w:val="70"/>
                      <w:sz w:val="20"/>
                      <w:szCs w:val="20"/>
                    </w:rPr>
                    <w:t>可做出与本文件所述建议或意见不一致的投资决策。但</w:t>
                  </w:r>
                  <w:r>
                    <w:rPr>
                      <w:rFonts w:eastAsia="楷体_GB2312" w:cs="Calibri"/>
                      <w:w w:val="70"/>
                      <w:sz w:val="20"/>
                      <w:szCs w:val="20"/>
                      <w:lang w:eastAsia="zh-CN"/>
                    </w:rPr>
                    <w:t>华福国际</w:t>
                  </w:r>
                  <w:r>
                    <w:rPr>
                      <w:rFonts w:eastAsia="楷体_GB2312" w:cs="Calibri"/>
                      <w:w w:val="70"/>
                      <w:sz w:val="20"/>
                      <w:szCs w:val="20"/>
                    </w:rPr>
                    <w:t>没有义务来确保本文件的收件人了解到该等交易</w:t>
                  </w:r>
                  <w:r>
                    <w:rPr>
                      <w:rFonts w:eastAsia="楷体_GB2312" w:cs="Calibri"/>
                      <w:w w:val="70"/>
                      <w:sz w:val="20"/>
                      <w:szCs w:val="20"/>
                      <w:lang w:eastAsia="zh-CN"/>
                    </w:rPr>
                    <w:t>决定、</w:t>
                  </w:r>
                  <w:r>
                    <w:rPr>
                      <w:rFonts w:eastAsia="楷体_GB2312" w:cs="Calibri"/>
                      <w:w w:val="70"/>
                      <w:sz w:val="20"/>
                      <w:szCs w:val="20"/>
                    </w:rPr>
                    <w:t>思路或建议。</w:t>
                  </w:r>
                </w:p>
                <w:p w14:paraId="16AF2304">
                  <w:pPr>
                    <w:pStyle w:val="73"/>
                    <w:spacing w:after="60"/>
                    <w:rPr>
                      <w:rFonts w:eastAsia="楷体_GB2312" w:cs="Calibri"/>
                      <w:snapToGrid/>
                      <w:w w:val="70"/>
                      <w:sz w:val="20"/>
                      <w:szCs w:val="20"/>
                    </w:rPr>
                  </w:pPr>
                  <w:r>
                    <w:rPr>
                      <w:rFonts w:eastAsia="楷体_GB2312" w:cs="Calibri"/>
                      <w:snapToGrid/>
                      <w:w w:val="70"/>
                      <w:sz w:val="20"/>
                      <w:szCs w:val="20"/>
                    </w:rPr>
                    <w:t>请访问</w:t>
                  </w:r>
                  <w:r>
                    <w:rPr>
                      <w:rFonts w:eastAsia="楷体_GB2312" w:cs="Calibri"/>
                      <w:snapToGrid/>
                      <w:w w:val="70"/>
                      <w:sz w:val="20"/>
                      <w:szCs w:val="20"/>
                      <w:lang w:eastAsia="zh-CN"/>
                    </w:rPr>
                    <w:t>华福</w:t>
                  </w:r>
                  <w:r>
                    <w:rPr>
                      <w:rFonts w:eastAsia="楷体_GB2312" w:cs="Calibri"/>
                      <w:w w:val="70"/>
                      <w:sz w:val="20"/>
                      <w:szCs w:val="20"/>
                    </w:rPr>
                    <w:t>国际</w:t>
                  </w:r>
                  <w:r>
                    <w:rPr>
                      <w:rFonts w:eastAsia="楷体_GB2312" w:cs="Calibri"/>
                      <w:snapToGrid/>
                      <w:w w:val="70"/>
                      <w:sz w:val="20"/>
                      <w:szCs w:val="20"/>
                    </w:rPr>
                    <w:t>网站</w:t>
                  </w:r>
                  <w:r>
                    <w:rPr>
                      <w:rFonts w:eastAsia="楷体_GB2312" w:cs="Calibri"/>
                      <w:snapToGrid/>
                      <w:w w:val="70"/>
                      <w:sz w:val="20"/>
                      <w:szCs w:val="20"/>
                      <w:lang w:eastAsia="zh-CN"/>
                    </w:rPr>
                    <w:t xml:space="preserve"> </w:t>
                  </w:r>
                  <w:r>
                    <w:fldChar w:fldCharType="begin"/>
                  </w:r>
                  <w:r>
                    <w:instrText xml:space="preserve"> HYPERLINK "http://www.equities.htisec.com" </w:instrText>
                  </w:r>
                  <w:r>
                    <w:fldChar w:fldCharType="separate"/>
                  </w:r>
                  <w:r>
                    <w:rPr>
                      <w:rFonts w:eastAsia="楷体_GB2312" w:cs="Calibri"/>
                      <w:snapToGrid/>
                      <w:color w:val="0000FF"/>
                      <w:w w:val="70"/>
                      <w:sz w:val="20"/>
                      <w:szCs w:val="20"/>
                      <w:u w:val="single"/>
                      <w:lang w:eastAsia="zh-CN"/>
                    </w:rPr>
                    <w:t>www.hfisec.com</w:t>
                  </w:r>
                  <w:r>
                    <w:rPr>
                      <w:rFonts w:eastAsia="楷体_GB2312" w:cs="Calibri"/>
                      <w:snapToGrid/>
                      <w:color w:val="0000FF"/>
                      <w:w w:val="70"/>
                      <w:sz w:val="20"/>
                      <w:szCs w:val="20"/>
                      <w:u w:val="single"/>
                      <w:lang w:eastAsia="zh-CN"/>
                    </w:rPr>
                    <w:fldChar w:fldCharType="end"/>
                  </w:r>
                  <w:r>
                    <w:rPr>
                      <w:rFonts w:eastAsia="楷体_GB2312" w:cs="Calibri"/>
                      <w:snapToGrid/>
                      <w:color w:val="0000FF"/>
                      <w:w w:val="70"/>
                      <w:sz w:val="20"/>
                      <w:szCs w:val="20"/>
                      <w:u w:val="single"/>
                      <w:lang w:eastAsia="zh-CN"/>
                    </w:rPr>
                    <w:t>.hk</w:t>
                  </w:r>
                  <w:r>
                    <w:rPr>
                      <w:rFonts w:eastAsia="楷体_GB2312" w:cs="Calibri"/>
                      <w:snapToGrid/>
                      <w:w w:val="70"/>
                      <w:sz w:val="20"/>
                      <w:szCs w:val="20"/>
                      <w:lang w:eastAsia="zh-CN"/>
                    </w:rPr>
                    <w:t xml:space="preserve"> </w:t>
                  </w:r>
                  <w:r>
                    <w:rPr>
                      <w:rFonts w:eastAsia="楷体_GB2312" w:cs="Calibri"/>
                      <w:snapToGrid/>
                      <w:w w:val="70"/>
                      <w:sz w:val="20"/>
                      <w:szCs w:val="20"/>
                    </w:rPr>
                    <w:t>，查阅更多有关</w:t>
                  </w:r>
                  <w:r>
                    <w:rPr>
                      <w:rFonts w:eastAsia="楷体_GB2312" w:cs="Calibri"/>
                      <w:snapToGrid/>
                      <w:w w:val="70"/>
                      <w:sz w:val="20"/>
                      <w:szCs w:val="20"/>
                      <w:lang w:eastAsia="zh-CN"/>
                    </w:rPr>
                    <w:t>华福</w:t>
                  </w:r>
                  <w:r>
                    <w:rPr>
                      <w:rFonts w:eastAsia="楷体_GB2312" w:cs="Calibri"/>
                      <w:w w:val="70"/>
                      <w:sz w:val="20"/>
                      <w:szCs w:val="20"/>
                    </w:rPr>
                    <w:t>国际</w:t>
                  </w:r>
                  <w:r>
                    <w:rPr>
                      <w:rFonts w:eastAsia="楷体_GB2312" w:cs="Calibri"/>
                      <w:snapToGrid/>
                      <w:w w:val="70"/>
                      <w:sz w:val="20"/>
                      <w:szCs w:val="20"/>
                    </w:rPr>
                    <w:t>为预防和避免利益冲突设立的组织和行政安排的内容信息。</w:t>
                  </w:r>
                </w:p>
                <w:p w14:paraId="57DF0F3E">
                  <w:pPr>
                    <w:pStyle w:val="73"/>
                    <w:spacing w:after="40"/>
                    <w:rPr>
                      <w:rFonts w:eastAsia="楷体_GB2312" w:cs="Calibri"/>
                      <w:b/>
                      <w:bCs/>
                      <w:w w:val="70"/>
                      <w:sz w:val="20"/>
                      <w:szCs w:val="20"/>
                    </w:rPr>
                  </w:pPr>
                  <w:r>
                    <w:rPr>
                      <w:rFonts w:eastAsia="楷体_GB2312" w:cs="Calibri"/>
                      <w:b/>
                      <w:bCs/>
                      <w:w w:val="70"/>
                      <w:sz w:val="20"/>
                      <w:szCs w:val="20"/>
                    </w:rPr>
                    <w:t>IMPORTANT DISCLAIMER</w:t>
                  </w:r>
                </w:p>
                <w:p w14:paraId="23589F9B">
                  <w:pPr>
                    <w:pStyle w:val="73"/>
                    <w:spacing w:after="40"/>
                    <w:rPr>
                      <w:rFonts w:eastAsia="楷体_GB2312" w:cs="Calibri"/>
                      <w:w w:val="70"/>
                      <w:sz w:val="20"/>
                      <w:szCs w:val="20"/>
                    </w:rPr>
                  </w:pPr>
                  <w:r>
                    <w:rPr>
                      <w:rFonts w:eastAsia="楷体_GB2312" w:cs="Calibri"/>
                      <w:w w:val="70"/>
                      <w:sz w:val="20"/>
                      <w:szCs w:val="20"/>
                    </w:rPr>
                    <w:t xml:space="preserve">The research report is issued by </w:t>
                  </w:r>
                  <w:r>
                    <w:rPr>
                      <w:rFonts w:eastAsia="楷体_GB2312" w:cs="Calibri"/>
                      <w:w w:val="70"/>
                      <w:sz w:val="20"/>
                      <w:szCs w:val="20"/>
                      <w:lang w:eastAsia="zh-CN"/>
                    </w:rPr>
                    <w:t>HuaFu</w:t>
                  </w:r>
                  <w:r>
                    <w:rPr>
                      <w:rFonts w:eastAsia="楷体_GB2312" w:cs="Calibri"/>
                      <w:w w:val="70"/>
                      <w:sz w:val="20"/>
                      <w:szCs w:val="20"/>
                    </w:rPr>
                    <w:t xml:space="preserve"> International</w:t>
                  </w:r>
                  <w:r>
                    <w:rPr>
                      <w:rFonts w:eastAsia="楷体_GB2312" w:cs="Calibri"/>
                      <w:w w:val="70"/>
                      <w:sz w:val="20"/>
                      <w:szCs w:val="20"/>
                      <w:lang w:eastAsia="zh-CN"/>
                    </w:rPr>
                    <w:t xml:space="preserve">, </w:t>
                  </w:r>
                  <w:r>
                    <w:rPr>
                      <w:rFonts w:eastAsia="楷体_GB2312" w:cs="Calibri"/>
                      <w:w w:val="70"/>
                      <w:sz w:val="20"/>
                      <w:szCs w:val="20"/>
                    </w:rPr>
                    <w:t>a licensed corporation to carry on Type 4 regulated activity (advising on securities) for the purpose of the Securities and Futures Ordinance (Cap. 571)</w:t>
                  </w:r>
                  <w:r>
                    <w:rPr>
                      <w:rFonts w:eastAsia="楷体_GB2312" w:cs="Calibri"/>
                      <w:w w:val="70"/>
                      <w:sz w:val="20"/>
                      <w:szCs w:val="20"/>
                      <w:lang w:eastAsia="zh-HK"/>
                    </w:rPr>
                    <w:t xml:space="preserve"> of Hong Kong</w:t>
                  </w:r>
                  <w:r>
                    <w:rPr>
                      <w:rFonts w:eastAsia="楷体_GB2312" w:cs="Calibri"/>
                      <w:w w:val="70"/>
                      <w:sz w:val="20"/>
                      <w:szCs w:val="20"/>
                    </w:rPr>
                    <w:t>.</w:t>
                  </w:r>
                </w:p>
                <w:p w14:paraId="19EFCE3C">
                  <w:pPr>
                    <w:pStyle w:val="73"/>
                    <w:spacing w:after="40"/>
                    <w:rPr>
                      <w:rFonts w:eastAsia="楷体_GB2312" w:cs="Calibri"/>
                      <w:w w:val="70"/>
                      <w:sz w:val="20"/>
                      <w:szCs w:val="20"/>
                    </w:rPr>
                  </w:pPr>
                  <w:r>
                    <w:rPr>
                      <w:rFonts w:eastAsia="楷体_GB2312" w:cs="Calibri"/>
                      <w:w w:val="70"/>
                      <w:sz w:val="20"/>
                      <w:szCs w:val="20"/>
                    </w:rPr>
                    <w:t xml:space="preserve">The information and opinions contained in this research report have been compiled or arrived at from sources believed to be reliable and in good faith but no representation or warranty, express or implied, is made by </w:t>
                  </w:r>
                  <w:r>
                    <w:rPr>
                      <w:rFonts w:eastAsia="楷体_GB2312" w:cs="Calibri"/>
                      <w:w w:val="70"/>
                      <w:sz w:val="20"/>
                      <w:szCs w:val="20"/>
                      <w:lang w:eastAsia="zh-CN"/>
                    </w:rPr>
                    <w:t>HuaFu International</w:t>
                  </w:r>
                  <w:r>
                    <w:rPr>
                      <w:rFonts w:eastAsia="楷体_GB2312" w:cs="Calibri"/>
                      <w:w w:val="70"/>
                      <w:sz w:val="20"/>
                      <w:szCs w:val="20"/>
                    </w:rPr>
                    <w:t xml:space="preserve"> or any other </w:t>
                  </w:r>
                  <w:r>
                    <w:rPr>
                      <w:rFonts w:eastAsia="楷体_GB2312" w:cs="Calibri"/>
                      <w:w w:val="70"/>
                      <w:sz w:val="20"/>
                      <w:szCs w:val="20"/>
                      <w:lang w:eastAsia="zh-CN"/>
                    </w:rPr>
                    <w:t xml:space="preserve">related </w:t>
                  </w:r>
                  <w:r>
                    <w:rPr>
                      <w:rFonts w:eastAsia="楷体_GB2312" w:cs="Calibri"/>
                      <w:w w:val="70"/>
                      <w:sz w:val="20"/>
                      <w:szCs w:val="20"/>
                    </w:rPr>
                    <w:t>members</w:t>
                  </w:r>
                  <w:r>
                    <w:rPr>
                      <w:rFonts w:eastAsia="楷体_GB2312" w:cs="Calibri"/>
                      <w:w w:val="70"/>
                      <w:sz w:val="20"/>
                      <w:szCs w:val="20"/>
                      <w:lang w:eastAsia="zh-CN"/>
                    </w:rPr>
                    <w:t xml:space="preserve"> </w:t>
                  </w:r>
                  <w:r>
                    <w:rPr>
                      <w:rFonts w:eastAsia="楷体_GB2312" w:cs="Calibri"/>
                      <w:w w:val="70"/>
                      <w:sz w:val="20"/>
                      <w:szCs w:val="20"/>
                    </w:rPr>
                    <w:t xml:space="preserve">from which this research report may be received, as to their accuracy, completeness or correctness. All opinions expressed herein are as of the date of this research report and are subject to change without notice. This research report is for information purpose only. Descriptions of any companies or their securities mentioned herein are not intended to be complete and this research report is not, and should not be construed expressly or impliedly as, an offer to buy or sell securities. The securities referred to in this research report may not be eligible for purchase or sale in some jurisdictions. If an investment product is denominated in a currency other than an investor's home currency, a change in exchange rates may adversely affect the investment. Past performance is not necessarily indicative of future results. Certain transactions, including those involving derivatives, give rise to substantial risk and are not suitable for all investors. You should also bear in mind that recommendations in this research report are not tailor-made for you. The analyst has not taken into account your unique financial circumstances, such as your financial situation and risk appetite. You must, therefore, analyze and should, where applicable, consult your own legal, tax, accounting, financial and other professional advisers to evaluate whether the recommendations suits you before investment. Neither </w:t>
                  </w:r>
                  <w:r>
                    <w:rPr>
                      <w:rFonts w:eastAsia="楷体_GB2312" w:cs="Calibri"/>
                      <w:w w:val="70"/>
                      <w:sz w:val="20"/>
                      <w:szCs w:val="20"/>
                      <w:lang w:eastAsia="zh-CN"/>
                    </w:rPr>
                    <w:t>HuaFu International</w:t>
                  </w:r>
                  <w:r>
                    <w:rPr>
                      <w:rFonts w:eastAsia="楷体_GB2312" w:cs="Calibri"/>
                      <w:w w:val="70"/>
                      <w:sz w:val="20"/>
                      <w:szCs w:val="20"/>
                    </w:rPr>
                    <w:t xml:space="preserve"> nor any of its directors, employees or agents accepts any liability whatsoever for any direct or consequential loss arising from any use of the materials contained in this research report. </w:t>
                  </w:r>
                </w:p>
                <w:p w14:paraId="1FC78DDE">
                  <w:pPr>
                    <w:pStyle w:val="73"/>
                    <w:spacing w:after="40"/>
                    <w:rPr>
                      <w:rFonts w:eastAsia="楷体_GB2312" w:cs="Calibri"/>
                      <w:w w:val="70"/>
                      <w:sz w:val="20"/>
                      <w:szCs w:val="20"/>
                    </w:rPr>
                  </w:pPr>
                  <w:r>
                    <w:rPr>
                      <w:rFonts w:eastAsia="楷体_GB2312" w:cs="Calibri"/>
                      <w:w w:val="70"/>
                      <w:sz w:val="20"/>
                      <w:szCs w:val="20"/>
                      <w:lang w:eastAsia="zh-CN"/>
                    </w:rPr>
                    <w:t>HuaFu International</w:t>
                  </w:r>
                  <w:r>
                    <w:rPr>
                      <w:rFonts w:eastAsia="楷体_GB2312" w:cs="Calibri"/>
                      <w:w w:val="70"/>
                      <w:sz w:val="20"/>
                      <w:szCs w:val="20"/>
                    </w:rPr>
                    <w:t xml:space="preserve"> and </w:t>
                  </w:r>
                  <w:r>
                    <w:rPr>
                      <w:rFonts w:eastAsia="楷体_GB2312" w:cs="Calibri"/>
                      <w:w w:val="70"/>
                      <w:sz w:val="20"/>
                      <w:szCs w:val="20"/>
                      <w:lang w:eastAsia="zh-CN"/>
                    </w:rPr>
                    <w:t>its</w:t>
                  </w:r>
                  <w:r>
                    <w:rPr>
                      <w:rFonts w:eastAsia="楷体_GB2312" w:cs="Calibri"/>
                      <w:w w:val="70"/>
                      <w:sz w:val="20"/>
                      <w:szCs w:val="20"/>
                    </w:rPr>
                    <w:t xml:space="preserve"> affiliates, officers, directors, and employees, excluding the analysts responsible for the content of this document, will from time to time have long or short positions in, act as principal in, and buy or sell, the securities or derivatives, if any, referred to in this research report. Sales, traders, and other professionals of </w:t>
                  </w:r>
                  <w:r>
                    <w:rPr>
                      <w:rFonts w:eastAsia="楷体_GB2312" w:cs="Calibri"/>
                      <w:w w:val="70"/>
                      <w:sz w:val="20"/>
                      <w:szCs w:val="20"/>
                      <w:lang w:eastAsia="zh-CN"/>
                    </w:rPr>
                    <w:t xml:space="preserve">HuaFu International </w:t>
                  </w:r>
                  <w:r>
                    <w:rPr>
                      <w:rFonts w:eastAsia="楷体_GB2312" w:cs="Calibri"/>
                      <w:w w:val="70"/>
                      <w:sz w:val="20"/>
                      <w:szCs w:val="20"/>
                    </w:rPr>
                    <w:t xml:space="preserve">may provide oral or written market commentary or trading strategies to the relevant clients and the companies within </w:t>
                  </w:r>
                  <w:r>
                    <w:rPr>
                      <w:rFonts w:eastAsia="楷体_GB2312" w:cs="Calibri"/>
                      <w:w w:val="70"/>
                      <w:sz w:val="20"/>
                      <w:szCs w:val="20"/>
                      <w:lang w:eastAsia="zh-CN"/>
                    </w:rPr>
                    <w:t>HuaFu International</w:t>
                  </w:r>
                  <w:r>
                    <w:rPr>
                      <w:rFonts w:eastAsia="楷体_GB2312" w:cs="Calibri"/>
                      <w:w w:val="70"/>
                      <w:sz w:val="20"/>
                      <w:szCs w:val="20"/>
                    </w:rPr>
                    <w:t xml:space="preserve"> that reflect opinions that are contrary to the opinions expressed in this research report. </w:t>
                  </w:r>
                  <w:r>
                    <w:rPr>
                      <w:rFonts w:eastAsia="楷体_GB2312" w:cs="Calibri"/>
                      <w:w w:val="70"/>
                      <w:sz w:val="20"/>
                      <w:szCs w:val="20"/>
                      <w:lang w:eastAsia="zh-CN"/>
                    </w:rPr>
                    <w:t>HuaFu Internatioal</w:t>
                  </w:r>
                  <w:r>
                    <w:rPr>
                      <w:rFonts w:eastAsia="楷体_GB2312" w:cs="Calibri"/>
                      <w:w w:val="70"/>
                      <w:sz w:val="20"/>
                      <w:szCs w:val="20"/>
                    </w:rPr>
                    <w:t xml:space="preserve"> may make investment decisions that are inconsistent with the recommendations or views expressed in this research report. </w:t>
                  </w:r>
                  <w:r>
                    <w:rPr>
                      <w:rFonts w:eastAsia="楷体_GB2312" w:cs="Calibri"/>
                      <w:w w:val="70"/>
                      <w:sz w:val="20"/>
                      <w:szCs w:val="20"/>
                      <w:lang w:eastAsia="zh-CN"/>
                    </w:rPr>
                    <w:t xml:space="preserve">HuaFu International </w:t>
                  </w:r>
                  <w:r>
                    <w:rPr>
                      <w:rFonts w:eastAsia="楷体_GB2312" w:cs="Calibri"/>
                      <w:w w:val="70"/>
                      <w:sz w:val="20"/>
                      <w:szCs w:val="20"/>
                    </w:rPr>
                    <w:t>is under no obligation to ensure that such other trading decisions, ideas or recommendations are brought to the attention of any recipient of this research report.</w:t>
                  </w:r>
                </w:p>
                <w:p w14:paraId="459A4EB9">
                  <w:pPr>
                    <w:pStyle w:val="73"/>
                    <w:spacing w:after="40"/>
                    <w:rPr>
                      <w:rFonts w:eastAsia="楷体_GB2312" w:cs="Calibri"/>
                      <w:bCs/>
                      <w:w w:val="70"/>
                      <w:sz w:val="20"/>
                      <w:szCs w:val="20"/>
                    </w:rPr>
                  </w:pPr>
                  <w:r>
                    <w:rPr>
                      <w:rFonts w:eastAsia="楷体_GB2312" w:cs="Calibri"/>
                      <w:bCs/>
                      <w:w w:val="70"/>
                      <w:sz w:val="20"/>
                      <w:szCs w:val="20"/>
                    </w:rPr>
                    <w:t xml:space="preserve">Please refer to XXX’s website </w:t>
                  </w:r>
                  <w:r>
                    <w:fldChar w:fldCharType="begin"/>
                  </w:r>
                  <w:r>
                    <w:instrText xml:space="preserve"> HYPERLINK "http://www.equities.htisec.com" </w:instrText>
                  </w:r>
                  <w:r>
                    <w:fldChar w:fldCharType="separate"/>
                  </w:r>
                  <w:r>
                    <w:rPr>
                      <w:rStyle w:val="25"/>
                      <w:rFonts w:eastAsia="楷体_GB2312" w:cs="Calibri"/>
                      <w:w w:val="70"/>
                      <w:sz w:val="20"/>
                      <w:szCs w:val="20"/>
                    </w:rPr>
                    <w:t>www.</w:t>
                  </w:r>
                  <w:r>
                    <w:rPr>
                      <w:rStyle w:val="25"/>
                      <w:rFonts w:eastAsia="楷体_GB2312" w:cs="Calibri"/>
                      <w:w w:val="70"/>
                      <w:sz w:val="20"/>
                      <w:szCs w:val="20"/>
                      <w:lang w:eastAsia="zh-CN"/>
                    </w:rPr>
                    <w:t>hfisec</w:t>
                  </w:r>
                  <w:r>
                    <w:rPr>
                      <w:rStyle w:val="25"/>
                      <w:rFonts w:eastAsia="楷体_GB2312" w:cs="Calibri"/>
                      <w:w w:val="70"/>
                      <w:sz w:val="20"/>
                      <w:szCs w:val="20"/>
                    </w:rPr>
                    <w:t>.com</w:t>
                  </w:r>
                  <w:r>
                    <w:rPr>
                      <w:rStyle w:val="25"/>
                      <w:rFonts w:eastAsia="楷体_GB2312" w:cs="Calibri"/>
                      <w:w w:val="70"/>
                      <w:sz w:val="20"/>
                      <w:szCs w:val="20"/>
                    </w:rPr>
                    <w:fldChar w:fldCharType="end"/>
                  </w:r>
                  <w:r>
                    <w:rPr>
                      <w:rStyle w:val="25"/>
                      <w:rFonts w:eastAsia="楷体_GB2312" w:cs="Calibri"/>
                      <w:w w:val="70"/>
                      <w:sz w:val="20"/>
                      <w:szCs w:val="20"/>
                      <w:lang w:eastAsia="zh-CN"/>
                    </w:rPr>
                    <w:t>.hk</w:t>
                  </w:r>
                  <w:r>
                    <w:rPr>
                      <w:rFonts w:eastAsia="楷体_GB2312" w:cs="Calibri"/>
                      <w:w w:val="70"/>
                      <w:sz w:val="20"/>
                      <w:szCs w:val="20"/>
                    </w:rPr>
                    <w:t xml:space="preserve"> </w:t>
                  </w:r>
                  <w:r>
                    <w:rPr>
                      <w:rFonts w:eastAsia="楷体_GB2312" w:cs="Calibri"/>
                      <w:bCs/>
                      <w:w w:val="70"/>
                      <w:sz w:val="20"/>
                      <w:szCs w:val="20"/>
                    </w:rPr>
                    <w:t xml:space="preserve">for further </w:t>
                  </w:r>
                  <w:r>
                    <w:rPr>
                      <w:rFonts w:eastAsia="楷体_GB2312" w:cs="Calibri"/>
                      <w:w w:val="70"/>
                      <w:sz w:val="20"/>
                      <w:szCs w:val="20"/>
                    </w:rPr>
                    <w:t>information</w:t>
                  </w:r>
                  <w:r>
                    <w:rPr>
                      <w:rFonts w:eastAsia="楷体_GB2312" w:cs="Calibri"/>
                      <w:bCs/>
                      <w:w w:val="70"/>
                      <w:sz w:val="20"/>
                      <w:szCs w:val="20"/>
                    </w:rPr>
                    <w:t xml:space="preserve"> on </w:t>
                  </w:r>
                  <w:r>
                    <w:rPr>
                      <w:rFonts w:eastAsia="楷体_GB2312" w:cs="Calibri"/>
                      <w:bCs/>
                      <w:w w:val="70"/>
                      <w:sz w:val="20"/>
                      <w:szCs w:val="20"/>
                      <w:lang w:eastAsia="zh-CN"/>
                    </w:rPr>
                    <w:t xml:space="preserve">HuaFu International’s </w:t>
                  </w:r>
                  <w:r>
                    <w:rPr>
                      <w:rFonts w:eastAsia="楷体_GB2312" w:cs="Calibri"/>
                      <w:bCs/>
                      <w:w w:val="70"/>
                      <w:sz w:val="20"/>
                      <w:szCs w:val="20"/>
                    </w:rPr>
                    <w:t>organizational and administrative arrangements set up for the prevention and avoidance of conflicts of interest with respect to Research.</w:t>
                  </w:r>
                </w:p>
                <w:p w14:paraId="4BCAD736">
                  <w:pPr>
                    <w:pStyle w:val="73"/>
                    <w:spacing w:after="60"/>
                    <w:rPr>
                      <w:rFonts w:eastAsia="楷体_GB2312" w:cs="Calibri"/>
                      <w:b/>
                      <w:w w:val="70"/>
                      <w:sz w:val="20"/>
                      <w:szCs w:val="20"/>
                    </w:rPr>
                  </w:pPr>
                </w:p>
              </w:tc>
            </w:tr>
            <w:tr w14:paraId="535DFDC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14:paraId="3CB0F152">
                  <w:pPr>
                    <w:pStyle w:val="73"/>
                    <w:spacing w:after="60"/>
                    <w:rPr>
                      <w:rFonts w:eastAsia="楷体_GB2312" w:cs="Calibri"/>
                      <w:b/>
                      <w:snapToGrid/>
                      <w:w w:val="70"/>
                      <w:sz w:val="20"/>
                      <w:szCs w:val="20"/>
                    </w:rPr>
                  </w:pPr>
                  <w:r>
                    <w:rPr>
                      <w:rFonts w:eastAsia="楷体_GB2312" w:cs="Calibri"/>
                      <w:b/>
                      <w:snapToGrid/>
                      <w:w w:val="70"/>
                      <w:sz w:val="20"/>
                      <w:szCs w:val="20"/>
                    </w:rPr>
                    <w:t>分发和地区通知：</w:t>
                  </w:r>
                </w:p>
                <w:p w14:paraId="6B269893">
                  <w:pPr>
                    <w:pStyle w:val="73"/>
                    <w:spacing w:after="60"/>
                    <w:rPr>
                      <w:rFonts w:eastAsia="楷体_GB2312" w:cs="Calibri"/>
                      <w:snapToGrid/>
                      <w:w w:val="70"/>
                      <w:sz w:val="20"/>
                      <w:szCs w:val="20"/>
                    </w:rPr>
                  </w:pPr>
                  <w:r>
                    <w:rPr>
                      <w:rFonts w:eastAsia="楷体_GB2312" w:cs="Calibri"/>
                      <w:snapToGrid/>
                      <w:w w:val="70"/>
                      <w:sz w:val="20"/>
                      <w:szCs w:val="20"/>
                    </w:rPr>
                    <w:t>除非下文另有规定，否则任何希望讨论本报告或者就本项研究中讨论的任何证券进行任何交易的收件人均应联系其所在国家或地区的</w:t>
                  </w:r>
                  <w:r>
                    <w:rPr>
                      <w:rFonts w:eastAsia="楷体_GB2312" w:cs="Calibri"/>
                      <w:snapToGrid/>
                      <w:w w:val="70"/>
                      <w:sz w:val="20"/>
                      <w:szCs w:val="20"/>
                      <w:lang w:eastAsia="zh-CN"/>
                    </w:rPr>
                    <w:t>华福</w:t>
                  </w:r>
                  <w:r>
                    <w:rPr>
                      <w:rFonts w:eastAsia="楷体_GB2312" w:cs="Calibri"/>
                      <w:snapToGrid/>
                      <w:w w:val="70"/>
                      <w:sz w:val="20"/>
                      <w:szCs w:val="20"/>
                    </w:rPr>
                    <w:t xml:space="preserve">国际销售人员。  </w:t>
                  </w:r>
                </w:p>
                <w:p w14:paraId="42B82BAD">
                  <w:pPr>
                    <w:pStyle w:val="73"/>
                    <w:spacing w:after="60"/>
                    <w:rPr>
                      <w:rFonts w:eastAsia="楷体_GB2312" w:cs="Calibri"/>
                      <w:snapToGrid/>
                      <w:w w:val="70"/>
                      <w:sz w:val="20"/>
                      <w:szCs w:val="20"/>
                    </w:rPr>
                  </w:pPr>
                  <w:r>
                    <w:rPr>
                      <w:rFonts w:eastAsia="楷体_GB2312" w:cs="Calibri"/>
                      <w:b/>
                      <w:snapToGrid/>
                      <w:w w:val="70"/>
                      <w:sz w:val="20"/>
                      <w:szCs w:val="20"/>
                    </w:rPr>
                    <w:t>香港投资者的通知事项：</w:t>
                  </w:r>
                  <w:r>
                    <w:rPr>
                      <w:rFonts w:eastAsia="楷体_GB2312" w:cs="Calibri"/>
                      <w:bCs/>
                      <w:snapToGrid/>
                      <w:w w:val="70"/>
                      <w:sz w:val="20"/>
                      <w:szCs w:val="20"/>
                      <w:lang w:eastAsia="zh-CN"/>
                    </w:rPr>
                    <w:t>华福</w:t>
                  </w:r>
                  <w:r>
                    <w:rPr>
                      <w:rFonts w:eastAsia="楷体_GB2312" w:cs="Calibri"/>
                      <w:snapToGrid/>
                      <w:w w:val="70"/>
                      <w:sz w:val="20"/>
                      <w:szCs w:val="20"/>
                    </w:rPr>
                    <w:t>国际负责分发该研究报告，</w:t>
                  </w:r>
                  <w:r>
                    <w:rPr>
                      <w:rFonts w:eastAsia="楷体_GB2312" w:cs="Calibri"/>
                      <w:snapToGrid/>
                      <w:w w:val="70"/>
                      <w:sz w:val="20"/>
                      <w:szCs w:val="20"/>
                      <w:lang w:eastAsia="zh-CN"/>
                    </w:rPr>
                    <w:t>华福国际是</w:t>
                  </w:r>
                  <w:r>
                    <w:rPr>
                      <w:rFonts w:eastAsia="楷体_GB2312" w:cs="Calibri"/>
                      <w:snapToGrid/>
                      <w:w w:val="70"/>
                      <w:sz w:val="20"/>
                      <w:szCs w:val="20"/>
                    </w:rPr>
                    <w:t>在香港有权实施第</w:t>
                  </w:r>
                  <w:r>
                    <w:rPr>
                      <w:rFonts w:eastAsia="楷体_GB2312" w:cs="Calibri"/>
                      <w:snapToGrid/>
                      <w:w w:val="70"/>
                      <w:sz w:val="20"/>
                      <w:szCs w:val="20"/>
                      <w:lang w:eastAsia="zh-CN"/>
                    </w:rPr>
                    <w:t>1</w:t>
                  </w:r>
                  <w:r>
                    <w:rPr>
                      <w:rFonts w:eastAsia="楷体_GB2312" w:cs="Calibri"/>
                      <w:snapToGrid/>
                      <w:w w:val="70"/>
                      <w:sz w:val="20"/>
                      <w:szCs w:val="20"/>
                    </w:rPr>
                    <w:t>类受规管活动（从事证券交易）的持牌公司。该研究报告并不构成《证券及期货条例》</w:t>
                  </w:r>
                  <w:r>
                    <w:rPr>
                      <w:rFonts w:eastAsia="楷体_GB2312" w:cs="Calibri"/>
                      <w:w w:val="70"/>
                      <w:sz w:val="20"/>
                      <w:szCs w:val="20"/>
                    </w:rPr>
                    <w:t>（</w:t>
                  </w:r>
                  <w:r>
                    <w:rPr>
                      <w:rFonts w:eastAsia="楷体_GB2312" w:cs="Calibri"/>
                      <w:snapToGrid/>
                      <w:w w:val="70"/>
                      <w:sz w:val="20"/>
                      <w:szCs w:val="20"/>
                    </w:rPr>
                    <w:t>香港法例第</w:t>
                  </w:r>
                  <w:r>
                    <w:rPr>
                      <w:rFonts w:eastAsia="楷体_GB2312" w:cs="Calibri"/>
                      <w:snapToGrid/>
                      <w:w w:val="70"/>
                      <w:sz w:val="20"/>
                      <w:szCs w:val="20"/>
                      <w:lang w:eastAsia="zh-CN"/>
                    </w:rPr>
                    <w:t>571</w:t>
                  </w:r>
                  <w:r>
                    <w:rPr>
                      <w:rFonts w:eastAsia="楷体_GB2312" w:cs="Calibri"/>
                      <w:snapToGrid/>
                      <w:w w:val="70"/>
                      <w:sz w:val="20"/>
                      <w:szCs w:val="20"/>
                    </w:rPr>
                    <w:t>章</w:t>
                  </w:r>
                  <w:r>
                    <w:rPr>
                      <w:rFonts w:eastAsia="楷体_GB2312" w:cs="Calibri"/>
                      <w:w w:val="70"/>
                      <w:sz w:val="20"/>
                      <w:szCs w:val="20"/>
                    </w:rPr>
                    <w:t>）（</w:t>
                  </w:r>
                  <w:r>
                    <w:rPr>
                      <w:rFonts w:eastAsia="楷体_GB2312" w:cs="Calibri"/>
                      <w:snapToGrid/>
                      <w:w w:val="70"/>
                      <w:sz w:val="20"/>
                      <w:szCs w:val="20"/>
                    </w:rPr>
                    <w:t>以下简称“</w:t>
                  </w:r>
                  <w:r>
                    <w:rPr>
                      <w:rFonts w:eastAsia="楷体_GB2312" w:cs="Calibri"/>
                      <w:snapToGrid/>
                      <w:w w:val="70"/>
                      <w:sz w:val="20"/>
                      <w:szCs w:val="20"/>
                      <w:lang w:eastAsia="zh-CN"/>
                    </w:rPr>
                    <w:t>SFO”</w:t>
                  </w:r>
                  <w:r>
                    <w:rPr>
                      <w:rFonts w:eastAsia="楷体_GB2312" w:cs="Calibri"/>
                      <w:w w:val="70"/>
                      <w:sz w:val="20"/>
                      <w:szCs w:val="20"/>
                    </w:rPr>
                    <w:t>）</w:t>
                  </w:r>
                  <w:r>
                    <w:rPr>
                      <w:rFonts w:eastAsia="楷体_GB2312" w:cs="Calibri"/>
                      <w:snapToGrid/>
                      <w:w w:val="70"/>
                      <w:sz w:val="20"/>
                      <w:szCs w:val="20"/>
                    </w:rPr>
                    <w:t>所界定的要约邀请，证券要约或公众要约。本研究报告仅提供给</w:t>
                  </w:r>
                  <w:r>
                    <w:rPr>
                      <w:rFonts w:eastAsia="楷体_GB2312" w:cs="Calibri"/>
                      <w:snapToGrid/>
                      <w:w w:val="70"/>
                      <w:sz w:val="20"/>
                      <w:szCs w:val="20"/>
                      <w:lang w:eastAsia="zh-CN"/>
                    </w:rPr>
                    <w:t>SFO</w:t>
                  </w:r>
                  <w:r>
                    <w:rPr>
                      <w:rFonts w:eastAsia="楷体_GB2312" w:cs="Calibri"/>
                      <w:snapToGrid/>
                      <w:w w:val="70"/>
                      <w:sz w:val="20"/>
                      <w:szCs w:val="20"/>
                    </w:rPr>
                    <w:t>所界定的“专业投资者”。本研究报告未经过证券及期货事务监察委员会的审查。您不应仅根据本研究报告中所载的信息做出投资决定。本研究报告的收件人就研究报告中产生或与之相关的任何事宜请联系</w:t>
                  </w:r>
                  <w:r>
                    <w:rPr>
                      <w:rFonts w:eastAsia="楷体_GB2312" w:cs="Calibri"/>
                      <w:snapToGrid/>
                      <w:w w:val="70"/>
                      <w:sz w:val="20"/>
                      <w:szCs w:val="20"/>
                      <w:lang w:eastAsia="zh-CN"/>
                    </w:rPr>
                    <w:t>华福国际</w:t>
                  </w:r>
                  <w:r>
                    <w:rPr>
                      <w:rFonts w:eastAsia="楷体_GB2312" w:cs="Calibri"/>
                      <w:snapToGrid/>
                      <w:w w:val="70"/>
                      <w:sz w:val="20"/>
                      <w:szCs w:val="20"/>
                    </w:rPr>
                    <w:t>销售人员。</w:t>
                  </w:r>
                </w:p>
                <w:p w14:paraId="2E705175">
                  <w:pPr>
                    <w:pStyle w:val="73"/>
                    <w:spacing w:after="40"/>
                    <w:rPr>
                      <w:rFonts w:eastAsia="楷体_GB2312" w:cs="Calibri"/>
                      <w:b/>
                      <w:bCs/>
                      <w:w w:val="70"/>
                      <w:sz w:val="20"/>
                      <w:szCs w:val="20"/>
                    </w:rPr>
                  </w:pPr>
                  <w:r>
                    <w:rPr>
                      <w:rFonts w:eastAsia="楷体_GB2312" w:cs="Calibri"/>
                      <w:b/>
                      <w:bCs/>
                      <w:w w:val="70"/>
                      <w:sz w:val="20"/>
                      <w:szCs w:val="20"/>
                    </w:rPr>
                    <w:t>DISTRIBUTION AND REGIONAL NOTICES</w:t>
                  </w:r>
                </w:p>
                <w:p w14:paraId="25F1C587">
                  <w:pPr>
                    <w:pStyle w:val="73"/>
                    <w:spacing w:after="40"/>
                    <w:rPr>
                      <w:rFonts w:eastAsia="楷体_GB2312" w:cs="Calibri"/>
                      <w:w w:val="70"/>
                      <w:sz w:val="20"/>
                      <w:szCs w:val="20"/>
                    </w:rPr>
                  </w:pPr>
                  <w:r>
                    <w:rPr>
                      <w:rFonts w:eastAsia="楷体_GB2312" w:cs="Calibri"/>
                      <w:w w:val="70"/>
                      <w:sz w:val="20"/>
                      <w:szCs w:val="20"/>
                    </w:rPr>
                    <w:t xml:space="preserve">Except as otherwise indicated below, any Recipient wishing to discuss this research report or effect any transaction in any security discussed in </w:t>
                  </w:r>
                  <w:r>
                    <w:rPr>
                      <w:rFonts w:eastAsia="楷体_GB2312" w:cs="Calibri"/>
                      <w:w w:val="70"/>
                      <w:sz w:val="20"/>
                      <w:szCs w:val="20"/>
                      <w:lang w:eastAsia="zh-CN"/>
                    </w:rPr>
                    <w:t>HuaFu International</w:t>
                  </w:r>
                  <w:r>
                    <w:rPr>
                      <w:rFonts w:eastAsia="楷体_GB2312" w:cs="Calibri"/>
                      <w:w w:val="70"/>
                      <w:sz w:val="20"/>
                      <w:szCs w:val="20"/>
                    </w:rPr>
                    <w:t xml:space="preserve">’s research should contact the </w:t>
                  </w:r>
                  <w:r>
                    <w:rPr>
                      <w:rFonts w:eastAsia="楷体_GB2312" w:cs="Calibri"/>
                      <w:w w:val="70"/>
                      <w:sz w:val="20"/>
                      <w:szCs w:val="20"/>
                      <w:lang w:eastAsia="zh-CN"/>
                    </w:rPr>
                    <w:t xml:space="preserve">HuaFu </w:t>
                  </w:r>
                  <w:r>
                    <w:rPr>
                      <w:rFonts w:eastAsia="楷体_GB2312" w:cs="Calibri"/>
                      <w:w w:val="70"/>
                      <w:sz w:val="20"/>
                      <w:szCs w:val="20"/>
                    </w:rPr>
                    <w:t xml:space="preserve">International salesperson in their own country or region.  </w:t>
                  </w:r>
                </w:p>
                <w:p w14:paraId="4733A595">
                  <w:pPr>
                    <w:pStyle w:val="73"/>
                    <w:spacing w:after="40"/>
                    <w:rPr>
                      <w:rFonts w:eastAsia="楷体_GB2312" w:cs="Calibri"/>
                      <w:w w:val="70"/>
                      <w:sz w:val="20"/>
                      <w:szCs w:val="20"/>
                    </w:rPr>
                  </w:pPr>
                  <w:r>
                    <w:rPr>
                      <w:rFonts w:eastAsia="楷体_GB2312" w:cs="Calibri"/>
                      <w:b/>
                      <w:bCs/>
                      <w:w w:val="70"/>
                      <w:sz w:val="20"/>
                      <w:szCs w:val="20"/>
                    </w:rPr>
                    <w:t xml:space="preserve">Notice to Hong Kong investors: </w:t>
                  </w:r>
                  <w:r>
                    <w:rPr>
                      <w:rFonts w:eastAsia="楷体_GB2312" w:cs="Calibri"/>
                      <w:w w:val="70"/>
                      <w:sz w:val="20"/>
                      <w:szCs w:val="20"/>
                    </w:rPr>
                    <w:t xml:space="preserve">The research report is distributed by </w:t>
                  </w:r>
                  <w:r>
                    <w:rPr>
                      <w:rFonts w:eastAsia="楷体_GB2312" w:cs="Calibri"/>
                      <w:w w:val="70"/>
                      <w:sz w:val="20"/>
                      <w:szCs w:val="20"/>
                      <w:lang w:eastAsia="zh-CN"/>
                    </w:rPr>
                    <w:t>HuaFu</w:t>
                  </w:r>
                  <w:r>
                    <w:rPr>
                      <w:rFonts w:eastAsia="楷体_GB2312" w:cs="Calibri"/>
                      <w:w w:val="70"/>
                      <w:sz w:val="20"/>
                      <w:szCs w:val="20"/>
                    </w:rPr>
                    <w:t xml:space="preserve"> International, which is a licensed corporation to carry on Type 1 regulated activity (dealing in securities) in Hong Kong. This research report does not constitute a solicitation or an offer of securities or an invitation to the public within the meaning of the SFO. This research report is only to be circulated to "Professional Investors" as defined in the SFO. This research report has not been reviewed by the Securities and Futures Commission. You should not make investment decisions solely on the basis of the information contained in this research report. Recipients of this research report are to contact </w:t>
                  </w:r>
                  <w:r>
                    <w:rPr>
                      <w:rFonts w:eastAsia="楷体_GB2312" w:cs="Calibri"/>
                      <w:w w:val="70"/>
                      <w:sz w:val="20"/>
                      <w:szCs w:val="20"/>
                      <w:lang w:eastAsia="zh-CN"/>
                    </w:rPr>
                    <w:t>HuaFu International</w:t>
                  </w:r>
                  <w:r>
                    <w:rPr>
                      <w:rFonts w:eastAsia="楷体_GB2312" w:cs="Calibri"/>
                      <w:w w:val="70"/>
                      <w:sz w:val="20"/>
                      <w:szCs w:val="20"/>
                    </w:rPr>
                    <w:t xml:space="preserve"> salespersons in respect of any matters arising from, or in connection with, the research report.</w:t>
                  </w:r>
                </w:p>
                <w:p w14:paraId="2364214B">
                  <w:pPr>
                    <w:pStyle w:val="73"/>
                    <w:spacing w:after="60"/>
                    <w:rPr>
                      <w:rFonts w:eastAsia="楷体_GB2312" w:cs="Calibri"/>
                      <w:b/>
                      <w:w w:val="70"/>
                      <w:sz w:val="20"/>
                      <w:szCs w:val="20"/>
                    </w:rPr>
                  </w:pPr>
                </w:p>
              </w:tc>
            </w:tr>
            <w:tr w14:paraId="699B522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14:paraId="57DCC834">
                  <w:pPr>
                    <w:pStyle w:val="73"/>
                    <w:spacing w:after="60"/>
                    <w:rPr>
                      <w:rFonts w:eastAsia="楷体_GB2312" w:cs="Calibri"/>
                      <w:w w:val="70"/>
                      <w:sz w:val="20"/>
                      <w:szCs w:val="20"/>
                    </w:rPr>
                  </w:pPr>
                  <w:r>
                    <w:rPr>
                      <w:rFonts w:eastAsia="楷体_GB2312" w:cs="Calibri"/>
                      <w:b/>
                      <w:w w:val="70"/>
                      <w:sz w:val="20"/>
                      <w:szCs w:val="20"/>
                    </w:rPr>
                    <w:t>中华人民共和国的通知事项：</w:t>
                  </w:r>
                  <w:r>
                    <w:rPr>
                      <w:rFonts w:eastAsia="楷体_GB2312" w:cs="Calibri"/>
                      <w:w w:val="70"/>
                      <w:sz w:val="20"/>
                      <w:szCs w:val="20"/>
                    </w:rPr>
                    <w:t>在中华人民共和国</w:t>
                  </w:r>
                  <w:r>
                    <w:rPr>
                      <w:rFonts w:eastAsia="楷体_GB2312" w:cs="Calibri"/>
                      <w:snapToGrid/>
                      <w:w w:val="70"/>
                      <w:sz w:val="20"/>
                      <w:szCs w:val="20"/>
                    </w:rPr>
                    <w:t>（</w:t>
                  </w:r>
                  <w:r>
                    <w:rPr>
                      <w:rFonts w:eastAsia="楷体_GB2312" w:cs="Calibri"/>
                      <w:w w:val="70"/>
                      <w:sz w:val="20"/>
                      <w:szCs w:val="20"/>
                    </w:rPr>
                    <w:t>下称“中国”，就本报告目的而言，不包括香港特别行政区、澳门特别行政区和台湾）只有根据适用的中国法律法规而收到该材料的人员方可使用该材料。并且根据相关法律法规，该材料中的信息并不构成“在中国从事生产、经营活动”。本文件在中国并不构成相关证券的公共发售或认购。无论根据法律规定或其他任何规定，在取得中国政府所有的批准或许可之前，任何法人或自然人均不得直接或间接地购买本材料中的任何证券或任何实益权益。接收本文件的人员须遵守上述限制性规定。</w:t>
                  </w:r>
                </w:p>
                <w:p w14:paraId="4BF94CBB">
                  <w:pPr>
                    <w:pStyle w:val="73"/>
                    <w:spacing w:after="60"/>
                    <w:rPr>
                      <w:rFonts w:eastAsia="楷体_GB2312" w:cs="Calibri"/>
                      <w:w w:val="70"/>
                      <w:sz w:val="20"/>
                      <w:szCs w:val="20"/>
                    </w:rPr>
                  </w:pPr>
                  <w:r>
                    <w:rPr>
                      <w:rFonts w:eastAsia="楷体_GB2312" w:cs="Calibri"/>
                      <w:w w:val="70"/>
                      <w:sz w:val="20"/>
                      <w:szCs w:val="20"/>
                    </w:rPr>
                    <w:t>本项研究仅供收件人使用，未经</w:t>
                  </w:r>
                  <w:r>
                    <w:rPr>
                      <w:rFonts w:eastAsia="楷体_GB2312" w:cs="Calibri"/>
                      <w:w w:val="70"/>
                      <w:sz w:val="20"/>
                      <w:szCs w:val="20"/>
                      <w:lang w:eastAsia="zh-CN"/>
                    </w:rPr>
                    <w:t>华福</w:t>
                  </w:r>
                  <w:r>
                    <w:rPr>
                      <w:rFonts w:eastAsia="楷体_GB2312" w:cs="Calibri"/>
                      <w:w w:val="70"/>
                      <w:sz w:val="20"/>
                      <w:szCs w:val="20"/>
                    </w:rPr>
                    <w:t>国际的书面同意不得予以复制和再次分发。</w:t>
                  </w:r>
                </w:p>
                <w:p w14:paraId="3601739B">
                  <w:pPr>
                    <w:pStyle w:val="73"/>
                    <w:rPr>
                      <w:rFonts w:eastAsia="楷体_GB2312" w:cs="Calibri"/>
                      <w:w w:val="70"/>
                      <w:sz w:val="20"/>
                      <w:szCs w:val="20"/>
                    </w:rPr>
                  </w:pPr>
                  <w:r>
                    <w:rPr>
                      <w:rFonts w:eastAsia="楷体_GB2312" w:cs="Calibri"/>
                      <w:w w:val="70"/>
                      <w:sz w:val="20"/>
                      <w:szCs w:val="20"/>
                    </w:rPr>
                    <w:t>版权所有：</w:t>
                  </w:r>
                  <w:r>
                    <w:rPr>
                      <w:rFonts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2025</w:t>
                  </w:r>
                  <w:r>
                    <w:rPr>
                      <w:rFonts w:eastAsia="楷体_GB2312" w:cs="Calibri"/>
                      <w:w w:val="70"/>
                      <w:sz w:val="20"/>
                      <w:szCs w:val="20"/>
                    </w:rPr>
                    <w:t>年。保留所有权利。</w:t>
                  </w:r>
                </w:p>
                <w:p w14:paraId="70BCDAB2">
                  <w:pPr>
                    <w:pStyle w:val="73"/>
                    <w:spacing w:after="120"/>
                    <w:rPr>
                      <w:rFonts w:eastAsia="楷体_GB2312" w:cs="Calibri"/>
                      <w:w w:val="70"/>
                      <w:sz w:val="20"/>
                      <w:szCs w:val="20"/>
                    </w:rPr>
                  </w:pPr>
                  <w:r>
                    <w:rPr>
                      <w:rFonts w:eastAsia="楷体_GB2312" w:cs="Calibri"/>
                      <w:b/>
                      <w:w w:val="70"/>
                      <w:sz w:val="20"/>
                      <w:szCs w:val="20"/>
                    </w:rPr>
                    <w:t>People’s Republic of China (PRC):</w:t>
                  </w:r>
                  <w:r>
                    <w:rPr>
                      <w:rFonts w:eastAsia="楷体_GB2312" w:cs="Calibri"/>
                      <w:w w:val="70"/>
                      <w:sz w:val="20"/>
                      <w:szCs w:val="20"/>
                    </w:rPr>
                    <w:t xml:space="preserve"> In the PRC, the research report is directed for the sole use of those who receive the research report in accordance with the applicable PRC laws and regulations. Further, the information on the research report does not constitute "production and business activities in the PRC" under relevant PRC laws. This research report does not constitute a public offer of the security, whether by sale or subscription, in the PRC. Further, no legal or natural persons of the PRC may directly or indirectly purchase any of the security or any beneficial interest therein without obtaining all prior PRC government approvals or licenses that are required, whether statutorily or otherwise. Persons who come into possession of this research are required to observe these restrictions.</w:t>
                  </w:r>
                </w:p>
                <w:p w14:paraId="181ED341">
                  <w:pPr>
                    <w:pStyle w:val="73"/>
                    <w:spacing w:after="120"/>
                    <w:rPr>
                      <w:rFonts w:eastAsia="楷体_GB2312" w:cs="Calibri"/>
                      <w:w w:val="70"/>
                      <w:sz w:val="20"/>
                      <w:szCs w:val="20"/>
                    </w:rPr>
                  </w:pPr>
                  <w:r>
                    <w:rPr>
                      <w:rFonts w:eastAsia="楷体_GB2312" w:cs="Calibri"/>
                      <w:w w:val="70"/>
                      <w:sz w:val="20"/>
                      <w:szCs w:val="20"/>
                    </w:rPr>
                    <w:t xml:space="preserve">This research report is intended for the recipients only and may not be reproduced or redistributed without the written consent of an authorized signatory of </w:t>
                  </w:r>
                  <w:r>
                    <w:rPr>
                      <w:rFonts w:eastAsia="楷体_GB2312" w:cs="Calibri"/>
                      <w:w w:val="70"/>
                      <w:sz w:val="20"/>
                      <w:szCs w:val="20"/>
                      <w:lang w:eastAsia="zh-CN"/>
                    </w:rPr>
                    <w:t>HuaFu International</w:t>
                  </w:r>
                  <w:r>
                    <w:rPr>
                      <w:rFonts w:eastAsia="楷体_GB2312" w:cs="Calibri"/>
                      <w:w w:val="70"/>
                      <w:sz w:val="20"/>
                      <w:szCs w:val="20"/>
                    </w:rPr>
                    <w:t>.</w:t>
                  </w:r>
                </w:p>
                <w:p w14:paraId="719B305D">
                  <w:pPr>
                    <w:pStyle w:val="73"/>
                    <w:spacing w:after="60"/>
                    <w:rPr>
                      <w:rFonts w:eastAsia="楷体_GB2312" w:cs="Calibri"/>
                      <w:b/>
                      <w:w w:val="70"/>
                      <w:sz w:val="20"/>
                      <w:szCs w:val="20"/>
                    </w:rPr>
                  </w:pPr>
                  <w:r>
                    <w:rPr>
                      <w:rFonts w:eastAsia="楷体_GB2312" w:cs="Calibri"/>
                      <w:w w:val="70"/>
                      <w:sz w:val="20"/>
                      <w:szCs w:val="20"/>
                    </w:rPr>
                    <w:t xml:space="preserve">Copyright: </w:t>
                  </w:r>
                  <w:r>
                    <w:rPr>
                      <w:rFonts w:eastAsia="楷体_GB2312" w:cs="Calibri"/>
                      <w:w w:val="70"/>
                      <w:sz w:val="20"/>
                      <w:szCs w:val="20"/>
                      <w:lang w:eastAsia="zh-CN"/>
                    </w:rPr>
                    <w:t>HuaFu</w:t>
                  </w:r>
                  <w:r>
                    <w:rPr>
                      <w:rFonts w:eastAsia="楷体_GB2312" w:cs="Calibri"/>
                      <w:w w:val="70"/>
                      <w:sz w:val="20"/>
                      <w:szCs w:val="20"/>
                    </w:rPr>
                    <w:t xml:space="preserve"> International </w:t>
                  </w:r>
                  <w:r>
                    <w:rPr>
                      <w:rFonts w:eastAsia="楷体_GB2312" w:cs="Calibri"/>
                      <w:w w:val="70"/>
                      <w:sz w:val="20"/>
                      <w:szCs w:val="20"/>
                      <w:lang w:eastAsia="zh-CN"/>
                    </w:rPr>
                    <w:t>2025</w:t>
                  </w:r>
                  <w:r>
                    <w:rPr>
                      <w:rFonts w:eastAsia="楷体_GB2312" w:cs="Calibri"/>
                      <w:w w:val="70"/>
                      <w:sz w:val="20"/>
                      <w:szCs w:val="20"/>
                    </w:rPr>
                    <w:t>. All rights reserved</w:t>
                  </w:r>
                </w:p>
              </w:tc>
            </w:tr>
            <w:tr w14:paraId="5496ED7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14:paraId="06AA76A9">
                  <w:pPr>
                    <w:pStyle w:val="73"/>
                    <w:spacing w:after="60"/>
                    <w:rPr>
                      <w:rFonts w:eastAsia="楷体_GB2312" w:cs="Calibri"/>
                      <w:b/>
                      <w:w w:val="70"/>
                      <w:sz w:val="20"/>
                      <w:szCs w:val="20"/>
                    </w:rPr>
                  </w:pPr>
                </w:p>
              </w:tc>
            </w:tr>
            <w:tr w14:paraId="4E497464">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nil"/>
                  </w:tcBorders>
                </w:tcPr>
                <w:p w14:paraId="3D21A1D0">
                  <w:pPr>
                    <w:pStyle w:val="73"/>
                    <w:spacing w:after="60"/>
                    <w:rPr>
                      <w:rFonts w:eastAsia="楷体_GB2312" w:cs="Calibri"/>
                      <w:b/>
                      <w:w w:val="70"/>
                      <w:sz w:val="20"/>
                      <w:szCs w:val="20"/>
                      <w:lang w:eastAsia="zh-CN"/>
                    </w:rPr>
                  </w:pPr>
                </w:p>
              </w:tc>
            </w:tr>
          </w:tbl>
          <w:p w14:paraId="7302F345">
            <w:pPr>
              <w:rPr>
                <w:rFonts w:eastAsia="楷体_GB2312" w:cs="Calibri"/>
                <w:sz w:val="20"/>
                <w:szCs w:val="20"/>
                <w:lang w:eastAsia="zh-CN"/>
              </w:rPr>
            </w:pPr>
          </w:p>
        </w:tc>
      </w:tr>
      <w:tr w14:paraId="1EE99C7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27" w:hRule="atLeast"/>
        </w:trPr>
        <w:tc>
          <w:tcPr>
            <w:tcW w:w="10768" w:type="dxa"/>
          </w:tcPr>
          <w:p w14:paraId="31A3A9D8">
            <w:pPr>
              <w:pStyle w:val="73"/>
              <w:rPr>
                <w:rFonts w:eastAsia="楷体_GB2312" w:cs="Calibri"/>
                <w:b/>
                <w:w w:val="70"/>
                <w:sz w:val="20"/>
                <w:szCs w:val="20"/>
              </w:rPr>
            </w:pPr>
            <w:r>
              <w:rPr>
                <w:rFonts w:eastAsia="楷体_GB2312" w:cs="Calibri"/>
                <w:b/>
                <w:w w:val="70"/>
                <w:sz w:val="20"/>
                <w:szCs w:val="20"/>
              </w:rPr>
              <w:t>Recommendation Chart</w:t>
            </w:r>
          </w:p>
          <w:tbl>
            <w:tblPr>
              <w:tblStyle w:val="21"/>
              <w:tblW w:w="0" w:type="auto"/>
              <w:tblCaption w:val="[Table_RecommendationChart]"/>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0773"/>
            </w:tblGrid>
            <w:tr w14:paraId="160946A4">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rPr>
                <w:trHeight w:val="28" w:hRule="exact"/>
              </w:trPr>
              <w:tc>
                <w:tcPr>
                  <w:tcW w:w="10773" w:type="dxa"/>
                </w:tcPr>
                <w:p w14:paraId="6EB7A386">
                  <w:pPr>
                    <w:pStyle w:val="73"/>
                    <w:rPr>
                      <w:rFonts w:eastAsia="楷体_GB2312" w:cs="Calibri"/>
                      <w:b/>
                      <w:w w:val="70"/>
                      <w:sz w:val="20"/>
                      <w:szCs w:val="20"/>
                      <w:lang w:eastAsia="zh-CN"/>
                    </w:rPr>
                  </w:pPr>
                  <w:r>
                    <w:rPr>
                      <w:rFonts w:eastAsia="楷体_GB2312" w:cs="Calibri"/>
                      <w:b/>
                      <w:w w:val="70"/>
                      <w:sz w:val="20"/>
                      <w:szCs w:val="20"/>
                      <w:lang w:eastAsia="zh-CN"/>
                    </w:rPr>
                    <w:t>[Table_RecommendationChart]</w:t>
                  </w:r>
                </w:p>
              </w:tc>
            </w:tr>
            <w:tr w14:paraId="6086E6D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0773" w:type="dxa"/>
                </w:tcPr>
                <w:p w14:paraId="7CE7B7E6">
                  <w:pPr>
                    <w:pStyle w:val="73"/>
                    <w:rPr>
                      <w:rFonts w:eastAsia="楷体_GB2312" w:cs="Calibri"/>
                      <w:b/>
                      <w:w w:val="70"/>
                      <w:sz w:val="20"/>
                      <w:szCs w:val="20"/>
                    </w:rPr>
                  </w:pPr>
                </w:p>
              </w:tc>
            </w:tr>
            <w:tr w14:paraId="2C049C95">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c>
                <w:tcPr>
                  <w:tcW w:w="10773" w:type="dxa"/>
                </w:tcPr>
                <w:p w14:paraId="3252C2B6">
                  <w:pPr>
                    <w:pStyle w:val="73"/>
                    <w:rPr>
                      <w:rFonts w:eastAsia="楷体_GB2312" w:cs="Calibri"/>
                      <w:b/>
                      <w:w w:val="70"/>
                      <w:sz w:val="20"/>
                      <w:szCs w:val="20"/>
                    </w:rPr>
                  </w:pPr>
                  <w:r>
                    <w:rPr>
                      <w:rFonts w:eastAsia="楷体_GB2312" w:cs="Calibri"/>
                      <w:sz w:val="12"/>
                      <w:szCs w:val="12"/>
                    </w:rPr>
                    <w:t>Source: Company data Bloomberg, XXX estimates</w:t>
                  </w:r>
                </w:p>
              </w:tc>
            </w:tr>
          </w:tbl>
          <w:p w14:paraId="47F7B926">
            <w:pPr>
              <w:pStyle w:val="73"/>
              <w:rPr>
                <w:rFonts w:eastAsia="楷体_GB2312" w:cs="Calibri"/>
                <w:b/>
                <w:w w:val="70"/>
                <w:sz w:val="20"/>
                <w:szCs w:val="20"/>
                <w:lang w:eastAsia="zh-CN"/>
              </w:rPr>
            </w:pPr>
          </w:p>
          <w:p w14:paraId="0586C96A">
            <w:pPr>
              <w:pStyle w:val="57"/>
              <w:rPr>
                <w:rFonts w:eastAsia="楷体_GB2312" w:cs="Calibri"/>
              </w:rPr>
            </w:pPr>
          </w:p>
        </w:tc>
      </w:tr>
    </w:tbl>
    <w:p w14:paraId="032504A3">
      <w:pPr>
        <w:rPr>
          <w:rFonts w:cs="Calibri" w:eastAsiaTheme="minorEastAsia"/>
          <w:lang w:eastAsia="zh-CN"/>
        </w:rPr>
      </w:pPr>
    </w:p>
    <w:sectPr>
      <w:headerReference r:id="rId22" w:type="first"/>
      <w:headerReference r:id="rId21" w:type="default"/>
      <w:pgSz w:w="11910" w:h="16840"/>
      <w:pgMar w:top="1021" w:right="567" w:bottom="1021" w:left="567" w:header="567" w:footer="919" w:gutter="0"/>
      <w:cols w:space="425" w:num="1"/>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Mincho">
    <w:panose1 w:val="02020609040205080304"/>
    <w:charset w:val="80"/>
    <w:family w:val="modern"/>
    <w:pitch w:val="default"/>
    <w:sig w:usb0="A00002BF" w:usb1="68C7FCFB" w:usb2="00000010" w:usb3="00000000" w:csb0="4002009F" w:csb1="DFD70000"/>
  </w:font>
  <w:font w:name="等线 Light">
    <w:panose1 w:val="02010600030101010101"/>
    <w:charset w:val="86"/>
    <w:family w:val="auto"/>
    <w:pitch w:val="default"/>
    <w:sig w:usb0="A00002BF" w:usb1="38CF7CFA" w:usb2="00000016" w:usb3="00000000" w:csb0="0004000F" w:csb1="00000000"/>
  </w:font>
  <w:font w:name="汉仪大黑简">
    <w:altName w:val="微软雅黑"/>
    <w:panose1 w:val="00000000000000000000"/>
    <w:charset w:val="86"/>
    <w:family w:val="modern"/>
    <w:pitch w:val="default"/>
    <w:sig w:usb0="00000000" w:usb1="00000000" w:usb2="00000012" w:usb3="00000000" w:csb0="00040000"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PMingLiU">
    <w:panose1 w:val="02020500000000000000"/>
    <w:charset w:val="88"/>
    <w:family w:val="roman"/>
    <w:pitch w:val="default"/>
    <w:sig w:usb0="A00002FF" w:usb1="28CFFCFA" w:usb2="00000016" w:usb3="00000000" w:csb0="00100001"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MS Gothic">
    <w:panose1 w:val="020B0609070205080204"/>
    <w:charset w:val="80"/>
    <w:family w:val="modern"/>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C9F76E">
    <w:pPr>
      <w:pStyle w:val="13"/>
      <w:tabs>
        <w:tab w:val="clear" w:pos="4153"/>
      </w:tabs>
    </w:pPr>
    <w:r>
      <w:rPr>
        <w:lang w:eastAsia="zh-CN"/>
      </w:rPr>
      <mc:AlternateContent>
        <mc:Choice Requires="wps">
          <w:drawing>
            <wp:anchor distT="0" distB="0" distL="114300" distR="114300" simplePos="0" relativeHeight="251660288" behindDoc="0" locked="0" layoutInCell="1" allowOverlap="1">
              <wp:simplePos x="0" y="0"/>
              <wp:positionH relativeFrom="page">
                <wp:align>center</wp:align>
              </wp:positionH>
              <wp:positionV relativeFrom="page">
                <wp:posOffset>9861550</wp:posOffset>
              </wp:positionV>
              <wp:extent cx="7045325" cy="50165"/>
              <wp:effectExtent l="0" t="0" r="3175" b="6985"/>
              <wp:wrapTopAndBottom/>
              <wp:docPr id="21" name="Text Box 73"/>
              <wp:cNvGraphicFramePr/>
              <a:graphic xmlns:a="http://schemas.openxmlformats.org/drawingml/2006/main">
                <a:graphicData uri="http://schemas.microsoft.com/office/word/2010/wordprocessingShape">
                  <wps:wsp>
                    <wps:cNvSpPr txBox="1">
                      <a:spLocks noChangeArrowheads="1"/>
                    </wps:cNvSpPr>
                    <wps:spPr bwMode="auto">
                      <a:xfrm>
                        <a:off x="0" y="0"/>
                        <a:ext cx="7045325" cy="50165"/>
                      </a:xfrm>
                      <a:prstGeom prst="rect">
                        <a:avLst/>
                      </a:prstGeom>
                      <a:solidFill>
                        <a:srgbClr val="A7242B"/>
                      </a:solidFill>
                      <a:ln>
                        <a:noFill/>
                      </a:ln>
                    </wps:spPr>
                    <wps:txbx>
                      <w:txbxContent>
                        <w:p w14:paraId="1AAEF337">
                          <w:pPr>
                            <w:ind w:left="-180"/>
                          </w:pPr>
                        </w:p>
                      </w:txbxContent>
                    </wps:txbx>
                    <wps:bodyPr rot="0" vert="horz" wrap="square" lIns="91440" tIns="45720" rIns="91440" bIns="45720" anchor="t" anchorCtr="0" upright="1">
                      <a:noAutofit/>
                    </wps:bodyPr>
                  </wps:wsp>
                </a:graphicData>
              </a:graphic>
            </wp:anchor>
          </w:drawing>
        </mc:Choice>
        <mc:Fallback>
          <w:pict>
            <v:shape id="Text Box 73" o:spid="_x0000_s1026" o:spt="202" type="#_x0000_t202" style="position:absolute;left:0pt;margin-top:776.5pt;height:3.95pt;width:554.75pt;mso-position-horizontal:center;mso-position-horizontal-relative:page;mso-position-vertical-relative:page;mso-wrap-distance-bottom:0pt;mso-wrap-distance-top:0pt;z-index:251660288;mso-width-relative:page;mso-height-relative:page;" fillcolor="#A7242B" filled="t" stroked="f" coordsize="21600,21600" o:gfxdata="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LtwU+1wAA&#10;AAsBAAAPAAAAAAAAAAEAIAAAACIAAABkcnMvZG93bnJldi54bWxQSwECFAAUAAAACACHTuJA7Qwj&#10;KB8CAAA+BAAADgAAAAAAAAABACAAAAAmAQAAZHJzL2Uyb0RvYy54bWxQSwUGAAAAAAYABgBZAQAA&#10;twUAAAAA&#10;">
              <v:fill on="t" focussize="0,0"/>
              <v:stroke on="f"/>
              <v:imagedata o:title=""/>
              <o:lock v:ext="edit" aspectratio="f"/>
              <v:textbox>
                <w:txbxContent>
                  <w:p w14:paraId="1AAEF337">
                    <w:pPr>
                      <w:ind w:left="-180"/>
                    </w:pPr>
                  </w:p>
                </w:txbxContent>
              </v:textbox>
              <w10:wrap type="topAndBottom"/>
            </v:shape>
          </w:pict>
        </mc:Fallback>
      </mc:AlternateContent>
    </w:r>
    <w:r>
      <w:rPr>
        <w:lang w:eastAsia="zh-CN"/>
      </w:rPr>
      <mc:AlternateContent>
        <mc:Choice Requires="wps">
          <w:drawing>
            <wp:anchor distT="0" distB="0" distL="114300" distR="114300" simplePos="0" relativeHeight="251661312" behindDoc="0" locked="1" layoutInCell="1" allowOverlap="1">
              <wp:simplePos x="0" y="0"/>
              <wp:positionH relativeFrom="margin">
                <wp:align>right</wp:align>
              </wp:positionH>
              <wp:positionV relativeFrom="page">
                <wp:posOffset>9928860</wp:posOffset>
              </wp:positionV>
              <wp:extent cx="7105650" cy="716280"/>
              <wp:effectExtent l="0" t="0" r="0" b="7620"/>
              <wp:wrapNone/>
              <wp:docPr id="20" name="Text Box 281"/>
              <wp:cNvGraphicFramePr/>
              <a:graphic xmlns:a="http://schemas.openxmlformats.org/drawingml/2006/main">
                <a:graphicData uri="http://schemas.microsoft.com/office/word/2010/wordprocessingShape">
                  <wps:wsp>
                    <wps:cNvSpPr txBox="1">
                      <a:spLocks noChangeArrowheads="1"/>
                    </wps:cNvSpPr>
                    <wps:spPr bwMode="auto">
                      <a:xfrm>
                        <a:off x="0" y="0"/>
                        <a:ext cx="7105650" cy="716280"/>
                      </a:xfrm>
                      <a:prstGeom prst="rect">
                        <a:avLst/>
                      </a:prstGeom>
                      <a:noFill/>
                      <a:ln>
                        <a:noFill/>
                      </a:ln>
                    </wps:spPr>
                    <wps:txbx>
                      <w:txbxContent>
                        <w:tbl>
                          <w:tblPr>
                            <w:tblStyle w:val="21"/>
                            <w:tblW w:w="0" w:type="auto"/>
                            <w:tblCaption w:val="[Table_yejiao1]"/>
                            <w:tblDescription w:val="表格隐藏标识（勿删除）"/>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90"/>
                          </w:tblGrid>
                          <w:tr w14:paraId="7E87B28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rPr>
                              <w:trHeight w:val="23" w:hRule="exact"/>
                            </w:trPr>
                            <w:tc>
                              <w:tcPr>
                                <w:tcW w:w="11583" w:type="dxa"/>
                              </w:tcPr>
                              <w:p w14:paraId="7A432FA4">
                                <w:pPr>
                                  <w:pStyle w:val="66"/>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4CDF18D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583" w:type="dxa"/>
                              </w:tcPr>
                              <w:p w14:paraId="36D96406">
                                <w:pPr>
                                  <w:pStyle w:val="66"/>
                                  <w:rPr>
                                    <w:rFonts w:eastAsia="MS Mincho" w:cs="Calibri"/>
                                    <w:b w:val="0"/>
                                    <w:sz w:val="21"/>
                                    <w:szCs w:val="21"/>
                                  </w:rPr>
                                </w:pPr>
                                <w:r>
                                  <w:rPr>
                                    <w:rFonts w:hint="eastAsia" w:eastAsia="楷体_GB2312" w:cs="Calibri"/>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25C7CD37">
                          <w:pPr>
                            <w:pStyle w:val="66"/>
                            <w:rPr>
                              <w:rFonts w:eastAsia="楷体_GB2312" w:cs="Calibri"/>
                              <w:b w:val="0"/>
                              <w:sz w:val="21"/>
                              <w:szCs w:val="21"/>
                            </w:rPr>
                          </w:pPr>
                        </w:p>
                      </w:txbxContent>
                    </wps:txbx>
                    <wps:bodyPr rot="0" vert="horz" wrap="square" lIns="0" tIns="0" rIns="0" bIns="0" anchor="t" anchorCtr="0" upright="1">
                      <a:noAutofit/>
                    </wps:bodyPr>
                  </wps:wsp>
                </a:graphicData>
              </a:graphic>
            </wp:anchor>
          </w:drawing>
        </mc:Choice>
        <mc:Fallback>
          <w:pict>
            <v:shape id="Text Box 281" o:spid="_x0000_s1026" o:spt="202" type="#_x0000_t202" style="position:absolute;left:0pt;margin-top:781.8pt;height:56.4pt;width:559.5pt;mso-position-horizontal:right;mso-position-horizontal-relative:margin;mso-position-vertical-relative:page;z-index:251661312;mso-width-relative:page;mso-height-relative:page;" filled="f" stroked="f" coordsize="21600,21600" o:gfxdata="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UjN6A2QAAAAsBAAAPAAAAAAAAAAEAIAAAACIAAABkcnMvZG93&#10;bnJldi54bWxQSwECFAAUAAAACACHTuJAfqFzt/8BAAAHBAAADgAAAAAAAAABACAAAAAoAQAAZHJz&#10;L2Uyb0RvYy54bWxQSwUGAAAAAAYABgBZAQAAmQUAAAAA&#10;">
              <v:fill on="f" focussize="0,0"/>
              <v:stroke on="f"/>
              <v:imagedata o:title=""/>
              <o:lock v:ext="edit" aspectratio="f"/>
              <v:textbox inset="0mm,0mm,0mm,0mm">
                <w:txbxContent>
                  <w:tbl>
                    <w:tblPr>
                      <w:tblStyle w:val="21"/>
                      <w:tblW w:w="0" w:type="auto"/>
                      <w:tblCaption w:val="[Table_yejiao1]"/>
                      <w:tblDescription w:val="表格隐藏标识（勿删除）"/>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90"/>
                    </w:tblGrid>
                    <w:tr w14:paraId="7E87B28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14:paraId="7A432FA4">
                          <w:pPr>
                            <w:pStyle w:val="66"/>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4CDF18D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583" w:type="dxa"/>
                        </w:tcPr>
                        <w:p w14:paraId="36D96406">
                          <w:pPr>
                            <w:pStyle w:val="66"/>
                            <w:rPr>
                              <w:rFonts w:eastAsia="MS Mincho" w:cs="Calibri"/>
                              <w:b w:val="0"/>
                              <w:sz w:val="21"/>
                              <w:szCs w:val="21"/>
                            </w:rPr>
                          </w:pPr>
                          <w:r>
                            <w:rPr>
                              <w:rFonts w:hint="eastAsia" w:eastAsia="楷体_GB2312" w:cs="Calibri"/>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25C7CD37">
                    <w:pPr>
                      <w:pStyle w:val="66"/>
                      <w:rPr>
                        <w:rFonts w:eastAsia="楷体_GB2312" w:cs="Calibri"/>
                        <w:b w:val="0"/>
                        <w:sz w:val="21"/>
                        <w:szCs w:val="21"/>
                      </w:rPr>
                    </w:pPr>
                  </w:p>
                </w:txbxContent>
              </v:textbox>
              <w10:anchorlock/>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14:paraId="1D037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14:paraId="0CB87F97">
          <w:pPr>
            <w:pStyle w:val="70"/>
            <w:framePr w:wrap="auto" w:vAnchor="margin" w:hAnchor="text" w:xAlign="left" w:yAlign="inline"/>
          </w:pPr>
          <w:r>
            <w:fldChar w:fldCharType="begin"/>
          </w:r>
          <w:r>
            <w:instrText xml:space="preserve"> DATE  \@ "d MMM yyyy"  \* MERGEFORMAT </w:instrText>
          </w:r>
          <w:r>
            <w:fldChar w:fldCharType="separate"/>
          </w:r>
          <w:r>
            <w:t>30 Dec 2025</w:t>
          </w:r>
          <w:r>
            <w:fldChar w:fldCharType="end"/>
          </w:r>
          <w:r>
            <w:tab/>
          </w:r>
          <w:r>
            <w:fldChar w:fldCharType="begin"/>
          </w:r>
          <w:r>
            <w:instrText xml:space="preserve"> PAGE </w:instrText>
          </w:r>
          <w:r>
            <w:fldChar w:fldCharType="separate"/>
          </w:r>
          <w:r>
            <w:t>2</w:t>
          </w:r>
          <w:r>
            <w:fldChar w:fldCharType="end"/>
          </w:r>
        </w:p>
      </w:tc>
    </w:tr>
  </w:tbl>
  <w:p w14:paraId="28173449">
    <w:pPr>
      <w:pStyle w:val="1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14:paraId="6C8AD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14:paraId="09751A9E">
          <w:pPr>
            <w:pStyle w:val="70"/>
            <w:framePr w:wrap="auto" w:vAnchor="margin" w:hAnchor="text" w:xAlign="left" w:yAlign="inline"/>
            <w:rPr>
              <w:b/>
              <w:bCs w:val="0"/>
              <w:sz w:val="22"/>
              <w:szCs w:val="22"/>
            </w:rPr>
          </w:pPr>
          <w:r>
            <w:rPr>
              <w:b/>
              <w:bCs w:val="0"/>
              <w:sz w:val="22"/>
              <w:szCs w:val="22"/>
            </w:rPr>
            <w:fldChar w:fldCharType="begin"/>
          </w:r>
          <w:r>
            <w:rPr>
              <w:b/>
              <w:bCs w:val="0"/>
              <w:sz w:val="22"/>
              <w:szCs w:val="22"/>
            </w:rPr>
            <w:instrText xml:space="preserve"> DATE  \@ "d MMM yyyy"  \* MERGEFORMAT </w:instrText>
          </w:r>
          <w:r>
            <w:rPr>
              <w:b/>
              <w:bCs w:val="0"/>
              <w:sz w:val="22"/>
              <w:szCs w:val="22"/>
            </w:rPr>
            <w:fldChar w:fldCharType="separate"/>
          </w:r>
          <w:r>
            <w:rPr>
              <w:b/>
              <w:bCs w:val="0"/>
              <w:sz w:val="22"/>
              <w:szCs w:val="22"/>
            </w:rPr>
            <w:t>30 Dec 2025</w:t>
          </w:r>
          <w:r>
            <w:rPr>
              <w:b/>
              <w:bCs w:val="0"/>
              <w:sz w:val="22"/>
              <w:szCs w:val="22"/>
            </w:rPr>
            <w:fldChar w:fldCharType="end"/>
          </w:r>
          <w:r>
            <w:rPr>
              <w:b/>
              <w:bCs w:val="0"/>
              <w:sz w:val="22"/>
              <w:szCs w:val="22"/>
            </w:rPr>
            <w:tab/>
          </w:r>
          <w:r>
            <w:rPr>
              <w:b/>
              <w:bCs w:val="0"/>
              <w:sz w:val="22"/>
              <w:szCs w:val="22"/>
            </w:rPr>
            <w:fldChar w:fldCharType="begin"/>
          </w:r>
          <w:r>
            <w:rPr>
              <w:b/>
              <w:bCs w:val="0"/>
              <w:sz w:val="22"/>
              <w:szCs w:val="22"/>
            </w:rPr>
            <w:instrText xml:space="preserve"> PAGE </w:instrText>
          </w:r>
          <w:r>
            <w:rPr>
              <w:b/>
              <w:bCs w:val="0"/>
              <w:sz w:val="22"/>
              <w:szCs w:val="22"/>
            </w:rPr>
            <w:fldChar w:fldCharType="separate"/>
          </w:r>
          <w:r>
            <w:rPr>
              <w:b/>
              <w:bCs w:val="0"/>
              <w:sz w:val="22"/>
              <w:szCs w:val="22"/>
            </w:rPr>
            <w:t>2</w:t>
          </w:r>
          <w:r>
            <w:rPr>
              <w:b/>
              <w:bCs w:val="0"/>
              <w:sz w:val="22"/>
              <w:szCs w:val="22"/>
            </w:rPr>
            <w:fldChar w:fldCharType="end"/>
          </w:r>
        </w:p>
      </w:tc>
    </w:tr>
  </w:tbl>
  <w:p w14:paraId="247DF069">
    <w:pPr>
      <w:pStyle w:val="13"/>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14:paraId="03ED5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14:paraId="558FAD04">
          <w:pPr>
            <w:pStyle w:val="70"/>
            <w:framePr w:wrap="auto" w:vAnchor="margin" w:hAnchor="text" w:xAlign="left" w:yAlign="inline"/>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8BE3A5">
                                <w:pPr>
                                  <w:pStyle w:val="70"/>
                                </w:pPr>
                                <w:r>
                                  <w:fldChar w:fldCharType="begin"/>
                                </w:r>
                                <w:r>
                                  <w:instrText xml:space="preserve"> DATE  \@ "d MMM yyyy"  \* MERGEFORMAT </w:instrText>
                                </w:r>
                                <w:r>
                                  <w:fldChar w:fldCharType="separate"/>
                                </w:r>
                                <w:r>
                                  <w:t>30 Dec 2025</w:t>
                                </w:r>
                                <w:r>
                                  <w:fldChar w:fldCharType="end"/>
                                </w:r>
                                <w:r>
                                  <w:tab/>
                                </w:r>
                                <w:r>
                                  <w:fldChar w:fldCharType="begin"/>
                                </w:r>
                                <w:r>
                                  <w:instrText xml:space="preserve"> PAGE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NLTQMs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g0tNAywCAABXBAAADgAAAAAAAAABACAAAAAfAQAAZHJzL2Uyb0RvYy54bWxQSwUGAAAAAAYA&#10;BgBZAQAAvQUAAAAA&#10;">
                    <v:fill on="f" focussize="0,0"/>
                    <v:stroke on="f" weight="0.5pt"/>
                    <v:imagedata o:title=""/>
                    <o:lock v:ext="edit" aspectratio="f"/>
                    <v:textbox inset="0mm,0mm,0mm,0mm" style="mso-fit-shape-to-text:t;">
                      <w:txbxContent>
                        <w:p w14:paraId="548BE3A5">
                          <w:pPr>
                            <w:pStyle w:val="70"/>
                          </w:pPr>
                          <w:r>
                            <w:fldChar w:fldCharType="begin"/>
                          </w:r>
                          <w:r>
                            <w:instrText xml:space="preserve"> DATE  \@ "d MMM yyyy"  \* MERGEFORMAT </w:instrText>
                          </w:r>
                          <w:r>
                            <w:fldChar w:fldCharType="separate"/>
                          </w:r>
                          <w:r>
                            <w:t>30 Dec 2025</w:t>
                          </w:r>
                          <w:r>
                            <w:fldChar w:fldCharType="end"/>
                          </w:r>
                          <w:r>
                            <w:tab/>
                          </w:r>
                          <w:r>
                            <w:fldChar w:fldCharType="begin"/>
                          </w:r>
                          <w:r>
                            <w:instrText xml:space="preserve"> PAGE </w:instrText>
                          </w:r>
                          <w:r>
                            <w:fldChar w:fldCharType="separate"/>
                          </w:r>
                          <w:r>
                            <w:t>2</w:t>
                          </w:r>
                          <w:r>
                            <w:fldChar w:fldCharType="end"/>
                          </w:r>
                        </w:p>
                      </w:txbxContent>
                    </v:textbox>
                  </v:shape>
                </w:pict>
              </mc:Fallback>
            </mc:AlternateContent>
          </w:r>
        </w:p>
      </w:tc>
    </w:tr>
  </w:tbl>
  <w:p w14:paraId="4374B552">
    <w:pPr>
      <w:pStyle w:val="67"/>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14:paraId="64C52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14:paraId="5A03A2ED">
          <w:pPr>
            <w:pStyle w:val="70"/>
            <w:framePr w:wrap="auto" w:vAnchor="margin" w:hAnchor="text" w:xAlign="left" w:yAlign="inline"/>
            <w:rPr>
              <w:rFonts w:eastAsia="宋体"/>
              <w:b/>
              <w:bCs w:val="0"/>
              <w:sz w:val="22"/>
              <w:szCs w:val="22"/>
              <w:lang w:eastAsia="zh-CN"/>
            </w:rPr>
          </w:pPr>
          <w:r>
            <w:rPr>
              <w:b/>
              <w:bCs w:val="0"/>
              <w:sz w:val="22"/>
              <w:szCs w:val="22"/>
            </w:rPr>
            <w:fldChar w:fldCharType="begin"/>
          </w:r>
          <w:r>
            <w:rPr>
              <w:b/>
              <w:bCs w:val="0"/>
              <w:sz w:val="22"/>
              <w:szCs w:val="22"/>
            </w:rPr>
            <w:instrText xml:space="preserve"> DATE  \@ "d MMM yyyy"  \* MERGEFORMAT </w:instrText>
          </w:r>
          <w:r>
            <w:rPr>
              <w:b/>
              <w:bCs w:val="0"/>
              <w:sz w:val="22"/>
              <w:szCs w:val="22"/>
            </w:rPr>
            <w:fldChar w:fldCharType="separate"/>
          </w:r>
          <w:r>
            <w:rPr>
              <w:b/>
              <w:bCs w:val="0"/>
              <w:sz w:val="22"/>
              <w:szCs w:val="22"/>
            </w:rPr>
            <w:t>30 Dec 2025</w:t>
          </w:r>
          <w:r>
            <w:rPr>
              <w:b/>
              <w:bCs w:val="0"/>
              <w:sz w:val="22"/>
              <w:szCs w:val="22"/>
            </w:rPr>
            <w:fldChar w:fldCharType="end"/>
          </w:r>
          <w:r>
            <w:rPr>
              <w:b/>
              <w:bCs w:val="0"/>
              <w:sz w:val="22"/>
              <w:szCs w:val="22"/>
            </w:rPr>
            <w:tab/>
          </w:r>
          <w:r>
            <w:rPr>
              <w:rFonts w:hint="eastAsia" w:eastAsia="宋体"/>
              <w:b/>
              <w:bCs w:val="0"/>
              <w:sz w:val="22"/>
              <w:szCs w:val="22"/>
              <w:lang w:eastAsia="zh-CN"/>
            </w:rPr>
            <w:t>3</w:t>
          </w:r>
        </w:p>
        <w:p w14:paraId="588E43A0">
          <w:pPr>
            <w:pStyle w:val="70"/>
            <w:framePr w:wrap="auto" w:vAnchor="margin" w:hAnchor="text" w:xAlign="left" w:yAlign="inline"/>
            <w:rPr>
              <w:rFonts w:eastAsia="宋体"/>
              <w:b/>
              <w:bCs w:val="0"/>
              <w:sz w:val="22"/>
              <w:szCs w:val="22"/>
              <w:lang w:eastAsia="zh-CN"/>
            </w:rPr>
          </w:pPr>
        </w:p>
      </w:tc>
    </w:tr>
  </w:tbl>
  <w:p w14:paraId="7BC32F40">
    <w:pPr>
      <w:pStyle w:val="13"/>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14:paraId="5D8AC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14" w:hRule="atLeast"/>
      </w:trPr>
      <w:tc>
        <w:tcPr>
          <w:tcW w:w="10723" w:type="dxa"/>
          <w:tcBorders>
            <w:top w:val="nil"/>
            <w:left w:val="nil"/>
            <w:bottom w:val="nil"/>
            <w:right w:val="nil"/>
          </w:tcBorders>
          <w:vAlign w:val="center"/>
        </w:tcPr>
        <w:p w14:paraId="24F4C733">
          <w:pPr>
            <w:pStyle w:val="70"/>
            <w:framePr w:wrap="auto" w:vAnchor="margin" w:hAnchor="text" w:xAlign="left" w:yAlign="inline"/>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D8318C">
                                <w:pPr>
                                  <w:pStyle w:val="70"/>
                                </w:pPr>
                                <w:r>
                                  <w:fldChar w:fldCharType="begin"/>
                                </w:r>
                                <w:r>
                                  <w:instrText xml:space="preserve"> DATE  \@ "d MMM yyyy"  \* MERGEFORMAT </w:instrText>
                                </w:r>
                                <w:r>
                                  <w:fldChar w:fldCharType="separate"/>
                                </w:r>
                                <w:r>
                                  <w:t>30 Dec 2025</w:t>
                                </w:r>
                                <w:r>
                                  <w:fldChar w:fldCharType="end"/>
                                </w:r>
                                <w:r>
                                  <w:tab/>
                                </w:r>
                                <w:r>
                                  <w:fldChar w:fldCharType="begin"/>
                                </w:r>
                                <w:r>
                                  <w:instrText xml:space="preserve"> PAGE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1ED8318C">
                          <w:pPr>
                            <w:pStyle w:val="70"/>
                          </w:pPr>
                          <w:r>
                            <w:fldChar w:fldCharType="begin"/>
                          </w:r>
                          <w:r>
                            <w:instrText xml:space="preserve"> DATE  \@ "d MMM yyyy"  \* MERGEFORMAT </w:instrText>
                          </w:r>
                          <w:r>
                            <w:fldChar w:fldCharType="separate"/>
                          </w:r>
                          <w:r>
                            <w:t>30 Dec 2025</w:t>
                          </w:r>
                          <w:r>
                            <w:fldChar w:fldCharType="end"/>
                          </w:r>
                          <w:r>
                            <w:tab/>
                          </w:r>
                          <w:r>
                            <w:fldChar w:fldCharType="begin"/>
                          </w:r>
                          <w:r>
                            <w:instrText xml:space="preserve"> PAGE </w:instrText>
                          </w:r>
                          <w:r>
                            <w:fldChar w:fldCharType="separate"/>
                          </w:r>
                          <w:r>
                            <w:t>2</w:t>
                          </w:r>
                          <w:r>
                            <w:fldChar w:fldCharType="end"/>
                          </w:r>
                        </w:p>
                      </w:txbxContent>
                    </v:textbox>
                  </v:shape>
                </w:pict>
              </mc:Fallback>
            </mc:AlternateContent>
          </w:r>
        </w:p>
      </w:tc>
    </w:tr>
  </w:tbl>
  <w:p w14:paraId="2F7E96C8">
    <w:pPr>
      <w:pStyle w:val="67"/>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14:paraId="57DB4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14:paraId="79BA7AD2">
          <w:pPr>
            <w:pStyle w:val="70"/>
            <w:framePr w:wrap="auto" w:vAnchor="margin" w:hAnchor="text" w:xAlign="left" w:yAlign="inline"/>
            <w:rPr>
              <w:rFonts w:eastAsia="宋体"/>
              <w:b/>
              <w:bCs w:val="0"/>
              <w:sz w:val="22"/>
              <w:szCs w:val="22"/>
              <w:lang w:eastAsia="zh-CN"/>
            </w:rPr>
          </w:pPr>
          <w:r>
            <w:rPr>
              <w:b/>
              <w:bCs w:val="0"/>
              <w:sz w:val="22"/>
              <w:szCs w:val="22"/>
            </w:rPr>
            <w:fldChar w:fldCharType="begin"/>
          </w:r>
          <w:r>
            <w:rPr>
              <w:b/>
              <w:bCs w:val="0"/>
              <w:sz w:val="22"/>
              <w:szCs w:val="22"/>
            </w:rPr>
            <w:instrText xml:space="preserve"> DATE  \@ "d MMM yyyy"  \* MERGEFORMAT </w:instrText>
          </w:r>
          <w:r>
            <w:rPr>
              <w:b/>
              <w:bCs w:val="0"/>
              <w:sz w:val="22"/>
              <w:szCs w:val="22"/>
            </w:rPr>
            <w:fldChar w:fldCharType="separate"/>
          </w:r>
          <w:r>
            <w:rPr>
              <w:b/>
              <w:bCs w:val="0"/>
              <w:sz w:val="22"/>
              <w:szCs w:val="22"/>
            </w:rPr>
            <w:t>30 Dec 2025</w:t>
          </w:r>
          <w:r>
            <w:rPr>
              <w:b/>
              <w:bCs w:val="0"/>
              <w:sz w:val="22"/>
              <w:szCs w:val="22"/>
            </w:rPr>
            <w:fldChar w:fldCharType="end"/>
          </w:r>
          <w:r>
            <w:rPr>
              <w:b/>
              <w:bCs w:val="0"/>
              <w:sz w:val="22"/>
              <w:szCs w:val="22"/>
            </w:rPr>
            <w:tab/>
          </w:r>
          <w:r>
            <w:rPr>
              <w:rFonts w:hint="eastAsia" w:eastAsia="宋体"/>
              <w:b/>
              <w:bCs w:val="0"/>
              <w:sz w:val="22"/>
              <w:szCs w:val="22"/>
              <w:lang w:eastAsia="zh-CN"/>
            </w:rPr>
            <w:t>4</w:t>
          </w:r>
        </w:p>
        <w:p w14:paraId="0206BF08">
          <w:pPr>
            <w:pStyle w:val="70"/>
            <w:framePr w:wrap="auto" w:vAnchor="margin" w:hAnchor="text" w:xAlign="left" w:yAlign="inline"/>
            <w:rPr>
              <w:rFonts w:eastAsia="宋体"/>
              <w:b/>
              <w:bCs w:val="0"/>
              <w:sz w:val="22"/>
              <w:szCs w:val="22"/>
              <w:lang w:eastAsia="zh-CN"/>
            </w:rPr>
          </w:pPr>
        </w:p>
      </w:tc>
    </w:tr>
  </w:tbl>
  <w:p w14:paraId="129B0647">
    <w:pPr>
      <w:pStyle w:val="13"/>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pPr w:vertAnchor="page" w:horzAnchor="page" w:tblpX="364" w:tblpY="15476"/>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14:paraId="74630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14:paraId="7602B2CF">
          <w:pPr>
            <w:pStyle w:val="13"/>
            <w:tabs>
              <w:tab w:val="left" w:pos="5600"/>
              <w:tab w:val="clear" w:pos="4153"/>
              <w:tab w:val="clear" w:pos="8306"/>
            </w:tabs>
            <w:rPr>
              <w:b/>
              <w:bCs/>
              <w:sz w:val="22"/>
              <w:szCs w:val="22"/>
            </w:rPr>
          </w:pPr>
          <w:r>
            <w:rPr>
              <w:sz w:val="22"/>
            </w:rPr>
            <mc:AlternateContent>
              <mc:Choice Requires="wps">
                <w:drawing>
                  <wp:anchor distT="0" distB="0" distL="114300" distR="114300" simplePos="0" relativeHeight="251667456" behindDoc="0" locked="0" layoutInCell="1" allowOverlap="1">
                    <wp:simplePos x="0" y="0"/>
                    <wp:positionH relativeFrom="margin">
                      <wp:posOffset>-32385</wp:posOffset>
                    </wp:positionH>
                    <wp:positionV relativeFrom="paragraph">
                      <wp:posOffset>-6985</wp:posOffset>
                    </wp:positionV>
                    <wp:extent cx="4237990" cy="1828800"/>
                    <wp:effectExtent l="0" t="0" r="10160" b="13335"/>
                    <wp:wrapNone/>
                    <wp:docPr id="54" name="文本框 54"/>
                    <wp:cNvGraphicFramePr/>
                    <a:graphic xmlns:a="http://schemas.openxmlformats.org/drawingml/2006/main">
                      <a:graphicData uri="http://schemas.microsoft.com/office/word/2010/wordprocessingShape">
                        <wps:wsp>
                          <wps:cNvSpPr txBox="1"/>
                          <wps:spPr>
                            <a:xfrm>
                              <a:off x="0" y="0"/>
                              <a:ext cx="423799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CE81AA">
                                <w:pPr>
                                  <w:pStyle w:val="13"/>
                                  <w:tabs>
                                    <w:tab w:val="left" w:pos="5600"/>
                                    <w:tab w:val="clear" w:pos="4153"/>
                                    <w:tab w:val="clear" w:pos="8306"/>
                                  </w:tabs>
                                </w:pPr>
                                <w:r>
                                  <w:rPr>
                                    <w:b/>
                                    <w:bCs/>
                                    <w:sz w:val="22"/>
                                    <w:szCs w:val="22"/>
                                  </w:rPr>
                                  <w:fldChar w:fldCharType="begin"/>
                                </w:r>
                                <w:r>
                                  <w:rPr>
                                    <w:b/>
                                    <w:bCs/>
                                    <w:sz w:val="22"/>
                                    <w:szCs w:val="22"/>
                                  </w:rPr>
                                  <w:instrText xml:space="preserve"> DATE  \@ "d MMM yyyy"  \* MERGEFORMAT </w:instrText>
                                </w:r>
                                <w:r>
                                  <w:rPr>
                                    <w:b/>
                                    <w:bCs/>
                                    <w:sz w:val="22"/>
                                    <w:szCs w:val="22"/>
                                  </w:rPr>
                                  <w:fldChar w:fldCharType="separate"/>
                                </w:r>
                                <w:r>
                                  <w:rPr>
                                    <w:b/>
                                    <w:bCs/>
                                    <w:sz w:val="22"/>
                                    <w:szCs w:val="22"/>
                                  </w:rPr>
                                  <w:t>30 Dec 2025</w:t>
                                </w:r>
                                <w:r>
                                  <w:rPr>
                                    <w:b/>
                                    <w:bCs/>
                                    <w:sz w:val="22"/>
                                    <w:szCs w:val="22"/>
                                  </w:rPr>
                                  <w:fldChar w:fldCharType="end"/>
                                </w:r>
                                <w:r>
                                  <w:rPr>
                                    <w:b/>
                                    <w:bCs/>
                                    <w:sz w:val="22"/>
                                    <w:szCs w:val="22"/>
                                  </w:rPr>
                                  <w:tab/>
                                </w:r>
                                <w:r>
                                  <w:rPr>
                                    <w:b/>
                                    <w:bCs/>
                                    <w:sz w:val="22"/>
                                    <w:szCs w:val="22"/>
                                  </w:rPr>
                                  <w:fldChar w:fldCharType="begin"/>
                                </w:r>
                                <w:r>
                                  <w:rPr>
                                    <w:b/>
                                    <w:bCs/>
                                    <w:sz w:val="22"/>
                                    <w:szCs w:val="22"/>
                                  </w:rPr>
                                  <w:instrText xml:space="preserve"> PAGE </w:instrText>
                                </w:r>
                                <w:r>
                                  <w:rPr>
                                    <w:b/>
                                    <w:bCs/>
                                    <w:sz w:val="22"/>
                                    <w:szCs w:val="22"/>
                                  </w:rPr>
                                  <w:fldChar w:fldCharType="separate"/>
                                </w:r>
                                <w:r>
                                  <w:rPr>
                                    <w:b/>
                                    <w:bCs/>
                                    <w:sz w:val="22"/>
                                    <w:szCs w:val="22"/>
                                  </w:rPr>
                                  <w:t>2</w:t>
                                </w:r>
                                <w:r>
                                  <w:rPr>
                                    <w:b/>
                                    <w:bCs/>
                                    <w:sz w:val="22"/>
                                    <w:szCs w:val="22"/>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55pt;margin-top:-0.55pt;height:144pt;width:333.7pt;mso-position-horizontal-relative:margin;z-index:251667456;mso-width-relative:page;mso-height-relative:page;" filled="f" stroked="f" coordsize="21600,21600" o:gfxdata="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zqIjNgAAAAJAQAADwAAAAAAAAABACAAAAAiAAAAZHJzL2Rvd25yZXYu&#10;eG1sUEsBAhQAFAAAAAgAh07iQAP/GEc0AgAAWQQAAA4AAAAAAAAAAQAgAAAAJwEAAGRycy9lMm9E&#10;b2MueG1sUEsFBgAAAAAGAAYAWQEAAM0FAAAAAA==&#10;">
                    <v:fill on="f" focussize="0,0"/>
                    <v:stroke on="f" weight="0.5pt"/>
                    <v:imagedata o:title=""/>
                    <o:lock v:ext="edit" aspectratio="f"/>
                    <v:textbox inset="0mm,0mm,0mm,0mm" style="mso-fit-shape-to-text:t;">
                      <w:txbxContent>
                        <w:p w14:paraId="0ACE81AA">
                          <w:pPr>
                            <w:pStyle w:val="13"/>
                            <w:tabs>
                              <w:tab w:val="left" w:pos="5600"/>
                              <w:tab w:val="clear" w:pos="4153"/>
                              <w:tab w:val="clear" w:pos="8306"/>
                            </w:tabs>
                          </w:pPr>
                          <w:r>
                            <w:rPr>
                              <w:b/>
                              <w:bCs/>
                              <w:sz w:val="22"/>
                              <w:szCs w:val="22"/>
                            </w:rPr>
                            <w:fldChar w:fldCharType="begin"/>
                          </w:r>
                          <w:r>
                            <w:rPr>
                              <w:b/>
                              <w:bCs/>
                              <w:sz w:val="22"/>
                              <w:szCs w:val="22"/>
                            </w:rPr>
                            <w:instrText xml:space="preserve"> DATE  \@ "d MMM yyyy"  \* MERGEFORMAT </w:instrText>
                          </w:r>
                          <w:r>
                            <w:rPr>
                              <w:b/>
                              <w:bCs/>
                              <w:sz w:val="22"/>
                              <w:szCs w:val="22"/>
                            </w:rPr>
                            <w:fldChar w:fldCharType="separate"/>
                          </w:r>
                          <w:r>
                            <w:rPr>
                              <w:b/>
                              <w:bCs/>
                              <w:sz w:val="22"/>
                              <w:szCs w:val="22"/>
                            </w:rPr>
                            <w:t>30 Dec 2025</w:t>
                          </w:r>
                          <w:r>
                            <w:rPr>
                              <w:b/>
                              <w:bCs/>
                              <w:sz w:val="22"/>
                              <w:szCs w:val="22"/>
                            </w:rPr>
                            <w:fldChar w:fldCharType="end"/>
                          </w:r>
                          <w:r>
                            <w:rPr>
                              <w:b/>
                              <w:bCs/>
                              <w:sz w:val="22"/>
                              <w:szCs w:val="22"/>
                            </w:rPr>
                            <w:tab/>
                          </w:r>
                          <w:r>
                            <w:rPr>
                              <w:b/>
                              <w:bCs/>
                              <w:sz w:val="22"/>
                              <w:szCs w:val="22"/>
                            </w:rPr>
                            <w:fldChar w:fldCharType="begin"/>
                          </w:r>
                          <w:r>
                            <w:rPr>
                              <w:b/>
                              <w:bCs/>
                              <w:sz w:val="22"/>
                              <w:szCs w:val="22"/>
                            </w:rPr>
                            <w:instrText xml:space="preserve"> PAGE </w:instrText>
                          </w:r>
                          <w:r>
                            <w:rPr>
                              <w:b/>
                              <w:bCs/>
                              <w:sz w:val="22"/>
                              <w:szCs w:val="22"/>
                            </w:rPr>
                            <w:fldChar w:fldCharType="separate"/>
                          </w:r>
                          <w:r>
                            <w:rPr>
                              <w:b/>
                              <w:bCs/>
                              <w:sz w:val="22"/>
                              <w:szCs w:val="22"/>
                            </w:rPr>
                            <w:t>2</w:t>
                          </w:r>
                          <w:r>
                            <w:rPr>
                              <w:b/>
                              <w:bCs/>
                              <w:sz w:val="22"/>
                              <w:szCs w:val="22"/>
                            </w:rPr>
                            <w:fldChar w:fldCharType="end"/>
                          </w:r>
                        </w:p>
                      </w:txbxContent>
                    </v:textbox>
                  </v:shape>
                </w:pict>
              </mc:Fallback>
            </mc:AlternateContent>
          </w:r>
        </w:p>
        <w:p w14:paraId="6092A223">
          <w:pPr>
            <w:pStyle w:val="13"/>
            <w:tabs>
              <w:tab w:val="left" w:pos="5600"/>
              <w:tab w:val="clear" w:pos="4153"/>
              <w:tab w:val="clear" w:pos="8306"/>
            </w:tabs>
            <w:rPr>
              <w:b/>
              <w:bCs/>
              <w:sz w:val="22"/>
              <w:szCs w:val="22"/>
            </w:rPr>
          </w:pPr>
        </w:p>
      </w:tc>
    </w:tr>
  </w:tbl>
  <w:p w14:paraId="16AED8D7">
    <w:pPr>
      <w:pStyle w:val="13"/>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14:paraId="7B392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14:paraId="36716AA0">
          <w:pPr>
            <w:pStyle w:val="70"/>
            <w:framePr w:wrap="auto" w:vAnchor="margin" w:hAnchor="text" w:xAlign="left" w:yAlign="inline"/>
            <w:rPr>
              <w:rFonts w:eastAsia="宋体"/>
              <w:b/>
              <w:bCs w:val="0"/>
              <w:sz w:val="22"/>
              <w:szCs w:val="22"/>
              <w:lang w:eastAsia="zh-CN"/>
            </w:rPr>
          </w:pPr>
          <w:r>
            <w:rPr>
              <w:b/>
              <w:bCs w:val="0"/>
              <w:sz w:val="22"/>
              <w:szCs w:val="22"/>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D31B61">
                                <w:pPr>
                                  <w:pStyle w:val="13"/>
                                  <w:rPr>
                                    <w:b/>
                                    <w:bCs/>
                                    <w:sz w:val="22"/>
                                    <w:szCs w:val="22"/>
                                  </w:rPr>
                                </w:pPr>
                                <w:r>
                                  <w:rPr>
                                    <w:b/>
                                    <w:bCs/>
                                    <w:sz w:val="22"/>
                                    <w:szCs w:val="22"/>
                                  </w:rPr>
                                  <w:fldChar w:fldCharType="begin"/>
                                </w:r>
                                <w:r>
                                  <w:rPr>
                                    <w:b/>
                                    <w:bCs/>
                                    <w:sz w:val="22"/>
                                    <w:szCs w:val="22"/>
                                  </w:rPr>
                                  <w:instrText xml:space="preserve"> PAGE  \* MERGEFORMAT </w:instrText>
                                </w:r>
                                <w:r>
                                  <w:rPr>
                                    <w:b/>
                                    <w:bCs/>
                                    <w:sz w:val="22"/>
                                    <w:szCs w:val="22"/>
                                  </w:rPr>
                                  <w:fldChar w:fldCharType="separate"/>
                                </w:r>
                                <w:r>
                                  <w:rPr>
                                    <w:b/>
                                    <w:bCs/>
                                    <w:sz w:val="22"/>
                                    <w:szCs w:val="22"/>
                                  </w:rPr>
                                  <w:t>1</w:t>
                                </w:r>
                                <w:r>
                                  <w:rPr>
                                    <w:b/>
                                    <w:bCs/>
                                    <w:sz w:val="22"/>
                                    <w:szCs w:val="22"/>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H3jSMsAgAAVw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4feNIywCAABXBAAADgAAAAAAAAABACAAAAAfAQAAZHJzL2Uyb0RvYy54bWxQSwUGAAAAAAYA&#10;BgBZAQAAvQUAAAAA&#10;">
                    <v:fill on="f" focussize="0,0"/>
                    <v:stroke on="f" weight="0.5pt"/>
                    <v:imagedata o:title=""/>
                    <o:lock v:ext="edit" aspectratio="f"/>
                    <v:textbox inset="0mm,0mm,0mm,0mm" style="mso-fit-shape-to-text:t;">
                      <w:txbxContent>
                        <w:p w14:paraId="59D31B61">
                          <w:pPr>
                            <w:pStyle w:val="13"/>
                            <w:rPr>
                              <w:b/>
                              <w:bCs/>
                              <w:sz w:val="22"/>
                              <w:szCs w:val="22"/>
                            </w:rPr>
                          </w:pPr>
                          <w:r>
                            <w:rPr>
                              <w:b/>
                              <w:bCs/>
                              <w:sz w:val="22"/>
                              <w:szCs w:val="22"/>
                            </w:rPr>
                            <w:fldChar w:fldCharType="begin"/>
                          </w:r>
                          <w:r>
                            <w:rPr>
                              <w:b/>
                              <w:bCs/>
                              <w:sz w:val="22"/>
                              <w:szCs w:val="22"/>
                            </w:rPr>
                            <w:instrText xml:space="preserve"> PAGE  \* MERGEFORMAT </w:instrText>
                          </w:r>
                          <w:r>
                            <w:rPr>
                              <w:b/>
                              <w:bCs/>
                              <w:sz w:val="22"/>
                              <w:szCs w:val="22"/>
                            </w:rPr>
                            <w:fldChar w:fldCharType="separate"/>
                          </w:r>
                          <w:r>
                            <w:rPr>
                              <w:b/>
                              <w:bCs/>
                              <w:sz w:val="22"/>
                              <w:szCs w:val="22"/>
                            </w:rPr>
                            <w:t>1</w:t>
                          </w:r>
                          <w:r>
                            <w:rPr>
                              <w:b/>
                              <w:bCs/>
                              <w:sz w:val="22"/>
                              <w:szCs w:val="22"/>
                            </w:rPr>
                            <w:fldChar w:fldCharType="end"/>
                          </w:r>
                        </w:p>
                      </w:txbxContent>
                    </v:textbox>
                  </v:shape>
                </w:pict>
              </mc:Fallback>
            </mc:AlternateContent>
          </w:r>
          <w:r>
            <w:rPr>
              <w:b/>
              <w:bCs w:val="0"/>
              <w:sz w:val="22"/>
              <w:szCs w:val="22"/>
            </w:rPr>
            <w:fldChar w:fldCharType="begin"/>
          </w:r>
          <w:r>
            <w:rPr>
              <w:b/>
              <w:bCs w:val="0"/>
              <w:sz w:val="22"/>
              <w:szCs w:val="22"/>
            </w:rPr>
            <w:instrText xml:space="preserve"> DATE  \@ "d MMM yyyy"  \* MERGEFORMAT </w:instrText>
          </w:r>
          <w:r>
            <w:rPr>
              <w:b/>
              <w:bCs w:val="0"/>
              <w:sz w:val="22"/>
              <w:szCs w:val="22"/>
            </w:rPr>
            <w:fldChar w:fldCharType="separate"/>
          </w:r>
          <w:r>
            <w:rPr>
              <w:b/>
              <w:bCs w:val="0"/>
              <w:sz w:val="22"/>
              <w:szCs w:val="22"/>
            </w:rPr>
            <w:t>30 Dec 2025</w:t>
          </w:r>
          <w:r>
            <w:rPr>
              <w:b/>
              <w:bCs w:val="0"/>
              <w:sz w:val="22"/>
              <w:szCs w:val="22"/>
            </w:rPr>
            <w:fldChar w:fldCharType="end"/>
          </w:r>
          <w:r>
            <w:rPr>
              <w:b/>
              <w:bCs w:val="0"/>
              <w:sz w:val="22"/>
              <w:szCs w:val="22"/>
            </w:rPr>
            <w:tab/>
          </w:r>
        </w:p>
        <w:p w14:paraId="38143B71">
          <w:pPr>
            <w:pStyle w:val="70"/>
            <w:framePr w:wrap="auto" w:vAnchor="margin" w:hAnchor="text" w:xAlign="left" w:yAlign="inline"/>
            <w:rPr>
              <w:rFonts w:eastAsia="宋体"/>
              <w:b/>
              <w:bCs w:val="0"/>
              <w:sz w:val="22"/>
              <w:szCs w:val="22"/>
              <w:lang w:eastAsia="zh-CN"/>
            </w:rPr>
          </w:pPr>
        </w:p>
      </w:tc>
    </w:tr>
  </w:tbl>
  <w:p w14:paraId="5A2DF983">
    <w:pPr>
      <w:pStyle w:val="13"/>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14:paraId="7995B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14" w:hRule="atLeast"/>
      </w:trPr>
      <w:tc>
        <w:tcPr>
          <w:tcW w:w="10723" w:type="dxa"/>
          <w:tcBorders>
            <w:top w:val="nil"/>
            <w:left w:val="nil"/>
            <w:bottom w:val="nil"/>
            <w:right w:val="nil"/>
          </w:tcBorders>
          <w:vAlign w:val="center"/>
        </w:tcPr>
        <w:p w14:paraId="4F7DED99">
          <w:pPr>
            <w:pStyle w:val="70"/>
            <w:framePr w:wrap="auto" w:vAnchor="margin" w:hAnchor="text" w:xAlign="left" w:yAlign="inline"/>
            <w:rPr>
              <w:rFonts w:eastAsia="宋体"/>
              <w:lang w:eastAsia="zh-CN"/>
            </w:rPr>
          </w:pPr>
          <w: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4F8B72">
                                <w:pPr>
                                  <w:pStyle w:val="13"/>
                                  <w:rPr>
                                    <w:b/>
                                    <w:bCs/>
                                    <w:sz w:val="22"/>
                                    <w:szCs w:val="22"/>
                                  </w:rPr>
                                </w:pPr>
                                <w:r>
                                  <w:rPr>
                                    <w:b/>
                                    <w:bCs/>
                                    <w:sz w:val="22"/>
                                    <w:szCs w:val="22"/>
                                  </w:rPr>
                                  <w:fldChar w:fldCharType="begin"/>
                                </w:r>
                                <w:r>
                                  <w:rPr>
                                    <w:b/>
                                    <w:bCs/>
                                    <w:sz w:val="22"/>
                                    <w:szCs w:val="22"/>
                                  </w:rPr>
                                  <w:instrText xml:space="preserve"> PAGE  \* MERGEFORMAT </w:instrText>
                                </w:r>
                                <w:r>
                                  <w:rPr>
                                    <w:b/>
                                    <w:bCs/>
                                    <w:sz w:val="22"/>
                                    <w:szCs w:val="22"/>
                                  </w:rPr>
                                  <w:fldChar w:fldCharType="separate"/>
                                </w:r>
                                <w:r>
                                  <w:rPr>
                                    <w:b/>
                                    <w:bCs/>
                                    <w:sz w:val="22"/>
                                    <w:szCs w:val="22"/>
                                  </w:rPr>
                                  <w:t>1</w:t>
                                </w:r>
                                <w:r>
                                  <w:rPr>
                                    <w:b/>
                                    <w:bCs/>
                                    <w:sz w:val="22"/>
                                    <w:szCs w:val="22"/>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J7cdktAgAAVw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dUaKZQsVP37+d&#10;fvw6/fxKcAaBWutniHuwiAzdW9OhbYZzj8PIu6ucil8wIvBD3uNFXtEFwuOl6WQ6zeHi8A0b4GeP&#10;163z4Z0wikSjoA71S7Kyw8aHPnQIidm0WTdSphpKTdqCXr9+k6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GJ7cdktAgAAVwQAAA4AAAAAAAAAAQAgAAAAHwEAAGRycy9lMm9Eb2MueG1sUEsFBgAAAAAG&#10;AAYAWQEAAL4FAAAAAA==&#10;">
                    <v:fill on="f" focussize="0,0"/>
                    <v:stroke on="f" weight="0.5pt"/>
                    <v:imagedata o:title=""/>
                    <o:lock v:ext="edit" aspectratio="f"/>
                    <v:textbox inset="0mm,0mm,0mm,0mm" style="mso-fit-shape-to-text:t;">
                      <w:txbxContent>
                        <w:p w14:paraId="564F8B72">
                          <w:pPr>
                            <w:pStyle w:val="13"/>
                            <w:rPr>
                              <w:b/>
                              <w:bCs/>
                              <w:sz w:val="22"/>
                              <w:szCs w:val="22"/>
                            </w:rPr>
                          </w:pPr>
                          <w:r>
                            <w:rPr>
                              <w:b/>
                              <w:bCs/>
                              <w:sz w:val="22"/>
                              <w:szCs w:val="22"/>
                            </w:rPr>
                            <w:fldChar w:fldCharType="begin"/>
                          </w:r>
                          <w:r>
                            <w:rPr>
                              <w:b/>
                              <w:bCs/>
                              <w:sz w:val="22"/>
                              <w:szCs w:val="22"/>
                            </w:rPr>
                            <w:instrText xml:space="preserve"> PAGE  \* MERGEFORMAT </w:instrText>
                          </w:r>
                          <w:r>
                            <w:rPr>
                              <w:b/>
                              <w:bCs/>
                              <w:sz w:val="22"/>
                              <w:szCs w:val="22"/>
                            </w:rPr>
                            <w:fldChar w:fldCharType="separate"/>
                          </w:r>
                          <w:r>
                            <w:rPr>
                              <w:b/>
                              <w:bCs/>
                              <w:sz w:val="22"/>
                              <w:szCs w:val="22"/>
                            </w:rPr>
                            <w:t>1</w:t>
                          </w:r>
                          <w:r>
                            <w:rPr>
                              <w:b/>
                              <w:bCs/>
                              <w:sz w:val="22"/>
                              <w:szCs w:val="22"/>
                            </w:rPr>
                            <w:fldChar w:fldCharType="end"/>
                          </w:r>
                        </w:p>
                      </w:txbxContent>
                    </v:textbox>
                  </v:shape>
                </w:pict>
              </mc:Fallback>
            </mc:AlternateContent>
          </w:r>
          <w:r>
            <w:fldChar w:fldCharType="begin"/>
          </w:r>
          <w:r>
            <w:instrText xml:space="preserve"> DATE  \@ "d MMM yyyy"  \* MERGEFORMAT </w:instrText>
          </w:r>
          <w:r>
            <w:fldChar w:fldCharType="separate"/>
          </w:r>
          <w:r>
            <w:t>30 Dec 2025</w:t>
          </w:r>
          <w:r>
            <w:fldChar w:fldCharType="end"/>
          </w:r>
          <w:r>
            <w:tab/>
          </w:r>
        </w:p>
        <w:p w14:paraId="2D10D3AF">
          <w:pPr>
            <w:pStyle w:val="70"/>
            <w:framePr w:wrap="auto" w:vAnchor="margin" w:hAnchor="text" w:xAlign="left" w:yAlign="inline"/>
            <w:rPr>
              <w:rFonts w:eastAsia="宋体"/>
              <w:lang w:eastAsia="zh-CN"/>
            </w:rPr>
          </w:pPr>
        </w:p>
      </w:tc>
    </w:tr>
  </w:tbl>
  <w:p w14:paraId="7F962C41">
    <w:pPr>
      <w:pStyle w:val="13"/>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1"/>
      <w:tblW w:w="15843"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4570"/>
      <w:gridCol w:w="10280"/>
      <w:gridCol w:w="993"/>
    </w:tblGrid>
    <w:tr w14:paraId="2FF47C87">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84" w:hRule="atLeast"/>
      </w:trPr>
      <w:tc>
        <w:tcPr>
          <w:tcW w:w="4570" w:type="dxa"/>
        </w:tcPr>
        <w:p w14:paraId="0FC40D0A">
          <w:pPr>
            <w:pStyle w:val="67"/>
            <w:rPr>
              <w:rFonts w:cs="等线"/>
            </w:rPr>
          </w:pPr>
          <w:r>
            <w:rPr>
              <w:rFonts w:cs="等线"/>
              <w:b/>
              <w:sz w:val="22"/>
              <w:szCs w:val="22"/>
            </w:rPr>
            <w:fldChar w:fldCharType="begin"/>
          </w:r>
          <w:r>
            <w:rPr>
              <w:rFonts w:cs="等线"/>
              <w:b/>
              <w:sz w:val="22"/>
              <w:szCs w:val="22"/>
            </w:rPr>
            <w:instrText xml:space="preserve"> DATE  \@ "d MMM yyyy"  \* MERGEFORMAT </w:instrText>
          </w:r>
          <w:r>
            <w:rPr>
              <w:rFonts w:cs="等线"/>
              <w:b/>
              <w:sz w:val="22"/>
              <w:szCs w:val="22"/>
            </w:rPr>
            <w:fldChar w:fldCharType="separate"/>
          </w:r>
          <w:r>
            <w:rPr>
              <w:rFonts w:cs="等线"/>
              <w:b/>
              <w:sz w:val="22"/>
              <w:szCs w:val="22"/>
            </w:rPr>
            <w:t>30 Dec 2025</w:t>
          </w:r>
          <w:r>
            <w:rPr>
              <w:rFonts w:cs="等线"/>
              <w:b/>
              <w:sz w:val="22"/>
              <w:szCs w:val="22"/>
            </w:rPr>
            <w:fldChar w:fldCharType="end"/>
          </w:r>
        </w:p>
      </w:tc>
      <w:tc>
        <w:tcPr>
          <w:tcW w:w="10280" w:type="dxa"/>
        </w:tcPr>
        <w:p w14:paraId="6F3503A2">
          <w:pPr>
            <w:pStyle w:val="67"/>
            <w:rPr>
              <w:rFonts w:cs="等线"/>
            </w:rPr>
          </w:pPr>
          <w:r>
            <w:rPr>
              <w:rFonts w:cs="等线"/>
            </w:rPr>
            <mc:AlternateContent>
              <mc:Choice Requires="wps">
                <w:drawing>
                  <wp:anchor distT="0" distB="0" distL="114300" distR="114300" simplePos="0" relativeHeight="251663360" behindDoc="0" locked="0" layoutInCell="1" allowOverlap="1">
                    <wp:simplePos x="0" y="0"/>
                    <wp:positionH relativeFrom="margin">
                      <wp:align>left</wp:align>
                    </wp:positionH>
                    <wp:positionV relativeFrom="paragraph">
                      <wp:posOffset>0</wp:posOffset>
                    </wp:positionV>
                    <wp:extent cx="1828800" cy="1828800"/>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1F550D">
                                <w:pPr>
                                  <w:pStyle w:val="67"/>
                                  <w:rPr>
                                    <w:rFonts w:eastAsia="宋体"/>
                                    <w:lang w:eastAsia="zh-CN"/>
                                  </w:rPr>
                                </w:pPr>
                                <w:r>
                                  <w:rPr>
                                    <w:rFonts w:hint="eastAsia" w:eastAsia="宋体" w:cs="等线"/>
                                    <w:b/>
                                    <w:sz w:val="22"/>
                                    <w:szCs w:val="22"/>
                                    <w:lang w:eastAsia="zh-CN"/>
                                  </w:rPr>
                                  <w:t>19</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KwYeQywCAABXBAAADgAAAAAAAAABACAAAAAfAQAAZHJzL2Uyb0RvYy54bWxQSwUGAAAAAAYA&#10;BgBZAQAAvQUAAAAA&#10;">
                    <v:fill on="f" focussize="0,0"/>
                    <v:stroke on="f" weight="0.5pt"/>
                    <v:imagedata o:title=""/>
                    <o:lock v:ext="edit" aspectratio="f"/>
                    <v:textbox inset="0mm,0mm,0mm,0mm" style="mso-fit-shape-to-text:t;">
                      <w:txbxContent>
                        <w:p w14:paraId="051F550D">
                          <w:pPr>
                            <w:pStyle w:val="67"/>
                            <w:rPr>
                              <w:rFonts w:eastAsia="宋体"/>
                              <w:lang w:eastAsia="zh-CN"/>
                            </w:rPr>
                          </w:pPr>
                          <w:r>
                            <w:rPr>
                              <w:rFonts w:hint="eastAsia" w:eastAsia="宋体" w:cs="等线"/>
                              <w:b/>
                              <w:sz w:val="22"/>
                              <w:szCs w:val="22"/>
                              <w:lang w:eastAsia="zh-CN"/>
                            </w:rPr>
                            <w:t>19</w:t>
                          </w:r>
                        </w:p>
                      </w:txbxContent>
                    </v:textbox>
                  </v:shape>
                </w:pict>
              </mc:Fallback>
            </mc:AlternateContent>
          </w:r>
        </w:p>
      </w:tc>
      <w:tc>
        <w:tcPr>
          <w:tcW w:w="993" w:type="dxa"/>
        </w:tcPr>
        <w:p w14:paraId="5FD9573C">
          <w:pPr>
            <w:pStyle w:val="67"/>
            <w:jc w:val="right"/>
            <w:rPr>
              <w:rFonts w:cs="等线"/>
            </w:rPr>
          </w:pPr>
        </w:p>
      </w:tc>
    </w:tr>
  </w:tbl>
  <w:p w14:paraId="515A17D1">
    <w:pPr>
      <w:pStyle w:val="13"/>
      <w:rPr>
        <w:rFonts w:eastAsiaTheme="minorEastAsia"/>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D65032">
    <w:pPr>
      <w:pStyle w:val="14"/>
    </w:pPr>
  </w:p>
  <w:p w14:paraId="6ECF5857">
    <w:pPr>
      <w:pStyle w:val="14"/>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1"/>
      <w:tblW w:w="0" w:type="auto"/>
      <w:tblCaption w:val="[Table_header2]"/>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7815"/>
      <w:gridCol w:w="3047"/>
    </w:tblGrid>
    <w:tr w14:paraId="00610CF7">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7815" w:type="dxa"/>
          <w:tcBorders>
            <w:top w:val="nil"/>
            <w:bottom w:val="nil"/>
          </w:tcBorders>
          <w:vAlign w:val="center"/>
        </w:tcPr>
        <w:p w14:paraId="732BB955">
          <w:pPr>
            <w:pStyle w:val="67"/>
            <w:rPr>
              <w:rFonts w:eastAsia="楷体_GB2312" w:cs="等线"/>
              <w:color w:val="FF0000"/>
              <w:sz w:val="24"/>
              <w:lang w:eastAsia="zh-CN"/>
            </w:rPr>
          </w:pPr>
          <w:r>
            <w:rPr>
              <w:rFonts w:eastAsia="楷体_GB2312" w:cs="等线"/>
              <w:color w:val="FFFFFF" w:themeColor="background1"/>
              <w:sz w:val="24"/>
              <w:lang w:eastAsia="zh-CN"/>
              <w14:textFill>
                <w14:solidFill>
                  <w14:schemeClr w14:val="bg1"/>
                </w14:solidFill>
              </w14:textFill>
            </w:rPr>
            <w:t>[Table_header2]</w:t>
          </w:r>
        </w:p>
      </w:tc>
      <w:tc>
        <w:tcPr>
          <w:tcW w:w="3047" w:type="dxa"/>
          <w:tcBorders>
            <w:top w:val="nil"/>
            <w:bottom w:val="nil"/>
          </w:tcBorders>
          <w:vAlign w:val="center"/>
        </w:tcPr>
        <w:p w14:paraId="6F71EB69">
          <w:pPr>
            <w:pStyle w:val="67"/>
            <w:jc w:val="right"/>
            <w:rPr>
              <w:rStyle w:val="69"/>
              <w:rFonts w:eastAsia="楷体_GB2312" w:cs="等线"/>
              <w:color w:val="FF0000"/>
              <w:sz w:val="24"/>
              <w:lang w:eastAsia="zh-CN"/>
            </w:rPr>
          </w:pPr>
        </w:p>
      </w:tc>
    </w:tr>
    <w:tr w14:paraId="60D59DAF">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7815" w:type="dxa"/>
          <w:tcBorders>
            <w:top w:val="nil"/>
          </w:tcBorders>
          <w:vAlign w:val="center"/>
        </w:tcPr>
        <w:p w14:paraId="263B0FE9">
          <w:pPr>
            <w:pStyle w:val="67"/>
            <w:rPr>
              <w:rFonts w:eastAsia="楷体_GB2312" w:cs="Calibri"/>
              <w:b/>
              <w:bCs/>
              <w:color w:val="A7242B"/>
              <w:sz w:val="24"/>
              <w:szCs w:val="24"/>
              <w:lang w:eastAsia="zh-CN"/>
            </w:rPr>
          </w:pPr>
          <w:r>
            <w:rPr>
              <w:rFonts w:hint="eastAsia" w:eastAsia="楷体_GB2312" w:cs="Calibri"/>
              <w:b/>
              <w:bCs/>
              <w:color w:val="A7242B"/>
              <w:sz w:val="24"/>
              <w:szCs w:val="24"/>
              <w:lang w:eastAsia="zh-CN"/>
            </w:rPr>
            <w:t>公司名称 (Stock code)</w:t>
          </w:r>
        </w:p>
      </w:tc>
      <w:tc>
        <w:tcPr>
          <w:tcW w:w="3047" w:type="dxa"/>
          <w:tcBorders>
            <w:top w:val="nil"/>
          </w:tcBorders>
          <w:vAlign w:val="center"/>
        </w:tcPr>
        <w:p w14:paraId="42DE2F9E">
          <w:pPr>
            <w:pStyle w:val="67"/>
            <w:jc w:val="right"/>
            <w:rPr>
              <w:rStyle w:val="69"/>
              <w:rFonts w:eastAsia="楷体_GB2312" w:cs="Calibri"/>
              <w:color w:val="A7242B"/>
              <w:sz w:val="24"/>
              <w:lang w:eastAsia="zh-CN"/>
            </w:rPr>
          </w:pPr>
          <w:r>
            <w:rPr>
              <w:rStyle w:val="69"/>
              <w:rFonts w:hint="eastAsia" w:eastAsia="楷体_GB2312" w:cs="Calibri"/>
              <w:color w:val="A7242B"/>
              <w:sz w:val="24"/>
              <w:lang w:eastAsia="zh-CN"/>
            </w:rPr>
            <w:t>评级调整</w:t>
          </w:r>
        </w:p>
      </w:tc>
    </w:tr>
  </w:tbl>
  <w:p w14:paraId="7E0F21E1">
    <w:pPr>
      <w:pStyle w:val="1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1"/>
      <w:tblW w:w="10916" w:type="dxa"/>
      <w:tblCaption w:val="[Table_header1]"/>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14:paraId="3E7721E9">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14:paraId="7CD22975">
          <w:pPr>
            <w:pStyle w:val="67"/>
            <w:rPr>
              <w:rFonts w:eastAsia="楷体_GB2312" w:cs="等线"/>
              <w:sz w:val="24"/>
              <w:lang w:eastAsia="zh-CN"/>
            </w:rPr>
          </w:pPr>
          <w:r>
            <w:rPr>
              <w:rFonts w:eastAsia="楷体_GB2312" w:cs="等线"/>
              <w:color w:val="FFFFFF" w:themeColor="background1"/>
              <w:sz w:val="24"/>
              <w:lang w:eastAsia="zh-CN"/>
              <w14:textFill>
                <w14:solidFill>
                  <w14:schemeClr w14:val="bg1"/>
                </w14:solidFill>
              </w14:textFill>
            </w:rPr>
            <w:t>[Table_header1]</w:t>
          </w:r>
        </w:p>
      </w:tc>
      <w:tc>
        <w:tcPr>
          <w:tcW w:w="4678" w:type="dxa"/>
          <w:tcBorders>
            <w:top w:val="nil"/>
            <w:bottom w:val="nil"/>
          </w:tcBorders>
          <w:vAlign w:val="center"/>
        </w:tcPr>
        <w:p w14:paraId="258D72BA">
          <w:pPr>
            <w:pStyle w:val="67"/>
            <w:jc w:val="right"/>
            <w:rPr>
              <w:rStyle w:val="69"/>
              <w:rFonts w:eastAsia="楷体_GB2312" w:cs="等线"/>
              <w:sz w:val="24"/>
              <w:lang w:eastAsia="zh-CN"/>
            </w:rPr>
          </w:pPr>
        </w:p>
      </w:tc>
    </w:tr>
    <w:tr w14:paraId="7BBFB0AB">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14:paraId="7B5CC766">
          <w:pPr>
            <w:pStyle w:val="67"/>
            <w:rPr>
              <w:rFonts w:eastAsia="楷体_GB2312" w:cs="Calibri"/>
              <w:b/>
              <w:bCs/>
              <w:color w:val="A7242B"/>
              <w:sz w:val="24"/>
              <w:szCs w:val="24"/>
              <w:lang w:eastAsia="zh-CN"/>
            </w:rPr>
          </w:pPr>
          <w:r>
            <w:rPr>
              <w:rFonts w:hint="eastAsia" w:eastAsia="楷体_GB2312" w:cs="Calibri"/>
              <w:b/>
              <w:bCs/>
              <w:color w:val="A7242B"/>
              <w:sz w:val="24"/>
              <w:szCs w:val="24"/>
              <w:lang w:eastAsia="zh-CN"/>
            </w:rPr>
            <w:t>公司名称 (Stock code)</w:t>
          </w:r>
        </w:p>
      </w:tc>
      <w:tc>
        <w:tcPr>
          <w:tcW w:w="4678" w:type="dxa"/>
          <w:tcBorders>
            <w:top w:val="nil"/>
          </w:tcBorders>
          <w:vAlign w:val="center"/>
        </w:tcPr>
        <w:p w14:paraId="315A9981">
          <w:pPr>
            <w:pStyle w:val="67"/>
            <w:jc w:val="right"/>
            <w:rPr>
              <w:rStyle w:val="69"/>
              <w:rFonts w:eastAsia="楷体_GB2312" w:cs="Calibri"/>
              <w:color w:val="A7242B"/>
              <w:sz w:val="24"/>
              <w:lang w:eastAsia="zh-CN"/>
            </w:rPr>
          </w:pPr>
          <w:r>
            <w:rPr>
              <w:rStyle w:val="69"/>
              <w:rFonts w:hint="eastAsia" w:eastAsia="楷体_GB2312" w:cs="Calibri"/>
              <w:color w:val="A7242B"/>
              <w:sz w:val="24"/>
              <w:lang w:eastAsia="zh-CN"/>
            </w:rPr>
            <w:t>评级调整</w:t>
          </w:r>
        </w:p>
      </w:tc>
    </w:tr>
  </w:tbl>
  <w:p w14:paraId="03E982EA">
    <w:pPr>
      <w:pStyle w:val="14"/>
      <w:jc w:val="lef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1"/>
      <w:tblW w:w="10916" w:type="dxa"/>
      <w:tblCaption w:val="[Table_header1]"/>
      <w:tblDescription w:val="表格隐藏标识（勿删除）"/>
      <w:tblInd w:w="-3116"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14:paraId="269AE2D0">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14:paraId="628234B4">
          <w:pPr>
            <w:pStyle w:val="67"/>
            <w:rPr>
              <w:rFonts w:eastAsia="楷体_GB2312" w:cs="等线"/>
              <w:color w:val="23558C"/>
              <w:sz w:val="24"/>
              <w:lang w:eastAsia="zh-CN"/>
            </w:rPr>
          </w:pPr>
          <w:r>
            <w:rPr>
              <w:rFonts w:eastAsia="楷体_GB2312" w:cs="等线"/>
              <w:color w:val="23558C"/>
              <w:sz w:val="24"/>
              <w:lang w:eastAsia="zh-CN"/>
            </w:rPr>
            <w:t>[Table_header1]</w:t>
          </w:r>
        </w:p>
      </w:tc>
      <w:tc>
        <w:tcPr>
          <w:tcW w:w="4678" w:type="dxa"/>
          <w:tcBorders>
            <w:top w:val="nil"/>
            <w:bottom w:val="nil"/>
          </w:tcBorders>
          <w:vAlign w:val="center"/>
        </w:tcPr>
        <w:p w14:paraId="382CB7FB">
          <w:pPr>
            <w:pStyle w:val="67"/>
            <w:jc w:val="right"/>
            <w:rPr>
              <w:rStyle w:val="69"/>
              <w:rFonts w:eastAsia="楷体_GB2312" w:cs="等线"/>
              <w:color w:val="23558C"/>
              <w:sz w:val="24"/>
              <w:lang w:eastAsia="zh-CN"/>
            </w:rPr>
          </w:pPr>
        </w:p>
      </w:tc>
    </w:tr>
    <w:tr w14:paraId="49B70C8E">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14:paraId="1EFC1C1B">
          <w:pPr>
            <w:pStyle w:val="67"/>
            <w:rPr>
              <w:rFonts w:eastAsia="楷体_GB2312" w:cs="Calibri"/>
              <w:b/>
              <w:bCs/>
              <w:color w:val="23558C"/>
              <w:sz w:val="24"/>
              <w:szCs w:val="24"/>
              <w:lang w:eastAsia="zh-CN"/>
            </w:rPr>
          </w:pPr>
          <w:r>
            <w:rPr>
              <w:rFonts w:hint="eastAsia" w:eastAsia="楷体_GB2312" w:cs="Calibri"/>
              <w:b/>
              <w:bCs/>
              <w:color w:val="23558C"/>
              <w:sz w:val="24"/>
              <w:szCs w:val="24"/>
              <w:lang w:eastAsia="zh-CN"/>
            </w:rPr>
            <w:t>Bloom Energy (BE US)</w:t>
          </w:r>
        </w:p>
      </w:tc>
      <w:tc>
        <w:tcPr>
          <w:tcW w:w="4678" w:type="dxa"/>
          <w:tcBorders>
            <w:top w:val="nil"/>
          </w:tcBorders>
          <w:vAlign w:val="center"/>
        </w:tcPr>
        <w:p w14:paraId="48CF09C8">
          <w:pPr>
            <w:pStyle w:val="67"/>
            <w:jc w:val="right"/>
            <w:rPr>
              <w:rStyle w:val="69"/>
              <w:rFonts w:eastAsia="楷体_GB2312" w:cs="Calibri"/>
              <w:color w:val="23558C"/>
              <w:sz w:val="24"/>
              <w:lang w:eastAsia="zh-CN"/>
            </w:rPr>
          </w:pPr>
          <w:r>
            <w:rPr>
              <w:rStyle w:val="69"/>
              <w:rFonts w:hint="eastAsia" w:eastAsia="楷体_GB2312" w:cs="Calibri"/>
              <w:color w:val="23558C"/>
              <w:sz w:val="24"/>
              <w:lang w:eastAsia="zh-CN"/>
            </w:rPr>
            <w:t>INITIATION WITH OUTPERFORM</w:t>
          </w:r>
        </w:p>
      </w:tc>
    </w:tr>
  </w:tbl>
  <w:p w14:paraId="0E6987B2">
    <w:pPr>
      <w:pStyle w:val="14"/>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1"/>
      <w:tblW w:w="10916" w:type="dxa"/>
      <w:tblCaption w:val="[Table_header1]"/>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14:paraId="7E1DDCB3">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14:paraId="41432B7A">
          <w:pPr>
            <w:pStyle w:val="67"/>
            <w:rPr>
              <w:rFonts w:eastAsia="楷体_GB2312" w:cs="等线"/>
              <w:color w:val="23558C"/>
              <w:sz w:val="24"/>
              <w:lang w:eastAsia="zh-CN"/>
            </w:rPr>
          </w:pPr>
          <w:r>
            <w:rPr>
              <w:rFonts w:eastAsia="楷体_GB2312" w:cs="等线"/>
              <w:color w:val="23558C"/>
              <w:sz w:val="24"/>
              <w:lang w:eastAsia="zh-CN"/>
            </w:rPr>
            <w:t>[Table_header1]</w:t>
          </w:r>
        </w:p>
      </w:tc>
      <w:tc>
        <w:tcPr>
          <w:tcW w:w="4678" w:type="dxa"/>
          <w:tcBorders>
            <w:top w:val="nil"/>
            <w:bottom w:val="nil"/>
          </w:tcBorders>
          <w:vAlign w:val="center"/>
        </w:tcPr>
        <w:p w14:paraId="48E7C282">
          <w:pPr>
            <w:pStyle w:val="67"/>
            <w:jc w:val="right"/>
            <w:rPr>
              <w:rStyle w:val="69"/>
              <w:rFonts w:eastAsia="楷体_GB2312" w:cs="等线"/>
              <w:color w:val="23558C"/>
              <w:sz w:val="24"/>
              <w:lang w:eastAsia="zh-CN"/>
            </w:rPr>
          </w:pPr>
        </w:p>
      </w:tc>
    </w:tr>
    <w:tr w14:paraId="65CB93D5">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14:paraId="5AA8B94F">
          <w:pPr>
            <w:pStyle w:val="67"/>
            <w:rPr>
              <w:rFonts w:eastAsia="楷体_GB2312" w:cs="Calibri"/>
              <w:b/>
              <w:bCs/>
              <w:color w:val="23558C"/>
              <w:sz w:val="24"/>
              <w:szCs w:val="24"/>
              <w:lang w:eastAsia="zh-CN"/>
            </w:rPr>
          </w:pPr>
          <w:r>
            <w:rPr>
              <w:rFonts w:hint="eastAsia" w:eastAsia="楷体_GB2312" w:cs="Calibri"/>
              <w:b/>
              <w:bCs/>
              <w:color w:val="23558C"/>
              <w:sz w:val="24"/>
              <w:szCs w:val="24"/>
              <w:lang w:eastAsia="zh-CN"/>
            </w:rPr>
            <w:t>Bloom Energy (BE US)</w:t>
          </w:r>
        </w:p>
      </w:tc>
      <w:tc>
        <w:tcPr>
          <w:tcW w:w="4678" w:type="dxa"/>
          <w:tcBorders>
            <w:top w:val="nil"/>
          </w:tcBorders>
          <w:vAlign w:val="center"/>
        </w:tcPr>
        <w:p w14:paraId="15D9F653">
          <w:pPr>
            <w:pStyle w:val="67"/>
            <w:jc w:val="right"/>
            <w:rPr>
              <w:rStyle w:val="69"/>
              <w:rFonts w:eastAsia="楷体_GB2312" w:cs="Calibri"/>
              <w:color w:val="23558C"/>
              <w:sz w:val="24"/>
              <w:lang w:eastAsia="zh-CN"/>
            </w:rPr>
          </w:pPr>
          <w:r>
            <w:rPr>
              <w:rStyle w:val="69"/>
              <w:rFonts w:hint="eastAsia" w:eastAsia="楷体_GB2312" w:cs="Calibri"/>
              <w:color w:val="23558C"/>
              <w:sz w:val="24"/>
              <w:lang w:eastAsia="zh-CN"/>
            </w:rPr>
            <w:t>INITIATION WITH OUTPERFORM</w:t>
          </w:r>
        </w:p>
      </w:tc>
    </w:tr>
  </w:tbl>
  <w:p w14:paraId="4DF34FBC">
    <w:pPr>
      <w:pStyle w:val="14"/>
      <w:jc w:val="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1"/>
      <w:tblW w:w="10916" w:type="dxa"/>
      <w:tblCaption w:val="[Table_header1]"/>
      <w:tblDescription w:val="表格隐藏标识（勿删除）"/>
      <w:tblInd w:w="-3116"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14:paraId="5DA7FC74">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PrEx>
      <w:trPr>
        <w:trHeight w:val="23" w:hRule="exact"/>
      </w:trPr>
      <w:tc>
        <w:tcPr>
          <w:tcW w:w="6238" w:type="dxa"/>
          <w:tcBorders>
            <w:top w:val="nil"/>
            <w:bottom w:val="nil"/>
          </w:tcBorders>
          <w:vAlign w:val="center"/>
        </w:tcPr>
        <w:p w14:paraId="421027A5">
          <w:pPr>
            <w:pStyle w:val="67"/>
            <w:rPr>
              <w:rFonts w:eastAsia="楷体_GB2312" w:cs="等线"/>
              <w:color w:val="23558C"/>
              <w:sz w:val="24"/>
              <w:lang w:eastAsia="zh-CN"/>
            </w:rPr>
          </w:pPr>
          <w:r>
            <w:rPr>
              <w:rFonts w:eastAsia="楷体_GB2312" w:cs="等线"/>
              <w:color w:val="23558C"/>
              <w:sz w:val="24"/>
              <w:lang w:eastAsia="zh-CN"/>
            </w:rPr>
            <w:t>[Table_header1]</w:t>
          </w:r>
        </w:p>
      </w:tc>
      <w:tc>
        <w:tcPr>
          <w:tcW w:w="4678" w:type="dxa"/>
          <w:tcBorders>
            <w:top w:val="nil"/>
            <w:bottom w:val="nil"/>
          </w:tcBorders>
          <w:vAlign w:val="center"/>
        </w:tcPr>
        <w:p w14:paraId="76FDBDCB">
          <w:pPr>
            <w:pStyle w:val="67"/>
            <w:jc w:val="right"/>
            <w:rPr>
              <w:rStyle w:val="69"/>
              <w:rFonts w:eastAsia="楷体_GB2312" w:cs="等线"/>
              <w:color w:val="23558C"/>
              <w:sz w:val="24"/>
              <w:lang w:eastAsia="zh-CN"/>
            </w:rPr>
          </w:pPr>
        </w:p>
      </w:tc>
    </w:tr>
    <w:tr w14:paraId="712EF762">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14:paraId="44CF55FC">
          <w:pPr>
            <w:pStyle w:val="67"/>
            <w:rPr>
              <w:rFonts w:eastAsia="楷体_GB2312" w:cs="Calibri"/>
              <w:b/>
              <w:bCs/>
              <w:color w:val="23558C"/>
              <w:sz w:val="24"/>
              <w:szCs w:val="24"/>
              <w:lang w:eastAsia="zh-CN"/>
            </w:rPr>
          </w:pPr>
          <w:r>
            <w:rPr>
              <w:rFonts w:hint="eastAsia" w:eastAsia="楷体_GB2312" w:cs="Calibri"/>
              <w:b/>
              <w:bCs/>
              <w:color w:val="23558C"/>
              <w:sz w:val="24"/>
              <w:szCs w:val="24"/>
              <w:lang w:eastAsia="zh-CN"/>
            </w:rPr>
            <w:t>Bloom Energy (BE US)</w:t>
          </w:r>
        </w:p>
      </w:tc>
      <w:tc>
        <w:tcPr>
          <w:tcW w:w="4678" w:type="dxa"/>
          <w:tcBorders>
            <w:top w:val="nil"/>
          </w:tcBorders>
          <w:vAlign w:val="center"/>
        </w:tcPr>
        <w:p w14:paraId="39FCA52C">
          <w:pPr>
            <w:pStyle w:val="67"/>
            <w:jc w:val="right"/>
            <w:rPr>
              <w:rStyle w:val="69"/>
              <w:rFonts w:eastAsia="楷体_GB2312" w:cs="Calibri"/>
              <w:color w:val="23558C"/>
              <w:sz w:val="24"/>
              <w:lang w:eastAsia="zh-CN"/>
            </w:rPr>
          </w:pPr>
          <w:r>
            <w:rPr>
              <w:rStyle w:val="69"/>
              <w:rFonts w:hint="eastAsia" w:eastAsia="楷体_GB2312" w:cs="Calibri"/>
              <w:color w:val="23558C"/>
              <w:sz w:val="24"/>
              <w:lang w:eastAsia="zh-CN"/>
            </w:rPr>
            <w:t>INITIATION WITH OUTPERFORM</w:t>
          </w:r>
        </w:p>
      </w:tc>
    </w:tr>
  </w:tbl>
  <w:p w14:paraId="5F717DC7">
    <w:pPr>
      <w:pStyle w:val="14"/>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1"/>
      <w:tblW w:w="14033" w:type="dxa"/>
      <w:tblCaption w:val="[Table_header1]"/>
      <w:tblDescription w:val="表格隐藏标识（勿删除）"/>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7290"/>
      <w:gridCol w:w="6743"/>
    </w:tblGrid>
    <w:tr w14:paraId="4A93E4A8">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gridAfter w:val="1"/>
        <w:wAfter w:w="6743" w:type="dxa"/>
        <w:trHeight w:val="23" w:hRule="exact"/>
      </w:trPr>
      <w:tc>
        <w:tcPr>
          <w:tcW w:w="7290" w:type="dxa"/>
          <w:tcBorders>
            <w:top w:val="nil"/>
            <w:bottom w:val="nil"/>
          </w:tcBorders>
          <w:vAlign w:val="center"/>
        </w:tcPr>
        <w:p w14:paraId="321AD616">
          <w:pPr>
            <w:pStyle w:val="67"/>
            <w:jc w:val="right"/>
            <w:rPr>
              <w:rStyle w:val="69"/>
              <w:rFonts w:eastAsia="楷体_GB2312" w:cs="等线"/>
              <w:sz w:val="24"/>
              <w:lang w:eastAsia="zh-CN"/>
            </w:rPr>
          </w:pPr>
        </w:p>
      </w:tc>
    </w:tr>
    <w:tr w14:paraId="79315882">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7290" w:type="dxa"/>
          <w:tcBorders>
            <w:top w:val="nil"/>
          </w:tcBorders>
          <w:shd w:val="clear" w:color="auto" w:fill="auto"/>
          <w:vAlign w:val="center"/>
        </w:tcPr>
        <w:p w14:paraId="26B7D2A1">
          <w:pPr>
            <w:pStyle w:val="67"/>
            <w:rPr>
              <w:rFonts w:ascii="Calibri" w:hAnsi="Calibri" w:eastAsia="楷体_GB2312" w:cs="Calibri"/>
              <w:b/>
              <w:bCs/>
              <w:snapToGrid w:val="0"/>
              <w:color w:val="23558C"/>
              <w:sz w:val="24"/>
              <w:szCs w:val="24"/>
              <w:lang w:val="en-US" w:eastAsia="zh-CN" w:bidi="ar-SA"/>
            </w:rPr>
          </w:pPr>
          <w:r>
            <w:rPr>
              <w:rFonts w:hint="eastAsia" w:eastAsia="楷体_GB2312" w:cs="Calibri"/>
              <w:b/>
              <w:bCs/>
              <w:color w:val="23558C"/>
              <w:sz w:val="24"/>
              <w:szCs w:val="24"/>
              <w:lang w:eastAsia="zh-CN"/>
            </w:rPr>
            <w:t>Bloom Energy (BE US)</w:t>
          </w:r>
        </w:p>
      </w:tc>
      <w:tc>
        <w:tcPr>
          <w:tcW w:w="6743" w:type="dxa"/>
          <w:tcBorders>
            <w:top w:val="nil"/>
          </w:tcBorders>
          <w:vAlign w:val="center"/>
        </w:tcPr>
        <w:p w14:paraId="7157BD0D">
          <w:pPr>
            <w:pStyle w:val="67"/>
            <w:jc w:val="both"/>
            <w:rPr>
              <w:rFonts w:ascii="Calibri" w:hAnsi="Calibri" w:eastAsia="楷体_GB2312" w:cs="Calibri"/>
              <w:b/>
              <w:caps/>
              <w:snapToGrid w:val="0"/>
              <w:color w:val="23558C"/>
              <w:sz w:val="24"/>
              <w:szCs w:val="16"/>
              <w:lang w:val="en-US" w:eastAsia="zh-CN" w:bidi="ar-SA"/>
            </w:rPr>
          </w:pPr>
          <w:r>
            <w:rPr>
              <w:rStyle w:val="69"/>
              <w:rFonts w:hint="eastAsia" w:eastAsia="楷体_GB2312" w:cs="Calibri"/>
              <w:color w:val="23558C"/>
              <w:sz w:val="24"/>
              <w:lang w:eastAsia="zh-CN"/>
            </w:rPr>
            <w:t>INITIATION WITH OUTPERFORM</w:t>
          </w:r>
        </w:p>
      </w:tc>
    </w:tr>
  </w:tbl>
  <w:p w14:paraId="48BAAE2B">
    <w:pPr>
      <w:pStyle w:val="14"/>
      <w:jc w:val="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1"/>
      <w:tblW w:w="14049" w:type="dxa"/>
      <w:tblCaption w:val="[Table_header1]"/>
      <w:tblDescription w:val="表格隐藏标识（勿删除）"/>
      <w:tblInd w:w="-11"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7584"/>
      <w:gridCol w:w="6465"/>
    </w:tblGrid>
    <w:tr w14:paraId="0AD78534">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7584" w:type="dxa"/>
          <w:tcBorders>
            <w:top w:val="nil"/>
            <w:bottom w:val="nil"/>
          </w:tcBorders>
          <w:vAlign w:val="center"/>
        </w:tcPr>
        <w:p w14:paraId="2F169152">
          <w:pPr>
            <w:pStyle w:val="67"/>
            <w:rPr>
              <w:rFonts w:eastAsia="楷体_GB2312" w:cs="等线"/>
              <w:color w:val="23558C"/>
              <w:sz w:val="24"/>
              <w:lang w:eastAsia="zh-CN"/>
            </w:rPr>
          </w:pPr>
          <w:r>
            <w:rPr>
              <w:rFonts w:eastAsia="楷体_GB2312" w:cs="等线"/>
              <w:color w:val="23558C"/>
              <w:sz w:val="24"/>
              <w:lang w:eastAsia="zh-CN"/>
            </w:rPr>
            <w:t>[Table_header1]</w:t>
          </w:r>
        </w:p>
      </w:tc>
      <w:tc>
        <w:tcPr>
          <w:tcW w:w="6465" w:type="dxa"/>
          <w:tcBorders>
            <w:top w:val="nil"/>
            <w:bottom w:val="nil"/>
          </w:tcBorders>
          <w:vAlign w:val="center"/>
        </w:tcPr>
        <w:p w14:paraId="6E26C44B">
          <w:pPr>
            <w:pStyle w:val="67"/>
            <w:jc w:val="right"/>
            <w:rPr>
              <w:rStyle w:val="69"/>
              <w:rFonts w:eastAsia="楷体_GB2312" w:cs="等线"/>
              <w:color w:val="23558C"/>
              <w:sz w:val="24"/>
              <w:lang w:eastAsia="zh-CN"/>
            </w:rPr>
          </w:pPr>
        </w:p>
      </w:tc>
    </w:tr>
    <w:tr w14:paraId="119031B8">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7584" w:type="dxa"/>
          <w:tcBorders>
            <w:top w:val="nil"/>
          </w:tcBorders>
          <w:vAlign w:val="center"/>
        </w:tcPr>
        <w:p w14:paraId="7120CCE7">
          <w:pPr>
            <w:pStyle w:val="67"/>
            <w:rPr>
              <w:rFonts w:eastAsia="楷体_GB2312" w:cs="Calibri"/>
              <w:b/>
              <w:bCs/>
              <w:color w:val="23558C"/>
              <w:sz w:val="24"/>
              <w:szCs w:val="24"/>
              <w:lang w:eastAsia="zh-CN"/>
            </w:rPr>
          </w:pPr>
          <w:r>
            <w:rPr>
              <w:rFonts w:hint="eastAsia" w:eastAsia="楷体_GB2312" w:cs="Calibri"/>
              <w:b/>
              <w:bCs/>
              <w:color w:val="23558C"/>
              <w:sz w:val="24"/>
              <w:szCs w:val="24"/>
              <w:lang w:eastAsia="zh-CN"/>
            </w:rPr>
            <w:t>Bloom Energy (BE US)</w:t>
          </w:r>
        </w:p>
      </w:tc>
      <w:tc>
        <w:tcPr>
          <w:tcW w:w="6465" w:type="dxa"/>
          <w:tcBorders>
            <w:top w:val="nil"/>
          </w:tcBorders>
          <w:vAlign w:val="center"/>
        </w:tcPr>
        <w:p w14:paraId="1D672F9B">
          <w:pPr>
            <w:pStyle w:val="67"/>
            <w:jc w:val="both"/>
            <w:rPr>
              <w:rStyle w:val="69"/>
              <w:rFonts w:eastAsia="楷体_GB2312" w:cs="Calibri"/>
              <w:color w:val="23558C"/>
              <w:sz w:val="24"/>
              <w:lang w:eastAsia="zh-CN"/>
            </w:rPr>
          </w:pPr>
          <w:r>
            <w:rPr>
              <w:rStyle w:val="69"/>
              <w:rFonts w:hint="eastAsia" w:eastAsia="楷体_GB2312" w:cs="Calibri"/>
              <w:color w:val="23558C"/>
              <w:sz w:val="24"/>
              <w:lang w:eastAsia="zh-CN"/>
            </w:rPr>
            <w:t>INITIATION WITH OUTPERFORM</w:t>
          </w:r>
        </w:p>
      </w:tc>
    </w:tr>
  </w:tbl>
  <w:p w14:paraId="698F65F7">
    <w:pPr>
      <w:pStyle w:val="14"/>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9EB608">
    <w:pPr>
      <w:pStyle w:val="14"/>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B4AEA3"/>
    <w:multiLevelType w:val="singleLevel"/>
    <w:tmpl w:val="B2B4AEA3"/>
    <w:lvl w:ilvl="0" w:tentative="0">
      <w:start w:val="1"/>
      <w:numFmt w:val="bullet"/>
      <w:lvlText w:val=""/>
      <w:lvlJc w:val="left"/>
      <w:pPr>
        <w:ind w:left="420" w:hanging="420"/>
      </w:pPr>
      <w:rPr>
        <w:rFonts w:hint="default" w:ascii="Wingdings" w:hAnsi="Wingdings"/>
      </w:rPr>
    </w:lvl>
  </w:abstractNum>
  <w:abstractNum w:abstractNumId="1">
    <w:nsid w:val="D76BD934"/>
    <w:multiLevelType w:val="singleLevel"/>
    <w:tmpl w:val="D76BD934"/>
    <w:lvl w:ilvl="0" w:tentative="0">
      <w:start w:val="1"/>
      <w:numFmt w:val="decimal"/>
      <w:suff w:val="space"/>
      <w:lvlText w:val="%1."/>
      <w:lvlJc w:val="left"/>
    </w:lvl>
  </w:abstractNum>
  <w:abstractNum w:abstractNumId="2">
    <w:nsid w:val="2DA40CB4"/>
    <w:multiLevelType w:val="singleLevel"/>
    <w:tmpl w:val="2DA40CB4"/>
    <w:lvl w:ilvl="0" w:tentative="0">
      <w:start w:val="1"/>
      <w:numFmt w:val="bullet"/>
      <w:lvlText w:val=""/>
      <w:lvlJc w:val="left"/>
      <w:pPr>
        <w:ind w:left="420" w:hanging="420"/>
      </w:pPr>
      <w:rPr>
        <w:rFonts w:hint="default" w:ascii="Wingdings" w:hAnsi="Wingdings"/>
      </w:rPr>
    </w:lvl>
  </w:abstractNum>
  <w:abstractNum w:abstractNumId="3">
    <w:nsid w:val="54CF43BB"/>
    <w:multiLevelType w:val="multilevel"/>
    <w:tmpl w:val="54CF43BB"/>
    <w:lvl w:ilvl="0" w:tentative="0">
      <w:start w:val="1"/>
      <w:numFmt w:val="decimal"/>
      <w:pStyle w:val="76"/>
      <w:suff w:val="nothing"/>
      <w:lvlText w:val="图表%1："/>
      <w:lvlJc w:val="left"/>
      <w:pPr>
        <w:ind w:left="0" w:firstLine="0"/>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420"/>
  <w:drawingGridHorizontalSpacing w:val="110"/>
  <w:drawingGridVerticalSpacing w:val="299"/>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56A90"/>
    <w:rsid w:val="000713E3"/>
    <w:rsid w:val="000F2731"/>
    <w:rsid w:val="00172A27"/>
    <w:rsid w:val="001B2407"/>
    <w:rsid w:val="001C1AD7"/>
    <w:rsid w:val="001E7C6C"/>
    <w:rsid w:val="00225EBE"/>
    <w:rsid w:val="0023495B"/>
    <w:rsid w:val="002D3E59"/>
    <w:rsid w:val="00306BC2"/>
    <w:rsid w:val="00392148"/>
    <w:rsid w:val="004149AB"/>
    <w:rsid w:val="0042509C"/>
    <w:rsid w:val="00481F4B"/>
    <w:rsid w:val="00575DC5"/>
    <w:rsid w:val="005A5975"/>
    <w:rsid w:val="005B7729"/>
    <w:rsid w:val="006E5D7D"/>
    <w:rsid w:val="007443F2"/>
    <w:rsid w:val="00765C37"/>
    <w:rsid w:val="007731E9"/>
    <w:rsid w:val="007C1C7B"/>
    <w:rsid w:val="00814795"/>
    <w:rsid w:val="008D4573"/>
    <w:rsid w:val="00996501"/>
    <w:rsid w:val="009B0F1B"/>
    <w:rsid w:val="009B2EA6"/>
    <w:rsid w:val="00A00D3E"/>
    <w:rsid w:val="00A21ACB"/>
    <w:rsid w:val="00A5610E"/>
    <w:rsid w:val="00A574E3"/>
    <w:rsid w:val="00B472E8"/>
    <w:rsid w:val="00BA37A9"/>
    <w:rsid w:val="00BD4463"/>
    <w:rsid w:val="00BE48C2"/>
    <w:rsid w:val="00C26D9F"/>
    <w:rsid w:val="00C54927"/>
    <w:rsid w:val="00C766BE"/>
    <w:rsid w:val="00D2081E"/>
    <w:rsid w:val="00D86E31"/>
    <w:rsid w:val="00E14403"/>
    <w:rsid w:val="00F50DB3"/>
    <w:rsid w:val="00F67905"/>
    <w:rsid w:val="00F9066D"/>
    <w:rsid w:val="00FF58B5"/>
    <w:rsid w:val="013627B1"/>
    <w:rsid w:val="01803809"/>
    <w:rsid w:val="027345B1"/>
    <w:rsid w:val="02D54924"/>
    <w:rsid w:val="032B09E8"/>
    <w:rsid w:val="056559C4"/>
    <w:rsid w:val="07320597"/>
    <w:rsid w:val="09C41CDB"/>
    <w:rsid w:val="0ADD2F10"/>
    <w:rsid w:val="0C1E10EA"/>
    <w:rsid w:val="0C3A0202"/>
    <w:rsid w:val="0CED3B15"/>
    <w:rsid w:val="0E576FAA"/>
    <w:rsid w:val="0F2A689B"/>
    <w:rsid w:val="0FDB246C"/>
    <w:rsid w:val="133B4C77"/>
    <w:rsid w:val="13CF47CF"/>
    <w:rsid w:val="15396F94"/>
    <w:rsid w:val="15597637"/>
    <w:rsid w:val="159863B1"/>
    <w:rsid w:val="161F6CBE"/>
    <w:rsid w:val="17CC40F0"/>
    <w:rsid w:val="185A253E"/>
    <w:rsid w:val="1A554870"/>
    <w:rsid w:val="1A9549D0"/>
    <w:rsid w:val="1C3862A2"/>
    <w:rsid w:val="1CE02914"/>
    <w:rsid w:val="1ECC3D6A"/>
    <w:rsid w:val="1F106FB8"/>
    <w:rsid w:val="20955851"/>
    <w:rsid w:val="22C75BE0"/>
    <w:rsid w:val="22D11ADB"/>
    <w:rsid w:val="23412C25"/>
    <w:rsid w:val="238D507B"/>
    <w:rsid w:val="265F25D3"/>
    <w:rsid w:val="27B801ED"/>
    <w:rsid w:val="286B32A9"/>
    <w:rsid w:val="28C055AB"/>
    <w:rsid w:val="290721DB"/>
    <w:rsid w:val="29437F8A"/>
    <w:rsid w:val="29984D05"/>
    <w:rsid w:val="2A726F0E"/>
    <w:rsid w:val="2B2F069F"/>
    <w:rsid w:val="2C35654E"/>
    <w:rsid w:val="2CF210EA"/>
    <w:rsid w:val="2D570959"/>
    <w:rsid w:val="2FAC7483"/>
    <w:rsid w:val="30313232"/>
    <w:rsid w:val="303B11BD"/>
    <w:rsid w:val="327E7D69"/>
    <w:rsid w:val="33641229"/>
    <w:rsid w:val="339E0BDF"/>
    <w:rsid w:val="34181B8D"/>
    <w:rsid w:val="344A63CA"/>
    <w:rsid w:val="34857E63"/>
    <w:rsid w:val="357A7560"/>
    <w:rsid w:val="358B3E6F"/>
    <w:rsid w:val="359F479A"/>
    <w:rsid w:val="395F671A"/>
    <w:rsid w:val="3A7F4ED5"/>
    <w:rsid w:val="3B813E2D"/>
    <w:rsid w:val="3DC72AE0"/>
    <w:rsid w:val="3DE0698E"/>
    <w:rsid w:val="3FFE264F"/>
    <w:rsid w:val="422B0742"/>
    <w:rsid w:val="44C91F06"/>
    <w:rsid w:val="45325879"/>
    <w:rsid w:val="45455DCC"/>
    <w:rsid w:val="45A65E6E"/>
    <w:rsid w:val="46471352"/>
    <w:rsid w:val="467B120E"/>
    <w:rsid w:val="48147269"/>
    <w:rsid w:val="48FF0D13"/>
    <w:rsid w:val="497F4477"/>
    <w:rsid w:val="4A0C644A"/>
    <w:rsid w:val="4AB5160E"/>
    <w:rsid w:val="4C327CBE"/>
    <w:rsid w:val="4DAD3AA0"/>
    <w:rsid w:val="4EF74E7E"/>
    <w:rsid w:val="4F7C795C"/>
    <w:rsid w:val="4F90367A"/>
    <w:rsid w:val="50F746EC"/>
    <w:rsid w:val="51A159FE"/>
    <w:rsid w:val="537C69DC"/>
    <w:rsid w:val="538708F0"/>
    <w:rsid w:val="53875BA9"/>
    <w:rsid w:val="5411465D"/>
    <w:rsid w:val="547B1ECB"/>
    <w:rsid w:val="54977258"/>
    <w:rsid w:val="56A24087"/>
    <w:rsid w:val="573144AB"/>
    <w:rsid w:val="5A1213F0"/>
    <w:rsid w:val="5B960CA7"/>
    <w:rsid w:val="5B9B13DC"/>
    <w:rsid w:val="5BB97F0A"/>
    <w:rsid w:val="602919F8"/>
    <w:rsid w:val="626C33F2"/>
    <w:rsid w:val="642050B1"/>
    <w:rsid w:val="685759B0"/>
    <w:rsid w:val="6ADA28B0"/>
    <w:rsid w:val="6CC303A3"/>
    <w:rsid w:val="6CE64481"/>
    <w:rsid w:val="6D0019E7"/>
    <w:rsid w:val="6D996C0F"/>
    <w:rsid w:val="70B54896"/>
    <w:rsid w:val="73C848E1"/>
    <w:rsid w:val="74E631E3"/>
    <w:rsid w:val="75145756"/>
    <w:rsid w:val="75E75E56"/>
    <w:rsid w:val="78387F3A"/>
    <w:rsid w:val="7A0D418F"/>
    <w:rsid w:val="7A4F3F08"/>
    <w:rsid w:val="7A620295"/>
    <w:rsid w:val="7AD36E65"/>
    <w:rsid w:val="7B742CBE"/>
    <w:rsid w:val="7C505B09"/>
    <w:rsid w:val="7C776EA4"/>
    <w:rsid w:val="7CD460A4"/>
    <w:rsid w:val="7D51206D"/>
    <w:rsid w:val="7E81480A"/>
    <w:rsid w:val="7F1A3CAD"/>
    <w:rsid w:val="7F2350C1"/>
    <w:rsid w:val="7FEC212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0" w:semiHidden="0"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MS Mincho" w:cs="Times New Roman"/>
      <w:snapToGrid w:val="0"/>
      <w:sz w:val="16"/>
      <w:szCs w:val="16"/>
      <w:lang w:val="en-US" w:eastAsia="ja-JP" w:bidi="ar-SA"/>
    </w:rPr>
  </w:style>
  <w:style w:type="paragraph" w:styleId="2">
    <w:name w:val="heading 1"/>
    <w:basedOn w:val="1"/>
    <w:next w:val="1"/>
    <w:link w:val="26"/>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8"/>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9"/>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30"/>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31"/>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32"/>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3"/>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4"/>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Block Text"/>
    <w:basedOn w:val="1"/>
    <w:qFormat/>
    <w:uiPriority w:val="0"/>
    <w:pPr>
      <w:widowControl w:val="0"/>
      <w:ind w:left="3261" w:leftChars="1553" w:right="55" w:rightChars="26" w:firstLine="1"/>
    </w:pPr>
    <w:rPr>
      <w:rFonts w:ascii="Times New Roman" w:hAnsi="Times New Roman" w:eastAsia="汉仪大黑简"/>
      <w:snapToGrid/>
      <w:color w:val="000000"/>
      <w:kern w:val="2"/>
      <w:sz w:val="18"/>
      <w:szCs w:val="24"/>
      <w:lang w:eastAsia="zh-CN"/>
    </w:rPr>
  </w:style>
  <w:style w:type="paragraph" w:styleId="12">
    <w:name w:val="endnote text"/>
    <w:basedOn w:val="1"/>
    <w:link w:val="80"/>
    <w:semiHidden/>
    <w:unhideWhenUsed/>
    <w:qFormat/>
    <w:uiPriority w:val="99"/>
    <w:rPr>
      <w:sz w:val="20"/>
      <w:szCs w:val="20"/>
    </w:rPr>
  </w:style>
  <w:style w:type="paragraph" w:styleId="13">
    <w:name w:val="footer"/>
    <w:basedOn w:val="1"/>
    <w:link w:val="45"/>
    <w:unhideWhenUsed/>
    <w:qFormat/>
    <w:uiPriority w:val="99"/>
    <w:pPr>
      <w:tabs>
        <w:tab w:val="center" w:pos="4153"/>
        <w:tab w:val="right" w:pos="8306"/>
      </w:tabs>
      <w:snapToGrid w:val="0"/>
    </w:pPr>
    <w:rPr>
      <w:sz w:val="18"/>
      <w:szCs w:val="18"/>
    </w:rPr>
  </w:style>
  <w:style w:type="paragraph" w:styleId="14">
    <w:name w:val="header"/>
    <w:basedOn w:val="1"/>
    <w:link w:val="44"/>
    <w:unhideWhenUsed/>
    <w:qFormat/>
    <w:uiPriority w:val="99"/>
    <w:pPr>
      <w:tabs>
        <w:tab w:val="center" w:pos="4153"/>
        <w:tab w:val="right" w:pos="8306"/>
      </w:tabs>
      <w:snapToGrid w:val="0"/>
      <w:jc w:val="center"/>
    </w:pPr>
    <w:rPr>
      <w:sz w:val="18"/>
      <w:szCs w:val="18"/>
    </w:rPr>
  </w:style>
  <w:style w:type="paragraph" w:styleId="15">
    <w:name w:val="toc 1"/>
    <w:basedOn w:val="1"/>
    <w:next w:val="1"/>
    <w:unhideWhenUsed/>
    <w:qFormat/>
    <w:uiPriority w:val="39"/>
    <w:pPr>
      <w:spacing w:after="100" w:line="259" w:lineRule="auto"/>
    </w:pPr>
    <w:rPr>
      <w:rFonts w:asciiTheme="minorHAnsi" w:hAnsiTheme="minorHAnsi" w:eastAsiaTheme="minorEastAsia"/>
      <w:snapToGrid/>
      <w:sz w:val="22"/>
      <w:szCs w:val="22"/>
      <w:lang w:eastAsia="zh-CN"/>
    </w:rPr>
  </w:style>
  <w:style w:type="paragraph" w:styleId="16">
    <w:name w:val="Subtitle"/>
    <w:basedOn w:val="1"/>
    <w:next w:val="1"/>
    <w:link w:val="36"/>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oc 2"/>
    <w:basedOn w:val="1"/>
    <w:next w:val="1"/>
    <w:unhideWhenUsed/>
    <w:qFormat/>
    <w:uiPriority w:val="39"/>
    <w:pPr>
      <w:spacing w:after="100" w:line="259" w:lineRule="auto"/>
      <w:ind w:left="220"/>
    </w:pPr>
    <w:rPr>
      <w:rFonts w:asciiTheme="minorHAnsi" w:hAnsiTheme="minorHAnsi" w:eastAsiaTheme="minorEastAsia"/>
      <w:snapToGrid/>
      <w:sz w:val="22"/>
      <w:szCs w:val="22"/>
      <w:lang w:eastAsia="zh-CN"/>
    </w:rPr>
  </w:style>
  <w:style w:type="paragraph" w:styleId="18">
    <w:name w:val="Normal (Web)"/>
    <w:basedOn w:val="1"/>
    <w:semiHidden/>
    <w:unhideWhenUsed/>
    <w:qFormat/>
    <w:uiPriority w:val="99"/>
    <w:pPr>
      <w:spacing w:beforeAutospacing="1" w:afterAutospacing="1"/>
    </w:pPr>
    <w:rPr>
      <w:sz w:val="24"/>
      <w:lang w:eastAsia="zh-CN"/>
    </w:rPr>
  </w:style>
  <w:style w:type="paragraph" w:styleId="19">
    <w:name w:val="Title"/>
    <w:basedOn w:val="1"/>
    <w:next w:val="1"/>
    <w:link w:val="35"/>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21">
    <w:name w:val="Table Grid"/>
    <w:basedOn w:val="20"/>
    <w:qFormat/>
    <w:uiPriority w:val="39"/>
    <w:rPr>
      <w:rFonts w:ascii="等线" w:hAnsi="等线" w:eastAsia="等线" w:cs="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endnote reference"/>
    <w:basedOn w:val="22"/>
    <w:semiHidden/>
    <w:unhideWhenUsed/>
    <w:qFormat/>
    <w:uiPriority w:val="99"/>
    <w:rPr>
      <w:vertAlign w:val="superscript"/>
    </w:rPr>
  </w:style>
  <w:style w:type="character" w:styleId="24">
    <w:name w:val="Emphasis"/>
    <w:basedOn w:val="22"/>
    <w:qFormat/>
    <w:uiPriority w:val="20"/>
    <w:rPr>
      <w:i/>
    </w:rPr>
  </w:style>
  <w:style w:type="character" w:styleId="25">
    <w:name w:val="Hyperlink"/>
    <w:basedOn w:val="22"/>
    <w:qFormat/>
    <w:uiPriority w:val="99"/>
    <w:rPr>
      <w:color w:val="0000FF"/>
      <w:u w:val="single"/>
    </w:rPr>
  </w:style>
  <w:style w:type="character" w:customStyle="1" w:styleId="26">
    <w:name w:val="Heading 1 Char"/>
    <w:basedOn w:val="22"/>
    <w:link w:val="2"/>
    <w:qFormat/>
    <w:uiPriority w:val="9"/>
    <w:rPr>
      <w:rFonts w:asciiTheme="majorHAnsi" w:hAnsiTheme="majorHAnsi" w:eastAsiaTheme="majorEastAsia" w:cstheme="majorBidi"/>
      <w:color w:val="104862" w:themeColor="accent1" w:themeShade="BF"/>
      <w:sz w:val="48"/>
      <w:szCs w:val="48"/>
    </w:rPr>
  </w:style>
  <w:style w:type="character" w:customStyle="1" w:styleId="27">
    <w:name w:val="Heading 2 Char"/>
    <w:basedOn w:val="22"/>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8">
    <w:name w:val="Heading 3 Char"/>
    <w:basedOn w:val="22"/>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9">
    <w:name w:val="Heading 4 Char"/>
    <w:basedOn w:val="22"/>
    <w:link w:val="5"/>
    <w:semiHidden/>
    <w:qFormat/>
    <w:uiPriority w:val="9"/>
    <w:rPr>
      <w:rFonts w:cstheme="majorBidi"/>
      <w:color w:val="104862" w:themeColor="accent1" w:themeShade="BF"/>
      <w:sz w:val="28"/>
      <w:szCs w:val="28"/>
    </w:rPr>
  </w:style>
  <w:style w:type="character" w:customStyle="1" w:styleId="30">
    <w:name w:val="Heading 5 Char"/>
    <w:basedOn w:val="22"/>
    <w:link w:val="6"/>
    <w:semiHidden/>
    <w:qFormat/>
    <w:uiPriority w:val="9"/>
    <w:rPr>
      <w:rFonts w:cstheme="majorBidi"/>
      <w:color w:val="104862" w:themeColor="accent1" w:themeShade="BF"/>
      <w:sz w:val="24"/>
      <w:szCs w:val="24"/>
    </w:rPr>
  </w:style>
  <w:style w:type="character" w:customStyle="1" w:styleId="31">
    <w:name w:val="Heading 6 Char"/>
    <w:basedOn w:val="22"/>
    <w:link w:val="7"/>
    <w:semiHidden/>
    <w:qFormat/>
    <w:uiPriority w:val="9"/>
    <w:rPr>
      <w:rFonts w:cstheme="majorBidi"/>
      <w:b/>
      <w:bCs/>
      <w:color w:val="104862" w:themeColor="accent1" w:themeShade="BF"/>
    </w:rPr>
  </w:style>
  <w:style w:type="character" w:customStyle="1" w:styleId="32">
    <w:name w:val="Heading 7 Char"/>
    <w:basedOn w:val="22"/>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3">
    <w:name w:val="Heading 8 Char"/>
    <w:basedOn w:val="22"/>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4">
    <w:name w:val="Heading 9 Char"/>
    <w:basedOn w:val="22"/>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5">
    <w:name w:val="Title Char"/>
    <w:basedOn w:val="22"/>
    <w:link w:val="19"/>
    <w:qFormat/>
    <w:uiPriority w:val="10"/>
    <w:rPr>
      <w:rFonts w:asciiTheme="majorHAnsi" w:hAnsiTheme="majorHAnsi" w:eastAsiaTheme="majorEastAsia" w:cstheme="majorBidi"/>
      <w:spacing w:val="-10"/>
      <w:kern w:val="28"/>
      <w:sz w:val="56"/>
      <w:szCs w:val="56"/>
    </w:rPr>
  </w:style>
  <w:style w:type="character" w:customStyle="1" w:styleId="36">
    <w:name w:val="Subtitle Char"/>
    <w:basedOn w:val="22"/>
    <w:link w:val="16"/>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7">
    <w:name w:val="Quote"/>
    <w:basedOn w:val="1"/>
    <w:next w:val="1"/>
    <w:link w:val="38"/>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8">
    <w:name w:val="Quote Char"/>
    <w:basedOn w:val="22"/>
    <w:link w:val="37"/>
    <w:qFormat/>
    <w:uiPriority w:val="29"/>
    <w:rPr>
      <w:i/>
      <w:iCs/>
      <w:color w:val="404040" w:themeColor="text1" w:themeTint="BF"/>
      <w14:textFill>
        <w14:solidFill>
          <w14:schemeClr w14:val="tx1">
            <w14:lumMod w14:val="75000"/>
            <w14:lumOff w14:val="25000"/>
          </w14:schemeClr>
        </w14:solidFill>
      </w14:textFill>
    </w:rPr>
  </w:style>
  <w:style w:type="paragraph" w:styleId="39">
    <w:name w:val="List Paragraph"/>
    <w:basedOn w:val="1"/>
    <w:qFormat/>
    <w:uiPriority w:val="34"/>
    <w:pPr>
      <w:ind w:left="720"/>
      <w:contextualSpacing/>
    </w:pPr>
  </w:style>
  <w:style w:type="character" w:customStyle="1" w:styleId="40">
    <w:name w:val="明显强调1"/>
    <w:basedOn w:val="22"/>
    <w:qFormat/>
    <w:uiPriority w:val="21"/>
    <w:rPr>
      <w:i/>
      <w:iCs/>
      <w:color w:val="104862" w:themeColor="accent1" w:themeShade="BF"/>
    </w:rPr>
  </w:style>
  <w:style w:type="paragraph" w:styleId="41">
    <w:name w:val="Intense Quote"/>
    <w:basedOn w:val="1"/>
    <w:next w:val="1"/>
    <w:link w:val="4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2">
    <w:name w:val="Intense Quote Char"/>
    <w:basedOn w:val="22"/>
    <w:link w:val="41"/>
    <w:qFormat/>
    <w:uiPriority w:val="30"/>
    <w:rPr>
      <w:i/>
      <w:iCs/>
      <w:color w:val="104862" w:themeColor="accent1" w:themeShade="BF"/>
    </w:rPr>
  </w:style>
  <w:style w:type="character" w:customStyle="1" w:styleId="43">
    <w:name w:val="明显参考1"/>
    <w:basedOn w:val="22"/>
    <w:qFormat/>
    <w:uiPriority w:val="32"/>
    <w:rPr>
      <w:b/>
      <w:bCs/>
      <w:smallCaps/>
      <w:color w:val="104862" w:themeColor="accent1" w:themeShade="BF"/>
      <w:spacing w:val="5"/>
    </w:rPr>
  </w:style>
  <w:style w:type="character" w:customStyle="1" w:styleId="44">
    <w:name w:val="Header Char"/>
    <w:basedOn w:val="22"/>
    <w:link w:val="14"/>
    <w:qFormat/>
    <w:uiPriority w:val="99"/>
    <w:rPr>
      <w:sz w:val="18"/>
      <w:szCs w:val="18"/>
    </w:rPr>
  </w:style>
  <w:style w:type="character" w:customStyle="1" w:styleId="45">
    <w:name w:val="Footer Char"/>
    <w:basedOn w:val="22"/>
    <w:link w:val="13"/>
    <w:qFormat/>
    <w:uiPriority w:val="99"/>
    <w:rPr>
      <w:sz w:val="18"/>
      <w:szCs w:val="18"/>
    </w:rPr>
  </w:style>
  <w:style w:type="paragraph" w:customStyle="1" w:styleId="46">
    <w:name w:val="EFABodyText"/>
    <w:link w:val="49"/>
    <w:qFormat/>
    <w:uiPriority w:val="0"/>
    <w:pPr>
      <w:widowControl w:val="0"/>
      <w:adjustRightInd w:val="0"/>
      <w:snapToGrid w:val="0"/>
    </w:pPr>
    <w:rPr>
      <w:rFonts w:ascii="Calibri" w:hAnsi="Calibri" w:eastAsia="MS Mincho" w:cs="Times New Roman"/>
      <w:snapToGrid w:val="0"/>
      <w:szCs w:val="16"/>
      <w:lang w:val="en-US" w:eastAsia="ja-JP" w:bidi="ar-SA"/>
    </w:rPr>
  </w:style>
  <w:style w:type="paragraph" w:customStyle="1" w:styleId="47">
    <w:name w:val="EFAFPFrameText_11.5pt_Right"/>
    <w:basedOn w:val="48"/>
    <w:link w:val="61"/>
    <w:qFormat/>
    <w:uiPriority w:val="0"/>
    <w:pPr>
      <w:framePr w:wrap="around" w:xAlign="right" w:y="1"/>
      <w:jc w:val="right"/>
    </w:pPr>
    <w:rPr>
      <w:bCs/>
      <w:snapToGrid/>
      <w:szCs w:val="32"/>
    </w:rPr>
  </w:style>
  <w:style w:type="paragraph" w:customStyle="1" w:styleId="48">
    <w:name w:val="EFAFPFrameText_11.5pt"/>
    <w:link w:val="60"/>
    <w:qFormat/>
    <w:uiPriority w:val="0"/>
    <w:pPr>
      <w:framePr w:wrap="around" w:vAnchor="margin" w:hAnchor="text" w:x="366" w:y="1071"/>
    </w:pPr>
    <w:rPr>
      <w:rFonts w:ascii="Calibri" w:hAnsi="Calibri" w:eastAsia="MS Mincho" w:cs="Times New Roman"/>
      <w:b/>
      <w:snapToGrid w:val="0"/>
      <w:color w:val="23558C"/>
      <w:sz w:val="24"/>
      <w:szCs w:val="16"/>
      <w:lang w:val="en-US" w:eastAsia="ja-JP" w:bidi="ar-SA"/>
    </w:rPr>
  </w:style>
  <w:style w:type="character" w:customStyle="1" w:styleId="49">
    <w:name w:val="EFABodyText Char"/>
    <w:basedOn w:val="22"/>
    <w:link w:val="46"/>
    <w:qFormat/>
    <w:uiPriority w:val="0"/>
    <w:rPr>
      <w:rFonts w:ascii="Calibri" w:hAnsi="Calibri" w:eastAsia="MS Mincho" w:cs="Times New Roman"/>
      <w:snapToGrid w:val="0"/>
      <w:kern w:val="0"/>
      <w:sz w:val="20"/>
      <w:szCs w:val="16"/>
      <w:lang w:eastAsia="ja-JP"/>
    </w:rPr>
  </w:style>
  <w:style w:type="paragraph" w:customStyle="1" w:styleId="50">
    <w:name w:val="EFAFPColFrameText_Right"/>
    <w:basedOn w:val="1"/>
    <w:qFormat/>
    <w:uiPriority w:val="0"/>
    <w:pPr>
      <w:framePr w:w="3045" w:h="12844" w:hRule="exact" w:hSpace="180" w:wrap="around" w:vAnchor="page" w:hAnchor="page" w:x="336" w:y="2721" w:anchorLock="1"/>
      <w:adjustRightInd w:val="0"/>
      <w:snapToGrid w:val="0"/>
      <w:jc w:val="right"/>
    </w:pPr>
    <w:rPr>
      <w:sz w:val="14"/>
      <w:szCs w:val="14"/>
      <w:lang w:eastAsia="zh-CN"/>
    </w:rPr>
  </w:style>
  <w:style w:type="paragraph" w:customStyle="1" w:styleId="51">
    <w:name w:val="EFAFPColFrameHeading"/>
    <w:basedOn w:val="1"/>
    <w:qFormat/>
    <w:uiPriority w:val="0"/>
    <w:pPr>
      <w:framePr w:w="3045" w:h="12844" w:hRule="exact" w:hSpace="180" w:wrap="around" w:vAnchor="page" w:hAnchor="page" w:x="336" w:y="2721" w:anchorLock="1"/>
      <w:adjustRightInd w:val="0"/>
      <w:snapToGrid w:val="0"/>
    </w:pPr>
    <w:rPr>
      <w:b/>
      <w:color w:val="23558C"/>
      <w:szCs w:val="14"/>
      <w:lang w:eastAsia="zh-CN"/>
    </w:rPr>
  </w:style>
  <w:style w:type="paragraph" w:customStyle="1" w:styleId="52">
    <w:name w:val="EFAFPColFrameText_Left"/>
    <w:basedOn w:val="1"/>
    <w:link w:val="56"/>
    <w:qFormat/>
    <w:uiPriority w:val="0"/>
    <w:pPr>
      <w:framePr w:w="3045" w:h="12844" w:hRule="exact" w:hSpace="180" w:wrap="around" w:vAnchor="page" w:hAnchor="page" w:x="336" w:y="2721" w:anchorLock="1"/>
      <w:adjustRightInd w:val="0"/>
      <w:snapToGrid w:val="0"/>
    </w:pPr>
    <w:rPr>
      <w:sz w:val="14"/>
      <w:szCs w:val="14"/>
      <w:lang w:eastAsia="zh-CN"/>
    </w:rPr>
  </w:style>
  <w:style w:type="paragraph" w:customStyle="1" w:styleId="53">
    <w:name w:val="EFAFPColFrame_Source"/>
    <w:basedOn w:val="52"/>
    <w:qFormat/>
    <w:uiPriority w:val="0"/>
    <w:pPr>
      <w:framePr w:wrap="around"/>
    </w:pPr>
    <w:rPr>
      <w:sz w:val="12"/>
      <w:szCs w:val="12"/>
    </w:rPr>
  </w:style>
  <w:style w:type="paragraph" w:customStyle="1" w:styleId="54">
    <w:name w:val="EFAFPColFrame_AnalystName"/>
    <w:basedOn w:val="52"/>
    <w:qFormat/>
    <w:uiPriority w:val="0"/>
    <w:pPr>
      <w:framePr w:wrap="around"/>
    </w:pPr>
    <w:rPr>
      <w:b/>
      <w:sz w:val="16"/>
    </w:rPr>
  </w:style>
  <w:style w:type="paragraph" w:customStyle="1" w:styleId="55">
    <w:name w:val="EFAFPColFrameText_8pt"/>
    <w:basedOn w:val="52"/>
    <w:qFormat/>
    <w:uiPriority w:val="0"/>
    <w:pPr>
      <w:framePr w:wrap="around"/>
    </w:pPr>
    <w:rPr>
      <w:sz w:val="16"/>
    </w:rPr>
  </w:style>
  <w:style w:type="character" w:customStyle="1" w:styleId="56">
    <w:name w:val="EFAFPColFrameText_Left Char"/>
    <w:basedOn w:val="22"/>
    <w:link w:val="52"/>
    <w:qFormat/>
    <w:uiPriority w:val="0"/>
    <w:rPr>
      <w:rFonts w:ascii="Calibri" w:hAnsi="Calibri" w:eastAsia="MS Mincho" w:cs="Times New Roman"/>
      <w:snapToGrid w:val="0"/>
      <w:kern w:val="0"/>
      <w:sz w:val="14"/>
      <w:szCs w:val="14"/>
    </w:rPr>
  </w:style>
  <w:style w:type="paragraph" w:customStyle="1" w:styleId="57">
    <w:name w:val="EFAAnchor"/>
    <w:basedOn w:val="1"/>
    <w:qFormat/>
    <w:uiPriority w:val="0"/>
    <w:pPr>
      <w:widowControl w:val="0"/>
      <w:adjustRightInd w:val="0"/>
      <w:snapToGrid w:val="0"/>
    </w:pPr>
    <w:rPr>
      <w:sz w:val="4"/>
      <w:lang w:eastAsia="zh-CN"/>
    </w:rPr>
  </w:style>
  <w:style w:type="paragraph" w:customStyle="1" w:styleId="58">
    <w:name w:val="EFAFP_BodyText2"/>
    <w:link w:val="59"/>
    <w:qFormat/>
    <w:uiPriority w:val="0"/>
    <w:pPr>
      <w:adjustRightInd w:val="0"/>
      <w:snapToGrid w:val="0"/>
      <w:spacing w:after="120"/>
    </w:pPr>
    <w:rPr>
      <w:rFonts w:ascii="Calibri" w:hAnsi="Calibri" w:eastAsia="Times New Roman" w:cs="PMingLiU"/>
      <w:lang w:val="en-US" w:eastAsia="ja-JP" w:bidi="ar-SA"/>
    </w:rPr>
  </w:style>
  <w:style w:type="character" w:customStyle="1" w:styleId="59">
    <w:name w:val="EFAFP_BodyText2 Char"/>
    <w:basedOn w:val="22"/>
    <w:link w:val="58"/>
    <w:qFormat/>
    <w:uiPriority w:val="0"/>
    <w:rPr>
      <w:rFonts w:ascii="Calibri" w:hAnsi="Calibri" w:eastAsia="Times New Roman" w:cs="PMingLiU"/>
      <w:kern w:val="0"/>
      <w:sz w:val="20"/>
      <w:szCs w:val="20"/>
      <w:lang w:eastAsia="ja-JP"/>
    </w:rPr>
  </w:style>
  <w:style w:type="character" w:customStyle="1" w:styleId="60">
    <w:name w:val="EFAFPFrameText_11.5pt Char"/>
    <w:basedOn w:val="22"/>
    <w:link w:val="48"/>
    <w:qFormat/>
    <w:uiPriority w:val="0"/>
    <w:rPr>
      <w:rFonts w:ascii="Calibri" w:hAnsi="Calibri" w:eastAsia="MS Mincho" w:cs="Times New Roman"/>
      <w:b/>
      <w:snapToGrid w:val="0"/>
      <w:color w:val="23558C"/>
      <w:kern w:val="0"/>
      <w:sz w:val="24"/>
      <w:szCs w:val="16"/>
      <w:lang w:eastAsia="ja-JP"/>
    </w:rPr>
  </w:style>
  <w:style w:type="character" w:customStyle="1" w:styleId="61">
    <w:name w:val="EFAFPFrameText_11.5pt_Right Char"/>
    <w:basedOn w:val="60"/>
    <w:link w:val="47"/>
    <w:qFormat/>
    <w:uiPriority w:val="0"/>
    <w:rPr>
      <w:rFonts w:ascii="Calibri" w:hAnsi="Calibri" w:eastAsia="MS Mincho" w:cs="Times New Roman"/>
      <w:bCs/>
      <w:snapToGrid/>
      <w:color w:val="23558C"/>
      <w:kern w:val="0"/>
      <w:sz w:val="24"/>
      <w:szCs w:val="32"/>
      <w:lang w:eastAsia="ja-JP"/>
    </w:rPr>
  </w:style>
  <w:style w:type="paragraph" w:customStyle="1" w:styleId="62">
    <w:name w:val="EFAFPHdrInfo3"/>
    <w:link w:val="63"/>
    <w:qFormat/>
    <w:uiPriority w:val="0"/>
    <w:rPr>
      <w:rFonts w:ascii="Calibri" w:hAnsi="Calibri" w:eastAsia="MS Mincho" w:cs="Times New Roman"/>
      <w:b/>
      <w:bCs/>
      <w:snapToGrid w:val="0"/>
      <w:color w:val="000000"/>
      <w:sz w:val="32"/>
      <w:lang w:val="en-US" w:eastAsia="ja-JP" w:bidi="ar-SA"/>
    </w:rPr>
  </w:style>
  <w:style w:type="character" w:customStyle="1" w:styleId="63">
    <w:name w:val="EFAFPHdrInfo3 Char"/>
    <w:basedOn w:val="22"/>
    <w:link w:val="62"/>
    <w:qFormat/>
    <w:uiPriority w:val="0"/>
    <w:rPr>
      <w:rFonts w:ascii="Calibri" w:hAnsi="Calibri" w:eastAsia="MS Mincho" w:cs="Times New Roman"/>
      <w:b/>
      <w:bCs/>
      <w:snapToGrid w:val="0"/>
      <w:color w:val="000000"/>
      <w:kern w:val="0"/>
      <w:sz w:val="32"/>
      <w:szCs w:val="20"/>
      <w:lang w:eastAsia="ja-JP"/>
    </w:rPr>
  </w:style>
  <w:style w:type="paragraph" w:customStyle="1" w:styleId="64">
    <w:name w:val="EFAFPTitle6"/>
    <w:link w:val="65"/>
    <w:qFormat/>
    <w:uiPriority w:val="0"/>
    <w:rPr>
      <w:rFonts w:ascii="Calibri" w:hAnsi="Calibri" w:eastAsia="MS Mincho" w:cs="Times New Roman"/>
      <w:b/>
      <w:bCs/>
      <w:snapToGrid w:val="0"/>
      <w:color w:val="FFFFFF"/>
      <w:sz w:val="32"/>
      <w:lang w:val="en-US" w:eastAsia="ja-JP" w:bidi="ar-SA"/>
    </w:rPr>
  </w:style>
  <w:style w:type="character" w:customStyle="1" w:styleId="65">
    <w:name w:val="EFAFPTitle6 Char"/>
    <w:basedOn w:val="22"/>
    <w:link w:val="64"/>
    <w:qFormat/>
    <w:uiPriority w:val="0"/>
    <w:rPr>
      <w:rFonts w:ascii="Calibri" w:hAnsi="Calibri" w:eastAsia="MS Mincho" w:cs="Times New Roman"/>
      <w:b/>
      <w:bCs/>
      <w:snapToGrid w:val="0"/>
      <w:color w:val="FFFFFF"/>
      <w:kern w:val="0"/>
      <w:sz w:val="32"/>
      <w:szCs w:val="20"/>
      <w:lang w:eastAsia="ja-JP"/>
    </w:rPr>
  </w:style>
  <w:style w:type="paragraph" w:customStyle="1" w:styleId="66">
    <w:name w:val="EFAFPFooter"/>
    <w:basedOn w:val="1"/>
    <w:qFormat/>
    <w:uiPriority w:val="0"/>
    <w:pPr>
      <w:widowControl w:val="0"/>
      <w:tabs>
        <w:tab w:val="right" w:pos="10679"/>
      </w:tabs>
      <w:autoSpaceDE w:val="0"/>
      <w:autoSpaceDN w:val="0"/>
      <w:adjustRightInd w:val="0"/>
      <w:snapToGrid w:val="0"/>
      <w:jc w:val="both"/>
    </w:pPr>
    <w:rPr>
      <w:rFonts w:eastAsia="宋体" w:cs="Arial"/>
      <w:b/>
    </w:rPr>
  </w:style>
  <w:style w:type="paragraph" w:customStyle="1" w:styleId="67">
    <w:name w:val="EFANormal"/>
    <w:link w:val="68"/>
    <w:qFormat/>
    <w:uiPriority w:val="0"/>
    <w:pPr>
      <w:widowControl w:val="0"/>
      <w:adjustRightInd w:val="0"/>
      <w:snapToGrid w:val="0"/>
    </w:pPr>
    <w:rPr>
      <w:rFonts w:ascii="Calibri" w:hAnsi="Calibri" w:eastAsia="MS Mincho" w:cs="Times New Roman"/>
      <w:snapToGrid w:val="0"/>
      <w:sz w:val="16"/>
      <w:szCs w:val="16"/>
      <w:lang w:val="en-US" w:eastAsia="ja-JP" w:bidi="ar-SA"/>
    </w:rPr>
  </w:style>
  <w:style w:type="character" w:customStyle="1" w:styleId="68">
    <w:name w:val="EFANormal Char"/>
    <w:basedOn w:val="22"/>
    <w:link w:val="67"/>
    <w:qFormat/>
    <w:uiPriority w:val="0"/>
    <w:rPr>
      <w:rFonts w:ascii="Calibri" w:hAnsi="Calibri" w:eastAsia="MS Mincho" w:cs="Times New Roman"/>
      <w:snapToGrid w:val="0"/>
      <w:kern w:val="0"/>
      <w:sz w:val="16"/>
      <w:szCs w:val="16"/>
      <w:lang w:eastAsia="ja-JP"/>
    </w:rPr>
  </w:style>
  <w:style w:type="character" w:customStyle="1" w:styleId="69">
    <w:name w:val="EFACharBold_and_AllCap"/>
    <w:qFormat/>
    <w:uiPriority w:val="1"/>
    <w:rPr>
      <w:b/>
      <w:caps/>
    </w:rPr>
  </w:style>
  <w:style w:type="paragraph" w:customStyle="1" w:styleId="70">
    <w:name w:val="EFAPageFooter"/>
    <w:basedOn w:val="67"/>
    <w:qFormat/>
    <w:uiPriority w:val="0"/>
    <w:pPr>
      <w:framePr w:wrap="around" w:vAnchor="page" w:hAnchor="page" w:x="347" w:y="15481"/>
      <w:tabs>
        <w:tab w:val="center" w:pos="5165"/>
      </w:tabs>
    </w:pPr>
    <w:rPr>
      <w:b/>
      <w:sz w:val="20"/>
      <w:szCs w:val="20"/>
    </w:rPr>
  </w:style>
  <w:style w:type="paragraph" w:customStyle="1" w:styleId="71">
    <w:name w:val="EFASideComment"/>
    <w:basedOn w:val="46"/>
    <w:qFormat/>
    <w:uiPriority w:val="0"/>
    <w:pPr>
      <w:framePr w:w="2980" w:hSpace="180" w:wrap="around" w:vAnchor="text" w:hAnchor="text" w:x="-3250" w:y="160"/>
    </w:pPr>
  </w:style>
  <w:style w:type="table" w:customStyle="1" w:styleId="72">
    <w:name w:val="Common"/>
    <w:basedOn w:val="21"/>
    <w:qFormat/>
    <w:uiPriority w:val="99"/>
    <w:pPr>
      <w:spacing w:line="240" w:lineRule="exact"/>
    </w:pPr>
    <w:rPr>
      <w:rFonts w:eastAsiaTheme="minorEastAsia"/>
      <w:sz w:val="18"/>
    </w:rPr>
    <w:tblPr>
      <w:tblBorders>
        <w:insideH w:val="single" w:color="auto" w:sz="12" w:space="0"/>
      </w:tblBorders>
      <w:tblCellMar>
        <w:left w:w="0" w:type="dxa"/>
        <w:right w:w="0" w:type="dxa"/>
      </w:tblCellMar>
    </w:tblPr>
    <w:tcPr>
      <w:vAlign w:val="center"/>
    </w:tcPr>
    <w:tblStylePr w:type="firstRow">
      <w:rPr>
        <w:rFonts w:asciiTheme="minorHAnsi" w:hAnsiTheme="minorHAnsi"/>
        <w:b/>
        <w:sz w:val="17"/>
      </w:rPr>
      <w:tcPr>
        <w:tcBorders>
          <w:top w:val="nil"/>
          <w:left w:val="nil"/>
          <w:bottom w:val="single" w:color="000000" w:themeColor="text1" w:sz="12" w:space="0"/>
          <w:right w:val="nil"/>
          <w:insideH w:val="nil"/>
          <w:insideV w:val="nil"/>
          <w:tl2br w:val="nil"/>
          <w:tr2bl w:val="nil"/>
        </w:tcBorders>
      </w:tcPr>
    </w:tblStylePr>
    <w:tblStylePr w:type="lastRow">
      <w:tcPr>
        <w:tcBorders>
          <w:top w:val="nil"/>
          <w:left w:val="nil"/>
          <w:bottom w:val="nil"/>
          <w:right w:val="nil"/>
          <w:insideH w:val="nil"/>
          <w:insideV w:val="nil"/>
          <w:tl2br w:val="nil"/>
          <w:tr2bl w:val="nil"/>
        </w:tcBorders>
      </w:tcPr>
    </w:tblStylePr>
  </w:style>
  <w:style w:type="paragraph" w:customStyle="1" w:styleId="73">
    <w:name w:val="EFADisclaimerText"/>
    <w:basedOn w:val="67"/>
    <w:link w:val="74"/>
    <w:qFormat/>
    <w:uiPriority w:val="99"/>
    <w:pPr>
      <w:jc w:val="both"/>
    </w:pPr>
  </w:style>
  <w:style w:type="character" w:customStyle="1" w:styleId="74">
    <w:name w:val="EFADisclaimerText Char"/>
    <w:basedOn w:val="22"/>
    <w:link w:val="73"/>
    <w:qFormat/>
    <w:locked/>
    <w:uiPriority w:val="99"/>
    <w:rPr>
      <w:rFonts w:ascii="Calibri" w:hAnsi="Calibri" w:eastAsia="MS Mincho" w:cs="Times New Roman"/>
      <w:snapToGrid w:val="0"/>
      <w:kern w:val="0"/>
      <w:sz w:val="16"/>
      <w:szCs w:val="16"/>
      <w:lang w:eastAsia="ja-JP"/>
    </w:rPr>
  </w:style>
  <w:style w:type="paragraph" w:customStyle="1" w:styleId="75">
    <w:name w:val="TOC 标题1"/>
    <w:basedOn w:val="2"/>
    <w:next w:val="1"/>
    <w:unhideWhenUsed/>
    <w:qFormat/>
    <w:uiPriority w:val="39"/>
    <w:pPr>
      <w:spacing w:after="0" w:line="259" w:lineRule="auto"/>
      <w:outlineLvl w:val="9"/>
    </w:pPr>
    <w:rPr>
      <w:snapToGrid/>
      <w:sz w:val="32"/>
      <w:lang w:eastAsia="zh-CN"/>
    </w:rPr>
  </w:style>
  <w:style w:type="paragraph" w:customStyle="1" w:styleId="76">
    <w:name w:val="【正文】图表标题"/>
    <w:basedOn w:val="77"/>
    <w:qFormat/>
    <w:uiPriority w:val="6"/>
    <w:pPr>
      <w:numPr>
        <w:ilvl w:val="0"/>
        <w:numId w:val="1"/>
      </w:numPr>
      <w:jc w:val="left"/>
    </w:pPr>
    <w:rPr>
      <w:b/>
      <w:bCs/>
    </w:rPr>
  </w:style>
  <w:style w:type="paragraph" w:customStyle="1" w:styleId="77">
    <w:name w:val="【基础样式】"/>
    <w:qFormat/>
    <w:uiPriority w:val="8"/>
    <w:pPr>
      <w:widowControl w:val="0"/>
      <w:adjustRightInd w:val="0"/>
      <w:snapToGrid w:val="0"/>
      <w:jc w:val="both"/>
    </w:pPr>
    <w:rPr>
      <w:rFonts w:ascii="Times New Roman" w:hAnsi="Times New Roman" w:eastAsia="楷体_GB2312" w:cstheme="minorBidi"/>
      <w:kern w:val="2"/>
      <w:sz w:val="21"/>
      <w:szCs w:val="21"/>
      <w:lang w:val="en-US" w:eastAsia="zh-CN" w:bidi="ar-SA"/>
      <w14:ligatures w14:val="standardContextual"/>
    </w:rPr>
  </w:style>
  <w:style w:type="paragraph" w:customStyle="1" w:styleId="78">
    <w:name w:val="【资料来源】"/>
    <w:basedOn w:val="77"/>
    <w:qFormat/>
    <w:uiPriority w:val="7"/>
    <w:rPr>
      <w:sz w:val="15"/>
      <w:szCs w:val="15"/>
    </w:rPr>
  </w:style>
  <w:style w:type="paragraph" w:customStyle="1" w:styleId="79">
    <w:name w:val="样式 标题 2 + 段前: 1 行 段后: 1 行"/>
    <w:basedOn w:val="3"/>
    <w:qFormat/>
    <w:uiPriority w:val="0"/>
    <w:pPr>
      <w:keepLines w:val="0"/>
      <w:spacing w:before="240" w:after="240"/>
    </w:pPr>
    <w:rPr>
      <w:rFonts w:ascii="宋体" w:hAnsi="宋体" w:eastAsia="宋体" w:cs="宋体"/>
      <w:b/>
      <w:bCs/>
      <w:snapToGrid/>
      <w:color w:val="auto"/>
      <w:sz w:val="20"/>
      <w:szCs w:val="20"/>
      <w:lang w:eastAsia="zh-CN"/>
    </w:rPr>
  </w:style>
  <w:style w:type="character" w:customStyle="1" w:styleId="80">
    <w:name w:val="Endnote Text Char"/>
    <w:basedOn w:val="22"/>
    <w:link w:val="12"/>
    <w:semiHidden/>
    <w:qFormat/>
    <w:uiPriority w:val="99"/>
    <w:rPr>
      <w:rFonts w:ascii="Calibri" w:hAnsi="Calibri" w:eastAsia="MS Mincho"/>
      <w:snapToGrid w:val="0"/>
      <w:lang w:val="en-US" w:eastAsia="ja-JP"/>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0" Type="http://schemas.openxmlformats.org/officeDocument/2006/relationships/fontTable" Target="fontTable.xml"/><Relationship Id="rId5" Type="http://schemas.openxmlformats.org/officeDocument/2006/relationships/header" Target="header3.xml"/><Relationship Id="rId49" Type="http://schemas.openxmlformats.org/officeDocument/2006/relationships/customXml" Target="../customXml/item2.xml"/><Relationship Id="rId48" Type="http://schemas.openxmlformats.org/officeDocument/2006/relationships/numbering" Target="numbering.xml"/><Relationship Id="rId47" Type="http://schemas.openxmlformats.org/officeDocument/2006/relationships/customXml" Target="../customXml/item1.xml"/><Relationship Id="rId46" Type="http://schemas.openxmlformats.org/officeDocument/2006/relationships/image" Target="media/image14.png"/><Relationship Id="rId45" Type="http://schemas.openxmlformats.org/officeDocument/2006/relationships/image" Target="media/image13.png"/><Relationship Id="rId44" Type="http://schemas.openxmlformats.org/officeDocument/2006/relationships/image" Target="media/image12.png"/><Relationship Id="rId43" Type="http://schemas.openxmlformats.org/officeDocument/2006/relationships/image" Target="media/image11.png"/><Relationship Id="rId42" Type="http://schemas.openxmlformats.org/officeDocument/2006/relationships/image" Target="media/image10.png"/><Relationship Id="rId41" Type="http://schemas.openxmlformats.org/officeDocument/2006/relationships/chart" Target="charts/chart9.xml"/><Relationship Id="rId40" Type="http://schemas.openxmlformats.org/officeDocument/2006/relationships/chart" Target="charts/chart8.xml"/><Relationship Id="rId4" Type="http://schemas.openxmlformats.org/officeDocument/2006/relationships/header" Target="header2.xml"/><Relationship Id="rId39" Type="http://schemas.openxmlformats.org/officeDocument/2006/relationships/image" Target="media/image9.png"/><Relationship Id="rId38" Type="http://schemas.openxmlformats.org/officeDocument/2006/relationships/chart" Target="charts/chart7.xml"/><Relationship Id="rId37" Type="http://schemas.openxmlformats.org/officeDocument/2006/relationships/chart" Target="charts/chart6.xml"/><Relationship Id="rId36" Type="http://schemas.openxmlformats.org/officeDocument/2006/relationships/chart" Target="charts/chart5.xml"/><Relationship Id="rId35" Type="http://schemas.openxmlformats.org/officeDocument/2006/relationships/image" Target="media/image8.png"/><Relationship Id="rId34" Type="http://schemas.openxmlformats.org/officeDocument/2006/relationships/image" Target="media/image7.png"/><Relationship Id="rId33" Type="http://schemas.openxmlformats.org/officeDocument/2006/relationships/image" Target="media/image6.png"/><Relationship Id="rId32" Type="http://schemas.openxmlformats.org/officeDocument/2006/relationships/image" Target="media/image5.png"/><Relationship Id="rId31" Type="http://schemas.openxmlformats.org/officeDocument/2006/relationships/image" Target="media/image4.png"/><Relationship Id="rId30" Type="http://schemas.openxmlformats.org/officeDocument/2006/relationships/chart" Target="charts/chart4.xml"/><Relationship Id="rId3" Type="http://schemas.openxmlformats.org/officeDocument/2006/relationships/header" Target="header1.xml"/><Relationship Id="rId29" Type="http://schemas.openxmlformats.org/officeDocument/2006/relationships/chart" Target="charts/chart3.xml"/><Relationship Id="rId28" Type="http://schemas.openxmlformats.org/officeDocument/2006/relationships/image" Target="media/image3.png"/><Relationship Id="rId27" Type="http://schemas.openxmlformats.org/officeDocument/2006/relationships/image" Target="media/image2.png"/><Relationship Id="rId26" Type="http://schemas.openxmlformats.org/officeDocument/2006/relationships/image" Target="media/image1.png"/><Relationship Id="rId25" Type="http://schemas.openxmlformats.org/officeDocument/2006/relationships/chart" Target="charts/chart2.xml"/><Relationship Id="rId24" Type="http://schemas.openxmlformats.org/officeDocument/2006/relationships/chart" Target="charts/chart1.xml"/><Relationship Id="rId23" Type="http://schemas.openxmlformats.org/officeDocument/2006/relationships/theme" Target="theme/theme1.xml"/><Relationship Id="rId22" Type="http://schemas.openxmlformats.org/officeDocument/2006/relationships/header" Target="header9.xml"/><Relationship Id="rId21" Type="http://schemas.openxmlformats.org/officeDocument/2006/relationships/header" Target="header8.xml"/><Relationship Id="rId20" Type="http://schemas.openxmlformats.org/officeDocument/2006/relationships/footer" Target="footer11.xml"/><Relationship Id="rId2" Type="http://schemas.openxmlformats.org/officeDocument/2006/relationships/settings" Target="settings.xml"/><Relationship Id="rId19" Type="http://schemas.openxmlformats.org/officeDocument/2006/relationships/header" Target="header7.xml"/><Relationship Id="rId18" Type="http://schemas.openxmlformats.org/officeDocument/2006/relationships/header" Target="header6.xml"/><Relationship Id="rId17" Type="http://schemas.openxmlformats.org/officeDocument/2006/relationships/footer" Target="footer10.xml"/><Relationship Id="rId16" Type="http://schemas.openxmlformats.org/officeDocument/2006/relationships/footer" Target="footer9.xml"/><Relationship Id="rId15" Type="http://schemas.openxmlformats.org/officeDocument/2006/relationships/footer" Target="footer8.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C:\Users\&#35745;&#31639;&#26426;\Downloads\Reports\BE%20initiation\BE.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C:\Users\&#35745;&#31639;&#26426;\Downloads\Reports\BE%20initiation\BE.xlsx"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9.xml"/><Relationship Id="rId2" Type="http://schemas.microsoft.com/office/2011/relationships/chartStyle" Target="style9.xml"/><Relationship Id="rId1" Type="http://schemas.openxmlformats.org/officeDocument/2006/relationships/oleObject" Target="file:///C:\Users\&#35745;&#31639;&#26426;\Downloads\Reports\BE%20initiation\BE.xlsx"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C:\Users\&#35745;&#31639;&#26426;\Downloads\Reports\BE%20initiation\BE.xlsx" TargetMode="External"/></Relationships>
</file>

<file path=word/charts/_rels/chart5.xml.rels><?xml version="1.0" encoding="UTF-8" standalone="yes"?>
<Relationships xmlns="http://schemas.openxmlformats.org/package/2006/relationships"><Relationship Id="rId4" Type="http://schemas.microsoft.com/office/2011/relationships/chartColorStyle" Target="colors5.xml"/><Relationship Id="rId3" Type="http://schemas.microsoft.com/office/2011/relationships/chartStyle" Target="style5.xml"/><Relationship Id="rId2" Type="http://schemas.openxmlformats.org/officeDocument/2006/relationships/themeOverride" Target="../theme/themeOverride1.xml"/><Relationship Id="rId1" Type="http://schemas.openxmlformats.org/officeDocument/2006/relationships/oleObject" Target="file:///C:\Users\&#35745;&#31639;&#26426;\Downloads\Reports\BE%20initiation\BE.xlsx" TargetMode="External"/></Relationships>
</file>

<file path=word/charts/_rels/chart6.xml.rels><?xml version="1.0" encoding="UTF-8" standalone="yes"?>
<Relationships xmlns="http://schemas.openxmlformats.org/package/2006/relationships"><Relationship Id="rId4" Type="http://schemas.microsoft.com/office/2011/relationships/chartColorStyle" Target="colors6.xml"/><Relationship Id="rId3" Type="http://schemas.microsoft.com/office/2011/relationships/chartStyle" Target="style6.xml"/><Relationship Id="rId2" Type="http://schemas.openxmlformats.org/officeDocument/2006/relationships/themeOverride" Target="../theme/themeOverride2.xml"/><Relationship Id="rId1" Type="http://schemas.openxmlformats.org/officeDocument/2006/relationships/oleObject" Target="file:///C:\Users\&#35745;&#31639;&#26426;\Downloads\Reports\BE%20initiation\BE.xlsx" TargetMode="External"/></Relationships>
</file>

<file path=word/charts/_rels/chart7.xml.rels><?xml version="1.0" encoding="UTF-8" standalone="yes"?>
<Relationships xmlns="http://schemas.openxmlformats.org/package/2006/relationships"><Relationship Id="rId4" Type="http://schemas.microsoft.com/office/2011/relationships/chartColorStyle" Target="colors8.xml"/><Relationship Id="rId3" Type="http://schemas.microsoft.com/office/2011/relationships/chartStyle" Target="style8.xml"/><Relationship Id="rId2" Type="http://schemas.openxmlformats.org/officeDocument/2006/relationships/themeOverride" Target="../theme/themeOverride3.xml"/><Relationship Id="rId1" Type="http://schemas.openxmlformats.org/officeDocument/2006/relationships/oleObject" Target="file:///C:\Users\&#35745;&#31639;&#26426;\Downloads\Reports\BE%20initiation\BE.xlsx" TargetMode="External"/></Relationships>
</file>

<file path=word/charts/_rels/chart8.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35745;&#31639;&#26426;\Downloads\Reports\BE%20initiation\BE.xlsx" TargetMode="External"/></Relationships>
</file>

<file path=word/charts/_rels/chart9.xml.rels><?xml version="1.0" encoding="UTF-8" standalone="yes"?>
<Relationships xmlns="http://schemas.openxmlformats.org/package/2006/relationships"><Relationship Id="rId3" Type="http://schemas.microsoft.com/office/2011/relationships/chartColorStyle" Target="colors7.xml"/><Relationship Id="rId2" Type="http://schemas.microsoft.com/office/2011/relationships/chartStyle" Target="style7.xml"/><Relationship Id="rId1" Type="http://schemas.openxmlformats.org/officeDocument/2006/relationships/oleObject" Target="file:///C:\Users\&#35745;&#31639;&#26426;\Downloads\Reports\BE%20initiation\BE.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1976343026121"/>
          <c:y val="0.0446040034812881"/>
          <c:w val="0.868309512074914"/>
          <c:h val="0.830939947780679"/>
        </c:manualLayout>
      </c:layout>
      <c:lineChart>
        <c:grouping val="standard"/>
        <c:varyColors val="0"/>
        <c:ser>
          <c:idx val="0"/>
          <c:order val="0"/>
          <c:tx>
            <c:strRef>
              <c:f>[BE.xlsx]Valuation!$B$2</c:f>
              <c:strCache>
                <c:ptCount val="1"/>
                <c:pt idx="0">
                  <c:v>BE Price Return</c:v>
                </c:pt>
              </c:strCache>
            </c:strRef>
          </c:tx>
          <c:spPr>
            <a:ln w="12700" cap="rnd" cmpd="sng">
              <a:solidFill>
                <a:schemeClr val="accent1"/>
              </a:solidFill>
              <a:prstDash val="solid"/>
              <a:round/>
            </a:ln>
            <a:effectLst/>
          </c:spPr>
          <c:marker>
            <c:symbol val="none"/>
          </c:marker>
          <c:dLbls>
            <c:delete val="1"/>
          </c:dLbls>
          <c:cat>
            <c:numRef>
              <c:f>[BE.xlsx]Valuation!$A$4:$A$255</c:f>
              <c:numCache>
                <c:formatCode>m/d/yyyy</c:formatCode>
                <c:ptCount val="252"/>
                <c:pt idx="0" c:formatCode="m/d/yyyy">
                  <c:v>46014</c:v>
                </c:pt>
                <c:pt idx="1" c:formatCode="m/d/yyyy">
                  <c:v>46013</c:v>
                </c:pt>
                <c:pt idx="2" c:formatCode="m/d/yyyy">
                  <c:v>46010</c:v>
                </c:pt>
                <c:pt idx="3" c:formatCode="m/d/yyyy">
                  <c:v>46009</c:v>
                </c:pt>
                <c:pt idx="4" c:formatCode="m/d/yyyy">
                  <c:v>46008</c:v>
                </c:pt>
                <c:pt idx="5" c:formatCode="m/d/yyyy">
                  <c:v>46007</c:v>
                </c:pt>
                <c:pt idx="6" c:formatCode="m/d/yyyy">
                  <c:v>46006</c:v>
                </c:pt>
                <c:pt idx="7" c:formatCode="m/d/yyyy">
                  <c:v>46003</c:v>
                </c:pt>
                <c:pt idx="8" c:formatCode="m/d/yyyy">
                  <c:v>46002</c:v>
                </c:pt>
                <c:pt idx="9" c:formatCode="m/d/yyyy">
                  <c:v>46001</c:v>
                </c:pt>
                <c:pt idx="10" c:formatCode="m/d/yyyy">
                  <c:v>46000</c:v>
                </c:pt>
                <c:pt idx="11" c:formatCode="m/d/yyyy">
                  <c:v>45999</c:v>
                </c:pt>
                <c:pt idx="12" c:formatCode="m/d/yyyy">
                  <c:v>45996</c:v>
                </c:pt>
                <c:pt idx="13" c:formatCode="m/d/yyyy">
                  <c:v>45995</c:v>
                </c:pt>
                <c:pt idx="14" c:formatCode="m/d/yyyy">
                  <c:v>45994</c:v>
                </c:pt>
                <c:pt idx="15" c:formatCode="m/d/yyyy">
                  <c:v>45993</c:v>
                </c:pt>
                <c:pt idx="16" c:formatCode="m/d/yyyy">
                  <c:v>45992</c:v>
                </c:pt>
                <c:pt idx="17" c:formatCode="m/d/yyyy">
                  <c:v>45989</c:v>
                </c:pt>
                <c:pt idx="18" c:formatCode="m/d/yyyy">
                  <c:v>45987</c:v>
                </c:pt>
                <c:pt idx="19" c:formatCode="m/d/yyyy">
                  <c:v>45986</c:v>
                </c:pt>
                <c:pt idx="20" c:formatCode="m/d/yyyy">
                  <c:v>45985</c:v>
                </c:pt>
                <c:pt idx="21" c:formatCode="m/d/yyyy">
                  <c:v>45982</c:v>
                </c:pt>
                <c:pt idx="22" c:formatCode="m/d/yyyy">
                  <c:v>45981</c:v>
                </c:pt>
                <c:pt idx="23" c:formatCode="m/d/yyyy">
                  <c:v>45980</c:v>
                </c:pt>
                <c:pt idx="24" c:formatCode="m/d/yyyy">
                  <c:v>45979</c:v>
                </c:pt>
                <c:pt idx="25" c:formatCode="m/d/yyyy">
                  <c:v>45978</c:v>
                </c:pt>
                <c:pt idx="26" c:formatCode="m/d/yyyy">
                  <c:v>45975</c:v>
                </c:pt>
                <c:pt idx="27" c:formatCode="m/d/yyyy">
                  <c:v>45974</c:v>
                </c:pt>
                <c:pt idx="28" c:formatCode="m/d/yyyy">
                  <c:v>45973</c:v>
                </c:pt>
                <c:pt idx="29" c:formatCode="m/d/yyyy">
                  <c:v>45972</c:v>
                </c:pt>
                <c:pt idx="30" c:formatCode="m/d/yyyy">
                  <c:v>45971</c:v>
                </c:pt>
                <c:pt idx="31" c:formatCode="m/d/yyyy">
                  <c:v>45968</c:v>
                </c:pt>
                <c:pt idx="32" c:formatCode="m/d/yyyy">
                  <c:v>45967</c:v>
                </c:pt>
                <c:pt idx="33" c:formatCode="m/d/yyyy">
                  <c:v>45966</c:v>
                </c:pt>
                <c:pt idx="34" c:formatCode="m/d/yyyy">
                  <c:v>45965</c:v>
                </c:pt>
                <c:pt idx="35" c:formatCode="m/d/yyyy">
                  <c:v>45964</c:v>
                </c:pt>
                <c:pt idx="36" c:formatCode="m/d/yyyy">
                  <c:v>45961</c:v>
                </c:pt>
                <c:pt idx="37" c:formatCode="m/d/yyyy">
                  <c:v>45960</c:v>
                </c:pt>
                <c:pt idx="38" c:formatCode="m/d/yyyy">
                  <c:v>45959</c:v>
                </c:pt>
                <c:pt idx="39" c:formatCode="m/d/yyyy">
                  <c:v>45958</c:v>
                </c:pt>
                <c:pt idx="40" c:formatCode="m/d/yyyy">
                  <c:v>45957</c:v>
                </c:pt>
                <c:pt idx="41" c:formatCode="m/d/yyyy">
                  <c:v>45954</c:v>
                </c:pt>
                <c:pt idx="42" c:formatCode="m/d/yyyy">
                  <c:v>45953</c:v>
                </c:pt>
                <c:pt idx="43" c:formatCode="m/d/yyyy">
                  <c:v>45952</c:v>
                </c:pt>
                <c:pt idx="44" c:formatCode="m/d/yyyy">
                  <c:v>45951</c:v>
                </c:pt>
                <c:pt idx="45" c:formatCode="m/d/yyyy">
                  <c:v>45950</c:v>
                </c:pt>
                <c:pt idx="46" c:formatCode="m/d/yyyy">
                  <c:v>45947</c:v>
                </c:pt>
                <c:pt idx="47" c:formatCode="m/d/yyyy">
                  <c:v>45946</c:v>
                </c:pt>
                <c:pt idx="48" c:formatCode="m/d/yyyy">
                  <c:v>45945</c:v>
                </c:pt>
                <c:pt idx="49" c:formatCode="m/d/yyyy">
                  <c:v>45944</c:v>
                </c:pt>
                <c:pt idx="50" c:formatCode="m/d/yyyy">
                  <c:v>45943</c:v>
                </c:pt>
                <c:pt idx="51" c:formatCode="m/d/yyyy">
                  <c:v>45940</c:v>
                </c:pt>
                <c:pt idx="52" c:formatCode="m/d/yyyy">
                  <c:v>45939</c:v>
                </c:pt>
                <c:pt idx="53" c:formatCode="m/d/yyyy">
                  <c:v>45938</c:v>
                </c:pt>
                <c:pt idx="54" c:formatCode="m/d/yyyy">
                  <c:v>45937</c:v>
                </c:pt>
                <c:pt idx="55" c:formatCode="m/d/yyyy">
                  <c:v>45936</c:v>
                </c:pt>
                <c:pt idx="56" c:formatCode="m/d/yyyy">
                  <c:v>45933</c:v>
                </c:pt>
                <c:pt idx="57" c:formatCode="m/d/yyyy">
                  <c:v>45932</c:v>
                </c:pt>
                <c:pt idx="58" c:formatCode="m/d/yyyy">
                  <c:v>45931</c:v>
                </c:pt>
                <c:pt idx="59" c:formatCode="m/d/yyyy">
                  <c:v>45930</c:v>
                </c:pt>
                <c:pt idx="60" c:formatCode="m/d/yyyy">
                  <c:v>45929</c:v>
                </c:pt>
                <c:pt idx="61" c:formatCode="m/d/yyyy">
                  <c:v>45926</c:v>
                </c:pt>
                <c:pt idx="62" c:formatCode="m/d/yyyy">
                  <c:v>45925</c:v>
                </c:pt>
                <c:pt idx="63" c:formatCode="m/d/yyyy">
                  <c:v>45924</c:v>
                </c:pt>
                <c:pt idx="64" c:formatCode="m/d/yyyy">
                  <c:v>45923</c:v>
                </c:pt>
                <c:pt idx="65" c:formatCode="m/d/yyyy">
                  <c:v>45922</c:v>
                </c:pt>
                <c:pt idx="66" c:formatCode="m/d/yyyy">
                  <c:v>45919</c:v>
                </c:pt>
                <c:pt idx="67" c:formatCode="m/d/yyyy">
                  <c:v>45918</c:v>
                </c:pt>
                <c:pt idx="68" c:formatCode="m/d/yyyy">
                  <c:v>45917</c:v>
                </c:pt>
                <c:pt idx="69" c:formatCode="m/d/yyyy">
                  <c:v>45916</c:v>
                </c:pt>
                <c:pt idx="70" c:formatCode="m/d/yyyy">
                  <c:v>45915</c:v>
                </c:pt>
                <c:pt idx="71" c:formatCode="m/d/yyyy">
                  <c:v>45912</c:v>
                </c:pt>
                <c:pt idx="72" c:formatCode="m/d/yyyy">
                  <c:v>45911</c:v>
                </c:pt>
                <c:pt idx="73" c:formatCode="m/d/yyyy">
                  <c:v>45910</c:v>
                </c:pt>
                <c:pt idx="74" c:formatCode="m/d/yyyy">
                  <c:v>45909</c:v>
                </c:pt>
                <c:pt idx="75" c:formatCode="m/d/yyyy">
                  <c:v>45908</c:v>
                </c:pt>
                <c:pt idx="76" c:formatCode="m/d/yyyy">
                  <c:v>45905</c:v>
                </c:pt>
                <c:pt idx="77" c:formatCode="m/d/yyyy">
                  <c:v>45904</c:v>
                </c:pt>
                <c:pt idx="78" c:formatCode="m/d/yyyy">
                  <c:v>45903</c:v>
                </c:pt>
                <c:pt idx="79" c:formatCode="m/d/yyyy">
                  <c:v>45902</c:v>
                </c:pt>
                <c:pt idx="80" c:formatCode="m/d/yyyy">
                  <c:v>45898</c:v>
                </c:pt>
                <c:pt idx="81" c:formatCode="m/d/yyyy">
                  <c:v>45897</c:v>
                </c:pt>
                <c:pt idx="82" c:formatCode="m/d/yyyy">
                  <c:v>45896</c:v>
                </c:pt>
                <c:pt idx="83" c:formatCode="m/d/yyyy">
                  <c:v>45895</c:v>
                </c:pt>
                <c:pt idx="84" c:formatCode="m/d/yyyy">
                  <c:v>45894</c:v>
                </c:pt>
                <c:pt idx="85" c:formatCode="m/d/yyyy">
                  <c:v>45891</c:v>
                </c:pt>
                <c:pt idx="86" c:formatCode="m/d/yyyy">
                  <c:v>45890</c:v>
                </c:pt>
                <c:pt idx="87" c:formatCode="m/d/yyyy">
                  <c:v>45889</c:v>
                </c:pt>
                <c:pt idx="88" c:formatCode="m/d/yyyy">
                  <c:v>45888</c:v>
                </c:pt>
                <c:pt idx="89" c:formatCode="m/d/yyyy">
                  <c:v>45887</c:v>
                </c:pt>
                <c:pt idx="90" c:formatCode="m/d/yyyy">
                  <c:v>45884</c:v>
                </c:pt>
                <c:pt idx="91" c:formatCode="m/d/yyyy">
                  <c:v>45883</c:v>
                </c:pt>
                <c:pt idx="92" c:formatCode="m/d/yyyy">
                  <c:v>45882</c:v>
                </c:pt>
                <c:pt idx="93" c:formatCode="m/d/yyyy">
                  <c:v>45881</c:v>
                </c:pt>
                <c:pt idx="94" c:formatCode="m/d/yyyy">
                  <c:v>45880</c:v>
                </c:pt>
                <c:pt idx="95" c:formatCode="m/d/yyyy">
                  <c:v>45877</c:v>
                </c:pt>
                <c:pt idx="96" c:formatCode="m/d/yyyy">
                  <c:v>45876</c:v>
                </c:pt>
                <c:pt idx="97" c:formatCode="m/d/yyyy">
                  <c:v>45875</c:v>
                </c:pt>
                <c:pt idx="98" c:formatCode="m/d/yyyy">
                  <c:v>45874</c:v>
                </c:pt>
                <c:pt idx="99" c:formatCode="m/d/yyyy">
                  <c:v>45873</c:v>
                </c:pt>
                <c:pt idx="100" c:formatCode="m/d/yyyy">
                  <c:v>45870</c:v>
                </c:pt>
                <c:pt idx="101" c:formatCode="m/d/yyyy">
                  <c:v>45869</c:v>
                </c:pt>
                <c:pt idx="102" c:formatCode="m/d/yyyy">
                  <c:v>45868</c:v>
                </c:pt>
                <c:pt idx="103" c:formatCode="m/d/yyyy">
                  <c:v>45867</c:v>
                </c:pt>
                <c:pt idx="104" c:formatCode="m/d/yyyy">
                  <c:v>45866</c:v>
                </c:pt>
                <c:pt idx="105" c:formatCode="m/d/yyyy">
                  <c:v>45863</c:v>
                </c:pt>
                <c:pt idx="106" c:formatCode="m/d/yyyy">
                  <c:v>45862</c:v>
                </c:pt>
                <c:pt idx="107" c:formatCode="m/d/yyyy">
                  <c:v>45861</c:v>
                </c:pt>
                <c:pt idx="108" c:formatCode="m/d/yyyy">
                  <c:v>45860</c:v>
                </c:pt>
                <c:pt idx="109" c:formatCode="m/d/yyyy">
                  <c:v>45859</c:v>
                </c:pt>
                <c:pt idx="110" c:formatCode="m/d/yyyy">
                  <c:v>45856</c:v>
                </c:pt>
                <c:pt idx="111" c:formatCode="m/d/yyyy">
                  <c:v>45855</c:v>
                </c:pt>
                <c:pt idx="112" c:formatCode="m/d/yyyy">
                  <c:v>45854</c:v>
                </c:pt>
                <c:pt idx="113" c:formatCode="m/d/yyyy">
                  <c:v>45853</c:v>
                </c:pt>
                <c:pt idx="114" c:formatCode="m/d/yyyy">
                  <c:v>45852</c:v>
                </c:pt>
                <c:pt idx="115" c:formatCode="m/d/yyyy">
                  <c:v>45849</c:v>
                </c:pt>
                <c:pt idx="116" c:formatCode="m/d/yyyy">
                  <c:v>45848</c:v>
                </c:pt>
                <c:pt idx="117" c:formatCode="m/d/yyyy">
                  <c:v>45847</c:v>
                </c:pt>
                <c:pt idx="118" c:formatCode="m/d/yyyy">
                  <c:v>45846</c:v>
                </c:pt>
                <c:pt idx="119" c:formatCode="m/d/yyyy">
                  <c:v>45845</c:v>
                </c:pt>
                <c:pt idx="120" c:formatCode="m/d/yyyy">
                  <c:v>45841</c:v>
                </c:pt>
                <c:pt idx="121" c:formatCode="m/d/yyyy">
                  <c:v>45840</c:v>
                </c:pt>
                <c:pt idx="122" c:formatCode="m/d/yyyy">
                  <c:v>45839</c:v>
                </c:pt>
                <c:pt idx="123" c:formatCode="m/d/yyyy">
                  <c:v>45838</c:v>
                </c:pt>
                <c:pt idx="124" c:formatCode="m/d/yyyy">
                  <c:v>45835</c:v>
                </c:pt>
                <c:pt idx="125" c:formatCode="m/d/yyyy">
                  <c:v>45834</c:v>
                </c:pt>
                <c:pt idx="126" c:formatCode="m/d/yyyy">
                  <c:v>45833</c:v>
                </c:pt>
                <c:pt idx="127" c:formatCode="m/d/yyyy">
                  <c:v>45832</c:v>
                </c:pt>
                <c:pt idx="128" c:formatCode="m/d/yyyy">
                  <c:v>45831</c:v>
                </c:pt>
                <c:pt idx="129" c:formatCode="m/d/yyyy">
                  <c:v>45828</c:v>
                </c:pt>
                <c:pt idx="130" c:formatCode="m/d/yyyy">
                  <c:v>45826</c:v>
                </c:pt>
                <c:pt idx="131" c:formatCode="m/d/yyyy">
                  <c:v>45825</c:v>
                </c:pt>
                <c:pt idx="132" c:formatCode="m/d/yyyy">
                  <c:v>45824</c:v>
                </c:pt>
                <c:pt idx="133" c:formatCode="m/d/yyyy">
                  <c:v>45821</c:v>
                </c:pt>
                <c:pt idx="134" c:formatCode="m/d/yyyy">
                  <c:v>45820</c:v>
                </c:pt>
                <c:pt idx="135" c:formatCode="m/d/yyyy">
                  <c:v>45819</c:v>
                </c:pt>
                <c:pt idx="136" c:formatCode="m/d/yyyy">
                  <c:v>45818</c:v>
                </c:pt>
                <c:pt idx="137" c:formatCode="m/d/yyyy">
                  <c:v>45817</c:v>
                </c:pt>
                <c:pt idx="138" c:formatCode="m/d/yyyy">
                  <c:v>45814</c:v>
                </c:pt>
                <c:pt idx="139" c:formatCode="m/d/yyyy">
                  <c:v>45813</c:v>
                </c:pt>
                <c:pt idx="140" c:formatCode="m/d/yyyy">
                  <c:v>45812</c:v>
                </c:pt>
                <c:pt idx="141" c:formatCode="m/d/yyyy">
                  <c:v>45811</c:v>
                </c:pt>
                <c:pt idx="142" c:formatCode="m/d/yyyy">
                  <c:v>45810</c:v>
                </c:pt>
                <c:pt idx="143" c:formatCode="m/d/yyyy">
                  <c:v>45807</c:v>
                </c:pt>
                <c:pt idx="144" c:formatCode="m/d/yyyy">
                  <c:v>45806</c:v>
                </c:pt>
                <c:pt idx="145" c:formatCode="m/d/yyyy">
                  <c:v>45805</c:v>
                </c:pt>
                <c:pt idx="146" c:formatCode="m/d/yyyy">
                  <c:v>45804</c:v>
                </c:pt>
                <c:pt idx="147" c:formatCode="m/d/yyyy">
                  <c:v>45800</c:v>
                </c:pt>
                <c:pt idx="148" c:formatCode="m/d/yyyy">
                  <c:v>45799</c:v>
                </c:pt>
                <c:pt idx="149" c:formatCode="m/d/yyyy">
                  <c:v>45798</c:v>
                </c:pt>
                <c:pt idx="150" c:formatCode="m/d/yyyy">
                  <c:v>45797</c:v>
                </c:pt>
                <c:pt idx="151" c:formatCode="m/d/yyyy">
                  <c:v>45796</c:v>
                </c:pt>
                <c:pt idx="152" c:formatCode="m/d/yyyy">
                  <c:v>45793</c:v>
                </c:pt>
                <c:pt idx="153" c:formatCode="m/d/yyyy">
                  <c:v>45792</c:v>
                </c:pt>
                <c:pt idx="154" c:formatCode="m/d/yyyy">
                  <c:v>45791</c:v>
                </c:pt>
                <c:pt idx="155" c:formatCode="m/d/yyyy">
                  <c:v>45790</c:v>
                </c:pt>
                <c:pt idx="156" c:formatCode="m/d/yyyy">
                  <c:v>45789</c:v>
                </c:pt>
                <c:pt idx="157" c:formatCode="m/d/yyyy">
                  <c:v>45786</c:v>
                </c:pt>
                <c:pt idx="158" c:formatCode="m/d/yyyy">
                  <c:v>45785</c:v>
                </c:pt>
                <c:pt idx="159" c:formatCode="m/d/yyyy">
                  <c:v>45784</c:v>
                </c:pt>
                <c:pt idx="160" c:formatCode="m/d/yyyy">
                  <c:v>45783</c:v>
                </c:pt>
                <c:pt idx="161" c:formatCode="m/d/yyyy">
                  <c:v>45782</c:v>
                </c:pt>
                <c:pt idx="162" c:formatCode="m/d/yyyy">
                  <c:v>45779</c:v>
                </c:pt>
                <c:pt idx="163" c:formatCode="m/d/yyyy">
                  <c:v>45778</c:v>
                </c:pt>
                <c:pt idx="164" c:formatCode="m/d/yyyy">
                  <c:v>45777</c:v>
                </c:pt>
                <c:pt idx="165" c:formatCode="m/d/yyyy">
                  <c:v>45776</c:v>
                </c:pt>
                <c:pt idx="166" c:formatCode="m/d/yyyy">
                  <c:v>45775</c:v>
                </c:pt>
                <c:pt idx="167" c:formatCode="m/d/yyyy">
                  <c:v>45772</c:v>
                </c:pt>
                <c:pt idx="168" c:formatCode="m/d/yyyy">
                  <c:v>45771</c:v>
                </c:pt>
                <c:pt idx="169" c:formatCode="m/d/yyyy">
                  <c:v>45770</c:v>
                </c:pt>
                <c:pt idx="170" c:formatCode="m/d/yyyy">
                  <c:v>45769</c:v>
                </c:pt>
                <c:pt idx="171" c:formatCode="m/d/yyyy">
                  <c:v>45768</c:v>
                </c:pt>
                <c:pt idx="172" c:formatCode="m/d/yyyy">
                  <c:v>45764</c:v>
                </c:pt>
                <c:pt idx="173" c:formatCode="m/d/yyyy">
                  <c:v>45763</c:v>
                </c:pt>
                <c:pt idx="174" c:formatCode="m/d/yyyy">
                  <c:v>45762</c:v>
                </c:pt>
                <c:pt idx="175" c:formatCode="m/d/yyyy">
                  <c:v>45761</c:v>
                </c:pt>
                <c:pt idx="176" c:formatCode="m/d/yyyy">
                  <c:v>45758</c:v>
                </c:pt>
                <c:pt idx="177" c:formatCode="m/d/yyyy">
                  <c:v>45757</c:v>
                </c:pt>
                <c:pt idx="178" c:formatCode="m/d/yyyy">
                  <c:v>45756</c:v>
                </c:pt>
                <c:pt idx="179" c:formatCode="m/d/yyyy">
                  <c:v>45755</c:v>
                </c:pt>
                <c:pt idx="180" c:formatCode="m/d/yyyy">
                  <c:v>45754</c:v>
                </c:pt>
                <c:pt idx="181" c:formatCode="m/d/yyyy">
                  <c:v>45751</c:v>
                </c:pt>
                <c:pt idx="182" c:formatCode="m/d/yyyy">
                  <c:v>45750</c:v>
                </c:pt>
                <c:pt idx="183" c:formatCode="m/d/yyyy">
                  <c:v>45749</c:v>
                </c:pt>
                <c:pt idx="184" c:formatCode="m/d/yyyy">
                  <c:v>45748</c:v>
                </c:pt>
                <c:pt idx="185" c:formatCode="m/d/yyyy">
                  <c:v>45747</c:v>
                </c:pt>
                <c:pt idx="186" c:formatCode="m/d/yyyy">
                  <c:v>45744</c:v>
                </c:pt>
                <c:pt idx="187" c:formatCode="m/d/yyyy">
                  <c:v>45743</c:v>
                </c:pt>
                <c:pt idx="188" c:formatCode="m/d/yyyy">
                  <c:v>45742</c:v>
                </c:pt>
                <c:pt idx="189" c:formatCode="m/d/yyyy">
                  <c:v>45741</c:v>
                </c:pt>
                <c:pt idx="190" c:formatCode="m/d/yyyy">
                  <c:v>45740</c:v>
                </c:pt>
                <c:pt idx="191" c:formatCode="m/d/yyyy">
                  <c:v>45737</c:v>
                </c:pt>
                <c:pt idx="192" c:formatCode="m/d/yyyy">
                  <c:v>45736</c:v>
                </c:pt>
                <c:pt idx="193" c:formatCode="m/d/yyyy">
                  <c:v>45735</c:v>
                </c:pt>
                <c:pt idx="194" c:formatCode="m/d/yyyy">
                  <c:v>45734</c:v>
                </c:pt>
                <c:pt idx="195" c:formatCode="m/d/yyyy">
                  <c:v>45733</c:v>
                </c:pt>
                <c:pt idx="196" c:formatCode="m/d/yyyy">
                  <c:v>45730</c:v>
                </c:pt>
                <c:pt idx="197" c:formatCode="m/d/yyyy">
                  <c:v>45729</c:v>
                </c:pt>
                <c:pt idx="198" c:formatCode="m/d/yyyy">
                  <c:v>45728</c:v>
                </c:pt>
                <c:pt idx="199" c:formatCode="m/d/yyyy">
                  <c:v>45727</c:v>
                </c:pt>
                <c:pt idx="200" c:formatCode="m/d/yyyy">
                  <c:v>45726</c:v>
                </c:pt>
                <c:pt idx="201" c:formatCode="m/d/yyyy">
                  <c:v>45723</c:v>
                </c:pt>
                <c:pt idx="202" c:formatCode="m/d/yyyy">
                  <c:v>45722</c:v>
                </c:pt>
                <c:pt idx="203" c:formatCode="m/d/yyyy">
                  <c:v>45721</c:v>
                </c:pt>
                <c:pt idx="204" c:formatCode="m/d/yyyy">
                  <c:v>45720</c:v>
                </c:pt>
                <c:pt idx="205" c:formatCode="m/d/yyyy">
                  <c:v>45719</c:v>
                </c:pt>
                <c:pt idx="206" c:formatCode="m/d/yyyy">
                  <c:v>45716</c:v>
                </c:pt>
                <c:pt idx="207" c:formatCode="m/d/yyyy">
                  <c:v>45715</c:v>
                </c:pt>
                <c:pt idx="208" c:formatCode="m/d/yyyy">
                  <c:v>45714</c:v>
                </c:pt>
                <c:pt idx="209" c:formatCode="m/d/yyyy">
                  <c:v>45713</c:v>
                </c:pt>
                <c:pt idx="210" c:formatCode="m/d/yyyy">
                  <c:v>45712</c:v>
                </c:pt>
                <c:pt idx="211" c:formatCode="m/d/yyyy">
                  <c:v>45709</c:v>
                </c:pt>
                <c:pt idx="212" c:formatCode="m/d/yyyy">
                  <c:v>45708</c:v>
                </c:pt>
                <c:pt idx="213" c:formatCode="m/d/yyyy">
                  <c:v>45707</c:v>
                </c:pt>
                <c:pt idx="214" c:formatCode="m/d/yyyy">
                  <c:v>45706</c:v>
                </c:pt>
                <c:pt idx="215" c:formatCode="m/d/yyyy">
                  <c:v>45702</c:v>
                </c:pt>
                <c:pt idx="216" c:formatCode="m/d/yyyy">
                  <c:v>45701</c:v>
                </c:pt>
                <c:pt idx="217" c:formatCode="m/d/yyyy">
                  <c:v>45700</c:v>
                </c:pt>
                <c:pt idx="218" c:formatCode="m/d/yyyy">
                  <c:v>45699</c:v>
                </c:pt>
                <c:pt idx="219" c:formatCode="m/d/yyyy">
                  <c:v>45698</c:v>
                </c:pt>
                <c:pt idx="220" c:formatCode="m/d/yyyy">
                  <c:v>45695</c:v>
                </c:pt>
                <c:pt idx="221" c:formatCode="m/d/yyyy">
                  <c:v>45694</c:v>
                </c:pt>
                <c:pt idx="222" c:formatCode="m/d/yyyy">
                  <c:v>45693</c:v>
                </c:pt>
                <c:pt idx="223" c:formatCode="m/d/yyyy">
                  <c:v>45692</c:v>
                </c:pt>
                <c:pt idx="224" c:formatCode="m/d/yyyy">
                  <c:v>45691</c:v>
                </c:pt>
                <c:pt idx="225" c:formatCode="m/d/yyyy">
                  <c:v>45688</c:v>
                </c:pt>
                <c:pt idx="226" c:formatCode="m/d/yyyy">
                  <c:v>45687</c:v>
                </c:pt>
                <c:pt idx="227" c:formatCode="m/d/yyyy">
                  <c:v>45686</c:v>
                </c:pt>
                <c:pt idx="228" c:formatCode="m/d/yyyy">
                  <c:v>45685</c:v>
                </c:pt>
                <c:pt idx="229" c:formatCode="m/d/yyyy">
                  <c:v>45684</c:v>
                </c:pt>
                <c:pt idx="230" c:formatCode="m/d/yyyy">
                  <c:v>45681</c:v>
                </c:pt>
                <c:pt idx="231" c:formatCode="m/d/yyyy">
                  <c:v>45680</c:v>
                </c:pt>
                <c:pt idx="232" c:formatCode="m/d/yyyy">
                  <c:v>45679</c:v>
                </c:pt>
                <c:pt idx="233" c:formatCode="m/d/yyyy">
                  <c:v>45678</c:v>
                </c:pt>
                <c:pt idx="234" c:formatCode="m/d/yyyy">
                  <c:v>45677</c:v>
                </c:pt>
                <c:pt idx="235" c:formatCode="m/d/yyyy">
                  <c:v>45674</c:v>
                </c:pt>
                <c:pt idx="236" c:formatCode="m/d/yyyy">
                  <c:v>45673</c:v>
                </c:pt>
                <c:pt idx="237" c:formatCode="m/d/yyyy">
                  <c:v>45672</c:v>
                </c:pt>
                <c:pt idx="238" c:formatCode="m/d/yyyy">
                  <c:v>45671</c:v>
                </c:pt>
                <c:pt idx="239" c:formatCode="m/d/yyyy">
                  <c:v>45670</c:v>
                </c:pt>
                <c:pt idx="240" c:formatCode="m/d/yyyy">
                  <c:v>45667</c:v>
                </c:pt>
                <c:pt idx="241" c:formatCode="m/d/yyyy">
                  <c:v>45665</c:v>
                </c:pt>
                <c:pt idx="242" c:formatCode="m/d/yyyy">
                  <c:v>45664</c:v>
                </c:pt>
                <c:pt idx="243" c:formatCode="m/d/yyyy">
                  <c:v>45663</c:v>
                </c:pt>
                <c:pt idx="244" c:formatCode="m/d/yyyy">
                  <c:v>45660</c:v>
                </c:pt>
                <c:pt idx="245" c:formatCode="m/d/yyyy">
                  <c:v>45659</c:v>
                </c:pt>
                <c:pt idx="246" c:formatCode="m/d/yyyy">
                  <c:v>45658</c:v>
                </c:pt>
                <c:pt idx="247" c:formatCode="m/d/yyyy">
                  <c:v>45657</c:v>
                </c:pt>
                <c:pt idx="248" c:formatCode="m/d/yyyy">
                  <c:v>45656</c:v>
                </c:pt>
                <c:pt idx="249" c:formatCode="m/d/yyyy">
                  <c:v>45653</c:v>
                </c:pt>
                <c:pt idx="250" c:formatCode="m/d/yyyy">
                  <c:v>45652</c:v>
                </c:pt>
                <c:pt idx="251" c:formatCode="m/d/yyyy">
                  <c:v>45650</c:v>
                </c:pt>
              </c:numCache>
            </c:numRef>
          </c:cat>
          <c:val>
            <c:numRef>
              <c:f>[BE.xlsx]Valuation!$B$4:$B$255</c:f>
              <c:numCache>
                <c:formatCode>General</c:formatCode>
                <c:ptCount val="252"/>
                <c:pt idx="0">
                  <c:v>91.43</c:v>
                </c:pt>
                <c:pt idx="1">
                  <c:v>92.26</c:v>
                </c:pt>
                <c:pt idx="2">
                  <c:v>88.82</c:v>
                </c:pt>
                <c:pt idx="3">
                  <c:v>80.21</c:v>
                </c:pt>
                <c:pt idx="4">
                  <c:v>76.97</c:v>
                </c:pt>
                <c:pt idx="5">
                  <c:v>87.61</c:v>
                </c:pt>
                <c:pt idx="6">
                  <c:v>89.58</c:v>
                </c:pt>
                <c:pt idx="7">
                  <c:v>94.98</c:v>
                </c:pt>
                <c:pt idx="8">
                  <c:v>108.99</c:v>
                </c:pt>
                <c:pt idx="9">
                  <c:v>101.29</c:v>
                </c:pt>
                <c:pt idx="10">
                  <c:v>109.44</c:v>
                </c:pt>
                <c:pt idx="11">
                  <c:v>111.79</c:v>
                </c:pt>
                <c:pt idx="12">
                  <c:v>119.18</c:v>
                </c:pt>
                <c:pt idx="13">
                  <c:v>118.09</c:v>
                </c:pt>
                <c:pt idx="14">
                  <c:v>102.5</c:v>
                </c:pt>
                <c:pt idx="15">
                  <c:v>105</c:v>
                </c:pt>
                <c:pt idx="16">
                  <c:v>98.93</c:v>
                </c:pt>
                <c:pt idx="17">
                  <c:v>109.24</c:v>
                </c:pt>
                <c:pt idx="18">
                  <c:v>101.14</c:v>
                </c:pt>
                <c:pt idx="19">
                  <c:v>94.29</c:v>
                </c:pt>
                <c:pt idx="20">
                  <c:v>95.56</c:v>
                </c:pt>
                <c:pt idx="21">
                  <c:v>89.99</c:v>
                </c:pt>
                <c:pt idx="22">
                  <c:v>93.38</c:v>
                </c:pt>
                <c:pt idx="23">
                  <c:v>108.93</c:v>
                </c:pt>
                <c:pt idx="24">
                  <c:v>104.97</c:v>
                </c:pt>
                <c:pt idx="25">
                  <c:v>107.11</c:v>
                </c:pt>
                <c:pt idx="26">
                  <c:v>111.89</c:v>
                </c:pt>
                <c:pt idx="27">
                  <c:v>103.55</c:v>
                </c:pt>
                <c:pt idx="28">
                  <c:v>126.72</c:v>
                </c:pt>
                <c:pt idx="29">
                  <c:v>127.07</c:v>
                </c:pt>
                <c:pt idx="30">
                  <c:v>139.23</c:v>
                </c:pt>
                <c:pt idx="31">
                  <c:v>135.21</c:v>
                </c:pt>
                <c:pt idx="32">
                  <c:v>136.86</c:v>
                </c:pt>
                <c:pt idx="33">
                  <c:v>141.41</c:v>
                </c:pt>
                <c:pt idx="34">
                  <c:v>129.05</c:v>
                </c:pt>
                <c:pt idx="35">
                  <c:v>142.37</c:v>
                </c:pt>
                <c:pt idx="36">
                  <c:v>132.16</c:v>
                </c:pt>
                <c:pt idx="37">
                  <c:v>127.85</c:v>
                </c:pt>
                <c:pt idx="38">
                  <c:v>133.71</c:v>
                </c:pt>
                <c:pt idx="39">
                  <c:v>113.28</c:v>
                </c:pt>
                <c:pt idx="40">
                  <c:v>108.53</c:v>
                </c:pt>
                <c:pt idx="41">
                  <c:v>110.38</c:v>
                </c:pt>
                <c:pt idx="42">
                  <c:v>101.42</c:v>
                </c:pt>
                <c:pt idx="43">
                  <c:v>94.37</c:v>
                </c:pt>
                <c:pt idx="44">
                  <c:v>104.38</c:v>
                </c:pt>
                <c:pt idx="45">
                  <c:v>109.06</c:v>
                </c:pt>
                <c:pt idx="46">
                  <c:v>111.5</c:v>
                </c:pt>
                <c:pt idx="47">
                  <c:v>115.09</c:v>
                </c:pt>
                <c:pt idx="48">
                  <c:v>116.58</c:v>
                </c:pt>
                <c:pt idx="49">
                  <c:v>114.06</c:v>
                </c:pt>
                <c:pt idx="50">
                  <c:v>109.91</c:v>
                </c:pt>
                <c:pt idx="51">
                  <c:v>86.87</c:v>
                </c:pt>
                <c:pt idx="52">
                  <c:v>86.65</c:v>
                </c:pt>
                <c:pt idx="53">
                  <c:v>87.58</c:v>
                </c:pt>
                <c:pt idx="54">
                  <c:v>86.06</c:v>
                </c:pt>
                <c:pt idx="55">
                  <c:v>86.97</c:v>
                </c:pt>
                <c:pt idx="56">
                  <c:v>90.29</c:v>
                </c:pt>
                <c:pt idx="57">
                  <c:v>88</c:v>
                </c:pt>
                <c:pt idx="58">
                  <c:v>90.19</c:v>
                </c:pt>
                <c:pt idx="59">
                  <c:v>84.57</c:v>
                </c:pt>
                <c:pt idx="60">
                  <c:v>73.6</c:v>
                </c:pt>
                <c:pt idx="61">
                  <c:v>70.32</c:v>
                </c:pt>
                <c:pt idx="62">
                  <c:v>68.69</c:v>
                </c:pt>
                <c:pt idx="63">
                  <c:v>69.18</c:v>
                </c:pt>
                <c:pt idx="64">
                  <c:v>77.38</c:v>
                </c:pt>
                <c:pt idx="65">
                  <c:v>86.27</c:v>
                </c:pt>
                <c:pt idx="66">
                  <c:v>84.93</c:v>
                </c:pt>
                <c:pt idx="67">
                  <c:v>80.97</c:v>
                </c:pt>
                <c:pt idx="68">
                  <c:v>79.67</c:v>
                </c:pt>
                <c:pt idx="69">
                  <c:v>73.29</c:v>
                </c:pt>
                <c:pt idx="70">
                  <c:v>67.02</c:v>
                </c:pt>
                <c:pt idx="71">
                  <c:v>67.26</c:v>
                </c:pt>
                <c:pt idx="72">
                  <c:v>67.29</c:v>
                </c:pt>
                <c:pt idx="73">
                  <c:v>62.96</c:v>
                </c:pt>
                <c:pt idx="74">
                  <c:v>55</c:v>
                </c:pt>
                <c:pt idx="75">
                  <c:v>53.44</c:v>
                </c:pt>
                <c:pt idx="76">
                  <c:v>57.07</c:v>
                </c:pt>
                <c:pt idx="77">
                  <c:v>54.91</c:v>
                </c:pt>
                <c:pt idx="78">
                  <c:v>52.45</c:v>
                </c:pt>
                <c:pt idx="79">
                  <c:v>51.35</c:v>
                </c:pt>
                <c:pt idx="80">
                  <c:v>52.94</c:v>
                </c:pt>
                <c:pt idx="81">
                  <c:v>54.8</c:v>
                </c:pt>
                <c:pt idx="82">
                  <c:v>50.85</c:v>
                </c:pt>
                <c:pt idx="83">
                  <c:v>49.94</c:v>
                </c:pt>
                <c:pt idx="84">
                  <c:v>49.35</c:v>
                </c:pt>
                <c:pt idx="85">
                  <c:v>48.54</c:v>
                </c:pt>
                <c:pt idx="86">
                  <c:v>44.83</c:v>
                </c:pt>
                <c:pt idx="87">
                  <c:v>44.51</c:v>
                </c:pt>
                <c:pt idx="88">
                  <c:v>43.1</c:v>
                </c:pt>
                <c:pt idx="89">
                  <c:v>46.5</c:v>
                </c:pt>
                <c:pt idx="90">
                  <c:v>45.28</c:v>
                </c:pt>
                <c:pt idx="91">
                  <c:v>45.11</c:v>
                </c:pt>
                <c:pt idx="92">
                  <c:v>44.08</c:v>
                </c:pt>
                <c:pt idx="93">
                  <c:v>41.25</c:v>
                </c:pt>
                <c:pt idx="94">
                  <c:v>37.65</c:v>
                </c:pt>
                <c:pt idx="95">
                  <c:v>36.8</c:v>
                </c:pt>
                <c:pt idx="96">
                  <c:v>36.8</c:v>
                </c:pt>
                <c:pt idx="97">
                  <c:v>38.86</c:v>
                </c:pt>
                <c:pt idx="98">
                  <c:v>37.61</c:v>
                </c:pt>
                <c:pt idx="99">
                  <c:v>36.1</c:v>
                </c:pt>
                <c:pt idx="100">
                  <c:v>36.72</c:v>
                </c:pt>
                <c:pt idx="101">
                  <c:v>37.39</c:v>
                </c:pt>
                <c:pt idx="102">
                  <c:v>37.62</c:v>
                </c:pt>
                <c:pt idx="103">
                  <c:v>34.75</c:v>
                </c:pt>
                <c:pt idx="104">
                  <c:v>34.78</c:v>
                </c:pt>
                <c:pt idx="105">
                  <c:v>34.34</c:v>
                </c:pt>
                <c:pt idx="106">
                  <c:v>33.06</c:v>
                </c:pt>
                <c:pt idx="107">
                  <c:v>26.89</c:v>
                </c:pt>
                <c:pt idx="108">
                  <c:v>25.93</c:v>
                </c:pt>
                <c:pt idx="109">
                  <c:v>25.36</c:v>
                </c:pt>
                <c:pt idx="110">
                  <c:v>24.99</c:v>
                </c:pt>
                <c:pt idx="111">
                  <c:v>24.31</c:v>
                </c:pt>
                <c:pt idx="112">
                  <c:v>24.69</c:v>
                </c:pt>
                <c:pt idx="113">
                  <c:v>25.31</c:v>
                </c:pt>
                <c:pt idx="114">
                  <c:v>25.96</c:v>
                </c:pt>
                <c:pt idx="115">
                  <c:v>25.4</c:v>
                </c:pt>
                <c:pt idx="116">
                  <c:v>25.85</c:v>
                </c:pt>
                <c:pt idx="117">
                  <c:v>28.71</c:v>
                </c:pt>
                <c:pt idx="118">
                  <c:v>24.3</c:v>
                </c:pt>
                <c:pt idx="119">
                  <c:v>24.36</c:v>
                </c:pt>
                <c:pt idx="120">
                  <c:v>24.24</c:v>
                </c:pt>
                <c:pt idx="121">
                  <c:v>22.56</c:v>
                </c:pt>
                <c:pt idx="122">
                  <c:v>22.13</c:v>
                </c:pt>
                <c:pt idx="123">
                  <c:v>23.92</c:v>
                </c:pt>
                <c:pt idx="124">
                  <c:v>22.18</c:v>
                </c:pt>
                <c:pt idx="125">
                  <c:v>22.33</c:v>
                </c:pt>
                <c:pt idx="126">
                  <c:v>21.6</c:v>
                </c:pt>
                <c:pt idx="127">
                  <c:v>22.95</c:v>
                </c:pt>
                <c:pt idx="128">
                  <c:v>22.56</c:v>
                </c:pt>
                <c:pt idx="129">
                  <c:v>21.75</c:v>
                </c:pt>
                <c:pt idx="130">
                  <c:v>21.5</c:v>
                </c:pt>
                <c:pt idx="131">
                  <c:v>21.34</c:v>
                </c:pt>
                <c:pt idx="132">
                  <c:v>22.91</c:v>
                </c:pt>
                <c:pt idx="133">
                  <c:v>21.95</c:v>
                </c:pt>
                <c:pt idx="134">
                  <c:v>22.25</c:v>
                </c:pt>
                <c:pt idx="135">
                  <c:v>22.53</c:v>
                </c:pt>
                <c:pt idx="136">
                  <c:v>21.63</c:v>
                </c:pt>
                <c:pt idx="137">
                  <c:v>21.43</c:v>
                </c:pt>
                <c:pt idx="138">
                  <c:v>21.78</c:v>
                </c:pt>
                <c:pt idx="139">
                  <c:v>20.45</c:v>
                </c:pt>
                <c:pt idx="140">
                  <c:v>20.25</c:v>
                </c:pt>
                <c:pt idx="141">
                  <c:v>20.41</c:v>
                </c:pt>
                <c:pt idx="142">
                  <c:v>18.28</c:v>
                </c:pt>
                <c:pt idx="143">
                  <c:v>18.47</c:v>
                </c:pt>
                <c:pt idx="144">
                  <c:v>18.57</c:v>
                </c:pt>
                <c:pt idx="145">
                  <c:v>19.59</c:v>
                </c:pt>
                <c:pt idx="146">
                  <c:v>19.76</c:v>
                </c:pt>
                <c:pt idx="147">
                  <c:v>19.48</c:v>
                </c:pt>
                <c:pt idx="148">
                  <c:v>18.37</c:v>
                </c:pt>
                <c:pt idx="149">
                  <c:v>18.21</c:v>
                </c:pt>
                <c:pt idx="150">
                  <c:v>19.11</c:v>
                </c:pt>
                <c:pt idx="151">
                  <c:v>19.23</c:v>
                </c:pt>
                <c:pt idx="152">
                  <c:v>20.11</c:v>
                </c:pt>
                <c:pt idx="153">
                  <c:v>19.82</c:v>
                </c:pt>
                <c:pt idx="154">
                  <c:v>20.25</c:v>
                </c:pt>
                <c:pt idx="155">
                  <c:v>19.16</c:v>
                </c:pt>
                <c:pt idx="156">
                  <c:v>18.91</c:v>
                </c:pt>
                <c:pt idx="157">
                  <c:v>17.62</c:v>
                </c:pt>
                <c:pt idx="158">
                  <c:v>17.24</c:v>
                </c:pt>
                <c:pt idx="159">
                  <c:v>16.53</c:v>
                </c:pt>
                <c:pt idx="160">
                  <c:v>16.34</c:v>
                </c:pt>
                <c:pt idx="161">
                  <c:v>16.32</c:v>
                </c:pt>
                <c:pt idx="162">
                  <c:v>16.44</c:v>
                </c:pt>
                <c:pt idx="163">
                  <c:v>16.81</c:v>
                </c:pt>
                <c:pt idx="164">
                  <c:v>18.32</c:v>
                </c:pt>
                <c:pt idx="165">
                  <c:v>18.91</c:v>
                </c:pt>
                <c:pt idx="166">
                  <c:v>19.24</c:v>
                </c:pt>
                <c:pt idx="167">
                  <c:v>18.93</c:v>
                </c:pt>
                <c:pt idx="168">
                  <c:v>18.14</c:v>
                </c:pt>
                <c:pt idx="169">
                  <c:v>17.26</c:v>
                </c:pt>
                <c:pt idx="170">
                  <c:v>16.88</c:v>
                </c:pt>
                <c:pt idx="171">
                  <c:v>16.38</c:v>
                </c:pt>
                <c:pt idx="172">
                  <c:v>17</c:v>
                </c:pt>
                <c:pt idx="173">
                  <c:v>17.83</c:v>
                </c:pt>
                <c:pt idx="174">
                  <c:v>18.31</c:v>
                </c:pt>
                <c:pt idx="175">
                  <c:v>17.9</c:v>
                </c:pt>
                <c:pt idx="176">
                  <c:v>17.64</c:v>
                </c:pt>
                <c:pt idx="177">
                  <c:v>16.85</c:v>
                </c:pt>
                <c:pt idx="178">
                  <c:v>17.87</c:v>
                </c:pt>
                <c:pt idx="179">
                  <c:v>17.02</c:v>
                </c:pt>
                <c:pt idx="180">
                  <c:v>17.24</c:v>
                </c:pt>
                <c:pt idx="181">
                  <c:v>16.6</c:v>
                </c:pt>
                <c:pt idx="182">
                  <c:v>19.34</c:v>
                </c:pt>
                <c:pt idx="183">
                  <c:v>21.12</c:v>
                </c:pt>
                <c:pt idx="184">
                  <c:v>21.24</c:v>
                </c:pt>
                <c:pt idx="185">
                  <c:v>19.66</c:v>
                </c:pt>
                <c:pt idx="186">
                  <c:v>20.33</c:v>
                </c:pt>
                <c:pt idx="187">
                  <c:v>21.99</c:v>
                </c:pt>
                <c:pt idx="188">
                  <c:v>22.28</c:v>
                </c:pt>
                <c:pt idx="189">
                  <c:v>23.11</c:v>
                </c:pt>
                <c:pt idx="190">
                  <c:v>23.03</c:v>
                </c:pt>
                <c:pt idx="191">
                  <c:v>23.95</c:v>
                </c:pt>
                <c:pt idx="192">
                  <c:v>25.41</c:v>
                </c:pt>
                <c:pt idx="193">
                  <c:v>24.31</c:v>
                </c:pt>
                <c:pt idx="194">
                  <c:v>23.81</c:v>
                </c:pt>
                <c:pt idx="195">
                  <c:v>24.19</c:v>
                </c:pt>
                <c:pt idx="196">
                  <c:v>24.47</c:v>
                </c:pt>
                <c:pt idx="197">
                  <c:v>23.93</c:v>
                </c:pt>
                <c:pt idx="198">
                  <c:v>24.55</c:v>
                </c:pt>
                <c:pt idx="199">
                  <c:v>25</c:v>
                </c:pt>
                <c:pt idx="200">
                  <c:v>22.62</c:v>
                </c:pt>
                <c:pt idx="201">
                  <c:v>23.08</c:v>
                </c:pt>
                <c:pt idx="202">
                  <c:v>22.39</c:v>
                </c:pt>
                <c:pt idx="203">
                  <c:v>24.12</c:v>
                </c:pt>
                <c:pt idx="204">
                  <c:v>22.7</c:v>
                </c:pt>
                <c:pt idx="205">
                  <c:v>23.42</c:v>
                </c:pt>
                <c:pt idx="206">
                  <c:v>24.02</c:v>
                </c:pt>
                <c:pt idx="207">
                  <c:v>23.04</c:v>
                </c:pt>
                <c:pt idx="208">
                  <c:v>23.4</c:v>
                </c:pt>
                <c:pt idx="209">
                  <c:v>21.97</c:v>
                </c:pt>
                <c:pt idx="210">
                  <c:v>22.7</c:v>
                </c:pt>
                <c:pt idx="211">
                  <c:v>24.17</c:v>
                </c:pt>
                <c:pt idx="212">
                  <c:v>25.99</c:v>
                </c:pt>
                <c:pt idx="213">
                  <c:v>26.5</c:v>
                </c:pt>
                <c:pt idx="214">
                  <c:v>26.02</c:v>
                </c:pt>
                <c:pt idx="215">
                  <c:v>25.41</c:v>
                </c:pt>
                <c:pt idx="216">
                  <c:v>24.71</c:v>
                </c:pt>
                <c:pt idx="217">
                  <c:v>23.48</c:v>
                </c:pt>
                <c:pt idx="218">
                  <c:v>24.07</c:v>
                </c:pt>
                <c:pt idx="219">
                  <c:v>25.39</c:v>
                </c:pt>
                <c:pt idx="220">
                  <c:v>24.78</c:v>
                </c:pt>
                <c:pt idx="221">
                  <c:v>24.78</c:v>
                </c:pt>
                <c:pt idx="222">
                  <c:v>24.26</c:v>
                </c:pt>
                <c:pt idx="223">
                  <c:v>23.11</c:v>
                </c:pt>
                <c:pt idx="224">
                  <c:v>23.57</c:v>
                </c:pt>
                <c:pt idx="225">
                  <c:v>23.58</c:v>
                </c:pt>
                <c:pt idx="226">
                  <c:v>23.52</c:v>
                </c:pt>
                <c:pt idx="227">
                  <c:v>22.38</c:v>
                </c:pt>
                <c:pt idx="228">
                  <c:v>20.4</c:v>
                </c:pt>
                <c:pt idx="229">
                  <c:v>22.42</c:v>
                </c:pt>
                <c:pt idx="230">
                  <c:v>29.81</c:v>
                </c:pt>
                <c:pt idx="231">
                  <c:v>27.67</c:v>
                </c:pt>
                <c:pt idx="232">
                  <c:v>25.53</c:v>
                </c:pt>
                <c:pt idx="233">
                  <c:v>25.75</c:v>
                </c:pt>
                <c:pt idx="234">
                  <c:v>26.75</c:v>
                </c:pt>
                <c:pt idx="235">
                  <c:v>23.92</c:v>
                </c:pt>
                <c:pt idx="236">
                  <c:v>23.56</c:v>
                </c:pt>
                <c:pt idx="237">
                  <c:v>22.65</c:v>
                </c:pt>
                <c:pt idx="238">
                  <c:v>22.3</c:v>
                </c:pt>
                <c:pt idx="239">
                  <c:v>23.03</c:v>
                </c:pt>
                <c:pt idx="240">
                  <c:v>23.58</c:v>
                </c:pt>
                <c:pt idx="241">
                  <c:v>24.38</c:v>
                </c:pt>
                <c:pt idx="242">
                  <c:v>25.06</c:v>
                </c:pt>
                <c:pt idx="243">
                  <c:v>25.48</c:v>
                </c:pt>
                <c:pt idx="244">
                  <c:v>24.32</c:v>
                </c:pt>
                <c:pt idx="245">
                  <c:v>23.37</c:v>
                </c:pt>
                <c:pt idx="246">
                  <c:v>24.37</c:v>
                </c:pt>
                <c:pt idx="247">
                  <c:v>22.21</c:v>
                </c:pt>
                <c:pt idx="248">
                  <c:v>22.51</c:v>
                </c:pt>
                <c:pt idx="249">
                  <c:v>22.9</c:v>
                </c:pt>
                <c:pt idx="250">
                  <c:v>24.33</c:v>
                </c:pt>
                <c:pt idx="251">
                  <c:v>24.33</c:v>
                </c:pt>
              </c:numCache>
            </c:numRef>
          </c:val>
          <c:smooth val="0"/>
        </c:ser>
        <c:dLbls>
          <c:showLegendKey val="0"/>
          <c:showVal val="0"/>
          <c:showCatName val="0"/>
          <c:showSerName val="0"/>
          <c:showPercent val="0"/>
          <c:showBubbleSize val="0"/>
        </c:dLbls>
        <c:marker val="0"/>
        <c:smooth val="0"/>
        <c:axId val="424942261"/>
        <c:axId val="490728831"/>
      </c:lineChart>
      <c:dateAx>
        <c:axId val="424942261"/>
        <c:scaling>
          <c:orientation val="minMax"/>
        </c:scaling>
        <c:delete val="1"/>
        <c:axPos val="b"/>
        <c:numFmt formatCode="m&quot;月&quot;d&quot;日&quot;" sourceLinked="0"/>
        <c:majorTickMark val="out"/>
        <c:minorTickMark val="none"/>
        <c:tickLblPos val="nextTo"/>
        <c:txPr>
          <a:bodyPr rot="-60000000" spcFirstLastPara="0" vertOverflow="ellipsis" vert="horz" wrap="square" anchor="ctr" anchorCtr="1"/>
          <a:lstStyle/>
          <a:p>
            <a:pPr>
              <a:defRPr lang="zh-CN" sz="6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p>
        </c:txPr>
        <c:crossAx val="490728831"/>
        <c:crosses val="autoZero"/>
        <c:auto val="1"/>
        <c:lblOffset val="100"/>
        <c:baseTimeUnit val="days"/>
      </c:dateAx>
      <c:valAx>
        <c:axId val="490728831"/>
        <c:scaling>
          <c:orientation val="minMax"/>
        </c:scaling>
        <c:delete val="0"/>
        <c:axPos val="l"/>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6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p>
        </c:txPr>
        <c:crossAx val="424942261"/>
        <c:crosses val="autoZero"/>
        <c:crossBetween val="between"/>
      </c:valAx>
      <c:spPr>
        <a:noFill/>
        <a:ln>
          <a:noFill/>
        </a:ln>
        <a:effectLst/>
      </c:spPr>
    </c:plotArea>
    <c:legend>
      <c:legendPos val="b"/>
      <c:legendEntry>
        <c:idx val="0"/>
        <c:txPr>
          <a:bodyPr rot="0" spcFirstLastPara="0" vertOverflow="ellipsis" vert="horz" wrap="square" anchor="ctr" anchorCtr="1"/>
          <a:lstStyle/>
          <a:p>
            <a:pPr>
              <a:defRPr lang="zh-CN" sz="600" b="0" i="0" u="none" strike="noStrike" kern="1200" baseline="-2500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p>
        </c:txPr>
      </c:legendEntry>
      <c:layout>
        <c:manualLayout>
          <c:xMode val="edge"/>
          <c:yMode val="edge"/>
          <c:x val="0.36914736323312"/>
          <c:y val="0.924216908049848"/>
        </c:manualLayout>
      </c:layout>
      <c:overlay val="0"/>
      <c:spPr>
        <a:noFill/>
        <a:ln>
          <a:noFill/>
        </a:ln>
        <a:effectLst/>
      </c:spPr>
      <c:txPr>
        <a:bodyPr rot="0" spcFirstLastPara="0" vertOverflow="ellipsis" vert="horz" wrap="square" anchor="ctr" anchorCtr="1"/>
        <a:lstStyle/>
        <a:p>
          <a:pPr>
            <a:defRPr lang="zh-CN" sz="600" b="0" i="0" u="none" strike="noStrike" kern="1200" baseline="3000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p>
      </c:txPr>
    </c:legend>
    <c:plotVisOnly val="1"/>
    <c:dispBlanksAs val="gap"/>
    <c:showDLblsOverMax val="0"/>
    <c:extLst>
      <c:ext uri="{0b15fc19-7d7d-44ad-8c2d-2c3a37ce22c3}">
        <chartProps xmlns="https://web.wps.cn/et/2018/main" chartId="{082d19af-5dd6-46e8-8b8a-c3499aae3793}"/>
      </c:ext>
    </c:extLst>
  </c:chart>
  <c:spPr>
    <a:noFill/>
    <a:ln w="9525" cap="flat" cmpd="sng" algn="ctr">
      <a:noFill/>
      <a:round/>
    </a:ln>
    <a:effectLst/>
  </c:spPr>
  <c:txPr>
    <a:bodyPr/>
    <a:lstStyle/>
    <a:p>
      <a:pPr>
        <a:defRPr lang="zh-CN" sz="600">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485460818137"/>
          <c:y val="0.0444299956653663"/>
          <c:w val="0.837752587481518"/>
          <c:h val="0.622930212397052"/>
        </c:manualLayout>
      </c:layout>
      <c:barChart>
        <c:barDir val="col"/>
        <c:grouping val="clustered"/>
        <c:varyColors val="0"/>
        <c:ser>
          <c:idx val="0"/>
          <c:order val="0"/>
          <c:tx>
            <c:strRef>
              <c:f>[BE.xlsx]Valuation!$C$2</c:f>
              <c:strCache>
                <c:ptCount val="1"/>
                <c:pt idx="0">
                  <c:v>Volume</c:v>
                </c:pt>
              </c:strCache>
            </c:strRef>
          </c:tx>
          <c:spPr>
            <a:solidFill>
              <a:schemeClr val="accent1"/>
            </a:solidFill>
            <a:ln w="15875" cmpd="sng">
              <a:solidFill>
                <a:schemeClr val="accent1"/>
              </a:solidFill>
              <a:prstDash val="solid"/>
            </a:ln>
            <a:effectLst/>
            <a:sp3d contourW="15875"/>
          </c:spPr>
          <c:invertIfNegative val="0"/>
          <c:dLbls>
            <c:delete val="1"/>
          </c:dLbls>
          <c:cat>
            <c:numRef>
              <c:f>[BE.xlsx]Valuation!$A$4:$A$255</c:f>
              <c:numCache>
                <c:formatCode>m/d/yyyy</c:formatCode>
                <c:ptCount val="252"/>
                <c:pt idx="0" c:formatCode="m/d/yyyy">
                  <c:v>46014</c:v>
                </c:pt>
                <c:pt idx="1" c:formatCode="m/d/yyyy">
                  <c:v>46013</c:v>
                </c:pt>
                <c:pt idx="2" c:formatCode="m/d/yyyy">
                  <c:v>46010</c:v>
                </c:pt>
                <c:pt idx="3" c:formatCode="m/d/yyyy">
                  <c:v>46009</c:v>
                </c:pt>
                <c:pt idx="4" c:formatCode="m/d/yyyy">
                  <c:v>46008</c:v>
                </c:pt>
                <c:pt idx="5" c:formatCode="m/d/yyyy">
                  <c:v>46007</c:v>
                </c:pt>
                <c:pt idx="6" c:formatCode="m/d/yyyy">
                  <c:v>46006</c:v>
                </c:pt>
                <c:pt idx="7" c:formatCode="m/d/yyyy">
                  <c:v>46003</c:v>
                </c:pt>
                <c:pt idx="8" c:formatCode="m/d/yyyy">
                  <c:v>46002</c:v>
                </c:pt>
                <c:pt idx="9" c:formatCode="m/d/yyyy">
                  <c:v>46001</c:v>
                </c:pt>
                <c:pt idx="10" c:formatCode="m/d/yyyy">
                  <c:v>46000</c:v>
                </c:pt>
                <c:pt idx="11" c:formatCode="m/d/yyyy">
                  <c:v>45999</c:v>
                </c:pt>
                <c:pt idx="12" c:formatCode="m/d/yyyy">
                  <c:v>45996</c:v>
                </c:pt>
                <c:pt idx="13" c:formatCode="m/d/yyyy">
                  <c:v>45995</c:v>
                </c:pt>
                <c:pt idx="14" c:formatCode="m/d/yyyy">
                  <c:v>45994</c:v>
                </c:pt>
                <c:pt idx="15" c:formatCode="m/d/yyyy">
                  <c:v>45993</c:v>
                </c:pt>
                <c:pt idx="16" c:formatCode="m/d/yyyy">
                  <c:v>45992</c:v>
                </c:pt>
                <c:pt idx="17" c:formatCode="m/d/yyyy">
                  <c:v>45989</c:v>
                </c:pt>
                <c:pt idx="18" c:formatCode="m/d/yyyy">
                  <c:v>45987</c:v>
                </c:pt>
                <c:pt idx="19" c:formatCode="m/d/yyyy">
                  <c:v>45986</c:v>
                </c:pt>
                <c:pt idx="20" c:formatCode="m/d/yyyy">
                  <c:v>45985</c:v>
                </c:pt>
                <c:pt idx="21" c:formatCode="m/d/yyyy">
                  <c:v>45982</c:v>
                </c:pt>
                <c:pt idx="22" c:formatCode="m/d/yyyy">
                  <c:v>45981</c:v>
                </c:pt>
                <c:pt idx="23" c:formatCode="m/d/yyyy">
                  <c:v>45980</c:v>
                </c:pt>
                <c:pt idx="24" c:formatCode="m/d/yyyy">
                  <c:v>45979</c:v>
                </c:pt>
                <c:pt idx="25" c:formatCode="m/d/yyyy">
                  <c:v>45978</c:v>
                </c:pt>
                <c:pt idx="26" c:formatCode="m/d/yyyy">
                  <c:v>45975</c:v>
                </c:pt>
                <c:pt idx="27" c:formatCode="m/d/yyyy">
                  <c:v>45974</c:v>
                </c:pt>
                <c:pt idx="28" c:formatCode="m/d/yyyy">
                  <c:v>45973</c:v>
                </c:pt>
                <c:pt idx="29" c:formatCode="m/d/yyyy">
                  <c:v>45972</c:v>
                </c:pt>
                <c:pt idx="30" c:formatCode="m/d/yyyy">
                  <c:v>45971</c:v>
                </c:pt>
                <c:pt idx="31" c:formatCode="m/d/yyyy">
                  <c:v>45968</c:v>
                </c:pt>
                <c:pt idx="32" c:formatCode="m/d/yyyy">
                  <c:v>45967</c:v>
                </c:pt>
                <c:pt idx="33" c:formatCode="m/d/yyyy">
                  <c:v>45966</c:v>
                </c:pt>
                <c:pt idx="34" c:formatCode="m/d/yyyy">
                  <c:v>45965</c:v>
                </c:pt>
                <c:pt idx="35" c:formatCode="m/d/yyyy">
                  <c:v>45964</c:v>
                </c:pt>
                <c:pt idx="36" c:formatCode="m/d/yyyy">
                  <c:v>45961</c:v>
                </c:pt>
                <c:pt idx="37" c:formatCode="m/d/yyyy">
                  <c:v>45960</c:v>
                </c:pt>
                <c:pt idx="38" c:formatCode="m/d/yyyy">
                  <c:v>45959</c:v>
                </c:pt>
                <c:pt idx="39" c:formatCode="m/d/yyyy">
                  <c:v>45958</c:v>
                </c:pt>
                <c:pt idx="40" c:formatCode="m/d/yyyy">
                  <c:v>45957</c:v>
                </c:pt>
                <c:pt idx="41" c:formatCode="m/d/yyyy">
                  <c:v>45954</c:v>
                </c:pt>
                <c:pt idx="42" c:formatCode="m/d/yyyy">
                  <c:v>45953</c:v>
                </c:pt>
                <c:pt idx="43" c:formatCode="m/d/yyyy">
                  <c:v>45952</c:v>
                </c:pt>
                <c:pt idx="44" c:formatCode="m/d/yyyy">
                  <c:v>45951</c:v>
                </c:pt>
                <c:pt idx="45" c:formatCode="m/d/yyyy">
                  <c:v>45950</c:v>
                </c:pt>
                <c:pt idx="46" c:formatCode="m/d/yyyy">
                  <c:v>45947</c:v>
                </c:pt>
                <c:pt idx="47" c:formatCode="m/d/yyyy">
                  <c:v>45946</c:v>
                </c:pt>
                <c:pt idx="48" c:formatCode="m/d/yyyy">
                  <c:v>45945</c:v>
                </c:pt>
                <c:pt idx="49" c:formatCode="m/d/yyyy">
                  <c:v>45944</c:v>
                </c:pt>
                <c:pt idx="50" c:formatCode="m/d/yyyy">
                  <c:v>45943</c:v>
                </c:pt>
                <c:pt idx="51" c:formatCode="m/d/yyyy">
                  <c:v>45940</c:v>
                </c:pt>
                <c:pt idx="52" c:formatCode="m/d/yyyy">
                  <c:v>45939</c:v>
                </c:pt>
                <c:pt idx="53" c:formatCode="m/d/yyyy">
                  <c:v>45938</c:v>
                </c:pt>
                <c:pt idx="54" c:formatCode="m/d/yyyy">
                  <c:v>45937</c:v>
                </c:pt>
                <c:pt idx="55" c:formatCode="m/d/yyyy">
                  <c:v>45936</c:v>
                </c:pt>
                <c:pt idx="56" c:formatCode="m/d/yyyy">
                  <c:v>45933</c:v>
                </c:pt>
                <c:pt idx="57" c:formatCode="m/d/yyyy">
                  <c:v>45932</c:v>
                </c:pt>
                <c:pt idx="58" c:formatCode="m/d/yyyy">
                  <c:v>45931</c:v>
                </c:pt>
                <c:pt idx="59" c:formatCode="m/d/yyyy">
                  <c:v>45930</c:v>
                </c:pt>
                <c:pt idx="60" c:formatCode="m/d/yyyy">
                  <c:v>45929</c:v>
                </c:pt>
                <c:pt idx="61" c:formatCode="m/d/yyyy">
                  <c:v>45926</c:v>
                </c:pt>
                <c:pt idx="62" c:formatCode="m/d/yyyy">
                  <c:v>45925</c:v>
                </c:pt>
                <c:pt idx="63" c:formatCode="m/d/yyyy">
                  <c:v>45924</c:v>
                </c:pt>
                <c:pt idx="64" c:formatCode="m/d/yyyy">
                  <c:v>45923</c:v>
                </c:pt>
                <c:pt idx="65" c:formatCode="m/d/yyyy">
                  <c:v>45922</c:v>
                </c:pt>
                <c:pt idx="66" c:formatCode="m/d/yyyy">
                  <c:v>45919</c:v>
                </c:pt>
                <c:pt idx="67" c:formatCode="m/d/yyyy">
                  <c:v>45918</c:v>
                </c:pt>
                <c:pt idx="68" c:formatCode="m/d/yyyy">
                  <c:v>45917</c:v>
                </c:pt>
                <c:pt idx="69" c:formatCode="m/d/yyyy">
                  <c:v>45916</c:v>
                </c:pt>
                <c:pt idx="70" c:formatCode="m/d/yyyy">
                  <c:v>45915</c:v>
                </c:pt>
                <c:pt idx="71" c:formatCode="m/d/yyyy">
                  <c:v>45912</c:v>
                </c:pt>
                <c:pt idx="72" c:formatCode="m/d/yyyy">
                  <c:v>45911</c:v>
                </c:pt>
                <c:pt idx="73" c:formatCode="m/d/yyyy">
                  <c:v>45910</c:v>
                </c:pt>
                <c:pt idx="74" c:formatCode="m/d/yyyy">
                  <c:v>45909</c:v>
                </c:pt>
                <c:pt idx="75" c:formatCode="m/d/yyyy">
                  <c:v>45908</c:v>
                </c:pt>
                <c:pt idx="76" c:formatCode="m/d/yyyy">
                  <c:v>45905</c:v>
                </c:pt>
                <c:pt idx="77" c:formatCode="m/d/yyyy">
                  <c:v>45904</c:v>
                </c:pt>
                <c:pt idx="78" c:formatCode="m/d/yyyy">
                  <c:v>45903</c:v>
                </c:pt>
                <c:pt idx="79" c:formatCode="m/d/yyyy">
                  <c:v>45902</c:v>
                </c:pt>
                <c:pt idx="80" c:formatCode="m/d/yyyy">
                  <c:v>45898</c:v>
                </c:pt>
                <c:pt idx="81" c:formatCode="m/d/yyyy">
                  <c:v>45897</c:v>
                </c:pt>
                <c:pt idx="82" c:formatCode="m/d/yyyy">
                  <c:v>45896</c:v>
                </c:pt>
                <c:pt idx="83" c:formatCode="m/d/yyyy">
                  <c:v>45895</c:v>
                </c:pt>
                <c:pt idx="84" c:formatCode="m/d/yyyy">
                  <c:v>45894</c:v>
                </c:pt>
                <c:pt idx="85" c:formatCode="m/d/yyyy">
                  <c:v>45891</c:v>
                </c:pt>
                <c:pt idx="86" c:formatCode="m/d/yyyy">
                  <c:v>45890</c:v>
                </c:pt>
                <c:pt idx="87" c:formatCode="m/d/yyyy">
                  <c:v>45889</c:v>
                </c:pt>
                <c:pt idx="88" c:formatCode="m/d/yyyy">
                  <c:v>45888</c:v>
                </c:pt>
                <c:pt idx="89" c:formatCode="m/d/yyyy">
                  <c:v>45887</c:v>
                </c:pt>
                <c:pt idx="90" c:formatCode="m/d/yyyy">
                  <c:v>45884</c:v>
                </c:pt>
                <c:pt idx="91" c:formatCode="m/d/yyyy">
                  <c:v>45883</c:v>
                </c:pt>
                <c:pt idx="92" c:formatCode="m/d/yyyy">
                  <c:v>45882</c:v>
                </c:pt>
                <c:pt idx="93" c:formatCode="m/d/yyyy">
                  <c:v>45881</c:v>
                </c:pt>
                <c:pt idx="94" c:formatCode="m/d/yyyy">
                  <c:v>45880</c:v>
                </c:pt>
                <c:pt idx="95" c:formatCode="m/d/yyyy">
                  <c:v>45877</c:v>
                </c:pt>
                <c:pt idx="96" c:formatCode="m/d/yyyy">
                  <c:v>45876</c:v>
                </c:pt>
                <c:pt idx="97" c:formatCode="m/d/yyyy">
                  <c:v>45875</c:v>
                </c:pt>
                <c:pt idx="98" c:formatCode="m/d/yyyy">
                  <c:v>45874</c:v>
                </c:pt>
                <c:pt idx="99" c:formatCode="m/d/yyyy">
                  <c:v>45873</c:v>
                </c:pt>
                <c:pt idx="100" c:formatCode="m/d/yyyy">
                  <c:v>45870</c:v>
                </c:pt>
                <c:pt idx="101" c:formatCode="m/d/yyyy">
                  <c:v>45869</c:v>
                </c:pt>
                <c:pt idx="102" c:formatCode="m/d/yyyy">
                  <c:v>45868</c:v>
                </c:pt>
                <c:pt idx="103" c:formatCode="m/d/yyyy">
                  <c:v>45867</c:v>
                </c:pt>
                <c:pt idx="104" c:formatCode="m/d/yyyy">
                  <c:v>45866</c:v>
                </c:pt>
                <c:pt idx="105" c:formatCode="m/d/yyyy">
                  <c:v>45863</c:v>
                </c:pt>
                <c:pt idx="106" c:formatCode="m/d/yyyy">
                  <c:v>45862</c:v>
                </c:pt>
                <c:pt idx="107" c:formatCode="m/d/yyyy">
                  <c:v>45861</c:v>
                </c:pt>
                <c:pt idx="108" c:formatCode="m/d/yyyy">
                  <c:v>45860</c:v>
                </c:pt>
                <c:pt idx="109" c:formatCode="m/d/yyyy">
                  <c:v>45859</c:v>
                </c:pt>
                <c:pt idx="110" c:formatCode="m/d/yyyy">
                  <c:v>45856</c:v>
                </c:pt>
                <c:pt idx="111" c:formatCode="m/d/yyyy">
                  <c:v>45855</c:v>
                </c:pt>
                <c:pt idx="112" c:formatCode="m/d/yyyy">
                  <c:v>45854</c:v>
                </c:pt>
                <c:pt idx="113" c:formatCode="m/d/yyyy">
                  <c:v>45853</c:v>
                </c:pt>
                <c:pt idx="114" c:formatCode="m/d/yyyy">
                  <c:v>45852</c:v>
                </c:pt>
                <c:pt idx="115" c:formatCode="m/d/yyyy">
                  <c:v>45849</c:v>
                </c:pt>
                <c:pt idx="116" c:formatCode="m/d/yyyy">
                  <c:v>45848</c:v>
                </c:pt>
                <c:pt idx="117" c:formatCode="m/d/yyyy">
                  <c:v>45847</c:v>
                </c:pt>
                <c:pt idx="118" c:formatCode="m/d/yyyy">
                  <c:v>45846</c:v>
                </c:pt>
                <c:pt idx="119" c:formatCode="m/d/yyyy">
                  <c:v>45845</c:v>
                </c:pt>
                <c:pt idx="120" c:formatCode="m/d/yyyy">
                  <c:v>45841</c:v>
                </c:pt>
                <c:pt idx="121" c:formatCode="m/d/yyyy">
                  <c:v>45840</c:v>
                </c:pt>
                <c:pt idx="122" c:formatCode="m/d/yyyy">
                  <c:v>45839</c:v>
                </c:pt>
                <c:pt idx="123" c:formatCode="m/d/yyyy">
                  <c:v>45838</c:v>
                </c:pt>
                <c:pt idx="124" c:formatCode="m/d/yyyy">
                  <c:v>45835</c:v>
                </c:pt>
                <c:pt idx="125" c:formatCode="m/d/yyyy">
                  <c:v>45834</c:v>
                </c:pt>
                <c:pt idx="126" c:formatCode="m/d/yyyy">
                  <c:v>45833</c:v>
                </c:pt>
                <c:pt idx="127" c:formatCode="m/d/yyyy">
                  <c:v>45832</c:v>
                </c:pt>
                <c:pt idx="128" c:formatCode="m/d/yyyy">
                  <c:v>45831</c:v>
                </c:pt>
                <c:pt idx="129" c:formatCode="m/d/yyyy">
                  <c:v>45828</c:v>
                </c:pt>
                <c:pt idx="130" c:formatCode="m/d/yyyy">
                  <c:v>45826</c:v>
                </c:pt>
                <c:pt idx="131" c:formatCode="m/d/yyyy">
                  <c:v>45825</c:v>
                </c:pt>
                <c:pt idx="132" c:formatCode="m/d/yyyy">
                  <c:v>45824</c:v>
                </c:pt>
                <c:pt idx="133" c:formatCode="m/d/yyyy">
                  <c:v>45821</c:v>
                </c:pt>
                <c:pt idx="134" c:formatCode="m/d/yyyy">
                  <c:v>45820</c:v>
                </c:pt>
                <c:pt idx="135" c:formatCode="m/d/yyyy">
                  <c:v>45819</c:v>
                </c:pt>
                <c:pt idx="136" c:formatCode="m/d/yyyy">
                  <c:v>45818</c:v>
                </c:pt>
                <c:pt idx="137" c:formatCode="m/d/yyyy">
                  <c:v>45817</c:v>
                </c:pt>
                <c:pt idx="138" c:formatCode="m/d/yyyy">
                  <c:v>45814</c:v>
                </c:pt>
                <c:pt idx="139" c:formatCode="m/d/yyyy">
                  <c:v>45813</c:v>
                </c:pt>
                <c:pt idx="140" c:formatCode="m/d/yyyy">
                  <c:v>45812</c:v>
                </c:pt>
                <c:pt idx="141" c:formatCode="m/d/yyyy">
                  <c:v>45811</c:v>
                </c:pt>
                <c:pt idx="142" c:formatCode="m/d/yyyy">
                  <c:v>45810</c:v>
                </c:pt>
                <c:pt idx="143" c:formatCode="m/d/yyyy">
                  <c:v>45807</c:v>
                </c:pt>
                <c:pt idx="144" c:formatCode="m/d/yyyy">
                  <c:v>45806</c:v>
                </c:pt>
                <c:pt idx="145" c:formatCode="m/d/yyyy">
                  <c:v>45805</c:v>
                </c:pt>
                <c:pt idx="146" c:formatCode="m/d/yyyy">
                  <c:v>45804</c:v>
                </c:pt>
                <c:pt idx="147" c:formatCode="m/d/yyyy">
                  <c:v>45800</c:v>
                </c:pt>
                <c:pt idx="148" c:formatCode="m/d/yyyy">
                  <c:v>45799</c:v>
                </c:pt>
                <c:pt idx="149" c:formatCode="m/d/yyyy">
                  <c:v>45798</c:v>
                </c:pt>
                <c:pt idx="150" c:formatCode="m/d/yyyy">
                  <c:v>45797</c:v>
                </c:pt>
                <c:pt idx="151" c:formatCode="m/d/yyyy">
                  <c:v>45796</c:v>
                </c:pt>
                <c:pt idx="152" c:formatCode="m/d/yyyy">
                  <c:v>45793</c:v>
                </c:pt>
                <c:pt idx="153" c:formatCode="m/d/yyyy">
                  <c:v>45792</c:v>
                </c:pt>
                <c:pt idx="154" c:formatCode="m/d/yyyy">
                  <c:v>45791</c:v>
                </c:pt>
                <c:pt idx="155" c:formatCode="m/d/yyyy">
                  <c:v>45790</c:v>
                </c:pt>
                <c:pt idx="156" c:formatCode="m/d/yyyy">
                  <c:v>45789</c:v>
                </c:pt>
                <c:pt idx="157" c:formatCode="m/d/yyyy">
                  <c:v>45786</c:v>
                </c:pt>
                <c:pt idx="158" c:formatCode="m/d/yyyy">
                  <c:v>45785</c:v>
                </c:pt>
                <c:pt idx="159" c:formatCode="m/d/yyyy">
                  <c:v>45784</c:v>
                </c:pt>
                <c:pt idx="160" c:formatCode="m/d/yyyy">
                  <c:v>45783</c:v>
                </c:pt>
                <c:pt idx="161" c:formatCode="m/d/yyyy">
                  <c:v>45782</c:v>
                </c:pt>
                <c:pt idx="162" c:formatCode="m/d/yyyy">
                  <c:v>45779</c:v>
                </c:pt>
                <c:pt idx="163" c:formatCode="m/d/yyyy">
                  <c:v>45778</c:v>
                </c:pt>
                <c:pt idx="164" c:formatCode="m/d/yyyy">
                  <c:v>45777</c:v>
                </c:pt>
                <c:pt idx="165" c:formatCode="m/d/yyyy">
                  <c:v>45776</c:v>
                </c:pt>
                <c:pt idx="166" c:formatCode="m/d/yyyy">
                  <c:v>45775</c:v>
                </c:pt>
                <c:pt idx="167" c:formatCode="m/d/yyyy">
                  <c:v>45772</c:v>
                </c:pt>
                <c:pt idx="168" c:formatCode="m/d/yyyy">
                  <c:v>45771</c:v>
                </c:pt>
                <c:pt idx="169" c:formatCode="m/d/yyyy">
                  <c:v>45770</c:v>
                </c:pt>
                <c:pt idx="170" c:formatCode="m/d/yyyy">
                  <c:v>45769</c:v>
                </c:pt>
                <c:pt idx="171" c:formatCode="m/d/yyyy">
                  <c:v>45768</c:v>
                </c:pt>
                <c:pt idx="172" c:formatCode="m/d/yyyy">
                  <c:v>45764</c:v>
                </c:pt>
                <c:pt idx="173" c:formatCode="m/d/yyyy">
                  <c:v>45763</c:v>
                </c:pt>
                <c:pt idx="174" c:formatCode="m/d/yyyy">
                  <c:v>45762</c:v>
                </c:pt>
                <c:pt idx="175" c:formatCode="m/d/yyyy">
                  <c:v>45761</c:v>
                </c:pt>
                <c:pt idx="176" c:formatCode="m/d/yyyy">
                  <c:v>45758</c:v>
                </c:pt>
                <c:pt idx="177" c:formatCode="m/d/yyyy">
                  <c:v>45757</c:v>
                </c:pt>
                <c:pt idx="178" c:formatCode="m/d/yyyy">
                  <c:v>45756</c:v>
                </c:pt>
                <c:pt idx="179" c:formatCode="m/d/yyyy">
                  <c:v>45755</c:v>
                </c:pt>
                <c:pt idx="180" c:formatCode="m/d/yyyy">
                  <c:v>45754</c:v>
                </c:pt>
                <c:pt idx="181" c:formatCode="m/d/yyyy">
                  <c:v>45751</c:v>
                </c:pt>
                <c:pt idx="182" c:formatCode="m/d/yyyy">
                  <c:v>45750</c:v>
                </c:pt>
                <c:pt idx="183" c:formatCode="m/d/yyyy">
                  <c:v>45749</c:v>
                </c:pt>
                <c:pt idx="184" c:formatCode="m/d/yyyy">
                  <c:v>45748</c:v>
                </c:pt>
                <c:pt idx="185" c:formatCode="m/d/yyyy">
                  <c:v>45747</c:v>
                </c:pt>
                <c:pt idx="186" c:formatCode="m/d/yyyy">
                  <c:v>45744</c:v>
                </c:pt>
                <c:pt idx="187" c:formatCode="m/d/yyyy">
                  <c:v>45743</c:v>
                </c:pt>
                <c:pt idx="188" c:formatCode="m/d/yyyy">
                  <c:v>45742</c:v>
                </c:pt>
                <c:pt idx="189" c:formatCode="m/d/yyyy">
                  <c:v>45741</c:v>
                </c:pt>
                <c:pt idx="190" c:formatCode="m/d/yyyy">
                  <c:v>45740</c:v>
                </c:pt>
                <c:pt idx="191" c:formatCode="m/d/yyyy">
                  <c:v>45737</c:v>
                </c:pt>
                <c:pt idx="192" c:formatCode="m/d/yyyy">
                  <c:v>45736</c:v>
                </c:pt>
                <c:pt idx="193" c:formatCode="m/d/yyyy">
                  <c:v>45735</c:v>
                </c:pt>
                <c:pt idx="194" c:formatCode="m/d/yyyy">
                  <c:v>45734</c:v>
                </c:pt>
                <c:pt idx="195" c:formatCode="m/d/yyyy">
                  <c:v>45733</c:v>
                </c:pt>
                <c:pt idx="196" c:formatCode="m/d/yyyy">
                  <c:v>45730</c:v>
                </c:pt>
                <c:pt idx="197" c:formatCode="m/d/yyyy">
                  <c:v>45729</c:v>
                </c:pt>
                <c:pt idx="198" c:formatCode="m/d/yyyy">
                  <c:v>45728</c:v>
                </c:pt>
                <c:pt idx="199" c:formatCode="m/d/yyyy">
                  <c:v>45727</c:v>
                </c:pt>
                <c:pt idx="200" c:formatCode="m/d/yyyy">
                  <c:v>45726</c:v>
                </c:pt>
                <c:pt idx="201" c:formatCode="m/d/yyyy">
                  <c:v>45723</c:v>
                </c:pt>
                <c:pt idx="202" c:formatCode="m/d/yyyy">
                  <c:v>45722</c:v>
                </c:pt>
                <c:pt idx="203" c:formatCode="m/d/yyyy">
                  <c:v>45721</c:v>
                </c:pt>
                <c:pt idx="204" c:formatCode="m/d/yyyy">
                  <c:v>45720</c:v>
                </c:pt>
                <c:pt idx="205" c:formatCode="m/d/yyyy">
                  <c:v>45719</c:v>
                </c:pt>
                <c:pt idx="206" c:formatCode="m/d/yyyy">
                  <c:v>45716</c:v>
                </c:pt>
                <c:pt idx="207" c:formatCode="m/d/yyyy">
                  <c:v>45715</c:v>
                </c:pt>
                <c:pt idx="208" c:formatCode="m/d/yyyy">
                  <c:v>45714</c:v>
                </c:pt>
                <c:pt idx="209" c:formatCode="m/d/yyyy">
                  <c:v>45713</c:v>
                </c:pt>
                <c:pt idx="210" c:formatCode="m/d/yyyy">
                  <c:v>45712</c:v>
                </c:pt>
                <c:pt idx="211" c:formatCode="m/d/yyyy">
                  <c:v>45709</c:v>
                </c:pt>
                <c:pt idx="212" c:formatCode="m/d/yyyy">
                  <c:v>45708</c:v>
                </c:pt>
                <c:pt idx="213" c:formatCode="m/d/yyyy">
                  <c:v>45707</c:v>
                </c:pt>
                <c:pt idx="214" c:formatCode="m/d/yyyy">
                  <c:v>45706</c:v>
                </c:pt>
                <c:pt idx="215" c:formatCode="m/d/yyyy">
                  <c:v>45702</c:v>
                </c:pt>
                <c:pt idx="216" c:formatCode="m/d/yyyy">
                  <c:v>45701</c:v>
                </c:pt>
                <c:pt idx="217" c:formatCode="m/d/yyyy">
                  <c:v>45700</c:v>
                </c:pt>
                <c:pt idx="218" c:formatCode="m/d/yyyy">
                  <c:v>45699</c:v>
                </c:pt>
                <c:pt idx="219" c:formatCode="m/d/yyyy">
                  <c:v>45698</c:v>
                </c:pt>
                <c:pt idx="220" c:formatCode="m/d/yyyy">
                  <c:v>45695</c:v>
                </c:pt>
                <c:pt idx="221" c:formatCode="m/d/yyyy">
                  <c:v>45694</c:v>
                </c:pt>
                <c:pt idx="222" c:formatCode="m/d/yyyy">
                  <c:v>45693</c:v>
                </c:pt>
                <c:pt idx="223" c:formatCode="m/d/yyyy">
                  <c:v>45692</c:v>
                </c:pt>
                <c:pt idx="224" c:formatCode="m/d/yyyy">
                  <c:v>45691</c:v>
                </c:pt>
                <c:pt idx="225" c:formatCode="m/d/yyyy">
                  <c:v>45688</c:v>
                </c:pt>
                <c:pt idx="226" c:formatCode="m/d/yyyy">
                  <c:v>45687</c:v>
                </c:pt>
                <c:pt idx="227" c:formatCode="m/d/yyyy">
                  <c:v>45686</c:v>
                </c:pt>
                <c:pt idx="228" c:formatCode="m/d/yyyy">
                  <c:v>45685</c:v>
                </c:pt>
                <c:pt idx="229" c:formatCode="m/d/yyyy">
                  <c:v>45684</c:v>
                </c:pt>
                <c:pt idx="230" c:formatCode="m/d/yyyy">
                  <c:v>45681</c:v>
                </c:pt>
                <c:pt idx="231" c:formatCode="m/d/yyyy">
                  <c:v>45680</c:v>
                </c:pt>
                <c:pt idx="232" c:formatCode="m/d/yyyy">
                  <c:v>45679</c:v>
                </c:pt>
                <c:pt idx="233" c:formatCode="m/d/yyyy">
                  <c:v>45678</c:v>
                </c:pt>
                <c:pt idx="234" c:formatCode="m/d/yyyy">
                  <c:v>45677</c:v>
                </c:pt>
                <c:pt idx="235" c:formatCode="m/d/yyyy">
                  <c:v>45674</c:v>
                </c:pt>
                <c:pt idx="236" c:formatCode="m/d/yyyy">
                  <c:v>45673</c:v>
                </c:pt>
                <c:pt idx="237" c:formatCode="m/d/yyyy">
                  <c:v>45672</c:v>
                </c:pt>
                <c:pt idx="238" c:formatCode="m/d/yyyy">
                  <c:v>45671</c:v>
                </c:pt>
                <c:pt idx="239" c:formatCode="m/d/yyyy">
                  <c:v>45670</c:v>
                </c:pt>
                <c:pt idx="240" c:formatCode="m/d/yyyy">
                  <c:v>45667</c:v>
                </c:pt>
                <c:pt idx="241" c:formatCode="m/d/yyyy">
                  <c:v>45665</c:v>
                </c:pt>
                <c:pt idx="242" c:formatCode="m/d/yyyy">
                  <c:v>45664</c:v>
                </c:pt>
                <c:pt idx="243" c:formatCode="m/d/yyyy">
                  <c:v>45663</c:v>
                </c:pt>
                <c:pt idx="244" c:formatCode="m/d/yyyy">
                  <c:v>45660</c:v>
                </c:pt>
                <c:pt idx="245" c:formatCode="m/d/yyyy">
                  <c:v>45659</c:v>
                </c:pt>
                <c:pt idx="246" c:formatCode="m/d/yyyy">
                  <c:v>45658</c:v>
                </c:pt>
                <c:pt idx="247" c:formatCode="m/d/yyyy">
                  <c:v>45657</c:v>
                </c:pt>
                <c:pt idx="248" c:formatCode="m/d/yyyy">
                  <c:v>45656</c:v>
                </c:pt>
                <c:pt idx="249" c:formatCode="m/d/yyyy">
                  <c:v>45653</c:v>
                </c:pt>
                <c:pt idx="250" c:formatCode="m/d/yyyy">
                  <c:v>45652</c:v>
                </c:pt>
                <c:pt idx="251" c:formatCode="m/d/yyyy">
                  <c:v>45650</c:v>
                </c:pt>
              </c:numCache>
            </c:numRef>
          </c:cat>
          <c:val>
            <c:numRef>
              <c:f>[BE.xlsx]Valuation!$C$4:$C$255</c:f>
              <c:numCache>
                <c:formatCode>General</c:formatCode>
                <c:ptCount val="252"/>
                <c:pt idx="0">
                  <c:v>5379304</c:v>
                </c:pt>
                <c:pt idx="1">
                  <c:v>8379840</c:v>
                </c:pt>
                <c:pt idx="2">
                  <c:v>17699662</c:v>
                </c:pt>
                <c:pt idx="3">
                  <c:v>13399986</c:v>
                </c:pt>
                <c:pt idx="4">
                  <c:v>18163564</c:v>
                </c:pt>
                <c:pt idx="5">
                  <c:v>18058588</c:v>
                </c:pt>
                <c:pt idx="6">
                  <c:v>10991730</c:v>
                </c:pt>
                <c:pt idx="7">
                  <c:v>16395435</c:v>
                </c:pt>
                <c:pt idx="8">
                  <c:v>9207746</c:v>
                </c:pt>
                <c:pt idx="9">
                  <c:v>13918601</c:v>
                </c:pt>
                <c:pt idx="10">
                  <c:v>7040791</c:v>
                </c:pt>
                <c:pt idx="11">
                  <c:v>11757521</c:v>
                </c:pt>
                <c:pt idx="12">
                  <c:v>13499667</c:v>
                </c:pt>
                <c:pt idx="13">
                  <c:v>20119642</c:v>
                </c:pt>
                <c:pt idx="14">
                  <c:v>8390723</c:v>
                </c:pt>
                <c:pt idx="15">
                  <c:v>15929156</c:v>
                </c:pt>
                <c:pt idx="16">
                  <c:v>13076038</c:v>
                </c:pt>
                <c:pt idx="17">
                  <c:v>8135564</c:v>
                </c:pt>
                <c:pt idx="18">
                  <c:v>13297213</c:v>
                </c:pt>
                <c:pt idx="19">
                  <c:v>12313941</c:v>
                </c:pt>
                <c:pt idx="20">
                  <c:v>27792564</c:v>
                </c:pt>
                <c:pt idx="21">
                  <c:v>37673044</c:v>
                </c:pt>
                <c:pt idx="22">
                  <c:v>20222062</c:v>
                </c:pt>
                <c:pt idx="23">
                  <c:v>13815263</c:v>
                </c:pt>
                <c:pt idx="24">
                  <c:v>13050644</c:v>
                </c:pt>
                <c:pt idx="25">
                  <c:v>11691600</c:v>
                </c:pt>
                <c:pt idx="26">
                  <c:v>23932700</c:v>
                </c:pt>
                <c:pt idx="27">
                  <c:v>28921744</c:v>
                </c:pt>
                <c:pt idx="28">
                  <c:v>10322374</c:v>
                </c:pt>
                <c:pt idx="29">
                  <c:v>11211905</c:v>
                </c:pt>
                <c:pt idx="30">
                  <c:v>10819596</c:v>
                </c:pt>
                <c:pt idx="31">
                  <c:v>15641981</c:v>
                </c:pt>
                <c:pt idx="32">
                  <c:v>10155259</c:v>
                </c:pt>
                <c:pt idx="33">
                  <c:v>14957902</c:v>
                </c:pt>
                <c:pt idx="34">
                  <c:v>17492406</c:v>
                </c:pt>
                <c:pt idx="35">
                  <c:v>17283314</c:v>
                </c:pt>
                <c:pt idx="36">
                  <c:v>17365336</c:v>
                </c:pt>
                <c:pt idx="37">
                  <c:v>18005472</c:v>
                </c:pt>
                <c:pt idx="38">
                  <c:v>26830368</c:v>
                </c:pt>
                <c:pt idx="39">
                  <c:v>12989327</c:v>
                </c:pt>
                <c:pt idx="40">
                  <c:v>9114364</c:v>
                </c:pt>
                <c:pt idx="41">
                  <c:v>10390165</c:v>
                </c:pt>
                <c:pt idx="42">
                  <c:v>8228065</c:v>
                </c:pt>
                <c:pt idx="43">
                  <c:v>16244395</c:v>
                </c:pt>
                <c:pt idx="44">
                  <c:v>9655146</c:v>
                </c:pt>
                <c:pt idx="45">
                  <c:v>8369791</c:v>
                </c:pt>
                <c:pt idx="46">
                  <c:v>10327219</c:v>
                </c:pt>
                <c:pt idx="47">
                  <c:v>13381977</c:v>
                </c:pt>
                <c:pt idx="48">
                  <c:v>16734878</c:v>
                </c:pt>
                <c:pt idx="49">
                  <c:v>14160852</c:v>
                </c:pt>
                <c:pt idx="50">
                  <c:v>28744790</c:v>
                </c:pt>
                <c:pt idx="51">
                  <c:v>13482608</c:v>
                </c:pt>
                <c:pt idx="52">
                  <c:v>8237133</c:v>
                </c:pt>
                <c:pt idx="53">
                  <c:v>7972917</c:v>
                </c:pt>
                <c:pt idx="54">
                  <c:v>10816906</c:v>
                </c:pt>
                <c:pt idx="55">
                  <c:v>12271429</c:v>
                </c:pt>
                <c:pt idx="56">
                  <c:v>14071010</c:v>
                </c:pt>
                <c:pt idx="57">
                  <c:v>15349226</c:v>
                </c:pt>
                <c:pt idx="58">
                  <c:v>20299800</c:v>
                </c:pt>
                <c:pt idx="59">
                  <c:v>25107878</c:v>
                </c:pt>
                <c:pt idx="60">
                  <c:v>10757895</c:v>
                </c:pt>
                <c:pt idx="61">
                  <c:v>9355488</c:v>
                </c:pt>
                <c:pt idx="62">
                  <c:v>17712780</c:v>
                </c:pt>
                <c:pt idx="63">
                  <c:v>33315668</c:v>
                </c:pt>
                <c:pt idx="64">
                  <c:v>22135766</c:v>
                </c:pt>
                <c:pt idx="65">
                  <c:v>10907745</c:v>
                </c:pt>
                <c:pt idx="66">
                  <c:v>16593580</c:v>
                </c:pt>
                <c:pt idx="67">
                  <c:v>15379834</c:v>
                </c:pt>
                <c:pt idx="68">
                  <c:v>16355518</c:v>
                </c:pt>
                <c:pt idx="69">
                  <c:v>14054637</c:v>
                </c:pt>
                <c:pt idx="70">
                  <c:v>11143558</c:v>
                </c:pt>
                <c:pt idx="71">
                  <c:v>13499559</c:v>
                </c:pt>
                <c:pt idx="72">
                  <c:v>12241442</c:v>
                </c:pt>
                <c:pt idx="73">
                  <c:v>21923952</c:v>
                </c:pt>
                <c:pt idx="74">
                  <c:v>10151280</c:v>
                </c:pt>
                <c:pt idx="75">
                  <c:v>8561081</c:v>
                </c:pt>
                <c:pt idx="76">
                  <c:v>9229242</c:v>
                </c:pt>
                <c:pt idx="77">
                  <c:v>9831926</c:v>
                </c:pt>
                <c:pt idx="78">
                  <c:v>7663283</c:v>
                </c:pt>
                <c:pt idx="79">
                  <c:v>10226501</c:v>
                </c:pt>
                <c:pt idx="80">
                  <c:v>10197420</c:v>
                </c:pt>
                <c:pt idx="81">
                  <c:v>13062600</c:v>
                </c:pt>
                <c:pt idx="82">
                  <c:v>6844380</c:v>
                </c:pt>
                <c:pt idx="83">
                  <c:v>9307891</c:v>
                </c:pt>
                <c:pt idx="84">
                  <c:v>10668121</c:v>
                </c:pt>
                <c:pt idx="85">
                  <c:v>13924040</c:v>
                </c:pt>
                <c:pt idx="86">
                  <c:v>9620702</c:v>
                </c:pt>
                <c:pt idx="87">
                  <c:v>14718454</c:v>
                </c:pt>
                <c:pt idx="88">
                  <c:v>12378454</c:v>
                </c:pt>
                <c:pt idx="89">
                  <c:v>9804556</c:v>
                </c:pt>
                <c:pt idx="90">
                  <c:v>12431934</c:v>
                </c:pt>
                <c:pt idx="91">
                  <c:v>9761083</c:v>
                </c:pt>
                <c:pt idx="92">
                  <c:v>17088506</c:v>
                </c:pt>
                <c:pt idx="93">
                  <c:v>13313228</c:v>
                </c:pt>
                <c:pt idx="94">
                  <c:v>5760425</c:v>
                </c:pt>
                <c:pt idx="95">
                  <c:v>4753468</c:v>
                </c:pt>
                <c:pt idx="96">
                  <c:v>9586820</c:v>
                </c:pt>
                <c:pt idx="97">
                  <c:v>9392535</c:v>
                </c:pt>
                <c:pt idx="98">
                  <c:v>12722158</c:v>
                </c:pt>
                <c:pt idx="99">
                  <c:v>7913773</c:v>
                </c:pt>
                <c:pt idx="100">
                  <c:v>17502356</c:v>
                </c:pt>
                <c:pt idx="101">
                  <c:v>18527496</c:v>
                </c:pt>
                <c:pt idx="102">
                  <c:v>16357451</c:v>
                </c:pt>
                <c:pt idx="103">
                  <c:v>9682541</c:v>
                </c:pt>
                <c:pt idx="104">
                  <c:v>12965154</c:v>
                </c:pt>
                <c:pt idx="105">
                  <c:v>16435605</c:v>
                </c:pt>
                <c:pt idx="106">
                  <c:v>39241176</c:v>
                </c:pt>
                <c:pt idx="107">
                  <c:v>6069066</c:v>
                </c:pt>
                <c:pt idx="108">
                  <c:v>5071014</c:v>
                </c:pt>
                <c:pt idx="109">
                  <c:v>6665568</c:v>
                </c:pt>
                <c:pt idx="110">
                  <c:v>4998881</c:v>
                </c:pt>
                <c:pt idx="111">
                  <c:v>5813230</c:v>
                </c:pt>
                <c:pt idx="112">
                  <c:v>6375109</c:v>
                </c:pt>
                <c:pt idx="113">
                  <c:v>7000848</c:v>
                </c:pt>
                <c:pt idx="114">
                  <c:v>7162793</c:v>
                </c:pt>
                <c:pt idx="115">
                  <c:v>7239828</c:v>
                </c:pt>
                <c:pt idx="116">
                  <c:v>18557280</c:v>
                </c:pt>
                <c:pt idx="117">
                  <c:v>21937376</c:v>
                </c:pt>
                <c:pt idx="118">
                  <c:v>4644295</c:v>
                </c:pt>
                <c:pt idx="119">
                  <c:v>6809253</c:v>
                </c:pt>
                <c:pt idx="120">
                  <c:v>4391006</c:v>
                </c:pt>
                <c:pt idx="121">
                  <c:v>5431820</c:v>
                </c:pt>
                <c:pt idx="122">
                  <c:v>10357372</c:v>
                </c:pt>
                <c:pt idx="123">
                  <c:v>11413284</c:v>
                </c:pt>
                <c:pt idx="124">
                  <c:v>5084091</c:v>
                </c:pt>
                <c:pt idx="125">
                  <c:v>4175303</c:v>
                </c:pt>
                <c:pt idx="126">
                  <c:v>4071949</c:v>
                </c:pt>
                <c:pt idx="127">
                  <c:v>4609652</c:v>
                </c:pt>
                <c:pt idx="128">
                  <c:v>3685315</c:v>
                </c:pt>
                <c:pt idx="129">
                  <c:v>2972739</c:v>
                </c:pt>
                <c:pt idx="130">
                  <c:v>5149375</c:v>
                </c:pt>
                <c:pt idx="131">
                  <c:v>4143030</c:v>
                </c:pt>
                <c:pt idx="132">
                  <c:v>5358819</c:v>
                </c:pt>
                <c:pt idx="133">
                  <c:v>2815696</c:v>
                </c:pt>
                <c:pt idx="134">
                  <c:v>3998110</c:v>
                </c:pt>
                <c:pt idx="135">
                  <c:v>4465645</c:v>
                </c:pt>
                <c:pt idx="136">
                  <c:v>4701366</c:v>
                </c:pt>
                <c:pt idx="137">
                  <c:v>3603659</c:v>
                </c:pt>
                <c:pt idx="138">
                  <c:v>5254144</c:v>
                </c:pt>
                <c:pt idx="139">
                  <c:v>5333346</c:v>
                </c:pt>
                <c:pt idx="140">
                  <c:v>6535853</c:v>
                </c:pt>
                <c:pt idx="141">
                  <c:v>7376720</c:v>
                </c:pt>
                <c:pt idx="142">
                  <c:v>3497775</c:v>
                </c:pt>
                <c:pt idx="143">
                  <c:v>3325316</c:v>
                </c:pt>
                <c:pt idx="144">
                  <c:v>4626484</c:v>
                </c:pt>
                <c:pt idx="145">
                  <c:v>2561826</c:v>
                </c:pt>
                <c:pt idx="146">
                  <c:v>4052630</c:v>
                </c:pt>
                <c:pt idx="147">
                  <c:v>5067611</c:v>
                </c:pt>
                <c:pt idx="148">
                  <c:v>4648470</c:v>
                </c:pt>
                <c:pt idx="149">
                  <c:v>3482188</c:v>
                </c:pt>
                <c:pt idx="150">
                  <c:v>3205387</c:v>
                </c:pt>
                <c:pt idx="151">
                  <c:v>4543843</c:v>
                </c:pt>
                <c:pt idx="152">
                  <c:v>6557324</c:v>
                </c:pt>
                <c:pt idx="153">
                  <c:v>4106040</c:v>
                </c:pt>
                <c:pt idx="154">
                  <c:v>6761740</c:v>
                </c:pt>
                <c:pt idx="155">
                  <c:v>4949137</c:v>
                </c:pt>
                <c:pt idx="156">
                  <c:v>6689067</c:v>
                </c:pt>
                <c:pt idx="157">
                  <c:v>3473305</c:v>
                </c:pt>
                <c:pt idx="158">
                  <c:v>11278438</c:v>
                </c:pt>
                <c:pt idx="159">
                  <c:v>5910659</c:v>
                </c:pt>
                <c:pt idx="160">
                  <c:v>6675745</c:v>
                </c:pt>
                <c:pt idx="161">
                  <c:v>6428073</c:v>
                </c:pt>
                <c:pt idx="162">
                  <c:v>9813132</c:v>
                </c:pt>
                <c:pt idx="163">
                  <c:v>12350727</c:v>
                </c:pt>
                <c:pt idx="164">
                  <c:v>9363364</c:v>
                </c:pt>
                <c:pt idx="165">
                  <c:v>3762724</c:v>
                </c:pt>
                <c:pt idx="166">
                  <c:v>4634320</c:v>
                </c:pt>
                <c:pt idx="167">
                  <c:v>5913362</c:v>
                </c:pt>
                <c:pt idx="168">
                  <c:v>9676945</c:v>
                </c:pt>
                <c:pt idx="169">
                  <c:v>6169282</c:v>
                </c:pt>
                <c:pt idx="170">
                  <c:v>3801638</c:v>
                </c:pt>
                <c:pt idx="171">
                  <c:v>4437443</c:v>
                </c:pt>
                <c:pt idx="172">
                  <c:v>6155591</c:v>
                </c:pt>
                <c:pt idx="173">
                  <c:v>4660106</c:v>
                </c:pt>
                <c:pt idx="174">
                  <c:v>4321328</c:v>
                </c:pt>
                <c:pt idx="175">
                  <c:v>6064732</c:v>
                </c:pt>
                <c:pt idx="176">
                  <c:v>6741530</c:v>
                </c:pt>
                <c:pt idx="177">
                  <c:v>8235862</c:v>
                </c:pt>
                <c:pt idx="178">
                  <c:v>13333271</c:v>
                </c:pt>
                <c:pt idx="179">
                  <c:v>8092262</c:v>
                </c:pt>
                <c:pt idx="180">
                  <c:v>10308013</c:v>
                </c:pt>
                <c:pt idx="181">
                  <c:v>16343628</c:v>
                </c:pt>
                <c:pt idx="182">
                  <c:v>6468409</c:v>
                </c:pt>
                <c:pt idx="183">
                  <c:v>3612103</c:v>
                </c:pt>
                <c:pt idx="184">
                  <c:v>6294371</c:v>
                </c:pt>
                <c:pt idx="185">
                  <c:v>6767390</c:v>
                </c:pt>
                <c:pt idx="186">
                  <c:v>7790934</c:v>
                </c:pt>
                <c:pt idx="187">
                  <c:v>4480298</c:v>
                </c:pt>
                <c:pt idx="188">
                  <c:v>4826334</c:v>
                </c:pt>
                <c:pt idx="189">
                  <c:v>3695709</c:v>
                </c:pt>
                <c:pt idx="190">
                  <c:v>5737957</c:v>
                </c:pt>
                <c:pt idx="191">
                  <c:v>7839384</c:v>
                </c:pt>
                <c:pt idx="192">
                  <c:v>11365417</c:v>
                </c:pt>
                <c:pt idx="193">
                  <c:v>4565113</c:v>
                </c:pt>
                <c:pt idx="194">
                  <c:v>5423634</c:v>
                </c:pt>
                <c:pt idx="195">
                  <c:v>4471217</c:v>
                </c:pt>
                <c:pt idx="196">
                  <c:v>4503877</c:v>
                </c:pt>
                <c:pt idx="197">
                  <c:v>4922129</c:v>
                </c:pt>
                <c:pt idx="198">
                  <c:v>5797017</c:v>
                </c:pt>
                <c:pt idx="199">
                  <c:v>6878853</c:v>
                </c:pt>
                <c:pt idx="200">
                  <c:v>5498023</c:v>
                </c:pt>
                <c:pt idx="201">
                  <c:v>5728183</c:v>
                </c:pt>
                <c:pt idx="202">
                  <c:v>7825223</c:v>
                </c:pt>
                <c:pt idx="203">
                  <c:v>6891716</c:v>
                </c:pt>
                <c:pt idx="204">
                  <c:v>12901050</c:v>
                </c:pt>
                <c:pt idx="205">
                  <c:v>9017969</c:v>
                </c:pt>
                <c:pt idx="206">
                  <c:v>11936050</c:v>
                </c:pt>
                <c:pt idx="207">
                  <c:v>9853734</c:v>
                </c:pt>
                <c:pt idx="208">
                  <c:v>5152034</c:v>
                </c:pt>
                <c:pt idx="209">
                  <c:v>8031782</c:v>
                </c:pt>
                <c:pt idx="210">
                  <c:v>8496762</c:v>
                </c:pt>
                <c:pt idx="211">
                  <c:v>4801353</c:v>
                </c:pt>
                <c:pt idx="212">
                  <c:v>6353044</c:v>
                </c:pt>
                <c:pt idx="213">
                  <c:v>3360600</c:v>
                </c:pt>
                <c:pt idx="214">
                  <c:v>5065798</c:v>
                </c:pt>
                <c:pt idx="215">
                  <c:v>4476296</c:v>
                </c:pt>
                <c:pt idx="216">
                  <c:v>4872677</c:v>
                </c:pt>
                <c:pt idx="217">
                  <c:v>3008106</c:v>
                </c:pt>
                <c:pt idx="218">
                  <c:v>4440635</c:v>
                </c:pt>
                <c:pt idx="219">
                  <c:v>3011975</c:v>
                </c:pt>
                <c:pt idx="220">
                  <c:v>4088277</c:v>
                </c:pt>
                <c:pt idx="221">
                  <c:v>4140785</c:v>
                </c:pt>
                <c:pt idx="222">
                  <c:v>5364854</c:v>
                </c:pt>
                <c:pt idx="223">
                  <c:v>3243881</c:v>
                </c:pt>
                <c:pt idx="224">
                  <c:v>5291904</c:v>
                </c:pt>
                <c:pt idx="225">
                  <c:v>6091014</c:v>
                </c:pt>
                <c:pt idx="226">
                  <c:v>7167929</c:v>
                </c:pt>
                <c:pt idx="227">
                  <c:v>9895866</c:v>
                </c:pt>
                <c:pt idx="228">
                  <c:v>16582402</c:v>
                </c:pt>
                <c:pt idx="229">
                  <c:v>21453212</c:v>
                </c:pt>
                <c:pt idx="230">
                  <c:v>12243973</c:v>
                </c:pt>
                <c:pt idx="231">
                  <c:v>9690940</c:v>
                </c:pt>
                <c:pt idx="232">
                  <c:v>8185969</c:v>
                </c:pt>
                <c:pt idx="233">
                  <c:v>7224246</c:v>
                </c:pt>
                <c:pt idx="235">
                  <c:v>5494830</c:v>
                </c:pt>
                <c:pt idx="236">
                  <c:v>3024762</c:v>
                </c:pt>
                <c:pt idx="237">
                  <c:v>3403598</c:v>
                </c:pt>
                <c:pt idx="238">
                  <c:v>5132077</c:v>
                </c:pt>
                <c:pt idx="239">
                  <c:v>5348614</c:v>
                </c:pt>
                <c:pt idx="240">
                  <c:v>4714934</c:v>
                </c:pt>
                <c:pt idx="241">
                  <c:v>6433809</c:v>
                </c:pt>
                <c:pt idx="242">
                  <c:v>4844026</c:v>
                </c:pt>
                <c:pt idx="243">
                  <c:v>6592466</c:v>
                </c:pt>
                <c:pt idx="244">
                  <c:v>6441726</c:v>
                </c:pt>
                <c:pt idx="245">
                  <c:v>4201170</c:v>
                </c:pt>
                <c:pt idx="247">
                  <c:v>3816138</c:v>
                </c:pt>
                <c:pt idx="248">
                  <c:v>4244006</c:v>
                </c:pt>
                <c:pt idx="249">
                  <c:v>5036644</c:v>
                </c:pt>
                <c:pt idx="250">
                  <c:v>2657261</c:v>
                </c:pt>
                <c:pt idx="251">
                  <c:v>1697156</c:v>
                </c:pt>
              </c:numCache>
            </c:numRef>
          </c:val>
        </c:ser>
        <c:dLbls>
          <c:showLegendKey val="0"/>
          <c:showVal val="0"/>
          <c:showCatName val="0"/>
          <c:showSerName val="0"/>
          <c:showPercent val="0"/>
          <c:showBubbleSize val="0"/>
        </c:dLbls>
        <c:gapWidth val="246"/>
        <c:overlap val="-28"/>
        <c:axId val="424942261"/>
        <c:axId val="490728831"/>
      </c:barChart>
      <c:dateAx>
        <c:axId val="424942261"/>
        <c:scaling>
          <c:orientation val="minMax"/>
        </c:scaling>
        <c:delete val="0"/>
        <c:axPos val="b"/>
        <c:numFmt formatCode="m&quot;月&quot;d&quot;日&quot;"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6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p>
        </c:txPr>
        <c:crossAx val="490728831"/>
        <c:crosses val="autoZero"/>
        <c:auto val="1"/>
        <c:lblOffset val="100"/>
        <c:baseTimeUnit val="days"/>
      </c:dateAx>
      <c:valAx>
        <c:axId val="490728831"/>
        <c:scaling>
          <c:orientation val="minMax"/>
        </c:scaling>
        <c:delete val="0"/>
        <c:axPos val="l"/>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6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p>
        </c:txPr>
        <c:crossAx val="424942261"/>
        <c:crosses val="autoZero"/>
        <c:crossBetween val="between"/>
      </c:valAx>
      <c:spPr>
        <a:noFill/>
        <a:ln>
          <a:noFill/>
        </a:ln>
        <a:effectLst/>
      </c:spPr>
    </c:plotArea>
    <c:legend>
      <c:legendPos val="b"/>
      <c:legendEntry>
        <c:idx val="0"/>
        <c:txPr>
          <a:bodyPr rot="0" spcFirstLastPara="0" vertOverflow="ellipsis" vert="horz" wrap="square" anchor="ctr" anchorCtr="1"/>
          <a:lstStyle/>
          <a:p>
            <a:pPr>
              <a:defRPr lang="zh-CN" sz="6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p>
        </c:txPr>
      </c:legendEntry>
      <c:layout>
        <c:manualLayout>
          <c:xMode val="edge"/>
          <c:yMode val="edge"/>
          <c:x val="0.433341547560375"/>
          <c:y val="0.890767230169051"/>
        </c:manualLayout>
      </c:layout>
      <c:overlay val="0"/>
      <c:spPr>
        <a:noFill/>
        <a:ln>
          <a:noFill/>
        </a:ln>
        <a:effectLst/>
      </c:spPr>
      <c:txPr>
        <a:bodyPr rot="0" spcFirstLastPara="0" vertOverflow="ellipsis" vert="horz" wrap="square" anchor="ctr" anchorCtr="1"/>
        <a:lstStyle/>
        <a:p>
          <a:pPr>
            <a:defRPr lang="zh-CN" sz="6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p>
      </c:txPr>
    </c:legend>
    <c:plotVisOnly val="1"/>
    <c:dispBlanksAs val="gap"/>
    <c:showDLblsOverMax val="0"/>
    <c:extLst>
      <c:ext uri="{0b15fc19-7d7d-44ad-8c2d-2c3a37ce22c3}">
        <chartProps xmlns="https://web.wps.cn/et/2018/main" chartId="{310358c5-0ad3-45b7-8594-b9801dbfd1ea}"/>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layout/>
      <c:overlay val="0"/>
      <c:spPr>
        <a:noFill/>
        <a:ln>
          <a:noFill/>
        </a:ln>
        <a:effectLst/>
      </c:spPr>
      <c:txPr>
        <a:bodyPr rot="0" spcFirstLastPara="0" vertOverflow="ellipsis" vert="horz" wrap="square" anchor="ctr" anchorCtr="1"/>
        <a:lstStyle/>
        <a:p>
          <a:pPr>
            <a:defRPr lang="zh-CN" sz="1000" b="1"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p>
      </c:txPr>
    </c:title>
    <c:autoTitleDeleted val="0"/>
    <c:plotArea>
      <c:layout/>
      <c:pieChart>
        <c:varyColors val="1"/>
        <c:ser>
          <c:idx val="0"/>
          <c:order val="0"/>
          <c:tx>
            <c:strRef>
              <c:f>'[BE.xlsx]Rev by Seg'!$E$7</c:f>
              <c:strCache>
                <c:ptCount val="1"/>
                <c:pt idx="0">
                  <c:v>Revenue by Segments</c:v>
                </c:pt>
              </c:strCache>
            </c:strRef>
          </c:tx>
          <c:spPr/>
          <c:explosion val="0"/>
          <c:dPt>
            <c:idx val="0"/>
            <c:bubble3D val="0"/>
            <c:spPr>
              <a:solidFill>
                <a:schemeClr val="accent1"/>
              </a:solidFill>
              <a:ln>
                <a:solidFill>
                  <a:schemeClr val="bg1"/>
                </a:solidFill>
              </a:ln>
              <a:effectLst/>
            </c:spPr>
          </c:dPt>
          <c:dPt>
            <c:idx val="1"/>
            <c:bubble3D val="0"/>
            <c:spPr>
              <a:solidFill>
                <a:schemeClr val="accent2"/>
              </a:solidFill>
              <a:ln>
                <a:solidFill>
                  <a:schemeClr val="bg1"/>
                </a:solidFill>
              </a:ln>
              <a:effectLst/>
            </c:spPr>
          </c:dPt>
          <c:dPt>
            <c:idx val="2"/>
            <c:bubble3D val="0"/>
            <c:spPr>
              <a:solidFill>
                <a:schemeClr val="accent3"/>
              </a:solidFill>
              <a:ln>
                <a:solidFill>
                  <a:schemeClr val="bg1"/>
                </a:solidFill>
              </a:ln>
              <a:effectLst/>
            </c:spPr>
          </c:dPt>
          <c:dPt>
            <c:idx val="3"/>
            <c:bubble3D val="0"/>
            <c:spPr>
              <a:solidFill>
                <a:schemeClr val="accent4"/>
              </a:solidFill>
              <a:ln>
                <a:solidFill>
                  <a:schemeClr val="bg1"/>
                </a:solidFill>
              </a:ln>
              <a:effectLst/>
            </c:spPr>
          </c:dPt>
          <c:dLbls>
            <c:dLbl>
              <c:idx val="0"/>
              <c:layout>
                <c:manualLayout>
                  <c:x val="0.0477145035898181"/>
                  <c:y val="0.0219810222276379"/>
                </c:manualLayout>
              </c:layout>
              <c:dLblPos val="bestFit"/>
              <c:showLegendKey val="0"/>
              <c:showVal val="0"/>
              <c:showCatName val="0"/>
              <c:showSerName val="0"/>
              <c:showPercent val="1"/>
              <c:showBubbleSize val="0"/>
              <c:extLst>
                <c:ext xmlns:c15="http://schemas.microsoft.com/office/drawing/2012/chart" uri="{CE6537A1-D6FC-4f65-9D91-7224C49458BB}">
                  <c15:layout/>
                </c:ext>
              </c:extLst>
            </c:dLbl>
            <c:dLbl>
              <c:idx val="1"/>
              <c:layout>
                <c:manualLayout>
                  <c:x val="-0.058954934905082"/>
                  <c:y val="0.0364781806057816"/>
                </c:manualLayout>
              </c:layout>
              <c:dLblPos val="bestFit"/>
              <c:showLegendKey val="0"/>
              <c:showVal val="0"/>
              <c:showCatName val="0"/>
              <c:showSerName val="0"/>
              <c:showPercent val="1"/>
              <c:showBubbleSize val="0"/>
              <c:extLst>
                <c:ext xmlns:c15="http://schemas.microsoft.com/office/drawing/2012/chart" uri="{CE6537A1-D6FC-4f65-9D91-7224C49458BB}">
                  <c15:layout/>
                </c:ext>
              </c:extLst>
            </c:dLbl>
            <c:dLbl>
              <c:idx val="2"/>
              <c:layout>
                <c:manualLayout>
                  <c:x val="-0.031055858070514"/>
                  <c:y val="0.0123868574010406"/>
                </c:manualLayout>
              </c:layout>
              <c:dLblPos val="bestFit"/>
              <c:showLegendKey val="0"/>
              <c:showVal val="0"/>
              <c:showCatName val="0"/>
              <c:showSerName val="0"/>
              <c:showPercent val="1"/>
              <c:showBubbleSize val="0"/>
              <c:extLst>
                <c:ext xmlns:c15="http://schemas.microsoft.com/office/drawing/2012/chart" uri="{CE6537A1-D6FC-4f65-9D91-7224C49458BB}">
                  <c15:layout/>
                </c:ext>
              </c:extLst>
            </c:dLbl>
            <c:dLbl>
              <c:idx val="3"/>
              <c:layout>
                <c:manualLayout>
                  <c:x val="0.0088793133457182"/>
                  <c:y val="0.0236777637559836"/>
                </c:manualLayout>
              </c:layout>
              <c:dLblPos val="bestFit"/>
              <c:showLegendKey val="0"/>
              <c:showVal val="0"/>
              <c:showCatName val="0"/>
              <c:showSerName val="0"/>
              <c:showPercent val="1"/>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7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p>
            </c:txPr>
            <c:dLblPos val="inEnd"/>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'[BE.xlsx]Rev by Seg'!$D$8:$D$11</c:f>
              <c:strCache>
                <c:ptCount val="4"/>
                <c:pt idx="0">
                  <c:v>Product Revenue</c:v>
                </c:pt>
                <c:pt idx="1">
                  <c:v>Install Revenue</c:v>
                </c:pt>
                <c:pt idx="2">
                  <c:v>Service Revenue</c:v>
                </c:pt>
                <c:pt idx="3">
                  <c:v>Electricity Revenue</c:v>
                </c:pt>
              </c:strCache>
            </c:strRef>
          </c:cat>
          <c:val>
            <c:numRef>
              <c:f>'[BE.xlsx]Rev by Seg'!$E$8:$E$11</c:f>
              <c:numCache>
                <c:formatCode>#,##0.0</c:formatCode>
                <c:ptCount val="4"/>
                <c:pt idx="0">
                  <c:v>384.314</c:v>
                </c:pt>
                <c:pt idx="1">
                  <c:v>65.773</c:v>
                </c:pt>
                <c:pt idx="2">
                  <c:v>58.607</c:v>
                </c:pt>
                <c:pt idx="3">
                  <c:v>10.354</c:v>
                </c:pt>
              </c:numCache>
            </c:numRef>
          </c:val>
        </c:ser>
        <c:dLbls>
          <c:showLegendKey val="0"/>
          <c:showVal val="0"/>
          <c:showCatName val="0"/>
          <c:showSerName val="0"/>
          <c:showPercent val="1"/>
          <c:showBubbleSize val="0"/>
          <c:showLeaderLines val="1"/>
        </c:dLbls>
        <c:firstSliceAng val="0"/>
      </c:pieChart>
      <c:spPr>
        <a:noFill/>
        <a:ln>
          <a:noFill/>
        </a:ln>
        <a:effectLst/>
      </c:spPr>
    </c:plotArea>
    <c:legend>
      <c:legendPos val="t"/>
      <c:legendEntry>
        <c:idx val="0"/>
        <c:txPr>
          <a:bodyPr rot="0" spcFirstLastPara="0" vertOverflow="ellipsis" vert="horz" wrap="square" anchor="ctr" anchorCtr="1"/>
          <a:lstStyle/>
          <a:p>
            <a:pPr>
              <a:defRPr lang="zh-CN" sz="8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p>
        </c:txPr>
      </c:legendEntry>
      <c:legendEntry>
        <c:idx val="1"/>
        <c:txPr>
          <a:bodyPr rot="0" spcFirstLastPara="0" vertOverflow="ellipsis" vert="horz" wrap="square" anchor="ctr" anchorCtr="1"/>
          <a:lstStyle/>
          <a:p>
            <a:pPr>
              <a:defRPr lang="zh-CN" sz="8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p>
        </c:txPr>
      </c:legendEntry>
      <c:legendEntry>
        <c:idx val="2"/>
        <c:txPr>
          <a:bodyPr rot="0" spcFirstLastPara="0" vertOverflow="ellipsis" vert="horz" wrap="square" anchor="ctr" anchorCtr="1"/>
          <a:lstStyle/>
          <a:p>
            <a:pPr>
              <a:defRPr lang="zh-CN" sz="8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p>
        </c:txPr>
      </c:legendEntry>
      <c:legendEntry>
        <c:idx val="3"/>
        <c:txPr>
          <a:bodyPr rot="0" spcFirstLastPara="0" vertOverflow="ellipsis" vert="horz" wrap="square" anchor="ctr" anchorCtr="1"/>
          <a:lstStyle/>
          <a:p>
            <a:pPr>
              <a:defRPr lang="zh-CN" sz="8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p>
        </c:txPr>
      </c:legendEntry>
      <c:layout/>
      <c:overlay val="0"/>
      <c:spPr>
        <a:noFill/>
        <a:ln>
          <a:noFill/>
        </a:ln>
        <a:effectLst/>
      </c:spPr>
      <c:txPr>
        <a:bodyPr rot="0" spcFirstLastPara="0" vertOverflow="ellipsis" vert="horz" wrap="square" anchor="ctr" anchorCtr="1"/>
        <a:lstStyle/>
        <a:p>
          <a:pPr>
            <a:defRPr lang="zh-CN" sz="8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p>
      </c:txPr>
    </c:legend>
    <c:plotVisOnly val="1"/>
    <c:dispBlanksAs val="gap"/>
    <c:showDLblsOverMax val="0"/>
    <c:extLst>
      <c:ext uri="{0b15fc19-7d7d-44ad-8c2d-2c3a37ce22c3}">
        <chartProps xmlns="https://web.wps.cn/et/2018/main" chartId="{d5680703-2a6f-479d-b8ab-54c74567fc40}"/>
      </c:ext>
    </c:extLst>
  </c:chart>
  <c:spPr>
    <a:solidFill>
      <a:schemeClr val="bg1"/>
    </a:solidFill>
    <a:ln w="9525" cap="flat" cmpd="sng" algn="ctr">
      <a:solidFill>
        <a:schemeClr val="tx1">
          <a:lumMod val="15000"/>
          <a:lumOff val="85000"/>
        </a:schemeClr>
      </a:solidFill>
      <a:round/>
    </a:ln>
    <a:effectLst/>
  </c:spPr>
  <c:txPr>
    <a:bodyPr/>
    <a:lstStyle/>
    <a:p>
      <a:pPr>
        <a:defRPr lang="zh-CN">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000" b="1"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r>
              <a:rPr lang="en-US" altLang="zh-CN" sz="1000">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rPr>
              <a:t>Non-GAAP Gross Profit by Segments </a:t>
            </a:r>
            <a:endParaRPr lang="en-US" altLang="zh-CN" sz="1000">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endParaRPr>
          </a:p>
        </c:rich>
      </c:tx>
      <c:layout/>
      <c:overlay val="0"/>
      <c:spPr>
        <a:noFill/>
        <a:ln>
          <a:noFill/>
        </a:ln>
        <a:effectLst/>
      </c:spPr>
    </c:title>
    <c:autoTitleDeleted val="0"/>
    <c:plotArea>
      <c:layout/>
      <c:pieChart>
        <c:varyColors val="1"/>
        <c:ser>
          <c:idx val="0"/>
          <c:order val="0"/>
          <c:tx>
            <c:strRef>
              <c:f>'[BE.xlsx]Rev by Seg'!$E$7</c:f>
              <c:strCache>
                <c:ptCount val="1"/>
                <c:pt idx="0">
                  <c:v>Revenue by Segments</c:v>
                </c:pt>
              </c:strCache>
            </c:strRef>
          </c:tx>
          <c:spPr/>
          <c:explosion val="0"/>
          <c:dPt>
            <c:idx val="0"/>
            <c:bubble3D val="0"/>
            <c:spPr>
              <a:solidFill>
                <a:schemeClr val="accent1"/>
              </a:solidFill>
              <a:ln>
                <a:solidFill>
                  <a:schemeClr val="bg1"/>
                </a:solidFill>
              </a:ln>
              <a:effectLst/>
            </c:spPr>
          </c:dPt>
          <c:dPt>
            <c:idx val="1"/>
            <c:bubble3D val="0"/>
            <c:spPr>
              <a:solidFill>
                <a:schemeClr val="accent2"/>
              </a:solidFill>
              <a:ln>
                <a:solidFill>
                  <a:schemeClr val="bg1"/>
                </a:solidFill>
              </a:ln>
              <a:effectLst/>
            </c:spPr>
          </c:dPt>
          <c:dPt>
            <c:idx val="2"/>
            <c:bubble3D val="0"/>
            <c:spPr>
              <a:solidFill>
                <a:schemeClr val="accent3"/>
              </a:solidFill>
              <a:ln>
                <a:solidFill>
                  <a:schemeClr val="bg1"/>
                </a:solidFill>
              </a:ln>
              <a:effectLst/>
            </c:spPr>
          </c:dPt>
          <c:dPt>
            <c:idx val="3"/>
            <c:bubble3D val="0"/>
            <c:spPr>
              <a:solidFill>
                <a:schemeClr val="accent4"/>
              </a:solidFill>
              <a:ln>
                <a:solidFill>
                  <a:schemeClr val="bg1"/>
                </a:solidFill>
              </a:ln>
              <a:effectLst/>
            </c:spPr>
          </c:dPt>
          <c:dLbls>
            <c:dLbl>
              <c:idx val="0"/>
              <c:layout>
                <c:manualLayout>
                  <c:x val="0.0477145035898181"/>
                  <c:y val="0.0219810222276379"/>
                </c:manualLayout>
              </c:layout>
              <c:dLblPos val="bestFit"/>
              <c:showLegendKey val="0"/>
              <c:showVal val="0"/>
              <c:showCatName val="0"/>
              <c:showSerName val="0"/>
              <c:showPercent val="1"/>
              <c:showBubbleSize val="0"/>
              <c:extLst>
                <c:ext xmlns:c15="http://schemas.microsoft.com/office/drawing/2012/chart" uri="{CE6537A1-D6FC-4f65-9D91-7224C49458BB}">
                  <c15:layout/>
                </c:ext>
              </c:extLst>
            </c:dLbl>
            <c:dLbl>
              <c:idx val="1"/>
              <c:layout>
                <c:manualLayout>
                  <c:x val="-0.058954934905082"/>
                  <c:y val="0.0364781806057816"/>
                </c:manualLayout>
              </c:layout>
              <c:dLblPos val="bestFit"/>
              <c:showLegendKey val="0"/>
              <c:showVal val="0"/>
              <c:showCatName val="0"/>
              <c:showSerName val="0"/>
              <c:showPercent val="1"/>
              <c:showBubbleSize val="0"/>
              <c:extLst>
                <c:ext xmlns:c15="http://schemas.microsoft.com/office/drawing/2012/chart" uri="{CE6537A1-D6FC-4f65-9D91-7224C49458BB}">
                  <c15:layout/>
                </c:ext>
              </c:extLst>
            </c:dLbl>
            <c:dLbl>
              <c:idx val="2"/>
              <c:layout>
                <c:manualLayout>
                  <c:x val="-0.031055858070514"/>
                  <c:y val="0.0123868574010406"/>
                </c:manualLayout>
              </c:layout>
              <c:dLblPos val="bestFit"/>
              <c:showLegendKey val="0"/>
              <c:showVal val="0"/>
              <c:showCatName val="0"/>
              <c:showSerName val="0"/>
              <c:showPercent val="1"/>
              <c:showBubbleSize val="0"/>
              <c:extLst>
                <c:ext xmlns:c15="http://schemas.microsoft.com/office/drawing/2012/chart" uri="{CE6537A1-D6FC-4f65-9D91-7224C49458BB}">
                  <c15:layout/>
                </c:ext>
              </c:extLst>
            </c:dLbl>
            <c:dLbl>
              <c:idx val="3"/>
              <c:layout>
                <c:manualLayout>
                  <c:x val="0.0088793133457182"/>
                  <c:y val="0.0236777637559836"/>
                </c:manualLayout>
              </c:layout>
              <c:dLblPos val="bestFit"/>
              <c:showLegendKey val="0"/>
              <c:showVal val="0"/>
              <c:showCatName val="0"/>
              <c:showSerName val="0"/>
              <c:showPercent val="1"/>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7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p>
            </c:txPr>
            <c:dLblPos val="inEnd"/>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'[BE.xlsx]Rev by Seg'!$D$14:$D$17</c:f>
              <c:strCache>
                <c:ptCount val="4"/>
                <c:pt idx="0">
                  <c:v> Product Gross Profit</c:v>
                </c:pt>
                <c:pt idx="1">
                  <c:v> Install Gross Profit</c:v>
                </c:pt>
                <c:pt idx="2">
                  <c:v> Service Gross Profit</c:v>
                </c:pt>
                <c:pt idx="3">
                  <c:v> Electricity Gross Profit</c:v>
                </c:pt>
              </c:strCache>
            </c:strRef>
          </c:cat>
          <c:val>
            <c:numRef>
              <c:f>'[BE.xlsx]Rev by Seg'!$E$14:$E$17</c:f>
              <c:numCache>
                <c:formatCode>#,##0.0</c:formatCode>
                <c:ptCount val="4"/>
                <c:pt idx="0">
                  <c:v>138</c:v>
                </c:pt>
                <c:pt idx="1">
                  <c:v>6.6</c:v>
                </c:pt>
                <c:pt idx="2">
                  <c:v>8.5</c:v>
                </c:pt>
                <c:pt idx="3">
                  <c:v>4.5</c:v>
                </c:pt>
              </c:numCache>
            </c:numRef>
          </c:val>
        </c:ser>
        <c:dLbls>
          <c:showLegendKey val="0"/>
          <c:showVal val="0"/>
          <c:showCatName val="0"/>
          <c:showSerName val="0"/>
          <c:showPercent val="1"/>
          <c:showBubbleSize val="0"/>
          <c:showLeaderLines val="1"/>
        </c:dLbls>
        <c:firstSliceAng val="0"/>
      </c:pieChart>
      <c:spPr>
        <a:noFill/>
        <a:ln>
          <a:noFill/>
        </a:ln>
        <a:effectLst/>
      </c:spPr>
    </c:plotArea>
    <c:legend>
      <c:legendPos val="t"/>
      <c:legendEntry>
        <c:idx val="0"/>
        <c:txPr>
          <a:bodyPr rot="0" spcFirstLastPara="0" vertOverflow="ellipsis" vert="horz" wrap="square" anchor="ctr" anchorCtr="1"/>
          <a:lstStyle/>
          <a:p>
            <a:pPr>
              <a:defRPr lang="zh-CN" sz="8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p>
        </c:txPr>
      </c:legendEntry>
      <c:legendEntry>
        <c:idx val="1"/>
        <c:txPr>
          <a:bodyPr rot="0" spcFirstLastPara="0" vertOverflow="ellipsis" vert="horz" wrap="square" anchor="ctr" anchorCtr="1"/>
          <a:lstStyle/>
          <a:p>
            <a:pPr>
              <a:defRPr lang="zh-CN" sz="8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p>
        </c:txPr>
      </c:legendEntry>
      <c:legendEntry>
        <c:idx val="2"/>
        <c:txPr>
          <a:bodyPr rot="0" spcFirstLastPara="0" vertOverflow="ellipsis" vert="horz" wrap="square" anchor="ctr" anchorCtr="1"/>
          <a:lstStyle/>
          <a:p>
            <a:pPr>
              <a:defRPr lang="zh-CN" sz="8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p>
        </c:txPr>
      </c:legendEntry>
      <c:legendEntry>
        <c:idx val="3"/>
        <c:txPr>
          <a:bodyPr rot="0" spcFirstLastPara="0" vertOverflow="ellipsis" vert="horz" wrap="square" anchor="ctr" anchorCtr="1"/>
          <a:lstStyle/>
          <a:p>
            <a:pPr>
              <a:defRPr lang="zh-CN" sz="8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p>
        </c:txPr>
      </c:legendEntry>
      <c:layout/>
      <c:overlay val="0"/>
      <c:spPr>
        <a:noFill/>
        <a:ln>
          <a:noFill/>
        </a:ln>
        <a:effectLst/>
      </c:spPr>
      <c:txPr>
        <a:bodyPr rot="0" spcFirstLastPara="0" vertOverflow="ellipsis" vert="horz" wrap="square" anchor="ctr" anchorCtr="1"/>
        <a:lstStyle/>
        <a:p>
          <a:pPr>
            <a:defRPr lang="zh-CN" sz="8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p>
      </c:txPr>
    </c:legend>
    <c:plotVisOnly val="1"/>
    <c:dispBlanksAs val="gap"/>
    <c:showDLblsOverMax val="0"/>
    <c:extLst>
      <c:ext uri="{0b15fc19-7d7d-44ad-8c2d-2c3a37ce22c3}">
        <chartProps xmlns="https://web.wps.cn/et/2018/main" chartId="{acc7106d-7b3f-48b4-b4f4-33c939c35975}"/>
      </c:ext>
    </c:extLst>
  </c:chart>
  <c:spPr>
    <a:solidFill>
      <a:schemeClr val="bg1"/>
    </a:solidFill>
    <a:ln w="9525" cap="flat" cmpd="sng" algn="ctr">
      <a:solidFill>
        <a:schemeClr val="tx1">
          <a:lumMod val="15000"/>
          <a:lumOff val="85000"/>
        </a:schemeClr>
      </a:solidFill>
      <a:round/>
    </a:ln>
    <a:effectLst/>
  </c:spPr>
  <c:txPr>
    <a:bodyPr/>
    <a:lstStyle/>
    <a:p>
      <a:pPr>
        <a:defRPr lang="zh-CN">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'[BE.xlsx]Total Revenue'!$B$1</c:f>
              <c:strCache>
                <c:ptCount val="1"/>
                <c:pt idx="0">
                  <c:v>Total Revenue</c:v>
                </c:pt>
              </c:strCache>
            </c:strRef>
          </c:tx>
          <c:spPr>
            <a:solidFill>
              <a:schemeClr val="accent5">
                <a:shade val="65000"/>
              </a:schemeClr>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700" b="0" i="0" u="none" strike="noStrike" kern="1200" baseline="0">
                    <a:solidFill>
                      <a:srgbClr val="000000"/>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6350" cap="flat" cmpd="sng" algn="ctr">
                      <a:solidFill>
                        <a:schemeClr val="tx1"/>
                      </a:solidFill>
                      <a:prstDash val="solid"/>
                      <a:round/>
                    </a:ln>
                    <a:effectLst/>
                  </c:spPr>
                </c15:leaderLines>
              </c:ext>
            </c:extLst>
          </c:dLbls>
          <c:cat>
            <c:strRef>
              <c:f>'[BE.xlsx]Total Revenue'!$A$1:$A$11</c:f>
              <c:strCache>
                <c:ptCount val="10"/>
                <c:pt idx="0">
                  <c:v>2021</c:v>
                </c:pt>
                <c:pt idx="1">
                  <c:v>2022</c:v>
                </c:pt>
                <c:pt idx="2">
                  <c:v>2023</c:v>
                </c:pt>
                <c:pt idx="3">
                  <c:v>2024</c:v>
                </c:pt>
                <c:pt idx="4">
                  <c:v>2025E</c:v>
                </c:pt>
                <c:pt idx="6">
                  <c:v>1Q25</c:v>
                </c:pt>
                <c:pt idx="7">
                  <c:v>2Q25</c:v>
                </c:pt>
                <c:pt idx="8">
                  <c:v>3Q25</c:v>
                </c:pt>
                <c:pt idx="9">
                  <c:v>4Q25E</c:v>
                </c:pt>
              </c:strCache>
            </c:strRef>
          </c:cat>
          <c:val>
            <c:numRef>
              <c:f>'Total Revenue'!$B$1:$B$11</c:f>
              <c:numCache>
                <c:formatCode>General</c:formatCode>
                <c:ptCount val="10"/>
                <c:pt idx="0">
                  <c:v>972</c:v>
                </c:pt>
                <c:pt idx="1">
                  <c:v>1199</c:v>
                </c:pt>
                <c:pt idx="2">
                  <c:v>1333</c:v>
                </c:pt>
                <c:pt idx="3">
                  <c:v>1473</c:v>
                </c:pt>
                <c:pt idx="4">
                  <c:v>1859</c:v>
                </c:pt>
                <c:pt idx="6">
                  <c:v>326</c:v>
                </c:pt>
                <c:pt idx="7">
                  <c:v>401.2</c:v>
                </c:pt>
                <c:pt idx="8">
                  <c:v>519</c:v>
                </c:pt>
                <c:pt idx="9">
                  <c:v>612.8</c:v>
                </c:pt>
              </c:numCache>
            </c:numRef>
          </c:val>
        </c:ser>
        <c:dLbls>
          <c:showLegendKey val="0"/>
          <c:showVal val="1"/>
          <c:showCatName val="0"/>
          <c:showSerName val="0"/>
          <c:showPercent val="0"/>
          <c:showBubbleSize val="0"/>
        </c:dLbls>
        <c:gapWidth val="150"/>
        <c:axId val="1021593488"/>
        <c:axId val="1"/>
      </c:barChart>
      <c:lineChart>
        <c:grouping val="standard"/>
        <c:varyColors val="0"/>
        <c:ser>
          <c:idx val="1"/>
          <c:order val="1"/>
          <c:tx>
            <c:strRef>
              <c:f>'[BE.xlsx]Total Revenue'!$C$1</c:f>
              <c:strCache>
                <c:ptCount val="1"/>
                <c:pt idx="0">
                  <c:v>YoY</c:v>
                </c:pt>
              </c:strCache>
            </c:strRef>
          </c:tx>
          <c:spPr>
            <a:ln w="19050" cap="rnd" cmpd="sng" algn="ctr">
              <a:solidFill>
                <a:schemeClr val="accent5">
                  <a:tint val="77000"/>
                </a:schemeClr>
              </a:solidFill>
              <a:prstDash val="solid"/>
              <a:round/>
            </a:ln>
            <a:effectLst/>
          </c:spPr>
          <c:marker>
            <c:symbol val="none"/>
          </c:marker>
          <c:dLbls>
            <c:dLbl>
              <c:idx val="0"/>
              <c:delete val="1"/>
            </c:dLbl>
            <c:dLbl>
              <c:idx val="2"/>
              <c:layout>
                <c:manualLayout>
                  <c:x val="0.0024330900243309"/>
                  <c:y val="-0.0437922198928488"/>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6"/>
              <c:layout>
                <c:manualLayout>
                  <c:x val="-0.048661800486618"/>
                  <c:y val="-0.0717447006755183"/>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7"/>
              <c:layout>
                <c:manualLayout>
                  <c:x val="-0.0417680454176805"/>
                  <c:y val="-0.0319124155602143"/>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8"/>
              <c:layout>
                <c:manualLayout>
                  <c:x val="-0.0103433414739262"/>
                  <c:y val="0.0792079207920792"/>
                </c:manualLayout>
              </c:layout>
              <c:dLblPos val="r"/>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700" b="0" i="0" u="none" strike="noStrike" kern="1200" baseline="0">
                    <a:solidFill>
                      <a:srgbClr val="000000"/>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p>
            </c:txPr>
            <c:dLblPos val="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6350" cap="flat" cmpd="sng" algn="ctr">
                      <a:solidFill>
                        <a:schemeClr val="tx1"/>
                      </a:solidFill>
                      <a:prstDash val="solid"/>
                      <a:round/>
                    </a:ln>
                    <a:effectLst/>
                  </c:spPr>
                </c15:leaderLines>
              </c:ext>
            </c:extLst>
          </c:dLbls>
          <c:cat>
            <c:strRef>
              <c:f>'[BE.xlsx]Total Revenue'!$A$1:$A$10</c:f>
              <c:strCache>
                <c:ptCount val="9"/>
                <c:pt idx="0">
                  <c:v>2021</c:v>
                </c:pt>
                <c:pt idx="1">
                  <c:v>2022</c:v>
                </c:pt>
                <c:pt idx="2">
                  <c:v>2023</c:v>
                </c:pt>
                <c:pt idx="3">
                  <c:v>2024</c:v>
                </c:pt>
                <c:pt idx="4">
                  <c:v>2025E</c:v>
                </c:pt>
                <c:pt idx="6">
                  <c:v>1Q25</c:v>
                </c:pt>
                <c:pt idx="7">
                  <c:v>2Q25</c:v>
                </c:pt>
                <c:pt idx="8">
                  <c:v>3Q25</c:v>
                </c:pt>
              </c:strCache>
            </c:strRef>
          </c:cat>
          <c:val>
            <c:numRef>
              <c:f>'Total Revenue'!$C$1:$C$10</c:f>
              <c:numCache>
                <c:formatCode>General</c:formatCode>
                <c:ptCount val="9"/>
                <c:pt idx="1" c:formatCode="0%">
                  <c:v>0.233539094650206</c:v>
                </c:pt>
                <c:pt idx="2" c:formatCode="0%">
                  <c:v>0.111759799833194</c:v>
                </c:pt>
                <c:pt idx="3" c:formatCode="0%">
                  <c:v>0.105026256564141</c:v>
                </c:pt>
                <c:pt idx="4" c:formatCode="0%">
                  <c:v>0.262050237610319</c:v>
                </c:pt>
              </c:numCache>
            </c:numRef>
          </c:val>
          <c:smooth val="0"/>
        </c:ser>
        <c:dLbls>
          <c:showLegendKey val="0"/>
          <c:showVal val="1"/>
          <c:showCatName val="0"/>
          <c:showSerName val="0"/>
          <c:showPercent val="0"/>
          <c:showBubbleSize val="0"/>
        </c:dLbls>
        <c:marker val="0"/>
        <c:smooth val="0"/>
        <c:axId val="259816367"/>
        <c:axId val="259820207"/>
      </c:line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catAx>
        <c:axId val="259816367"/>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20207"/>
        <c:crosses val="autoZero"/>
        <c:auto val="1"/>
        <c:lblAlgn val="ctr"/>
        <c:lblOffset val="100"/>
        <c:noMultiLvlLbl val="0"/>
      </c:catAx>
      <c:valAx>
        <c:axId val="259820207"/>
        <c:scaling>
          <c:orientation val="minMax"/>
        </c:scaling>
        <c:delete val="0"/>
        <c:axPos val="r"/>
        <c:numFmt formatCode="0%" sourceLinked="0"/>
        <c:majorTickMark val="out"/>
        <c:minorTickMark val="none"/>
        <c:tickLblPos val="nextTo"/>
        <c:spPr>
          <a:noFill/>
          <a:ln w="6350" cap="flat" cmpd="sng" algn="ctr">
            <a:solidFill>
              <a:schemeClr val="tx1">
                <a:tint val="75000"/>
              </a:schemeClr>
            </a:solidFill>
            <a:prstDash val="solid"/>
            <a:round/>
          </a:ln>
          <a:effectLst/>
        </c:spPr>
        <c:txPr>
          <a:bodyPr rot="-600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16367"/>
        <c:crosses val="max"/>
        <c:crossBetween val="between"/>
      </c:valAx>
      <c:spPr>
        <a:noFill/>
        <a:ln w="25400">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rgbClr val="000000"/>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p>
        </c:txPr>
      </c:legendEntry>
      <c:legendEntry>
        <c:idx val="1"/>
        <c:txPr>
          <a:bodyPr rot="0" spcFirstLastPara="1" vertOverflow="ellipsis" vert="horz" wrap="square" anchor="ctr" anchorCtr="1"/>
          <a:lstStyle/>
          <a:p>
            <a:pPr>
              <a:defRPr lang="zh-CN" sz="700" b="0" i="0" u="none" strike="noStrike" kern="1200" baseline="0">
                <a:solidFill>
                  <a:srgbClr val="000000"/>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p>
        </c:txPr>
      </c:legendEntry>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p>
      </c:txPr>
    </c:legend>
    <c:plotVisOnly val="1"/>
    <c:dispBlanksAs val="gap"/>
    <c:showDLblsOverMax val="0"/>
    <c:extLst>
      <c:ext uri="{0b15fc19-7d7d-44ad-8c2d-2c3a37ce22c3}">
        <chartProps xmlns="https://web.wps.cn/et/2018/main" chartId="{a72f40f0-5d87-47ab-961f-905e8467bec0}"/>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776690888764673"/>
          <c:y val="0.16162542010388"/>
          <c:w val="0.858496366685299"/>
          <c:h val="0.64136877482432"/>
        </c:manualLayout>
      </c:layout>
      <c:barChart>
        <c:barDir val="col"/>
        <c:grouping val="clustered"/>
        <c:varyColors val="0"/>
        <c:ser>
          <c:idx val="0"/>
          <c:order val="0"/>
          <c:tx>
            <c:strRef>
              <c:f>'[BE.xlsx]Non-GAAP GP'!$B$4</c:f>
              <c:strCache>
                <c:ptCount val="1"/>
                <c:pt idx="0">
                  <c:v>Non-GAAP Gross Profit</c:v>
                </c:pt>
              </c:strCache>
            </c:strRef>
          </c:tx>
          <c:spPr>
            <a:solidFill>
              <a:schemeClr val="accent5">
                <a:shade val="65000"/>
              </a:schemeClr>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700" b="0" i="0" u="none" strike="noStrike" kern="1200" baseline="0">
                    <a:solidFill>
                      <a:srgbClr val="000000"/>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6350" cap="flat" cmpd="sng" algn="ctr">
                      <a:solidFill>
                        <a:schemeClr val="tx1"/>
                      </a:solidFill>
                      <a:prstDash val="solid"/>
                      <a:round/>
                    </a:ln>
                    <a:effectLst/>
                  </c:spPr>
                </c15:leaderLines>
              </c:ext>
            </c:extLst>
          </c:dLbls>
          <c:cat>
            <c:strRef>
              <c:f>'[BE.xlsx]Non-GAAP GP'!$C$3:$L$3</c:f>
              <c:strCache>
                <c:ptCount val="10"/>
                <c:pt idx="0">
                  <c:v>2021</c:v>
                </c:pt>
                <c:pt idx="1">
                  <c:v>2022</c:v>
                </c:pt>
                <c:pt idx="2">
                  <c:v>2023</c:v>
                </c:pt>
                <c:pt idx="3">
                  <c:v>2024</c:v>
                </c:pt>
                <c:pt idx="4">
                  <c:v>2025E</c:v>
                </c:pt>
                <c:pt idx="6">
                  <c:v>1Q25</c:v>
                </c:pt>
                <c:pt idx="7">
                  <c:v>2Q25</c:v>
                </c:pt>
                <c:pt idx="8">
                  <c:v>3Q25</c:v>
                </c:pt>
                <c:pt idx="9">
                  <c:v>4Q25E</c:v>
                </c:pt>
              </c:strCache>
            </c:strRef>
          </c:cat>
          <c:val>
            <c:numRef>
              <c:f>'[BE.xlsx]Non-GAAP GP'!$C$4:$L$4</c:f>
              <c:numCache>
                <c:formatCode>#,##0.0</c:formatCode>
                <c:ptCount val="10"/>
                <c:pt idx="0">
                  <c:v>211.4</c:v>
                </c:pt>
                <c:pt idx="1">
                  <c:v>276.1</c:v>
                </c:pt>
                <c:pt idx="2">
                  <c:v>344.004</c:v>
                </c:pt>
                <c:pt idx="3">
                  <c:v>422.81</c:v>
                </c:pt>
                <c:pt idx="4">
                  <c:v>549</c:v>
                </c:pt>
                <c:pt idx="6">
                  <c:v>93.492</c:v>
                </c:pt>
                <c:pt idx="7">
                  <c:v>113.35</c:v>
                </c:pt>
                <c:pt idx="8">
                  <c:v>157.576</c:v>
                </c:pt>
                <c:pt idx="9">
                  <c:v>184.582</c:v>
                </c:pt>
              </c:numCache>
            </c:numRef>
          </c:val>
        </c:ser>
        <c:dLbls>
          <c:showLegendKey val="0"/>
          <c:showVal val="1"/>
          <c:showCatName val="0"/>
          <c:showSerName val="0"/>
          <c:showPercent val="0"/>
          <c:showBubbleSize val="0"/>
        </c:dLbls>
        <c:gapWidth val="150"/>
        <c:axId val="1021593488"/>
        <c:axId val="1"/>
      </c:barChart>
      <c:lineChart>
        <c:grouping val="standard"/>
        <c:varyColors val="0"/>
        <c:ser>
          <c:idx val="1"/>
          <c:order val="1"/>
          <c:tx>
            <c:strRef>
              <c:f>'[BE.xlsx]Non-GAAP GP'!$B$5</c:f>
              <c:strCache>
                <c:ptCount val="1"/>
                <c:pt idx="0">
                  <c:v>Gross Margin</c:v>
                </c:pt>
              </c:strCache>
            </c:strRef>
          </c:tx>
          <c:spPr>
            <a:ln w="19050" cap="rnd" cmpd="sng" algn="ctr">
              <a:solidFill>
                <a:schemeClr val="accent5">
                  <a:tint val="77000"/>
                </a:schemeClr>
              </a:solidFill>
              <a:prstDash val="solid"/>
              <a:round/>
            </a:ln>
            <a:effectLst/>
          </c:spPr>
          <c:marker>
            <c:symbol val="none"/>
          </c:marker>
          <c:dLbls>
            <c:dLbl>
              <c:idx val="0"/>
              <c:layout>
                <c:manualLayout>
                  <c:x val="-0.0122903720524437"/>
                  <c:y val="0.0113046135044302"/>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0768585802124092"/>
                  <c:y val="0.00824931255728689"/>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295312058473437"/>
                  <c:y val="0.0581346077820087"/>
                </c:manualLayout>
              </c:layout>
              <c:dLblPos val="r"/>
              <c:showLegendKey val="0"/>
              <c:showVal val="1"/>
              <c:showCatName val="0"/>
              <c:showSerName val="0"/>
              <c:showPercent val="0"/>
              <c:showBubbleSize val="0"/>
              <c:extLst>
                <c:ext xmlns:c15="http://schemas.microsoft.com/office/drawing/2012/chart" uri="{CE6537A1-D6FC-4f65-9D91-7224C49458BB}">
                  <c15:layout>
                    <c:manualLayout>
                      <c:w val="0.113750698714366"/>
                      <c:h val="0.0849373663305836"/>
                    </c:manualLayout>
                  </c15:layout>
                </c:ext>
              </c:extLst>
            </c:dLbl>
            <c:spPr>
              <a:noFill/>
              <a:ln>
                <a:noFill/>
              </a:ln>
              <a:effectLst/>
            </c:spPr>
            <c:txPr>
              <a:bodyPr rot="0" spcFirstLastPara="0" vertOverflow="ellipsis" vert="horz" wrap="square" lIns="38100" tIns="19050" rIns="38100" bIns="19050" anchor="ctr" anchorCtr="1"/>
              <a:lstStyle/>
              <a:p>
                <a:pPr>
                  <a:defRPr lang="zh-CN" sz="700" b="0" i="0" u="none" strike="noStrike" kern="1200" baseline="0">
                    <a:solidFill>
                      <a:srgbClr val="000000"/>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p>
            </c:txPr>
            <c:dLblPos val="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6350" cap="flat" cmpd="sng" algn="ctr">
                      <a:solidFill>
                        <a:schemeClr val="tx1"/>
                      </a:solidFill>
                      <a:prstDash val="solid"/>
                      <a:round/>
                    </a:ln>
                    <a:effectLst/>
                  </c:spPr>
                </c15:leaderLines>
              </c:ext>
            </c:extLst>
          </c:dLbls>
          <c:cat>
            <c:strRef>
              <c:f>'[BE.xlsx]Non-GAAP GP'!$C$3:$L$3</c:f>
              <c:strCache>
                <c:ptCount val="10"/>
                <c:pt idx="0">
                  <c:v>2021</c:v>
                </c:pt>
                <c:pt idx="1">
                  <c:v>2022</c:v>
                </c:pt>
                <c:pt idx="2">
                  <c:v>2023</c:v>
                </c:pt>
                <c:pt idx="3">
                  <c:v>2024</c:v>
                </c:pt>
                <c:pt idx="4">
                  <c:v>2025E</c:v>
                </c:pt>
                <c:pt idx="6">
                  <c:v>1Q25</c:v>
                </c:pt>
                <c:pt idx="7">
                  <c:v>2Q25</c:v>
                </c:pt>
                <c:pt idx="8">
                  <c:v>3Q25</c:v>
                </c:pt>
                <c:pt idx="9">
                  <c:v>4Q25E</c:v>
                </c:pt>
              </c:strCache>
            </c:strRef>
          </c:cat>
          <c:val>
            <c:numRef>
              <c:f>'[BE.xlsx]Non-GAAP GP'!$C$5:$L$5</c:f>
              <c:numCache>
                <c:formatCode>0.0%</c:formatCode>
                <c:ptCount val="10"/>
                <c:pt idx="0">
                  <c:v>0.217450338210365</c:v>
                </c:pt>
                <c:pt idx="1">
                  <c:v>0.230251032835582</c:v>
                </c:pt>
                <c:pt idx="2">
                  <c:v>0.257976363940423</c:v>
                </c:pt>
                <c:pt idx="3">
                  <c:v>0.286873149837467</c:v>
                </c:pt>
                <c:pt idx="4">
                  <c:v>0.295320064550834</c:v>
                </c:pt>
                <c:pt idx="6">
                  <c:v>0.286766803365427</c:v>
                </c:pt>
                <c:pt idx="7">
                  <c:v>0.282497844193778</c:v>
                </c:pt>
                <c:pt idx="8">
                  <c:v>0.303586566174997</c:v>
                </c:pt>
                <c:pt idx="9">
                  <c:v>0.333300830624774</c:v>
                </c:pt>
              </c:numCache>
            </c:numRef>
          </c:val>
          <c:smooth val="0"/>
        </c:ser>
        <c:dLbls>
          <c:showLegendKey val="0"/>
          <c:showVal val="1"/>
          <c:showCatName val="0"/>
          <c:showSerName val="0"/>
          <c:showPercent val="0"/>
          <c:showBubbleSize val="0"/>
        </c:dLbls>
        <c:marker val="0"/>
        <c:smooth val="0"/>
        <c:axId val="259816367"/>
        <c:axId val="259820207"/>
      </c:line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min val="0"/>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catAx>
        <c:axId val="259816367"/>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20207"/>
        <c:crosses val="autoZero"/>
        <c:auto val="1"/>
        <c:lblAlgn val="ctr"/>
        <c:lblOffset val="100"/>
        <c:noMultiLvlLbl val="0"/>
      </c:catAx>
      <c:valAx>
        <c:axId val="259820207"/>
        <c:scaling>
          <c:orientation val="minMax"/>
          <c:min val="0.2"/>
        </c:scaling>
        <c:delete val="0"/>
        <c:axPos val="r"/>
        <c:numFmt formatCode="0%" sourceLinked="0"/>
        <c:majorTickMark val="out"/>
        <c:minorTickMark val="none"/>
        <c:tickLblPos val="nextTo"/>
        <c:spPr>
          <a:noFill/>
          <a:ln w="6350" cap="flat" cmpd="sng" algn="ctr">
            <a:solidFill>
              <a:schemeClr val="tx1">
                <a:tint val="75000"/>
              </a:schemeClr>
            </a:solidFill>
            <a:prstDash val="solid"/>
            <a:round/>
          </a:ln>
          <a:effectLst/>
        </c:spPr>
        <c:txPr>
          <a:bodyPr rot="-600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16367"/>
        <c:crosses val="max"/>
        <c:crossBetween val="between"/>
      </c:valAx>
      <c:spPr>
        <a:noFill/>
        <a:ln w="25400">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rgbClr val="000000"/>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p>
        </c:txPr>
      </c:legendEntry>
      <c:legendEntry>
        <c:idx val="1"/>
        <c:txPr>
          <a:bodyPr rot="0" spcFirstLastPara="1" vertOverflow="ellipsis" vert="horz" wrap="square" anchor="ctr" anchorCtr="1"/>
          <a:lstStyle/>
          <a:p>
            <a:pPr>
              <a:defRPr lang="zh-CN" sz="700" b="0" i="0" u="none" strike="noStrike" kern="1200" baseline="0">
                <a:solidFill>
                  <a:srgbClr val="000000"/>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p>
        </c:txPr>
      </c:legendEntry>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p>
      </c:txPr>
    </c:legend>
    <c:plotVisOnly val="1"/>
    <c:dispBlanksAs val="gap"/>
    <c:showDLblsOverMax val="0"/>
    <c:extLst>
      <c:ext uri="{0b15fc19-7d7d-44ad-8c2d-2c3a37ce22c3}">
        <chartProps xmlns="https://web.wps.cn/et/2018/main" chartId="{a72f40f0-5d87-47ab-961f-905e8467bec0}"/>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5139882888744"/>
          <c:y val="0.148441821869814"/>
          <c:w val="0.858441769681197"/>
          <c:h val="0.677337267195279"/>
        </c:manualLayout>
      </c:layout>
      <c:barChart>
        <c:barDir val="col"/>
        <c:grouping val="clustered"/>
        <c:varyColors val="0"/>
        <c:ser>
          <c:idx val="0"/>
          <c:order val="0"/>
          <c:tx>
            <c:strRef>
              <c:f>'[BE.xlsx]Non-GAAP Operating Income'!$B$13</c:f>
              <c:strCache>
                <c:ptCount val="1"/>
                <c:pt idx="0">
                  <c:v>Non-GAAP Operating Income</c:v>
                </c:pt>
              </c:strCache>
            </c:strRef>
          </c:tx>
          <c:spPr>
            <a:solidFill>
              <a:schemeClr val="accent5">
                <a:shade val="65000"/>
              </a:schemeClr>
            </a:solidFill>
            <a:ln>
              <a:noFill/>
            </a:ln>
            <a:effectLst/>
          </c:spPr>
          <c:invertIfNegative val="0"/>
          <c:dLbls>
            <c:dLbl>
              <c:idx val="2"/>
              <c:layout>
                <c:manualLayout>
                  <c:x val="0.0026529209840717"/>
                  <c:y val="0.0464664588880661"/>
                </c:manualLayout>
              </c:layout>
              <c:dLblPos val="outEnd"/>
              <c:showLegendKey val="0"/>
              <c:showVal val="1"/>
              <c:showCatName val="0"/>
              <c:showSerName val="0"/>
              <c:showPercent val="0"/>
              <c:showBubbleSize val="0"/>
              <c:extLst>
                <c:ext xmlns:c15="http://schemas.microsoft.com/office/drawing/2012/chart" uri="{CE6537A1-D6FC-4f65-9D91-7224C49458BB}">
                  <c15:layout>
                    <c:manualLayout>
                      <c:w val="0.0558971492453885"/>
                      <c:h val="0.0862732520846697"/>
                    </c:manualLayout>
                  </c15:layout>
                </c:ext>
              </c:extLst>
            </c:dLbl>
            <c:spPr>
              <a:noFill/>
              <a:ln>
                <a:noFill/>
              </a:ln>
              <a:effectLst/>
            </c:spPr>
            <c:txPr>
              <a:bodyPr rot="0" spcFirstLastPara="0" vertOverflow="ellipsis" vert="horz" wrap="square" lIns="38100" tIns="19050" rIns="38100" bIns="19050" anchor="ctr" anchorCtr="1"/>
              <a:lstStyle/>
              <a:p>
                <a:pPr>
                  <a:defRPr lang="zh-CN" sz="700" b="0" i="0" u="none" strike="noStrike" kern="1200" baseline="0">
                    <a:solidFill>
                      <a:srgbClr val="000000"/>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6350" cap="flat" cmpd="sng" algn="ctr">
                      <a:solidFill>
                        <a:schemeClr val="tx1"/>
                      </a:solidFill>
                      <a:prstDash val="solid"/>
                      <a:round/>
                    </a:ln>
                    <a:effectLst/>
                  </c:spPr>
                </c15:leaderLines>
              </c:ext>
            </c:extLst>
          </c:dLbls>
          <c:cat>
            <c:strRef>
              <c:f>'[BE.xlsx]Non-GAAP Operating Income'!$C$12:$L$12</c:f>
              <c:strCache>
                <c:ptCount val="10"/>
                <c:pt idx="0">
                  <c:v>2021</c:v>
                </c:pt>
                <c:pt idx="1">
                  <c:v>2022</c:v>
                </c:pt>
                <c:pt idx="2">
                  <c:v>2023</c:v>
                </c:pt>
                <c:pt idx="3">
                  <c:v>2024</c:v>
                </c:pt>
                <c:pt idx="4">
                  <c:v>2025E</c:v>
                </c:pt>
                <c:pt idx="6">
                  <c:v>1Q25</c:v>
                </c:pt>
                <c:pt idx="7">
                  <c:v>2Q25</c:v>
                </c:pt>
                <c:pt idx="8">
                  <c:v>3Q25</c:v>
                </c:pt>
                <c:pt idx="9">
                  <c:v>4Q25E</c:v>
                </c:pt>
              </c:strCache>
            </c:strRef>
          </c:cat>
          <c:val>
            <c:numRef>
              <c:f>'[BE.xlsx]Non-GAAP Operating Income'!$C$13:$L$13</c:f>
              <c:numCache>
                <c:formatCode>#,##0.0</c:formatCode>
                <c:ptCount val="10"/>
                <c:pt idx="0">
                  <c:v>-38.4</c:v>
                </c:pt>
                <c:pt idx="1">
                  <c:v>-33.4</c:v>
                </c:pt>
                <c:pt idx="2">
                  <c:v>19.2</c:v>
                </c:pt>
                <c:pt idx="3">
                  <c:v>107.6</c:v>
                </c:pt>
                <c:pt idx="4">
                  <c:v>165</c:v>
                </c:pt>
                <c:pt idx="6">
                  <c:v>13.2</c:v>
                </c:pt>
                <c:pt idx="7">
                  <c:v>28.6</c:v>
                </c:pt>
                <c:pt idx="8">
                  <c:v>46.2</c:v>
                </c:pt>
                <c:pt idx="9" c:formatCode="General">
                  <c:v>77</c:v>
                </c:pt>
              </c:numCache>
            </c:numRef>
          </c:val>
        </c:ser>
        <c:dLbls>
          <c:showLegendKey val="0"/>
          <c:showVal val="1"/>
          <c:showCatName val="0"/>
          <c:showSerName val="0"/>
          <c:showPercent val="0"/>
          <c:showBubbleSize val="0"/>
        </c:dLbls>
        <c:gapWidth val="150"/>
        <c:axId val="1021593488"/>
        <c:axId val="1"/>
      </c:barChart>
      <c:lineChart>
        <c:grouping val="standard"/>
        <c:varyColors val="0"/>
        <c:ser>
          <c:idx val="1"/>
          <c:order val="1"/>
          <c:tx>
            <c:strRef>
              <c:f>'[BE.xlsx]Non-GAAP Operating Income'!$B$14</c:f>
              <c:strCache>
                <c:ptCount val="1"/>
                <c:pt idx="0">
                  <c:v>Operating Margin</c:v>
                </c:pt>
              </c:strCache>
            </c:strRef>
          </c:tx>
          <c:spPr>
            <a:ln w="19050" cap="rnd" cmpd="sng" algn="ctr">
              <a:solidFill>
                <a:schemeClr val="accent5">
                  <a:tint val="77000"/>
                </a:schemeClr>
              </a:solidFill>
              <a:prstDash val="solid"/>
              <a:round/>
            </a:ln>
            <a:effectLst/>
          </c:spPr>
          <c:marker>
            <c:symbol val="none"/>
          </c:marker>
          <c:dLbls>
            <c:dLbl>
              <c:idx val="0"/>
              <c:layout>
                <c:manualLayout>
                  <c:x val="-0.0097750003364012"/>
                  <c:y val="0.026940346375882"/>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716304540886521"/>
                  <c:y val="-0.0910863045658357"/>
                </c:manualLayout>
              </c:layout>
              <c:dLblPos val="r"/>
              <c:showLegendKey val="0"/>
              <c:showVal val="1"/>
              <c:showCatName val="0"/>
              <c:showSerName val="0"/>
              <c:showPercent val="0"/>
              <c:showBubbleSize val="0"/>
              <c:extLst>
                <c:ext xmlns:c15="http://schemas.microsoft.com/office/drawing/2012/chart" uri="{CE6537A1-D6FC-4f65-9D91-7224C49458BB}">
                  <c15:layout>
                    <c:manualLayout>
                      <c:w val="0.0865008384572387"/>
                      <c:h val="0.0888389993585632"/>
                    </c:manualLayout>
                  </c15:layout>
                </c:ext>
              </c:extLst>
            </c:dLbl>
            <c:dLbl>
              <c:idx val="3"/>
              <c:layout>
                <c:manualLayout>
                  <c:x val="0.0117120780805205"/>
                  <c:y val="0.0111982082866741"/>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85441236274909"/>
                  <c:y val="-0.0111982082866741"/>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9"/>
              <c:layout>
                <c:manualLayout>
                  <c:x val="-0.0492787812921175"/>
                  <c:y val="-0.0211997382535535"/>
                </c:manualLayout>
              </c:layout>
              <c:dLblPos val="r"/>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700" b="0" i="0" u="none" strike="noStrike" kern="1200" baseline="0">
                    <a:solidFill>
                      <a:srgbClr val="000000"/>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p>
            </c:txPr>
            <c:dLblPos val="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6350" cap="flat" cmpd="sng" algn="ctr">
                      <a:solidFill>
                        <a:schemeClr val="tx1"/>
                      </a:solidFill>
                      <a:prstDash val="solid"/>
                      <a:round/>
                    </a:ln>
                    <a:effectLst/>
                  </c:spPr>
                </c15:leaderLines>
              </c:ext>
            </c:extLst>
          </c:dLbls>
          <c:cat>
            <c:strRef>
              <c:f>'[BE.xlsx]Non-GAAP Operating Income'!$C$12:$L$12</c:f>
              <c:strCache>
                <c:ptCount val="10"/>
                <c:pt idx="0">
                  <c:v>2021</c:v>
                </c:pt>
                <c:pt idx="1">
                  <c:v>2022</c:v>
                </c:pt>
                <c:pt idx="2">
                  <c:v>2023</c:v>
                </c:pt>
                <c:pt idx="3">
                  <c:v>2024</c:v>
                </c:pt>
                <c:pt idx="4">
                  <c:v>2025E</c:v>
                </c:pt>
                <c:pt idx="6">
                  <c:v>1Q25</c:v>
                </c:pt>
                <c:pt idx="7">
                  <c:v>2Q25</c:v>
                </c:pt>
                <c:pt idx="8">
                  <c:v>3Q25</c:v>
                </c:pt>
                <c:pt idx="9">
                  <c:v>4Q25E</c:v>
                </c:pt>
              </c:strCache>
            </c:strRef>
          </c:cat>
          <c:val>
            <c:numRef>
              <c:f>'[BE.xlsx]Non-GAAP Operating Income'!$C$14:$L$14</c:f>
              <c:numCache>
                <c:formatCode>0.0%</c:formatCode>
                <c:ptCount val="10"/>
                <c:pt idx="0">
                  <c:v>-0.039</c:v>
                </c:pt>
                <c:pt idx="1">
                  <c:v>-0.028</c:v>
                </c:pt>
                <c:pt idx="2">
                  <c:v>0.014</c:v>
                </c:pt>
                <c:pt idx="3">
                  <c:v>0.073</c:v>
                </c:pt>
                <c:pt idx="4">
                  <c:v>0.0916666666666667</c:v>
                </c:pt>
                <c:pt idx="6">
                  <c:v>0.04</c:v>
                </c:pt>
                <c:pt idx="7">
                  <c:v>0.071</c:v>
                </c:pt>
                <c:pt idx="8">
                  <c:v>0.089</c:v>
                </c:pt>
                <c:pt idx="9">
                  <c:v>0.139039364391477</c:v>
                </c:pt>
              </c:numCache>
            </c:numRef>
          </c:val>
          <c:smooth val="0"/>
        </c:ser>
        <c:dLbls>
          <c:showLegendKey val="0"/>
          <c:showVal val="1"/>
          <c:showCatName val="0"/>
          <c:showSerName val="0"/>
          <c:showPercent val="0"/>
          <c:showBubbleSize val="0"/>
        </c:dLbls>
        <c:marker val="0"/>
        <c:smooth val="0"/>
        <c:axId val="259816367"/>
        <c:axId val="259820207"/>
      </c:lineChart>
      <c:catAx>
        <c:axId val="1021593488"/>
        <c:scaling>
          <c:orientation val="minMax"/>
        </c:scaling>
        <c:delete val="0"/>
        <c:axPos val="b"/>
        <c:numFmt formatCode="@" sourceLinked="0"/>
        <c:majorTickMark val="in"/>
        <c:minorTickMark val="none"/>
        <c:tickLblPos val="low"/>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catAx>
        <c:axId val="259816367"/>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20207"/>
        <c:crosses val="autoZero"/>
        <c:auto val="1"/>
        <c:lblAlgn val="ctr"/>
        <c:lblOffset val="100"/>
        <c:noMultiLvlLbl val="0"/>
      </c:catAx>
      <c:valAx>
        <c:axId val="259820207"/>
        <c:scaling>
          <c:orientation val="minMax"/>
        </c:scaling>
        <c:delete val="0"/>
        <c:axPos val="r"/>
        <c:numFmt formatCode="0%" sourceLinked="0"/>
        <c:majorTickMark val="out"/>
        <c:minorTickMark val="none"/>
        <c:tickLblPos val="nextTo"/>
        <c:spPr>
          <a:noFill/>
          <a:ln w="6350" cap="flat" cmpd="sng" algn="ctr">
            <a:solidFill>
              <a:schemeClr val="tx1">
                <a:tint val="75000"/>
              </a:schemeClr>
            </a:solidFill>
            <a:prstDash val="solid"/>
            <a:round/>
          </a:ln>
          <a:effectLst/>
        </c:spPr>
        <c:txPr>
          <a:bodyPr rot="-600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16367"/>
        <c:crosses val="max"/>
        <c:crossBetween val="between"/>
      </c:valAx>
      <c:spPr>
        <a:noFill/>
        <a:ln w="25400">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rgbClr val="000000"/>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p>
        </c:txPr>
      </c:legendEntry>
      <c:legendEntry>
        <c:idx val="1"/>
        <c:txPr>
          <a:bodyPr rot="0" spcFirstLastPara="1" vertOverflow="ellipsis" vert="horz" wrap="square" anchor="ctr" anchorCtr="1"/>
          <a:lstStyle/>
          <a:p>
            <a:pPr>
              <a:defRPr lang="zh-CN" sz="700" b="0" i="0" u="none" strike="noStrike" kern="1200" baseline="0">
                <a:solidFill>
                  <a:srgbClr val="000000"/>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p>
        </c:txPr>
      </c:legendEntry>
      <c:layout>
        <c:manualLayout>
          <c:xMode val="edge"/>
          <c:yMode val="edge"/>
          <c:x val="0.203975892166466"/>
          <c:y val="0.0316479561025447"/>
        </c:manualLayou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p>
      </c:txPr>
    </c:legend>
    <c:plotVisOnly val="1"/>
    <c:dispBlanksAs val="gap"/>
    <c:showDLblsOverMax val="0"/>
    <c:extLst>
      <c:ext uri="{0b15fc19-7d7d-44ad-8c2d-2c3a37ce22c3}">
        <chartProps xmlns="https://web.wps.cn/et/2018/main" chartId="{a72f40f0-5d87-47ab-961f-905e8467bec0}"/>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'[BE.xlsx]Hyperscaler CAPEX'!$B$15</c:f>
              <c:strCache>
                <c:ptCount val="1"/>
                <c:pt idx="0">
                  <c:v>4Q24</c:v>
                </c:pt>
              </c:strCache>
            </c:strRef>
          </c:tx>
          <c:spPr>
            <a:solidFill>
              <a:schemeClr val="accent1">
                <a:lumMod val="20000"/>
                <a:lumOff val="80000"/>
              </a:schemeClr>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'[BE.xlsx]Hyperscaler CAPEX'!$C$14:$E$14</c:f>
              <c:strCache>
                <c:ptCount val="3"/>
                <c:pt idx="0">
                  <c:v>Amazon </c:v>
                </c:pt>
                <c:pt idx="1">
                  <c:v>Google</c:v>
                </c:pt>
                <c:pt idx="2">
                  <c:v>Meta Platforms</c:v>
                </c:pt>
              </c:strCache>
            </c:strRef>
          </c:cat>
          <c:val>
            <c:numRef>
              <c:f>'[BE.xlsx]Hyperscaler CAPEX'!$C$15:$E$15</c:f>
              <c:numCache>
                <c:formatCode>General</c:formatCode>
                <c:ptCount val="3"/>
                <c:pt idx="0">
                  <c:v>86</c:v>
                </c:pt>
                <c:pt idx="1">
                  <c:v>60</c:v>
                </c:pt>
                <c:pt idx="2">
                  <c:v>52</c:v>
                </c:pt>
              </c:numCache>
            </c:numRef>
          </c:val>
        </c:ser>
        <c:ser>
          <c:idx val="1"/>
          <c:order val="1"/>
          <c:tx>
            <c:strRef>
              <c:f>'[BE.xlsx]Hyperscaler CAPEX'!$B$16</c:f>
              <c:strCache>
                <c:ptCount val="1"/>
                <c:pt idx="0">
                  <c:v>1Q25</c:v>
                </c:pt>
              </c:strCache>
            </c:strRef>
          </c:tx>
          <c:spPr>
            <a:solidFill>
              <a:schemeClr val="accent1">
                <a:lumMod val="40000"/>
                <a:lumOff val="60000"/>
              </a:schemeClr>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'[BE.xlsx]Hyperscaler CAPEX'!$C$14:$E$14</c:f>
              <c:strCache>
                <c:ptCount val="3"/>
                <c:pt idx="0">
                  <c:v>Amazon </c:v>
                </c:pt>
                <c:pt idx="1">
                  <c:v>Google</c:v>
                </c:pt>
                <c:pt idx="2">
                  <c:v>Meta Platforms</c:v>
                </c:pt>
              </c:strCache>
            </c:strRef>
          </c:cat>
          <c:val>
            <c:numRef>
              <c:f>'[BE.xlsx]Hyperscaler CAPEX'!$C$16:$E$16</c:f>
              <c:numCache>
                <c:formatCode>General</c:formatCode>
                <c:ptCount val="3"/>
                <c:pt idx="0">
                  <c:v>104</c:v>
                </c:pt>
                <c:pt idx="1">
                  <c:v>75</c:v>
                </c:pt>
                <c:pt idx="2">
                  <c:v>64</c:v>
                </c:pt>
              </c:numCache>
            </c:numRef>
          </c:val>
        </c:ser>
        <c:ser>
          <c:idx val="2"/>
          <c:order val="2"/>
          <c:tx>
            <c:strRef>
              <c:f>'[BE.xlsx]Hyperscaler CAPEX'!$B$17</c:f>
              <c:strCache>
                <c:ptCount val="1"/>
                <c:pt idx="0">
                  <c:v>2Q25</c:v>
                </c:pt>
              </c:strCache>
            </c:strRef>
          </c:tx>
          <c:spPr>
            <a:solidFill>
              <a:schemeClr val="accent1">
                <a:lumMod val="60000"/>
                <a:lumOff val="40000"/>
              </a:schemeClr>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'[BE.xlsx]Hyperscaler CAPEX'!$C$14:$E$14</c:f>
              <c:strCache>
                <c:ptCount val="3"/>
                <c:pt idx="0">
                  <c:v>Amazon </c:v>
                </c:pt>
                <c:pt idx="1">
                  <c:v>Google</c:v>
                </c:pt>
                <c:pt idx="2">
                  <c:v>Meta Platforms</c:v>
                </c:pt>
              </c:strCache>
            </c:strRef>
          </c:cat>
          <c:val>
            <c:numRef>
              <c:f>'[BE.xlsx]Hyperscaler CAPEX'!$C$17:$E$17</c:f>
              <c:numCache>
                <c:formatCode>General</c:formatCode>
                <c:ptCount val="3"/>
                <c:pt idx="0">
                  <c:v>118</c:v>
                </c:pt>
                <c:pt idx="1">
                  <c:v>80</c:v>
                </c:pt>
                <c:pt idx="2">
                  <c:v>69</c:v>
                </c:pt>
              </c:numCache>
            </c:numRef>
          </c:val>
        </c:ser>
        <c:ser>
          <c:idx val="3"/>
          <c:order val="3"/>
          <c:tx>
            <c:strRef>
              <c:f>'[BE.xlsx]Hyperscaler CAPEX'!$B$18</c:f>
              <c:strCache>
                <c:ptCount val="1"/>
                <c:pt idx="0">
                  <c:v>3Q25</c:v>
                </c:pt>
              </c:strCache>
            </c:strRef>
          </c:tx>
          <c:spPr>
            <a:solidFill>
              <a:schemeClr val="accent1">
                <a:lumMod val="75000"/>
              </a:schemeClr>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'[BE.xlsx]Hyperscaler CAPEX'!$C$14:$E$14</c:f>
              <c:strCache>
                <c:ptCount val="3"/>
                <c:pt idx="0">
                  <c:v>Amazon </c:v>
                </c:pt>
                <c:pt idx="1">
                  <c:v>Google</c:v>
                </c:pt>
                <c:pt idx="2">
                  <c:v>Meta Platforms</c:v>
                </c:pt>
              </c:strCache>
            </c:strRef>
          </c:cat>
          <c:val>
            <c:numRef>
              <c:f>'[BE.xlsx]Hyperscaler CAPEX'!$C$18:$E$18</c:f>
              <c:numCache>
                <c:formatCode>General</c:formatCode>
                <c:ptCount val="3"/>
                <c:pt idx="0">
                  <c:v>125</c:v>
                </c:pt>
                <c:pt idx="1">
                  <c:v>92</c:v>
                </c:pt>
                <c:pt idx="2">
                  <c:v>71</c:v>
                </c:pt>
              </c:numCache>
            </c:numRef>
          </c:val>
        </c:ser>
        <c:dLbls>
          <c:showLegendKey val="0"/>
          <c:showVal val="1"/>
          <c:showCatName val="0"/>
          <c:showSerName val="0"/>
          <c:showPercent val="0"/>
          <c:showBubbleSize val="0"/>
        </c:dLbls>
        <c:gapWidth val="246"/>
        <c:overlap val="-28"/>
        <c:axId val="393624643"/>
        <c:axId val="617170468"/>
      </c:barChart>
      <c:catAx>
        <c:axId val="393624643"/>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p>
        </c:txPr>
        <c:crossAx val="617170468"/>
        <c:crosses val="autoZero"/>
        <c:auto val="1"/>
        <c:lblAlgn val="ctr"/>
        <c:lblOffset val="100"/>
        <c:noMultiLvlLbl val="0"/>
      </c:catAx>
      <c:valAx>
        <c:axId val="617170468"/>
        <c:scaling>
          <c:orientation val="minMax"/>
        </c:scaling>
        <c:delete val="0"/>
        <c:axPos val="l"/>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p>
        </c:txPr>
        <c:crossAx val="393624643"/>
        <c:crosses val="autoZero"/>
        <c:crossBetween val="between"/>
      </c:valAx>
      <c:spPr>
        <a:noFill/>
        <a:ln>
          <a:noFill/>
        </a:ln>
        <a:effectLst/>
      </c:spPr>
    </c:plotArea>
    <c:legend>
      <c:legendPos val="b"/>
      <c:legendEntry>
        <c:idx val="0"/>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p>
        </c:txPr>
      </c:legendEntry>
      <c:legendEntry>
        <c:idx val="1"/>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p>
        </c:txPr>
      </c:legendEntry>
      <c:legendEntry>
        <c:idx val="2"/>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p>
        </c:txPr>
      </c:legendEntry>
      <c:legendEntry>
        <c:idx val="3"/>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p>
        </c:txPr>
      </c:legendEntry>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p>
      </c:txPr>
    </c:legend>
    <c:plotVisOnly val="1"/>
    <c:dispBlanksAs val="gap"/>
    <c:showDLblsOverMax val="0"/>
    <c:extLst>
      <c:ext uri="{0b15fc19-7d7d-44ad-8c2d-2c3a37ce22c3}">
        <chartProps xmlns="https://web.wps.cn/et/2018/main" chartId="{fb1c3523-3296-4a5c-a871-6a828cbf3d5e}"/>
      </c:ext>
    </c:extLst>
  </c:chart>
  <c:spPr>
    <a:solidFill>
      <a:schemeClr val="bg1"/>
    </a:solidFill>
    <a:ln w="9525" cap="flat" cmpd="sng" algn="ctr">
      <a:solidFill>
        <a:schemeClr val="tx1">
          <a:lumMod val="15000"/>
          <a:lumOff val="85000"/>
        </a:schemeClr>
      </a:solidFill>
      <a:round/>
    </a:ln>
    <a:effectLst/>
  </c:spPr>
  <c:txPr>
    <a:bodyPr/>
    <a:lstStyle/>
    <a:p>
      <a:pPr>
        <a:defRPr lang="zh-CN">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458073597426101"/>
          <c:y val="0.056782334384858"/>
          <c:w val="0.932073195254374"/>
          <c:h val="0.829750060664887"/>
        </c:manualLayout>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[BE.xlsx]InterconnectionQueue!$B$18:$B$24</c:f>
              <c:strCache>
                <c:ptCount val="7"/>
                <c:pt idx="0">
                  <c:v>ISO-NE</c:v>
                </c:pt>
                <c:pt idx="1">
                  <c:v>ERCOT</c:v>
                </c:pt>
                <c:pt idx="2">
                  <c:v>MISO</c:v>
                </c:pt>
                <c:pt idx="3">
                  <c:v>SPP</c:v>
                </c:pt>
                <c:pt idx="4">
                  <c:v>PJM</c:v>
                </c:pt>
                <c:pt idx="5">
                  <c:v>NYISO</c:v>
                </c:pt>
                <c:pt idx="6">
                  <c:v>CAISO</c:v>
                </c:pt>
              </c:strCache>
            </c:strRef>
          </c:cat>
          <c:val>
            <c:numRef>
              <c:f>[BE.xlsx]InterconnectionQueue!$C$18:$C$24</c:f>
              <c:numCache>
                <c:formatCode>General</c:formatCode>
                <c:ptCount val="7"/>
                <c:pt idx="0">
                  <c:v>3.8</c:v>
                </c:pt>
                <c:pt idx="1">
                  <c:v>4.5</c:v>
                </c:pt>
                <c:pt idx="2">
                  <c:v>6</c:v>
                </c:pt>
                <c:pt idx="3">
                  <c:v>6</c:v>
                </c:pt>
                <c:pt idx="4">
                  <c:v>6.3</c:v>
                </c:pt>
                <c:pt idx="5">
                  <c:v>7.4</c:v>
                </c:pt>
                <c:pt idx="6">
                  <c:v>9.2</c:v>
                </c:pt>
              </c:numCache>
            </c:numRef>
          </c:val>
        </c:ser>
        <c:dLbls>
          <c:showLegendKey val="0"/>
          <c:showVal val="1"/>
          <c:showCatName val="0"/>
          <c:showSerName val="0"/>
          <c:showPercent val="0"/>
          <c:showBubbleSize val="0"/>
        </c:dLbls>
        <c:gapWidth val="246"/>
        <c:overlap val="-28"/>
        <c:axId val="659601786"/>
        <c:axId val="597817725"/>
      </c:barChart>
      <c:catAx>
        <c:axId val="659601786"/>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p>
        </c:txPr>
        <c:crossAx val="597817725"/>
        <c:crosses val="autoZero"/>
        <c:auto val="1"/>
        <c:lblAlgn val="ctr"/>
        <c:lblOffset val="100"/>
        <c:noMultiLvlLbl val="0"/>
      </c:catAx>
      <c:valAx>
        <c:axId val="597817725"/>
        <c:scaling>
          <c:orientation val="minMax"/>
        </c:scaling>
        <c:delete val="0"/>
        <c:axPos val="l"/>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p>
        </c:txPr>
        <c:crossAx val="659601786"/>
        <c:crosses val="autoZero"/>
        <c:crossBetween val="between"/>
      </c:valAx>
      <c:spPr>
        <a:noFill/>
        <a:ln>
          <a:noFill/>
        </a:ln>
        <a:effectLst/>
      </c:spPr>
    </c:plotArea>
    <c:plotVisOnly val="1"/>
    <c:dispBlanksAs val="gap"/>
    <c:showDLblsOverMax val="0"/>
    <c:extLst>
      <c:ext uri="{0b15fc19-7d7d-44ad-8c2d-2c3a37ce22c3}">
        <chartProps xmlns="https://web.wps.cn/et/2018/main" chartId="{21cfb9fd-bed2-4612-a48f-444e9a17f4fd}"/>
      </c:ext>
    </c:extLst>
  </c:chart>
  <c:spPr>
    <a:solidFill>
      <a:schemeClr val="bg1"/>
    </a:solidFill>
    <a:ln w="9525" cap="flat" cmpd="sng" algn="ctr">
      <a:solidFill>
        <a:schemeClr val="tx1">
          <a:lumMod val="15000"/>
          <a:lumOff val="85000"/>
        </a:schemeClr>
      </a:solidFill>
      <a:round/>
    </a:ln>
    <a:effectLst/>
  </c:spPr>
  <c:txPr>
    <a:bodyPr/>
    <a:lstStyle/>
    <a:p>
      <a:pPr>
        <a:defRPr lang="zh-CN">
          <a:solidFill>
            <a:schemeClr val="tx1"/>
          </a:solidFill>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withinLinear" id="18">
  <a:schemeClr val="accent5"/>
</cs:colorStyle>
</file>

<file path=word/charts/colors6.xml><?xml version="1.0" encoding="utf-8"?>
<cs:colorStyle xmlns:cs="http://schemas.microsoft.com/office/drawing/2012/chartStyle" xmlns:a="http://schemas.openxmlformats.org/drawingml/2006/main" meth="withinLinear" id="18">
  <a:schemeClr val="accent5"/>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withinLinear" id="18">
  <a:schemeClr val="accent5"/>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1008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6.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7.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9.xml><?xml version="1.0" encoding="utf-8"?>
<cs:chartStyle xmlns:cs="http://schemas.microsoft.com/office/drawing/2012/chartStyle" xmlns:a="http://schemas.openxmlformats.org/drawingml/2006/main" id="1008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C9FD1BB-8468-4381-B344-02B2A34111CF}">
  <ds:schemaRefs/>
</ds:datastoreItem>
</file>

<file path=docProps/app.xml><?xml version="1.0" encoding="utf-8"?>
<Properties xmlns="http://schemas.openxmlformats.org/officeDocument/2006/extended-properties" xmlns:vt="http://schemas.openxmlformats.org/officeDocument/2006/docPropsVTypes">
  <Template>Normal.dotm</Template>
  <Pages>22</Pages>
  <Words>7600</Words>
  <Characters>32430</Characters>
  <Lines>931</Lines>
  <Paragraphs>444</Paragraphs>
  <TotalTime>7</TotalTime>
  <ScaleCrop>false</ScaleCrop>
  <LinksUpToDate>false</LinksUpToDate>
  <CharactersWithSpaces>37625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2025-12-30T15:06:00Z</dcterms:created>
  <dc:creator>强 罗</dc:creator>
  <cp:lastModifiedBy>Yida</cp:lastModifiedBy>
  <dcterms:modified xsi:type="dcterms:W3CDTF">2025-12-30T15:40:23Z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eyJoZGlkIjoiZTk1MTZhZDM5Y2JkNzE5YjdlYWJiZWNjNzVjYzNkYzUiLCJ1c2VySWQiOiI5NjEwMzMxODcifQ==</vt:lpwstr>
  </property>
  <property fmtid="{D5CDD505-2E9C-101B-9397-08002B2CF9AE}" pid="3" name="KSOProductBuildVer">
    <vt:lpwstr>2052-12.1.0.24034</vt:lpwstr>
  </property>
  <property fmtid="{D5CDD505-2E9C-101B-9397-08002B2CF9AE}" pid="4" name="ICV">
    <vt:lpwstr>7F9E41A26E7848E9BB4617B9FC6A3C21_13</vt:lpwstr>
  </property>
</Properties>
</file>