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pPr>
              <w:pStyle w:val="119"/>
              <w:rPr>
                <w:rFonts w:eastAsia="楷体_GB2312"/>
                <w:color w:val="FFFFFF" w:themeColor="background1"/>
                <w:sz w:val="21"/>
                <w:szCs w:val="21"/>
                <w:lang w:eastAsia="zh-CN"/>
                <w14:textFill>
                  <w14:solidFill>
                    <w14:schemeClr w14:val="bg1"/>
                  </w14:solidFill>
                </w14:textFill>
              </w:rPr>
            </w:pPr>
            <w:r>
              <w:rPr>
                <w:rFonts w:hint="eastAsia" w:eastAsia="楷体_GB2312"/>
                <w:color w:val="FFFFFF" w:themeColor="background1"/>
                <w:sz w:val="21"/>
                <w:szCs w:val="21"/>
                <w:lang w:eastAsia="zh-CN"/>
                <w14:textFill>
                  <w14:solidFill>
                    <w14:schemeClr w14:val="bg1"/>
                  </w14:solidFill>
                </w14:textFill>
              </w:rPr>
              <w:t>[</w:t>
            </w:r>
            <w:r>
              <w:rPr>
                <w:rFonts w:eastAsia="楷体_GB2312"/>
                <w:color w:val="FFFFFF" w:themeColor="background1"/>
                <w:sz w:val="21"/>
                <w:szCs w:val="21"/>
                <w:lang w:eastAsia="zh-CN"/>
                <w14:textFill>
                  <w14:solidFill>
                    <w14:schemeClr w14:val="bg1"/>
                  </w14:solidFill>
                </w14:textFill>
              </w:rPr>
              <w:t>Table_Main]</w:t>
            </w:r>
          </w:p>
        </w:tc>
        <w:tc>
          <w:tcPr>
            <w:tcW w:w="1276" w:type="dxa"/>
            <w:vAlign w:val="center"/>
          </w:tcPr>
          <w:p>
            <w:pPr>
              <w:pStyle w:val="24"/>
              <w:framePr w:wrap="auto" w:vAnchor="margin" w:hAnchor="text" w:xAlign="left" w:yAlign="inline"/>
              <w:rPr>
                <w:highlight w:val="yellow"/>
              </w:rPr>
            </w:pPr>
          </w:p>
        </w:tc>
        <w:tc>
          <w:tcPr>
            <w:tcW w:w="2823" w:type="dxa"/>
          </w:tcPr>
          <w:p>
            <w:pPr>
              <w:pStyle w:val="23"/>
              <w:framePr w:wrap="auto" w:vAnchor="margin" w:hAnchor="text" w:xAlign="left" w:yAlign="inline"/>
              <w:rPr>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pPr>
              <w:pStyle w:val="24"/>
              <w:framePr w:wrap="auto" w:vAnchor="margin" w:hAnchor="text" w:xAlign="left" w:yAlign="inline"/>
              <w:rPr>
                <w:rFonts w:eastAsia="楷体_GB2312"/>
                <w:b w:val="0"/>
                <w:sz w:val="16"/>
                <w:lang w:eastAsia="zh-CN"/>
              </w:rPr>
            </w:pPr>
            <w:r>
              <w:rPr>
                <w:rFonts w:hint="eastAsia" w:eastAsia="楷体_GB2312"/>
                <w:b w:val="0"/>
                <w:sz w:val="16"/>
                <w:lang w:eastAsia="zh-CN"/>
              </w:rPr>
              <w:t>Research Report</w:t>
            </w:r>
          </w:p>
        </w:tc>
        <w:tc>
          <w:tcPr>
            <w:tcW w:w="4099" w:type="dxa"/>
            <w:gridSpan w:val="2"/>
          </w:tcPr>
          <w:p>
            <w:pPr>
              <w:pStyle w:val="119"/>
              <w:rPr>
                <w:rFonts w:eastAsia="楷体_GB2312"/>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pPr>
              <w:pStyle w:val="24"/>
              <w:framePr w:wrap="auto" w:vAnchor="margin" w:hAnchor="text" w:xAlign="left" w:yAlign="inline"/>
              <w:rPr>
                <w:b w:val="0"/>
                <w:sz w:val="20"/>
                <w:szCs w:val="20"/>
              </w:rPr>
            </w:pPr>
            <w:r>
              <w:rPr>
                <w:rFonts w:hint="eastAsia" w:eastAsia="楷体_GB2312"/>
                <w:b w:val="0"/>
                <w:color w:val="215E99"/>
                <w:sz w:val="16"/>
                <w:lang w:eastAsia="zh-CN"/>
              </w:rPr>
              <w:t>30</w:t>
            </w:r>
            <w:r>
              <w:rPr>
                <w:rFonts w:eastAsia="楷体_GB2312"/>
                <w:b w:val="0"/>
                <w:color w:val="215E99"/>
                <w:sz w:val="16"/>
              </w:rPr>
              <w:t xml:space="preserve"> Jan 2026</w:t>
            </w:r>
          </w:p>
        </w:tc>
        <w:tc>
          <w:tcPr>
            <w:tcW w:w="4099" w:type="dxa"/>
            <w:gridSpan w:val="2"/>
          </w:tcPr>
          <w:p>
            <w:pPr>
              <w:pStyle w:val="119"/>
              <w:rPr>
                <w:rFonts w:eastAsia="楷体_GB2312"/>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pPr>
              <w:pStyle w:val="23"/>
              <w:framePr w:wrap="auto" w:vAnchor="margin" w:hAnchor="text" w:xAlign="left" w:yAlign="inline"/>
              <w:jc w:val="left"/>
              <w:rPr>
                <w:rFonts w:eastAsia="楷体_GB2312"/>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pPr>
              <w:pStyle w:val="23"/>
              <w:framePr w:wrap="auto" w:vAnchor="margin" w:hAnchor="text" w:xAlign="left" w:yAlign="inline"/>
              <w:jc w:val="left"/>
              <w:rPr>
                <w:rFonts w:eastAsia="楷体_GB2312"/>
                <w:sz w:val="40"/>
                <w:szCs w:val="40"/>
                <w:lang w:eastAsia="zh-CN"/>
              </w:rPr>
            </w:pPr>
            <w:r>
              <w:rPr>
                <w:rFonts w:hint="eastAsia" w:eastAsia="楷体_GB2312"/>
                <w:color w:val="215E99"/>
                <w:sz w:val="40"/>
                <w:lang w:eastAsia="zh-CN"/>
              </w:rPr>
              <w:t>Howmet Aerospace</w:t>
            </w:r>
            <w:r>
              <w:rPr>
                <w:rFonts w:eastAsia="楷体_GB2312"/>
                <w:color w:val="215E99"/>
                <w:sz w:val="40"/>
              </w:rPr>
              <w:t xml:space="preserve"> (</w:t>
            </w:r>
            <w:r>
              <w:rPr>
                <w:rFonts w:hint="eastAsia" w:eastAsia="楷体_GB2312"/>
                <w:color w:val="215E99"/>
                <w:sz w:val="40"/>
                <w:lang w:eastAsia="zh-CN"/>
              </w:rPr>
              <w:t>HWM US</w:t>
            </w:r>
            <w:r>
              <w:rPr>
                <w:rFonts w:eastAsia="楷体_GB2312"/>
                <w:color w:val="215E99"/>
                <w:sz w:val="4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20" w:hRule="exact"/>
        </w:trPr>
        <w:tc>
          <w:tcPr>
            <w:tcW w:w="10740" w:type="dxa"/>
            <w:gridSpan w:val="5"/>
            <w:tcMar>
              <w:top w:w="60" w:type="dxa"/>
              <w:left w:w="119" w:type="dxa"/>
              <w:right w:w="0" w:type="dxa"/>
            </w:tcMar>
          </w:tcPr>
          <w:p>
            <w:pPr>
              <w:pStyle w:val="119"/>
              <w:rPr>
                <w:rFonts w:eastAsia="楷体_GB2312"/>
                <w:b w:val="0"/>
                <w:color w:val="23558C"/>
                <w:sz w:val="44"/>
                <w:szCs w:val="44"/>
                <w:lang w:eastAsia="zh-CN"/>
              </w:rPr>
            </w:pPr>
            <w:r>
              <w:rPr>
                <w:rFonts w:eastAsia="楷体_GB2312"/>
                <w:b w:val="0"/>
                <w:color w:val="215E99"/>
              </w:rPr>
              <w:t>Aero-Engine Castings Leader, F-35 Sole Source + CAM Integration Widen Moat: Initiation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02" w:hRule="atLeast"/>
        </w:trPr>
        <w:tc>
          <w:tcPr>
            <w:tcW w:w="10740" w:type="dxa"/>
            <w:gridSpan w:val="5"/>
            <w:tcMar>
              <w:top w:w="60" w:type="dxa"/>
              <w:left w:w="119" w:type="dxa"/>
              <w:right w:w="0" w:type="dxa"/>
            </w:tcMar>
          </w:tcPr>
          <w:p>
            <w:pPr>
              <w:pStyle w:val="23"/>
              <w:framePr w:wrap="auto" w:vAnchor="margin" w:hAnchor="text" w:xAlign="left" w:yAlign="inline"/>
              <w:rPr>
                <w:rFonts w:eastAsia="楷体_GB2312"/>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pPr>
              <w:pStyle w:val="23"/>
              <w:framePr w:wrap="auto" w:vAnchor="margin" w:hAnchor="text" w:xAlign="left" w:yAlign="inline"/>
              <w:rPr>
                <w:rFonts w:eastAsia="楷体_GB231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2"/>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23" w:hRule="exact"/>
              </w:trPr>
              <w:tc>
                <w:tcPr>
                  <w:tcW w:w="4071" w:type="dxa"/>
                  <w:gridSpan w:val="2"/>
                  <w:tcBorders>
                    <w:top w:val="nil"/>
                    <w:left w:val="nil"/>
                    <w:bottom w:val="single" w:color="23558C" w:sz="12" w:space="0"/>
                    <w:right w:val="nil"/>
                  </w:tcBorders>
                </w:tcPr>
                <w:p>
                  <w:pPr>
                    <w:adjustRightInd w:val="0"/>
                    <w:snapToGrid w:val="0"/>
                    <w:rPr>
                      <w:rFonts w:eastAsia="宋体"/>
                      <w:sz w:val="21"/>
                      <w:szCs w:val="21"/>
                      <w:lang w:eastAsia="zh-CN"/>
                    </w:rPr>
                  </w:pPr>
                  <w:r>
                    <w:rPr>
                      <w:rFonts w:hint="eastAsia" w:eastAsia="宋体"/>
                      <w:color w:val="FFFFFF"/>
                      <w:sz w:val="21"/>
                      <w:szCs w:val="21"/>
                      <w:lang w:eastAsia="zh-CN"/>
                    </w:rPr>
                    <w:t>[</w:t>
                  </w:r>
                  <w:r>
                    <w:rPr>
                      <w:rFonts w:eastAsia="宋体"/>
                      <w:color w:val="FFFFFF"/>
                      <w:sz w:val="21"/>
                      <w:szCs w:val="21"/>
                      <w:lang w:eastAsia="zh-CN"/>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pPr>
                    <w:adjustRightInd w:val="0"/>
                    <w:snapToGrid w:val="0"/>
                    <w:ind w:right="85" w:firstLine="85"/>
                    <w:jc w:val="center"/>
                    <w:rPr>
                      <w:rFonts w:eastAsia="楷体_GB2312" w:cs="Calibri"/>
                      <w:b/>
                      <w:i/>
                      <w:color w:val="23558C"/>
                      <w:sz w:val="24"/>
                      <w:szCs w:val="14"/>
                      <w:lang w:eastAsia="zh-CN"/>
                    </w:rPr>
                  </w:pPr>
                  <w:r>
                    <w:rPr>
                      <w:rFonts w:eastAsia="楷体_GB2312"/>
                      <w:b/>
                      <w:i/>
                      <w:color w:val="FFFFFF"/>
                      <w:sz w:val="22"/>
                    </w:rPr>
                    <w:t>Initiate with OUTPERFORM</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adjustRightInd w:val="0"/>
                    <w:snapToGrid w:val="0"/>
                    <w:ind w:right="85" w:firstLine="85"/>
                    <w:rPr>
                      <w:rFonts w:hint="eastAsia" w:ascii="楷体_GB2312" w:hAnsi="楷体_GB2312" w:eastAsia="楷体_GB2312"/>
                      <w:b/>
                      <w:color w:val="23558C"/>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Rating</w:t>
                  </w:r>
                </w:p>
              </w:tc>
              <w:tc>
                <w:tcPr>
                  <w:tcW w:w="2347" w:type="dxa"/>
                </w:tcPr>
                <w:p>
                  <w:pPr>
                    <w:adjustRightInd w:val="0"/>
                    <w:snapToGrid w:val="0"/>
                    <w:ind w:right="85" w:firstLine="85"/>
                    <w:jc w:val="right"/>
                    <w:rPr>
                      <w:rFonts w:eastAsia="楷体_GB2312"/>
                      <w:sz w:val="14"/>
                      <w:szCs w:val="14"/>
                      <w:lang w:eastAsia="zh-CN"/>
                    </w:rPr>
                  </w:pPr>
                  <w:r>
                    <w:rPr>
                      <w:rFonts w:eastAsia="楷体_GB2312"/>
                      <w:color w:val="215E99"/>
                    </w:rPr>
                    <w:t>OUTPERFORM</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Current Price</w:t>
                  </w:r>
                </w:p>
              </w:tc>
              <w:tc>
                <w:tcPr>
                  <w:tcW w:w="2347" w:type="dxa"/>
                </w:tcPr>
                <w:p>
                  <w:pPr>
                    <w:adjustRightInd w:val="0"/>
                    <w:snapToGrid w:val="0"/>
                    <w:ind w:right="85" w:firstLine="85"/>
                    <w:jc w:val="right"/>
                    <w:rPr>
                      <w:rFonts w:eastAsia="楷体_GB2312"/>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Target Price</w:t>
                  </w:r>
                </w:p>
              </w:tc>
              <w:tc>
                <w:tcPr>
                  <w:tcW w:w="2347" w:type="dxa"/>
                </w:tcPr>
                <w:p>
                  <w:pPr>
                    <w:adjustRightInd w:val="0"/>
                    <w:snapToGrid w:val="0"/>
                    <w:ind w:right="85" w:firstLine="85"/>
                    <w:jc w:val="right"/>
                    <w:rPr>
                      <w:rFonts w:eastAsia="楷体_GB2312"/>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eastAsia="楷体_GB2312"/>
                      <w:color w:val="23558C"/>
                      <w:szCs w:val="14"/>
                      <w:lang w:eastAsia="zh-CN"/>
                    </w:rPr>
                    <w:t>Market cap</w:t>
                  </w:r>
                </w:p>
              </w:tc>
              <w:tc>
                <w:tcPr>
                  <w:tcW w:w="2347" w:type="dxa"/>
                </w:tcPr>
                <w:p>
                  <w:pPr>
                    <w:adjustRightInd w:val="0"/>
                    <w:snapToGrid w:val="0"/>
                    <w:ind w:right="85" w:firstLine="85"/>
                    <w:jc w:val="right"/>
                    <w:rPr>
                      <w:rFonts w:eastAsia="楷体_GB2312"/>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Shares in issue</w:t>
                  </w:r>
                </w:p>
              </w:tc>
              <w:tc>
                <w:tcPr>
                  <w:tcW w:w="2347" w:type="dxa"/>
                </w:tcPr>
                <w:p>
                  <w:pPr>
                    <w:adjustRightInd w:val="0"/>
                    <w:snapToGrid w:val="0"/>
                    <w:ind w:right="85" w:firstLine="85"/>
                    <w:jc w:val="right"/>
                    <w:rPr>
                      <w:rFonts w:eastAsia="楷体_GB2312"/>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adjustRightInd w:val="0"/>
                    <w:snapToGrid w:val="0"/>
                    <w:ind w:right="85" w:firstLine="85"/>
                    <w:rPr>
                      <w:rFonts w:eastAsia="楷体_GB2312"/>
                      <w:color w:val="23558C"/>
                      <w:szCs w:val="14"/>
                      <w:lang w:eastAsia="zh-CN"/>
                    </w:rPr>
                  </w:pPr>
                  <w:r>
                    <w:rPr>
                      <w:rFonts w:eastAsia="楷体_GB2312"/>
                      <w:color w:val="23558C"/>
                      <w:szCs w:val="14"/>
                      <w:lang w:eastAsia="zh-CN"/>
                    </w:rPr>
                    <w:t>1 yr high - low</w:t>
                  </w:r>
                </w:p>
              </w:tc>
              <w:tc>
                <w:tcPr>
                  <w:tcW w:w="2347" w:type="dxa"/>
                </w:tcPr>
                <w:p>
                  <w:pPr>
                    <w:adjustRightInd w:val="0"/>
                    <w:snapToGrid w:val="0"/>
                    <w:ind w:right="85" w:firstLine="85"/>
                    <w:jc w:val="right"/>
                    <w:rPr>
                      <w:rFonts w:eastAsia="楷体_GB2312"/>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pPr>
                    <w:adjustRightInd w:val="0"/>
                    <w:snapToGrid w:val="0"/>
                    <w:ind w:left="85"/>
                    <w:rPr>
                      <w:rFonts w:eastAsia="宋体"/>
                      <w:i/>
                      <w:iCs/>
                      <w:sz w:val="14"/>
                      <w:szCs w:val="14"/>
                      <w:lang w:eastAsia="zh-CN"/>
                    </w:rPr>
                  </w:pPr>
                  <w:r>
                    <w:rPr>
                      <w:rFonts w:eastAsia="楷体_GB2312"/>
                      <w:i/>
                      <w:color w:val="000000"/>
                      <w:sz w:val="14"/>
                    </w:rPr>
                    <w:t xml:space="preserve">Note: Current Price </w:t>
                  </w:r>
                  <w:r>
                    <w:rPr>
                      <w:rFonts w:hint="eastAsia" w:eastAsia="楷体_GB2312"/>
                      <w:i/>
                      <w:color w:val="000000"/>
                      <w:sz w:val="14"/>
                      <w:lang w:val="en-US" w:eastAsia="zh-CN"/>
                    </w:rPr>
                    <w:t>X</w:t>
                  </w:r>
                  <w:r>
                    <w:rPr>
                      <w:rFonts w:eastAsia="楷体_GB2312"/>
                      <w:i/>
                      <w:color w:val="000000"/>
                      <w:sz w:val="14"/>
                    </w:rPr>
                    <w:t xml:space="preserve"> is the close price on </w:t>
                  </w:r>
                  <w:r>
                    <w:rPr>
                      <w:rFonts w:hint="eastAsia" w:eastAsia="楷体_GB2312"/>
                      <w:i/>
                      <w:color w:val="000000"/>
                      <w:sz w:val="14"/>
                      <w:lang w:val="en-US" w:eastAsia="zh-CN"/>
                    </w:rPr>
                    <w:t>X</w:t>
                  </w:r>
                  <w:r>
                    <w:rPr>
                      <w:rFonts w:eastAsia="楷体_GB2312"/>
                      <w:i/>
                      <w:color w:val="000000"/>
                      <w:sz w:val="14"/>
                    </w:rPr>
                    <w:t xml:space="preserve"> Jan 2026</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pPr>
                    <w:adjustRightInd w:val="0"/>
                    <w:snapToGrid w:val="0"/>
                    <w:ind w:left="85"/>
                    <w:rPr>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adjustRightInd w:val="0"/>
                    <w:snapToGrid w:val="0"/>
                    <w:ind w:right="85" w:firstLine="85"/>
                    <w:rPr>
                      <w:rFonts w:hint="eastAsia" w:ascii="楷体_GB2312" w:hAnsi="楷体_GB2312" w:eastAsiaTheme="minorEastAsia"/>
                      <w:i/>
                      <w:iCs/>
                      <w:sz w:val="12"/>
                      <w:szCs w:val="12"/>
                      <w:lang w:eastAsia="zh-CN"/>
                    </w:rPr>
                  </w:pPr>
                  <w:r>
                    <w:rPr>
                      <w:rFonts w:cs="Calibri"/>
                      <w:color w:val="000000"/>
                      <w:sz w:val="12"/>
                      <w:szCs w:val="12"/>
                      <w:lang w:eastAsia="zh-CN"/>
                    </w:rPr>
                    <w:t xml:space="preserve"> </w:t>
                  </w:r>
                  <w:r>
                    <w:rPr>
                      <w:rFonts w:hint="eastAsia"/>
                      <w:i/>
                      <w:iCs/>
                      <w:sz w:val="12"/>
                      <w:szCs w:val="12"/>
                      <w:lang w:eastAsia="zh-CN"/>
                    </w:rPr>
                    <w:t>Source: HFI</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adjustRightInd w:val="0"/>
                    <w:snapToGrid w:val="0"/>
                    <w:ind w:right="85" w:firstLine="85"/>
                    <w:rPr>
                      <w:sz w:val="14"/>
                      <w:szCs w:val="14"/>
                      <w:lang w:eastAsia="zh-CN"/>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2"/>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pPr>
                          <w:rPr>
                            <w:color w:val="FFFFFF"/>
                          </w:rPr>
                        </w:pPr>
                        <w:r>
                          <w:rPr>
                            <w:rFonts w:hint="eastAsia"/>
                            <w:color w:val="FFFFFF"/>
                          </w:rPr>
                          <w:t>[</w:t>
                        </w:r>
                        <w:r>
                          <w:rPr>
                            <w:color w:val="FFFFFF"/>
                          </w:rPr>
                          <w:t>Table_Profit]</w:t>
                        </w:r>
                      </w:p>
                    </w:tc>
                    <w:tc>
                      <w:tcPr>
                        <w:tcW w:w="795" w:type="dxa"/>
                        <w:vAlign w:val="center"/>
                      </w:tcPr>
                      <w:p>
                        <w:pPr>
                          <w:ind w:right="85" w:firstLine="85"/>
                          <w:jc w:val="right"/>
                          <w:rPr>
                            <w:rFonts w:cs="Calibri"/>
                            <w:b/>
                            <w:bCs/>
                            <w:color w:val="000000"/>
                            <w:sz w:val="14"/>
                            <w:szCs w:val="14"/>
                          </w:rPr>
                        </w:pPr>
                      </w:p>
                    </w:tc>
                    <w:tc>
                      <w:tcPr>
                        <w:tcW w:w="879" w:type="dxa"/>
                        <w:gridSpan w:val="2"/>
                        <w:vAlign w:val="center"/>
                      </w:tcPr>
                      <w:p>
                        <w:pPr>
                          <w:ind w:right="85" w:firstLine="85"/>
                          <w:jc w:val="right"/>
                          <w:rPr>
                            <w:rFonts w:cs="Calibri"/>
                            <w:b/>
                            <w:bCs/>
                            <w:color w:val="000000"/>
                            <w:sz w:val="14"/>
                            <w:szCs w:val="14"/>
                          </w:rPr>
                        </w:pPr>
                      </w:p>
                    </w:tc>
                    <w:tc>
                      <w:tcPr>
                        <w:tcW w:w="870" w:type="dxa"/>
                        <w:gridSpan w:val="2"/>
                        <w:vAlign w:val="center"/>
                      </w:tcPr>
                      <w:p>
                        <w:pPr>
                          <w:ind w:right="85" w:firstLine="85"/>
                          <w:jc w:val="right"/>
                          <w:rPr>
                            <w:rFonts w:cs="Calibri"/>
                            <w:b/>
                            <w:bCs/>
                            <w:color w:val="000000"/>
                            <w:sz w:val="14"/>
                            <w:szCs w:val="14"/>
                          </w:rPr>
                        </w:pPr>
                      </w:p>
                    </w:tc>
                    <w:tc>
                      <w:tcPr>
                        <w:tcW w:w="869" w:type="dxa"/>
                        <w:gridSpan w:val="2"/>
                        <w:vAlign w:val="center"/>
                      </w:tcPr>
                      <w:p>
                        <w:pPr>
                          <w:ind w:right="85" w:firstLine="85"/>
                          <w:jc w:val="right"/>
                          <w:rPr>
                            <w:rFonts w:cs="Calibri"/>
                            <w:b/>
                            <w:bCs/>
                            <w:color w:val="000000"/>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4" w:hRule="atLeast"/>
                    </w:trPr>
                    <w:tc>
                      <w:tcPr>
                        <w:tcW w:w="1225" w:type="dxa"/>
                        <w:vAlign w:val="center"/>
                      </w:tcPr>
                      <w:p>
                        <w:pPr>
                          <w:adjustRightInd w:val="0"/>
                          <w:snapToGrid w:val="0"/>
                          <w:rPr>
                            <w:rFonts w:eastAsia="楷体_GB2312"/>
                            <w:color w:val="23558C"/>
                            <w:sz w:val="14"/>
                            <w:szCs w:val="14"/>
                            <w:lang w:eastAsia="zh-CN"/>
                          </w:rPr>
                        </w:pPr>
                        <w:r>
                          <w:rPr>
                            <w:rFonts w:eastAsia="楷体_GB2312"/>
                            <w:color w:val="215E99"/>
                            <w:sz w:val="14"/>
                          </w:rPr>
                          <w:t>US$ mn</w:t>
                        </w:r>
                      </w:p>
                    </w:tc>
                    <w:tc>
                      <w:tcPr>
                        <w:tcW w:w="853" w:type="dxa"/>
                        <w:gridSpan w:val="2"/>
                        <w:vAlign w:val="center"/>
                      </w:tcPr>
                      <w:p>
                        <w:pPr>
                          <w:adjustRightInd w:val="0"/>
                          <w:snapToGrid w:val="0"/>
                          <w:jc w:val="right"/>
                          <w:rPr>
                            <w:rFonts w:eastAsia="楷体_GB2312"/>
                            <w:color w:val="23558C"/>
                            <w:sz w:val="14"/>
                            <w:szCs w:val="14"/>
                            <w:lang w:eastAsia="zh-CN"/>
                          </w:rPr>
                        </w:pPr>
                        <w:r>
                          <w:rPr>
                            <w:rFonts w:eastAsia="楷体_GB2312"/>
                            <w:color w:val="215E99"/>
                            <w:sz w:val="14"/>
                          </w:rPr>
                          <w:t>Dec-24A</w:t>
                        </w:r>
                      </w:p>
                    </w:tc>
                    <w:tc>
                      <w:tcPr>
                        <w:tcW w:w="853" w:type="dxa"/>
                        <w:gridSpan w:val="2"/>
                        <w:vAlign w:val="center"/>
                      </w:tcPr>
                      <w:p>
                        <w:pPr>
                          <w:adjustRightInd w:val="0"/>
                          <w:snapToGrid w:val="0"/>
                          <w:jc w:val="right"/>
                          <w:rPr>
                            <w:rFonts w:eastAsia="楷体_GB2312"/>
                            <w:color w:val="23558C"/>
                            <w:sz w:val="14"/>
                            <w:szCs w:val="14"/>
                            <w:lang w:eastAsia="zh-CN"/>
                          </w:rPr>
                        </w:pPr>
                        <w:r>
                          <w:rPr>
                            <w:rFonts w:eastAsia="楷体_GB2312"/>
                            <w:color w:val="215E99"/>
                            <w:sz w:val="14"/>
                          </w:rPr>
                          <w:t>Dec-25E</w:t>
                        </w:r>
                      </w:p>
                    </w:tc>
                    <w:tc>
                      <w:tcPr>
                        <w:tcW w:w="853" w:type="dxa"/>
                        <w:gridSpan w:val="2"/>
                        <w:vAlign w:val="center"/>
                      </w:tcPr>
                      <w:p>
                        <w:pPr>
                          <w:adjustRightInd w:val="0"/>
                          <w:snapToGrid w:val="0"/>
                          <w:jc w:val="right"/>
                          <w:rPr>
                            <w:rFonts w:eastAsia="楷体_GB2312"/>
                            <w:color w:val="23558C"/>
                            <w:sz w:val="14"/>
                            <w:szCs w:val="14"/>
                            <w:lang w:eastAsia="zh-CN"/>
                          </w:rPr>
                        </w:pPr>
                        <w:r>
                          <w:rPr>
                            <w:rFonts w:eastAsia="楷体_GB2312"/>
                            <w:color w:val="215E99"/>
                            <w:sz w:val="14"/>
                          </w:rPr>
                          <w:t>Dec-26E</w:t>
                        </w:r>
                      </w:p>
                    </w:tc>
                    <w:tc>
                      <w:tcPr>
                        <w:tcW w:w="854" w:type="dxa"/>
                        <w:vAlign w:val="center"/>
                      </w:tcPr>
                      <w:p>
                        <w:pPr>
                          <w:adjustRightInd w:val="0"/>
                          <w:snapToGrid w:val="0"/>
                          <w:jc w:val="right"/>
                          <w:rPr>
                            <w:rFonts w:eastAsia="楷体_GB2312"/>
                            <w:color w:val="23558C"/>
                            <w:sz w:val="14"/>
                            <w:szCs w:val="14"/>
                            <w:lang w:eastAsia="zh-CN"/>
                          </w:rPr>
                        </w:pPr>
                        <w:r>
                          <w:rPr>
                            <w:rFonts w:eastAsia="楷体_GB2312"/>
                            <w:color w:val="215E99"/>
                            <w:sz w:val="14"/>
                          </w:rPr>
                          <w:t>Dec-27E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Revenue</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Net profit</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Diluted EPS (US$)</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GPM</w:t>
                        </w:r>
                      </w:p>
                    </w:tc>
                    <w:tc>
                      <w:tcPr>
                        <w:tcW w:w="853" w:type="dxa"/>
                        <w:gridSpan w:val="2"/>
                        <w:vAlign w:val="center"/>
                      </w:tcPr>
                      <w:p>
                        <w:pPr>
                          <w:adjustRightInd w:val="0"/>
                          <w:snapToGrid w:val="0"/>
                          <w:jc w:val="right"/>
                          <w:rPr>
                            <w:rFonts w:eastAsia="楷体_GB2312"/>
                            <w:sz w:val="14"/>
                            <w:szCs w:val="14"/>
                            <w:lang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ROE</w:t>
                        </w: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pPr>
                          <w:adjustRightInd w:val="0"/>
                          <w:snapToGrid w:val="0"/>
                          <w:rPr>
                            <w:rFonts w:eastAsia="楷体_GB2312"/>
                            <w:color w:val="23558C"/>
                            <w:sz w:val="14"/>
                            <w:szCs w:val="14"/>
                            <w:lang w:eastAsia="zh-CN"/>
                          </w:rPr>
                        </w:pPr>
                        <w:r>
                          <w:rPr>
                            <w:rFonts w:eastAsia="楷体_GB2312"/>
                            <w:color w:val="215E99"/>
                            <w:sz w:val="14"/>
                          </w:rPr>
                          <w:t>P/E</w:t>
                        </w:r>
                      </w:p>
                    </w:tc>
                    <w:tc>
                      <w:tcPr>
                        <w:tcW w:w="853" w:type="dxa"/>
                        <w:gridSpan w:val="2"/>
                        <w:vAlign w:val="center"/>
                      </w:tcPr>
                      <w:p>
                        <w:pPr>
                          <w:jc w:val="right"/>
                          <w:rPr>
                            <w:rFonts w:hint="eastAsia" w:eastAsia="楷体_GB2312" w:cs="Calibri"/>
                            <w:sz w:val="14"/>
                            <w:szCs w:val="14"/>
                            <w:lang w:val="en-US" w:eastAsia="zh-CN"/>
                          </w:rPr>
                        </w:pPr>
                      </w:p>
                    </w:tc>
                    <w:tc>
                      <w:tcPr>
                        <w:tcW w:w="853" w:type="dxa"/>
                        <w:gridSpan w:val="2"/>
                        <w:vAlign w:val="center"/>
                      </w:tcPr>
                      <w:p>
                        <w:pPr>
                          <w:jc w:val="right"/>
                          <w:rPr>
                            <w:rFonts w:eastAsia="楷体_GB2312" w:cs="Calibri"/>
                            <w:sz w:val="14"/>
                            <w:szCs w:val="14"/>
                          </w:rPr>
                        </w:pPr>
                      </w:p>
                    </w:tc>
                    <w:tc>
                      <w:tcPr>
                        <w:tcW w:w="853" w:type="dxa"/>
                        <w:gridSpan w:val="2"/>
                        <w:vAlign w:val="center"/>
                      </w:tcPr>
                      <w:p>
                        <w:pPr>
                          <w:jc w:val="right"/>
                          <w:rPr>
                            <w:rFonts w:eastAsia="楷体_GB2312" w:cs="Calibri"/>
                            <w:sz w:val="14"/>
                            <w:szCs w:val="14"/>
                          </w:rPr>
                        </w:pPr>
                      </w:p>
                    </w:tc>
                    <w:tc>
                      <w:tcPr>
                        <w:tcW w:w="854" w:type="dxa"/>
                        <w:vAlign w:val="center"/>
                      </w:tcPr>
                      <w:p>
                        <w:pPr>
                          <w:jc w:val="right"/>
                          <w:rPr>
                            <w:rFonts w:eastAsia="楷体_GB2312" w:cs="Calibri"/>
                            <w:sz w:val="14"/>
                            <w:szCs w:val="14"/>
                          </w:rPr>
                        </w:pPr>
                      </w:p>
                    </w:tc>
                  </w:tr>
                </w:tbl>
                <w:p>
                  <w:pPr>
                    <w:ind w:right="85" w:firstLine="85"/>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pPr>
                    <w:ind w:firstLine="85"/>
                    <w:rPr>
                      <w:rFonts w:eastAsia="宋体" w:cs="Calibri"/>
                      <w:i/>
                      <w:iCs/>
                      <w:color w:val="000000"/>
                      <w:sz w:val="12"/>
                      <w:lang w:eastAsia="zh-CN"/>
                    </w:rPr>
                  </w:pPr>
                  <w:r>
                    <w:rPr>
                      <w:rFonts w:hint="eastAsia" w:eastAsia="楷体_GB2312" w:cs="微软雅黑"/>
                      <w:i/>
                      <w:iCs/>
                      <w:color w:val="000000"/>
                      <w:sz w:val="12"/>
                      <w:lang w:eastAsia="zh-CN"/>
                    </w:rPr>
                    <w:t>Source: Company data</w:t>
                  </w:r>
                  <w:r>
                    <w:rPr>
                      <w:rFonts w:eastAsia="楷体_GB2312" w:cs="Calibri"/>
                      <w:i/>
                      <w:iCs/>
                      <w:color w:val="000000"/>
                      <w:sz w:val="12"/>
                    </w:rPr>
                    <w:t>,</w:t>
                  </w:r>
                  <w:r>
                    <w:rPr>
                      <w:rFonts w:eastAsia="宋体" w:cs="Calibri"/>
                      <w:i/>
                      <w:iCs/>
                      <w:color w:val="000000"/>
                      <w:sz w:val="12"/>
                    </w:rPr>
                    <w:t xml:space="preserve"> </w:t>
                  </w:r>
                  <w:r>
                    <w:rPr>
                      <w:rFonts w:hint="eastAsia" w:eastAsia="宋体" w:cs="Calibri"/>
                      <w:i/>
                      <w:iCs/>
                      <w:color w:val="000000"/>
                      <w:sz w:val="12"/>
                      <w:lang w:eastAsia="zh-CN"/>
                    </w:rPr>
                    <w:t>HFI</w:t>
                  </w:r>
                </w:p>
              </w:tc>
            </w:tr>
          </w:tbl>
          <w:p>
            <w:pPr>
              <w:pStyle w:val="23"/>
              <w:framePr w:wrap="auto" w:vAnchor="margin" w:hAnchor="text" w:xAlign="left" w:yAlign="inline"/>
              <w:jc w:val="left"/>
            </w:pPr>
          </w:p>
        </w:tc>
        <w:tc>
          <w:tcPr>
            <w:tcW w:w="6061" w:type="dxa"/>
            <w:gridSpan w:val="4"/>
            <w:tcMar>
              <w:left w:w="85" w:type="dxa"/>
            </w:tcMar>
          </w:tcPr>
          <w:p>
            <w:pPr>
              <w:pStyle w:val="88"/>
              <w:jc w:val="both"/>
              <w:rPr>
                <w:rFonts w:eastAsia="楷体_GB2312" w:cs="Calibri"/>
                <w:sz w:val="19"/>
                <w:szCs w:val="19"/>
                <w:lang w:eastAsia="zh-CN"/>
              </w:rPr>
            </w:pPr>
            <w:r>
              <w:rPr>
                <w:rFonts w:eastAsia="楷体_GB2312" w:cs="Calibri"/>
                <w:b/>
                <w:snapToGrid w:val="0"/>
                <w:color w:val="23558C"/>
                <w:sz w:val="19"/>
                <w:szCs w:val="19"/>
                <w:lang w:eastAsia="zh-CN"/>
              </w:rPr>
              <w:t>Howmet’s engine content strategy represents a "picks and shovels" play in the aerospace supply chain.</w:t>
            </w:r>
            <w:r>
              <w:rPr>
                <w:rFonts w:hint="eastAsia" w:ascii="Segoe UI" w:hAnsi="Segoe UI" w:eastAsia="宋体" w:cs="Segoe UI"/>
                <w:snapToGrid w:val="0"/>
                <w:sz w:val="19"/>
                <w:szCs w:val="19"/>
                <w:shd w:val="clear" w:color="auto" w:fill="FFFFFF"/>
                <w:lang w:eastAsia="zh-CN"/>
              </w:rPr>
              <w:t xml:space="preserve"> </w:t>
            </w:r>
            <w:r>
              <w:rPr>
                <w:rFonts w:eastAsia="楷体_GB2312" w:cs="Calibri"/>
                <w:bCs/>
                <w:snapToGrid w:val="0"/>
                <w:sz w:val="19"/>
                <w:szCs w:val="19"/>
                <w:lang w:eastAsia="zh-CN"/>
              </w:rPr>
              <w:t>Howmet Aerospace (NYSE: HWM) traces its roots to 1948 when it invented the first forged aluminum truck wheel and pioneered investment casting in 1951. Today the company operates four global segments: Engine Products (50% of 2024 sales) supplies castings, rings and airfoils for jet engines and industrial turbines; Fastening Systems (22%) holds the #1 global position in aerospace fasteners; Engineered Structures (14%) produces titanium mill products and multi-material airframe components; and Forged Wheels (14%) leads the global market in aluminum truck wheels. In 2025Q3, all segments again expanded their Segment Adjusted EBITDA Margin versus the same quarter of 2024, adding 0.8–5.1 percentage points and reaching new third-quarter highs.</w:t>
            </w:r>
            <w:r>
              <w:rPr>
                <w:sz w:val="19"/>
                <w:szCs w:val="19"/>
              </w:rPr>
              <w:t xml:space="preserve"> </w:t>
            </w:r>
            <w:r>
              <w:rPr>
                <w:rFonts w:eastAsia="楷体_GB2312" w:cs="Calibri"/>
                <w:bCs/>
                <w:snapToGrid w:val="0"/>
                <w:sz w:val="19"/>
                <w:szCs w:val="19"/>
                <w:lang w:eastAsia="zh-CN"/>
              </w:rPr>
              <w:t>HWM provided its initial 2026 revenue outlook during its 2025Q3 earnings call, which is $9 billion, up 10% on year for 2026.</w:t>
            </w:r>
          </w:p>
          <w:p>
            <w:pPr>
              <w:pStyle w:val="88"/>
              <w:spacing w:line="216" w:lineRule="auto"/>
              <w:jc w:val="both"/>
              <w:rPr>
                <w:rFonts w:eastAsia="楷体_GB2312" w:cs="Calibri"/>
                <w:bCs/>
                <w:snapToGrid w:val="0"/>
                <w:sz w:val="19"/>
                <w:szCs w:val="19"/>
                <w:lang w:eastAsia="zh-CN"/>
              </w:rPr>
            </w:pPr>
            <w:r>
              <w:rPr>
                <w:rFonts w:eastAsia="楷体_GB2312" w:cs="Calibri"/>
                <w:b/>
                <w:snapToGrid w:val="0"/>
                <w:color w:val="23558C"/>
                <w:sz w:val="19"/>
                <w:szCs w:val="19"/>
                <w:lang w:eastAsia="zh-CN"/>
              </w:rPr>
              <w:t>Sole F-35 Fan Disc Supplier, Long-Term OEM Partnerships Locked In.</w:t>
            </w:r>
            <w:r>
              <w:rPr>
                <w:sz w:val="19"/>
                <w:szCs w:val="19"/>
              </w:rPr>
              <w:t xml:space="preserve"> </w:t>
            </w:r>
            <w:r>
              <w:rPr>
                <w:rFonts w:eastAsia="楷体_GB2312" w:cs="Calibri"/>
                <w:bCs/>
                <w:snapToGrid w:val="0"/>
                <w:sz w:val="19"/>
                <w:szCs w:val="19"/>
                <w:lang w:eastAsia="zh-CN"/>
              </w:rPr>
              <w:t>Howmet is the exclusive supplier of titanium fan discs for the F-35 Lightning II, the world's most advanced fighter with 191 jets delivered in 2025 and nearly 1,300 in global service. The company's components are embedded throughout the aircraft: forged aluminum bulkheads save 300-400 pounds per jet, titanium structures serve all three F-35 variants, nickel-based superalloy blades operate above metal melting points, and vibration-resistant fasteners endure extreme G-forces. Co-development agreements with Lockheed Martin, Boeing, Airbus and Rolls-Royce secure share on critical platforms, while top global rankings in titanium alloy 3D printing patents reinforce metallurgical barriers to entry.</w:t>
            </w:r>
            <w:r>
              <w:rPr>
                <w:sz w:val="19"/>
                <w:szCs w:val="19"/>
              </w:rPr>
              <w:t xml:space="preserve"> </w:t>
            </w:r>
            <w:r>
              <w:rPr>
                <w:rFonts w:eastAsia="楷体_GB2312" w:cs="Calibri"/>
                <w:bCs/>
                <w:snapToGrid w:val="0"/>
                <w:sz w:val="19"/>
                <w:szCs w:val="19"/>
                <w:lang w:eastAsia="zh-CN"/>
              </w:rPr>
              <w:t>In the future, HWM is expected to benefit from the mass production of the F35 and the recovery of a global airline.</w:t>
            </w:r>
          </w:p>
          <w:p>
            <w:pPr>
              <w:pStyle w:val="88"/>
              <w:spacing w:line="216" w:lineRule="auto"/>
              <w:jc w:val="both"/>
              <w:rPr>
                <w:rFonts w:eastAsia="楷体_GB2312" w:cs="Calibri"/>
                <w:b/>
                <w:snapToGrid w:val="0"/>
                <w:color w:val="23558C"/>
                <w:sz w:val="19"/>
                <w:szCs w:val="19"/>
                <w:lang w:eastAsia="zh-CN"/>
              </w:rPr>
            </w:pPr>
            <w:r>
              <w:rPr>
                <w:rFonts w:eastAsia="楷体_GB2312" w:cs="Calibri"/>
                <w:b/>
                <w:snapToGrid w:val="0"/>
                <w:color w:val="23558C"/>
                <w:sz w:val="19"/>
                <w:szCs w:val="19"/>
                <w:lang w:eastAsia="zh-CN"/>
              </w:rPr>
              <w:t xml:space="preserve">Acquiring CAM broadens the company's moat. </w:t>
            </w:r>
            <w:r>
              <w:rPr>
                <w:sz w:val="19"/>
                <w:szCs w:val="19"/>
              </w:rPr>
              <w:t xml:space="preserve"> </w:t>
            </w:r>
            <w:r>
              <w:rPr>
                <w:rFonts w:eastAsia="楷体_GB2312" w:cs="Calibri"/>
                <w:bCs/>
                <w:snapToGrid w:val="0"/>
                <w:sz w:val="19"/>
                <w:szCs w:val="19"/>
                <w:lang w:eastAsia="zh-CN"/>
              </w:rPr>
              <w:t>In 2026 Howmet will acquire Consolidated Aerospace Manufacturing for $1.8 billion, adding precision fasteners, fluid fittings and latches from brands including Bristol Industries and Moeller. CAM hardware covers the 737 MAX, A350, F-35 and KC-46, with expected 2026 revenue of $485-495 million and EBITDA margins above 20% pre-synergies. The deal raises content per aircraft across virtually all major commercial and military platforms, while CAM Defense's work with Blue Origin, SpaceX and Stratolaunch extends Howmet's reach into rocket propulsion systems.</w:t>
            </w:r>
            <w:r>
              <w:rPr>
                <w:rFonts w:hint="eastAsia" w:eastAsia="楷体_GB2312" w:cs="Calibri"/>
                <w:bCs/>
                <w:snapToGrid w:val="0"/>
                <w:sz w:val="19"/>
                <w:szCs w:val="19"/>
                <w:lang w:eastAsia="zh-CN"/>
              </w:rPr>
              <w:t xml:space="preserve"> </w:t>
            </w:r>
            <w:r>
              <w:rPr>
                <w:rFonts w:eastAsia="楷体_GB2312" w:cs="Calibri"/>
                <w:bCs/>
                <w:snapToGrid w:val="0"/>
                <w:sz w:val="19"/>
                <w:szCs w:val="19"/>
                <w:lang w:eastAsia="zh-CN"/>
              </w:rPr>
              <w:t>It also enhances the one-stop service capabilities for core clients such as Boeing and Airbus.</w:t>
            </w:r>
          </w:p>
          <w:p>
            <w:pPr>
              <w:pStyle w:val="88"/>
              <w:spacing w:line="216" w:lineRule="auto"/>
              <w:jc w:val="both"/>
              <w:rPr>
                <w:rFonts w:cs="Times New Roman"/>
                <w:b/>
                <w:bCs/>
                <w:color w:val="23558C"/>
                <w:kern w:val="28"/>
                <w:sz w:val="19"/>
                <w:szCs w:val="19"/>
              </w:rPr>
            </w:pPr>
            <w:r>
              <w:rPr>
                <w:rFonts w:cs="Times New Roman"/>
                <w:b/>
                <w:bCs/>
                <w:color w:val="23558C"/>
                <w:kern w:val="28"/>
                <w:sz w:val="19"/>
                <w:szCs w:val="19"/>
              </w:rPr>
              <w:t>Valuation&amp; recommendation</w:t>
            </w:r>
          </w:p>
          <w:p>
            <w:pPr>
              <w:pStyle w:val="19"/>
              <w:spacing w:line="216" w:lineRule="auto"/>
              <w:jc w:val="both"/>
              <w:rPr>
                <w:rFonts w:eastAsia="楷体_GB2312" w:cs="Calibri"/>
                <w:snapToGrid/>
                <w:sz w:val="19"/>
                <w:szCs w:val="19"/>
              </w:rPr>
            </w:pPr>
            <w:r>
              <w:rPr>
                <w:rFonts w:eastAsia="楷体_GB2312" w:cs="Calibri"/>
                <w:snapToGrid/>
                <w:sz w:val="19"/>
                <w:szCs w:val="19"/>
              </w:rPr>
              <w:t xml:space="preserve">We estimate that revenue of </w:t>
            </w:r>
            <w:r>
              <w:rPr>
                <w:rFonts w:hint="eastAsia" w:eastAsia="楷体_GB2312" w:cs="Calibri"/>
                <w:snapToGrid/>
                <w:sz w:val="19"/>
                <w:szCs w:val="19"/>
                <w:lang w:eastAsia="zh-CN"/>
              </w:rPr>
              <w:t>HWM</w:t>
            </w:r>
            <w:r>
              <w:rPr>
                <w:rFonts w:eastAsia="楷体_GB2312" w:cs="Calibri"/>
                <w:snapToGrid/>
                <w:sz w:val="19"/>
                <w:szCs w:val="19"/>
              </w:rPr>
              <w:t xml:space="preserve"> from year 2025 to 2028 will be $</w:t>
            </w:r>
            <w:r>
              <w:rPr>
                <w:rFonts w:hint="eastAsia" w:eastAsia="楷体_GB2312" w:cs="Calibri"/>
                <w:snapToGrid/>
                <w:sz w:val="19"/>
                <w:szCs w:val="19"/>
                <w:lang w:eastAsia="zh-CN"/>
              </w:rPr>
              <w:t>8,188</w:t>
            </w:r>
            <w:r>
              <w:rPr>
                <w:rFonts w:eastAsia="楷体_GB2312" w:cs="Calibri"/>
                <w:snapToGrid/>
                <w:sz w:val="19"/>
                <w:szCs w:val="19"/>
              </w:rPr>
              <w:t>/</w:t>
            </w:r>
            <w:r>
              <w:rPr>
                <w:rFonts w:hint="eastAsia" w:eastAsia="楷体_GB2312" w:cs="Calibri"/>
                <w:snapToGrid/>
                <w:sz w:val="19"/>
                <w:szCs w:val="19"/>
                <w:lang w:eastAsia="zh-CN"/>
              </w:rPr>
              <w:t>9,106</w:t>
            </w:r>
            <w:r>
              <w:rPr>
                <w:rFonts w:eastAsia="楷体_GB2312" w:cs="Calibri"/>
                <w:snapToGrid/>
                <w:sz w:val="19"/>
                <w:szCs w:val="19"/>
              </w:rPr>
              <w:t xml:space="preserve"> /</w:t>
            </w:r>
            <w:r>
              <w:rPr>
                <w:rFonts w:hint="eastAsia" w:eastAsia="楷体_GB2312" w:cs="Calibri"/>
                <w:snapToGrid/>
                <w:sz w:val="19"/>
                <w:szCs w:val="19"/>
                <w:lang w:eastAsia="zh-CN"/>
              </w:rPr>
              <w:t>10,077</w:t>
            </w:r>
            <w:r>
              <w:rPr>
                <w:rFonts w:eastAsia="楷体_GB2312" w:cs="Calibri"/>
                <w:snapToGrid/>
                <w:sz w:val="19"/>
                <w:szCs w:val="19"/>
              </w:rPr>
              <w:t>/</w:t>
            </w:r>
            <w:r>
              <w:rPr>
                <w:rFonts w:hint="eastAsia" w:eastAsia="楷体_GB2312" w:cs="Calibri"/>
                <w:snapToGrid/>
                <w:sz w:val="19"/>
                <w:szCs w:val="19"/>
                <w:lang w:eastAsia="zh-CN"/>
              </w:rPr>
              <w:t>11</w:t>
            </w:r>
            <w:r>
              <w:rPr>
                <w:rFonts w:eastAsia="楷体_GB2312" w:cs="Calibri"/>
                <w:snapToGrid/>
                <w:sz w:val="19"/>
                <w:szCs w:val="19"/>
              </w:rPr>
              <w:t>,</w:t>
            </w:r>
            <w:r>
              <w:rPr>
                <w:rFonts w:hint="eastAsia" w:eastAsia="楷体_GB2312" w:cs="Calibri"/>
                <w:snapToGrid/>
                <w:sz w:val="19"/>
                <w:szCs w:val="19"/>
                <w:lang w:eastAsia="zh-CN"/>
              </w:rPr>
              <w:t>139</w:t>
            </w:r>
            <w:r>
              <w:rPr>
                <w:rFonts w:eastAsia="楷体_GB2312" w:cs="Calibri"/>
                <w:snapToGrid/>
                <w:sz w:val="19"/>
                <w:szCs w:val="19"/>
              </w:rPr>
              <w:t xml:space="preserve"> million, with the net profit of</w:t>
            </w:r>
            <w:r>
              <w:rPr>
                <w:rFonts w:hint="eastAsia" w:eastAsia="楷体_GB2312" w:cs="Calibri"/>
                <w:snapToGrid/>
                <w:sz w:val="19"/>
                <w:szCs w:val="19"/>
                <w:lang w:eastAsia="zh-CN"/>
              </w:rPr>
              <w:t xml:space="preserve"> </w:t>
            </w:r>
            <w:r>
              <w:rPr>
                <w:rFonts w:eastAsia="楷体_GB2312" w:cs="Calibri"/>
                <w:snapToGrid/>
                <w:sz w:val="19"/>
                <w:szCs w:val="19"/>
              </w:rPr>
              <w:t>$1,</w:t>
            </w:r>
            <w:r>
              <w:rPr>
                <w:rFonts w:hint="eastAsia" w:eastAsia="楷体_GB2312" w:cs="Calibri"/>
                <w:snapToGrid/>
                <w:sz w:val="19"/>
                <w:szCs w:val="19"/>
                <w:lang w:eastAsia="zh-CN"/>
              </w:rPr>
              <w:t>408</w:t>
            </w:r>
            <w:r>
              <w:rPr>
                <w:rFonts w:eastAsia="楷体_GB2312" w:cs="Calibri"/>
                <w:snapToGrid/>
                <w:sz w:val="19"/>
                <w:szCs w:val="19"/>
              </w:rPr>
              <w:t>/</w:t>
            </w:r>
            <w:r>
              <w:rPr>
                <w:rFonts w:hint="eastAsia" w:eastAsia="楷体_GB2312" w:cs="Calibri"/>
                <w:snapToGrid/>
                <w:sz w:val="19"/>
                <w:szCs w:val="19"/>
                <w:lang w:eastAsia="zh-CN"/>
              </w:rPr>
              <w:t>1</w:t>
            </w:r>
            <w:r>
              <w:rPr>
                <w:rFonts w:eastAsia="楷体_GB2312" w:cs="Calibri"/>
                <w:snapToGrid/>
                <w:sz w:val="19"/>
                <w:szCs w:val="19"/>
              </w:rPr>
              <w:t>,</w:t>
            </w:r>
            <w:r>
              <w:rPr>
                <w:rFonts w:hint="eastAsia" w:eastAsia="楷体_GB2312" w:cs="Calibri"/>
                <w:snapToGrid/>
                <w:sz w:val="19"/>
                <w:szCs w:val="19"/>
                <w:lang w:eastAsia="zh-CN"/>
              </w:rPr>
              <w:t>711</w:t>
            </w:r>
            <w:r>
              <w:rPr>
                <w:rFonts w:eastAsia="楷体_GB2312" w:cs="Calibri"/>
                <w:snapToGrid/>
                <w:sz w:val="19"/>
                <w:szCs w:val="19"/>
              </w:rPr>
              <w:t>/</w:t>
            </w:r>
            <w:r>
              <w:rPr>
                <w:rFonts w:hint="eastAsia" w:eastAsia="楷体_GB2312" w:cs="Calibri"/>
                <w:snapToGrid/>
                <w:sz w:val="19"/>
                <w:szCs w:val="19"/>
                <w:lang w:eastAsia="zh-CN"/>
              </w:rPr>
              <w:t>1</w:t>
            </w:r>
            <w:r>
              <w:rPr>
                <w:rFonts w:eastAsia="楷体_GB2312" w:cs="Calibri"/>
                <w:snapToGrid/>
                <w:sz w:val="19"/>
                <w:szCs w:val="19"/>
              </w:rPr>
              <w:t>,</w:t>
            </w:r>
            <w:r>
              <w:rPr>
                <w:rFonts w:hint="eastAsia" w:eastAsia="楷体_GB2312" w:cs="Calibri"/>
                <w:snapToGrid/>
                <w:sz w:val="19"/>
                <w:szCs w:val="19"/>
                <w:lang w:eastAsia="zh-CN"/>
              </w:rPr>
              <w:t>883</w:t>
            </w:r>
            <w:r>
              <w:rPr>
                <w:rFonts w:eastAsia="楷体_GB2312" w:cs="Calibri"/>
                <w:snapToGrid/>
                <w:sz w:val="19"/>
                <w:szCs w:val="19"/>
              </w:rPr>
              <w:t>/</w:t>
            </w:r>
            <w:r>
              <w:rPr>
                <w:rFonts w:hint="eastAsia" w:eastAsia="楷体_GB2312" w:cs="Calibri"/>
                <w:snapToGrid/>
                <w:sz w:val="19"/>
                <w:szCs w:val="19"/>
                <w:lang w:eastAsia="zh-CN"/>
              </w:rPr>
              <w:t>2</w:t>
            </w:r>
            <w:r>
              <w:rPr>
                <w:rFonts w:eastAsia="楷体_GB2312" w:cs="Calibri"/>
                <w:snapToGrid/>
                <w:sz w:val="19"/>
                <w:szCs w:val="19"/>
              </w:rPr>
              <w:t>,</w:t>
            </w:r>
            <w:r>
              <w:rPr>
                <w:rFonts w:hint="eastAsia" w:eastAsia="楷体_GB2312" w:cs="Calibri"/>
                <w:snapToGrid/>
                <w:sz w:val="19"/>
                <w:szCs w:val="19"/>
                <w:lang w:eastAsia="zh-CN"/>
              </w:rPr>
              <w:t>190</w:t>
            </w:r>
            <w:r>
              <w:rPr>
                <w:rFonts w:eastAsia="楷体_GB2312" w:cs="Calibri"/>
                <w:snapToGrid/>
                <w:sz w:val="19"/>
                <w:szCs w:val="19"/>
              </w:rPr>
              <w:t xml:space="preserve">million. Based on the DCF valuation model, our target price of </w:t>
            </w:r>
            <w:r>
              <w:rPr>
                <w:rFonts w:hint="eastAsia" w:eastAsia="楷体_GB2312" w:cs="Calibri"/>
                <w:snapToGrid/>
                <w:sz w:val="19"/>
                <w:szCs w:val="19"/>
                <w:lang w:eastAsia="zh-CN"/>
              </w:rPr>
              <w:t>HWM</w:t>
            </w:r>
            <w:r>
              <w:rPr>
                <w:rFonts w:eastAsia="楷体_GB2312" w:cs="Calibri"/>
                <w:snapToGrid/>
                <w:sz w:val="19"/>
                <w:szCs w:val="19"/>
              </w:rPr>
              <w:t xml:space="preserve"> is $</w:t>
            </w:r>
            <w:r>
              <w:rPr>
                <w:rFonts w:hint="eastAsia" w:eastAsia="楷体_GB2312" w:cs="Calibri"/>
                <w:snapToGrid/>
                <w:sz w:val="19"/>
                <w:szCs w:val="19"/>
                <w:lang w:eastAsia="zh-CN"/>
              </w:rPr>
              <w:t>234</w:t>
            </w:r>
            <w:r>
              <w:rPr>
                <w:rFonts w:eastAsia="楷体_GB2312" w:cs="Calibri"/>
                <w:snapToGrid/>
                <w:sz w:val="19"/>
                <w:szCs w:val="19"/>
              </w:rPr>
              <w:t>.</w:t>
            </w:r>
            <w:r>
              <w:rPr>
                <w:rFonts w:hint="eastAsia" w:eastAsia="楷体_GB2312" w:cs="Calibri"/>
                <w:snapToGrid/>
                <w:sz w:val="19"/>
                <w:szCs w:val="19"/>
                <w:lang w:eastAsia="zh-CN"/>
              </w:rPr>
              <w:t>72</w:t>
            </w:r>
            <w:r>
              <w:rPr>
                <w:rFonts w:eastAsia="楷体_GB2312" w:cs="Calibri"/>
                <w:snapToGrid/>
                <w:sz w:val="19"/>
                <w:szCs w:val="19"/>
              </w:rPr>
              <w:t>, we initiate coverage on the stock with “Outperform”.</w:t>
            </w:r>
          </w:p>
          <w:p>
            <w:pPr>
              <w:pStyle w:val="88"/>
              <w:spacing w:line="216" w:lineRule="auto"/>
              <w:jc w:val="both"/>
              <w:rPr>
                <w:rFonts w:cs="Times New Roman"/>
                <w:b/>
                <w:bCs/>
                <w:color w:val="23558C"/>
                <w:kern w:val="28"/>
                <w:sz w:val="19"/>
                <w:szCs w:val="19"/>
              </w:rPr>
            </w:pPr>
            <w:r>
              <w:rPr>
                <w:rFonts w:cs="Times New Roman"/>
                <w:b/>
                <w:bCs/>
                <w:color w:val="23558C"/>
                <w:kern w:val="28"/>
                <w:sz w:val="19"/>
                <w:szCs w:val="19"/>
              </w:rPr>
              <w:t>Risks</w:t>
            </w:r>
          </w:p>
          <w:p>
            <w:pPr>
              <w:pStyle w:val="88"/>
              <w:spacing w:line="216" w:lineRule="auto"/>
              <w:jc w:val="both"/>
              <w:rPr>
                <w:rFonts w:eastAsia="楷体_GB2312" w:cs="Times New Roman"/>
                <w:bCs/>
                <w:kern w:val="28"/>
                <w:lang w:eastAsia="zh-CN"/>
              </w:rPr>
            </w:pPr>
            <w:r>
              <w:rPr>
                <w:rFonts w:eastAsia="楷体_GB2312" w:cs="Calibri"/>
                <w:sz w:val="19"/>
                <w:szCs w:val="19"/>
                <w:lang w:eastAsia="zh-CN"/>
              </w:rPr>
              <w:t>Market Demand &amp; Economic Sensitivity; Narrow and Wide-Body Aircraft Market Risks Constraints in the supply chain, including shortages of engine components and labor; The cost of acquiring and integrating CAM may exceed the budget, affecting EBITA; Labor Negotiations and Workforce Challenges</w:t>
            </w:r>
            <w:r>
              <w:rPr>
                <w:rFonts w:eastAsia="楷体_GB2312" w:cs="Calibri"/>
                <w:sz w:val="19"/>
                <w:szCs w:val="19"/>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pPr>
              <w:pStyle w:val="88"/>
              <w:spacing w:after="0"/>
              <w:jc w:val="both"/>
              <w:rPr>
                <w:rFonts w:eastAsia="楷体_GB2312" w:cs="Times New Roman"/>
                <w:bCs/>
                <w:kern w:val="28"/>
                <w:lang w:eastAsia="zh-CN"/>
              </w:rPr>
            </w:pPr>
          </w:p>
          <w:tbl>
            <w:tblPr>
              <w:tblStyle w:val="12"/>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1"/>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pPr>
                    <w:pStyle w:val="51"/>
                    <w:framePr w:wrap="auto" w:vAnchor="margin" w:hAnchor="text" w:yAlign="inline"/>
                    <w:rPr>
                      <w:rFonts w:eastAsia="MS Gothic"/>
                      <w:color w:val="FFFFFF" w:themeColor="background1"/>
                      <w14:textFill>
                        <w14:solidFill>
                          <w14:schemeClr w14:val="bg1"/>
                        </w14:solidFill>
                      </w14:textFill>
                    </w:rPr>
                  </w:pPr>
                </w:p>
              </w:tc>
              <w:tc>
                <w:tcPr>
                  <w:tcW w:w="2693" w:type="dxa"/>
                </w:tcPr>
                <w:p>
                  <w:pPr>
                    <w:pStyle w:val="51"/>
                    <w:framePr w:wrap="auto" w:vAnchor="margin" w:hAnchor="text" w:yAlign="inline"/>
                    <w:rPr>
                      <w:rFonts w:eastAsia="MS Gothic"/>
                      <w:color w:val="FFFFFF" w:themeColor="background1"/>
                      <w14:textFill>
                        <w14:solidFill>
                          <w14:schemeClr w14:val="bg1"/>
                        </w14:solidFill>
                      </w14:textFill>
                    </w:rPr>
                  </w:pPr>
                </w:p>
              </w:tc>
              <w:tc>
                <w:tcPr>
                  <w:tcW w:w="2694" w:type="dxa"/>
                </w:tcPr>
                <w:p>
                  <w:pPr>
                    <w:pStyle w:val="51"/>
                    <w:framePr w:wrap="auto" w:vAnchor="margin" w:hAnchor="text" w:yAlign="inline"/>
                    <w:rPr>
                      <w:rFonts w:eastAsia="MS Gothic"/>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0"/>
                    <w:framePr w:wrap="auto" w:vAnchor="margin" w:hAnchor="text" w:yAlign="inline"/>
                    <w:rPr>
                      <w:rFonts w:eastAsia="楷体_GB2312"/>
                    </w:rPr>
                  </w:pPr>
                  <w:r>
                    <w:rPr>
                      <w:rFonts w:eastAsia="楷体_GB2312"/>
                      <w:color w:val="000000"/>
                    </w:rPr>
                    <w:t>Bin Yang, SFC:BSQ313</w:t>
                  </w:r>
                </w:p>
              </w:tc>
              <w:tc>
                <w:tcPr>
                  <w:tcW w:w="2551" w:type="dxa"/>
                </w:tcPr>
                <w:p>
                  <w:pPr>
                    <w:pStyle w:val="50"/>
                    <w:framePr w:wrap="auto" w:vAnchor="margin" w:hAnchor="text" w:yAlign="inline"/>
                    <w:rPr>
                      <w:rFonts w:eastAsia="楷体_GB2312"/>
                    </w:rPr>
                  </w:pPr>
                </w:p>
              </w:tc>
              <w:tc>
                <w:tcPr>
                  <w:tcW w:w="2693" w:type="dxa"/>
                </w:tcPr>
                <w:p>
                  <w:pPr>
                    <w:pStyle w:val="50"/>
                    <w:framePr w:wrap="auto" w:vAnchor="margin" w:hAnchor="text" w:yAlign="inline"/>
                    <w:rPr>
                      <w:rFonts w:eastAsia="楷体_GB2312"/>
                    </w:rPr>
                  </w:pPr>
                </w:p>
              </w:tc>
              <w:tc>
                <w:tcPr>
                  <w:tcW w:w="2694" w:type="dxa"/>
                </w:tcPr>
                <w:p>
                  <w:pPr>
                    <w:pStyle w:val="50"/>
                    <w:framePr w:wrap="auto" w:vAnchor="margin" w:hAnchor="text" w:yAlign="inline"/>
                    <w:rPr>
                      <w:rFonts w:eastAsia="楷体_GB231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0"/>
                    <w:framePr w:wrap="auto" w:vAnchor="margin" w:hAnchor="text" w:yAlign="inline"/>
                    <w:rPr>
                      <w:rFonts w:eastAsia="楷体_GB2312"/>
                      <w:b w:val="0"/>
                    </w:rPr>
                  </w:pPr>
                  <w:r>
                    <w:rPr>
                      <w:rFonts w:eastAsia="楷体_GB2312"/>
                      <w:b w:val="0"/>
                      <w:color w:val="000000"/>
                    </w:rPr>
                    <w:t>harryyang@hfisec.com.hk</w:t>
                  </w:r>
                </w:p>
              </w:tc>
              <w:tc>
                <w:tcPr>
                  <w:tcW w:w="2551" w:type="dxa"/>
                </w:tcPr>
                <w:p>
                  <w:pPr>
                    <w:pStyle w:val="50"/>
                    <w:framePr w:wrap="auto" w:vAnchor="margin" w:hAnchor="text" w:yAlign="inline"/>
                    <w:rPr>
                      <w:rFonts w:eastAsia="楷体_GB2312"/>
                      <w:b w:val="0"/>
                    </w:rPr>
                  </w:pPr>
                </w:p>
              </w:tc>
              <w:tc>
                <w:tcPr>
                  <w:tcW w:w="2693" w:type="dxa"/>
                </w:tcPr>
                <w:p>
                  <w:pPr>
                    <w:pStyle w:val="50"/>
                    <w:framePr w:wrap="auto" w:vAnchor="margin" w:hAnchor="text" w:yAlign="inline"/>
                    <w:rPr>
                      <w:rFonts w:eastAsia="楷体_GB2312"/>
                      <w:b w:val="0"/>
                    </w:rPr>
                  </w:pPr>
                </w:p>
              </w:tc>
              <w:tc>
                <w:tcPr>
                  <w:tcW w:w="2694" w:type="dxa"/>
                </w:tcPr>
                <w:p>
                  <w:pPr>
                    <w:pStyle w:val="50"/>
                    <w:framePr w:wrap="auto" w:vAnchor="margin" w:hAnchor="text" w:yAlign="inline"/>
                    <w:rPr>
                      <w:rFonts w:eastAsia="楷体_GB2312"/>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0"/>
                    <w:framePr w:wrap="auto" w:vAnchor="margin" w:hAnchor="text" w:yAlign="inline"/>
                    <w:rPr>
                      <w:rFonts w:eastAsia="楷体_GB2312"/>
                      <w:b w:val="0"/>
                    </w:rPr>
                  </w:pPr>
                </w:p>
              </w:tc>
              <w:tc>
                <w:tcPr>
                  <w:tcW w:w="2551" w:type="dxa"/>
                </w:tcPr>
                <w:p>
                  <w:pPr>
                    <w:pStyle w:val="50"/>
                    <w:framePr w:wrap="auto" w:vAnchor="margin" w:hAnchor="text" w:yAlign="inline"/>
                    <w:rPr>
                      <w:rFonts w:eastAsia="楷体_GB2312"/>
                      <w:b w:val="0"/>
                    </w:rPr>
                  </w:pPr>
                </w:p>
              </w:tc>
              <w:tc>
                <w:tcPr>
                  <w:tcW w:w="2693" w:type="dxa"/>
                </w:tcPr>
                <w:p>
                  <w:pPr>
                    <w:pStyle w:val="50"/>
                    <w:framePr w:wrap="auto" w:vAnchor="margin" w:hAnchor="text" w:yAlign="inline"/>
                    <w:rPr>
                      <w:rFonts w:eastAsia="楷体_GB2312"/>
                      <w:b w:val="0"/>
                    </w:rPr>
                  </w:pPr>
                </w:p>
              </w:tc>
              <w:tc>
                <w:tcPr>
                  <w:tcW w:w="2694" w:type="dxa"/>
                </w:tcPr>
                <w:p>
                  <w:pPr>
                    <w:pStyle w:val="50"/>
                    <w:framePr w:wrap="auto" w:vAnchor="margin" w:hAnchor="text" w:yAlign="inline"/>
                    <w:rPr>
                      <w:rFonts w:eastAsia="楷体_GB2312"/>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0"/>
                    <w:framePr w:wrap="auto" w:vAnchor="margin" w:hAnchor="text" w:yAlign="inline"/>
                    <w:rPr>
                      <w:rFonts w:eastAsia="楷体_GB2312"/>
                      <w:b w:val="0"/>
                    </w:rPr>
                  </w:pPr>
                </w:p>
              </w:tc>
              <w:tc>
                <w:tcPr>
                  <w:tcW w:w="2551" w:type="dxa"/>
                </w:tcPr>
                <w:p>
                  <w:pPr>
                    <w:pStyle w:val="50"/>
                    <w:framePr w:wrap="auto" w:vAnchor="margin" w:hAnchor="text" w:yAlign="inline"/>
                    <w:rPr>
                      <w:rFonts w:eastAsia="楷体_GB2312"/>
                      <w:b w:val="0"/>
                    </w:rPr>
                  </w:pPr>
                </w:p>
              </w:tc>
              <w:tc>
                <w:tcPr>
                  <w:tcW w:w="2693" w:type="dxa"/>
                </w:tcPr>
                <w:p>
                  <w:pPr>
                    <w:pStyle w:val="50"/>
                    <w:framePr w:wrap="auto" w:vAnchor="margin" w:hAnchor="text" w:yAlign="inline"/>
                    <w:rPr>
                      <w:rFonts w:eastAsia="楷体_GB2312"/>
                      <w:b w:val="0"/>
                    </w:rPr>
                  </w:pPr>
                </w:p>
              </w:tc>
              <w:tc>
                <w:tcPr>
                  <w:tcW w:w="2694" w:type="dxa"/>
                </w:tcPr>
                <w:p>
                  <w:pPr>
                    <w:pStyle w:val="50"/>
                    <w:framePr w:wrap="auto" w:vAnchor="margin" w:hAnchor="text" w:yAlign="inline"/>
                    <w:rPr>
                      <w:rFonts w:eastAsia="楷体_GB2312"/>
                      <w:b w:val="0"/>
                    </w:rPr>
                  </w:pPr>
                </w:p>
              </w:tc>
            </w:tr>
          </w:tbl>
          <w:p>
            <w:pPr>
              <w:pStyle w:val="88"/>
              <w:spacing w:after="0"/>
              <w:jc w:val="both"/>
              <w:rPr>
                <w:rFonts w:eastAsia="楷体_GB2312" w:cs="Times New Roman"/>
                <w:bCs/>
                <w:kern w:val="28"/>
                <w:lang w:eastAsia="zh-CN"/>
              </w:rPr>
            </w:pPr>
          </w:p>
        </w:tc>
      </w:tr>
    </w:tbl>
    <w:p>
      <w:pPr>
        <w:pStyle w:val="71"/>
        <w:rPr>
          <w:rFonts w:eastAsia="宋体"/>
        </w:rPr>
      </w:pPr>
    </w:p>
    <w:p>
      <w:pPr>
        <w:ind w:right="320"/>
        <w:rPr>
          <w:rFonts w:eastAsia="宋体"/>
          <w:lang w:eastAsia="zh-CN"/>
        </w:rPr>
      </w:pPr>
    </w:p>
    <w:p>
      <w:pPr>
        <w:rPr>
          <w:lang w:eastAsia="zh-CN"/>
        </w:rPr>
      </w:pPr>
    </w:p>
    <w:p>
      <w:pPr>
        <w:rPr>
          <w:lang w:eastAsia="zh-CN"/>
        </w:rPr>
        <w:sectPr>
          <w:headerReference r:id="rId3" w:type="default"/>
          <w:footerReference r:id="rId4" w:type="default"/>
          <w:pgSz w:w="11909" w:h="16834"/>
          <w:pgMar w:top="567" w:right="907" w:bottom="1021" w:left="5160" w:header="284" w:footer="919" w:gutter="0"/>
          <w:cols w:space="720" w:num="1"/>
          <w:docGrid w:linePitch="360" w:charSpace="0"/>
        </w:sectPr>
      </w:pPr>
    </w:p>
    <w:p>
      <w:pPr>
        <w:pStyle w:val="71"/>
      </w:pPr>
    </w:p>
    <w:sdt>
      <w:sdtPr>
        <w:rPr>
          <w:rFonts w:cs="Calibri"/>
          <w:b w:val="0"/>
          <w:bCs w:val="0"/>
          <w:snapToGrid w:val="0"/>
          <w:kern w:val="0"/>
          <w:sz w:val="16"/>
          <w:szCs w:val="16"/>
          <w:lang w:val="zh-CN" w:eastAsia="ja-JP"/>
        </w:rPr>
        <w:id w:val="393165253"/>
        <w:docPartObj>
          <w:docPartGallery w:val="Table of Contents"/>
          <w:docPartUnique/>
        </w:docPartObj>
      </w:sdtPr>
      <w:sdtEndPr>
        <w:rPr>
          <w:rFonts w:eastAsia="楷体_GB2312" w:cs="Calibri"/>
          <w:b w:val="0"/>
          <w:bCs/>
          <w:snapToGrid w:val="0"/>
          <w:kern w:val="0"/>
          <w:sz w:val="16"/>
          <w:szCs w:val="16"/>
          <w:lang w:val="zh-CN" w:eastAsia="ja-JP"/>
        </w:rPr>
      </w:sdtEndPr>
      <w:sdtContent>
        <w:p>
          <w:pPr>
            <w:pStyle w:val="147"/>
            <w:rPr>
              <w:rFonts w:eastAsia="楷体_GB2312" w:cs="Calibri"/>
            </w:rPr>
          </w:pPr>
          <w:r>
            <w:rPr>
              <w:rFonts w:eastAsia="楷体_GB2312" w:cs="Calibri"/>
              <w:lang w:val="zh-CN"/>
            </w:rPr>
            <w:t>Contents</w:t>
          </w:r>
        </w:p>
        <w:p>
          <w:pPr>
            <w:pStyle w:val="9"/>
            <w:tabs>
              <w:tab w:val="right" w:leader="dot" w:pos="7458"/>
            </w:tabs>
          </w:pPr>
          <w:r>
            <w:rPr>
              <w:rFonts w:ascii="Calibri" w:hAnsi="Calibri" w:eastAsia="楷体_GB2312" w:cs="Calibri"/>
            </w:rPr>
            <w:fldChar w:fldCharType="begin"/>
          </w:r>
          <w:r>
            <w:rPr>
              <w:rFonts w:ascii="Calibri" w:hAnsi="Calibri" w:eastAsia="楷体_GB2312" w:cs="Calibri"/>
            </w:rPr>
            <w:instrText xml:space="preserve"> TOC \o "1-3" \h \z \u </w:instrText>
          </w:r>
          <w:r>
            <w:rPr>
              <w:rFonts w:ascii="Calibri" w:hAnsi="Calibri" w:eastAsia="楷体_GB2312" w:cs="Calibri"/>
            </w:rPr>
            <w:fldChar w:fldCharType="separate"/>
          </w:r>
          <w:r>
            <w:rPr>
              <w:rFonts w:ascii="Calibri" w:hAnsi="Calibri" w:eastAsia="楷体_GB2312" w:cs="Calibri"/>
            </w:rPr>
            <w:fldChar w:fldCharType="begin"/>
          </w:r>
          <w:r>
            <w:rPr>
              <w:rFonts w:ascii="Calibri" w:hAnsi="Calibri" w:eastAsia="楷体_GB2312" w:cs="Calibri"/>
            </w:rPr>
            <w:instrText xml:space="preserve"> HYPERLINK \l _Toc3541 </w:instrText>
          </w:r>
          <w:r>
            <w:rPr>
              <w:rFonts w:ascii="Calibri" w:hAnsi="Calibri" w:eastAsia="楷体_GB2312" w:cs="Calibri"/>
            </w:rPr>
            <w:fldChar w:fldCharType="separate"/>
          </w:r>
          <w:r>
            <w:rPr>
              <w:rFonts w:eastAsia="宋体" w:cs="Times New Roman"/>
              <w:snapToGrid/>
              <w:kern w:val="28"/>
              <w:szCs w:val="28"/>
              <w:lang w:eastAsia="zh-CN"/>
            </w:rPr>
            <w:t>1. Howmet Aerospace: A Company of Innovators and Makers</w:t>
          </w:r>
          <w:r>
            <w:tab/>
          </w:r>
          <w:r>
            <w:fldChar w:fldCharType="begin"/>
          </w:r>
          <w:r>
            <w:instrText xml:space="preserve"> PAGEREF _Toc3541 \h </w:instrText>
          </w:r>
          <w:r>
            <w:fldChar w:fldCharType="separate"/>
          </w:r>
          <w:r>
            <w:t>3</w:t>
          </w:r>
          <w:r>
            <w:fldChar w:fldCharType="end"/>
          </w:r>
          <w:r>
            <w:rPr>
              <w:rFonts w:ascii="Calibri" w:hAnsi="Calibri" w:eastAsia="楷体_GB2312" w:cs="Calibri"/>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_Toc8843 </w:instrText>
          </w:r>
          <w:r>
            <w:rPr>
              <w:rFonts w:eastAsia="楷体_GB2312" w:cs="Calibri"/>
              <w:bCs/>
              <w:lang w:val="zh-CN"/>
            </w:rPr>
            <w:fldChar w:fldCharType="separate"/>
          </w:r>
          <w:r>
            <w:rPr>
              <w:rFonts w:ascii="Calibri" w:hAnsi="Calibri" w:cs="Times New Roman"/>
              <w:iCs w:val="0"/>
              <w:kern w:val="28"/>
              <w:szCs w:val="24"/>
            </w:rPr>
            <w:t>1.1 Global Aero-Engine Structural Castings Leader</w:t>
          </w:r>
          <w:r>
            <w:tab/>
          </w:r>
          <w:r>
            <w:fldChar w:fldCharType="begin"/>
          </w:r>
          <w:r>
            <w:instrText xml:space="preserve"> PAGEREF _Toc8843 \h </w:instrText>
          </w:r>
          <w:r>
            <w:fldChar w:fldCharType="separate"/>
          </w:r>
          <w:r>
            <w:t>3</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_Toc6068 </w:instrText>
          </w:r>
          <w:r>
            <w:rPr>
              <w:rFonts w:eastAsia="楷体_GB2312" w:cs="Calibri"/>
              <w:bCs/>
              <w:lang w:val="zh-CN"/>
            </w:rPr>
            <w:fldChar w:fldCharType="separate"/>
          </w:r>
          <w:r>
            <w:rPr>
              <w:rFonts w:ascii="Calibri" w:hAnsi="Calibri" w:cs="Times New Roman"/>
              <w:iCs w:val="0"/>
              <w:kern w:val="28"/>
              <w:szCs w:val="24"/>
            </w:rPr>
            <w:t>1.</w:t>
          </w:r>
          <w:r>
            <w:rPr>
              <w:rFonts w:hint="eastAsia" w:ascii="Calibri" w:hAnsi="Calibri" w:cs="Times New Roman"/>
              <w:iCs w:val="0"/>
              <w:kern w:val="28"/>
              <w:szCs w:val="24"/>
            </w:rPr>
            <w:t>2</w:t>
          </w:r>
          <w:r>
            <w:rPr>
              <w:rFonts w:ascii="Calibri" w:hAnsi="Calibri" w:cs="Times New Roman"/>
              <w:iCs w:val="0"/>
              <w:kern w:val="28"/>
              <w:szCs w:val="24"/>
            </w:rPr>
            <w:t xml:space="preserve"> </w:t>
          </w:r>
          <w:r>
            <w:rPr>
              <w:rFonts w:hint="eastAsia" w:ascii="Calibri" w:hAnsi="Calibri" w:cs="Times New Roman"/>
              <w:iCs w:val="0"/>
              <w:kern w:val="28"/>
              <w:szCs w:val="24"/>
            </w:rPr>
            <w:t>Engine Products: Titanium Structural Components and Airfoils (Turbine Blades and Vanes)</w:t>
          </w:r>
          <w:r>
            <w:tab/>
          </w:r>
          <w:r>
            <w:fldChar w:fldCharType="begin"/>
          </w:r>
          <w:r>
            <w:instrText xml:space="preserve"> PAGEREF _Toc6068 \h </w:instrText>
          </w:r>
          <w:r>
            <w:fldChar w:fldCharType="separate"/>
          </w:r>
          <w:r>
            <w:t>7</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_Toc14024 </w:instrText>
          </w:r>
          <w:r>
            <w:rPr>
              <w:rFonts w:eastAsia="楷体_GB2312" w:cs="Calibri"/>
              <w:bCs/>
              <w:lang w:val="zh-CN"/>
            </w:rPr>
            <w:fldChar w:fldCharType="separate"/>
          </w:r>
          <w:r>
            <w:rPr>
              <w:rFonts w:ascii="Calibri" w:hAnsi="Calibri" w:cs="Times New Roman"/>
              <w:iCs w:val="0"/>
              <w:kern w:val="28"/>
              <w:szCs w:val="24"/>
            </w:rPr>
            <w:t>1.</w:t>
          </w:r>
          <w:r>
            <w:rPr>
              <w:rFonts w:hint="eastAsia" w:ascii="Calibri" w:hAnsi="Calibri" w:cs="Times New Roman"/>
              <w:iCs w:val="0"/>
              <w:kern w:val="28"/>
              <w:szCs w:val="24"/>
            </w:rPr>
            <w:t>3</w:t>
          </w:r>
          <w:r>
            <w:rPr>
              <w:rFonts w:ascii="Calibri" w:hAnsi="Calibri" w:cs="Times New Roman"/>
              <w:iCs w:val="0"/>
              <w:kern w:val="28"/>
              <w:szCs w:val="24"/>
            </w:rPr>
            <w:t xml:space="preserve"> Financial Performance</w:t>
          </w:r>
          <w:r>
            <w:tab/>
          </w:r>
          <w:r>
            <w:fldChar w:fldCharType="begin"/>
          </w:r>
          <w:r>
            <w:instrText xml:space="preserve"> PAGEREF _Toc14024 \h </w:instrText>
          </w:r>
          <w:r>
            <w:fldChar w:fldCharType="separate"/>
          </w:r>
          <w:r>
            <w:t>16</w:t>
          </w:r>
          <w:r>
            <w:fldChar w:fldCharType="end"/>
          </w:r>
          <w:r>
            <w:rPr>
              <w:rFonts w:eastAsia="楷体_GB2312" w:cs="Calibri"/>
              <w:bCs/>
              <w:lang w:val="zh-CN"/>
            </w:rPr>
            <w:fldChar w:fldCharType="end"/>
          </w:r>
        </w:p>
        <w:p>
          <w:pPr>
            <w:pStyle w:val="9"/>
            <w:tabs>
              <w:tab w:val="right" w:leader="dot" w:pos="7458"/>
            </w:tabs>
          </w:pPr>
          <w:r>
            <w:rPr>
              <w:rFonts w:eastAsia="楷体_GB2312" w:cs="Calibri"/>
              <w:bCs/>
              <w:lang w:val="zh-CN"/>
            </w:rPr>
            <w:fldChar w:fldCharType="begin"/>
          </w:r>
          <w:r>
            <w:rPr>
              <w:rFonts w:eastAsia="楷体_GB2312" w:cs="Calibri"/>
              <w:bCs/>
              <w:lang w:val="zh-CN"/>
            </w:rPr>
            <w:instrText xml:space="preserve"> HYPERLINK \l _Toc21650 </w:instrText>
          </w:r>
          <w:r>
            <w:rPr>
              <w:rFonts w:eastAsia="楷体_GB2312" w:cs="Calibri"/>
              <w:bCs/>
              <w:lang w:val="zh-CN"/>
            </w:rPr>
            <w:fldChar w:fldCharType="separate"/>
          </w:r>
          <w:r>
            <w:rPr>
              <w:rFonts w:hint="eastAsia" w:eastAsia="宋体" w:cs="Times New Roman"/>
              <w:snapToGrid/>
              <w:kern w:val="28"/>
              <w:szCs w:val="28"/>
              <w:lang w:eastAsia="zh-CN"/>
            </w:rPr>
            <w:t>2</w:t>
          </w:r>
          <w:r>
            <w:rPr>
              <w:rFonts w:eastAsia="宋体" w:cs="Times New Roman"/>
              <w:snapToGrid/>
              <w:kern w:val="28"/>
              <w:szCs w:val="28"/>
              <w:lang w:eastAsia="zh-CN"/>
            </w:rPr>
            <w:t>. Core Competitive Strengths</w:t>
          </w:r>
          <w:r>
            <w:tab/>
          </w:r>
          <w:r>
            <w:fldChar w:fldCharType="begin"/>
          </w:r>
          <w:r>
            <w:instrText xml:space="preserve"> PAGEREF _Toc21650 \h </w:instrText>
          </w:r>
          <w:r>
            <w:fldChar w:fldCharType="separate"/>
          </w:r>
          <w:r>
            <w:t>21</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_Toc26130 </w:instrText>
          </w:r>
          <w:r>
            <w:rPr>
              <w:rFonts w:eastAsia="楷体_GB2312" w:cs="Calibri"/>
              <w:bCs/>
              <w:lang w:val="zh-CN"/>
            </w:rPr>
            <w:fldChar w:fldCharType="separate"/>
          </w:r>
          <w:r>
            <w:rPr>
              <w:rFonts w:hint="eastAsia" w:ascii="Calibri" w:hAnsi="Calibri" w:cs="Times New Roman"/>
              <w:iCs w:val="0"/>
              <w:kern w:val="28"/>
              <w:szCs w:val="24"/>
            </w:rPr>
            <w:t>2</w:t>
          </w:r>
          <w:r>
            <w:rPr>
              <w:rFonts w:ascii="Calibri" w:hAnsi="Calibri" w:cs="Times New Roman"/>
              <w:iCs w:val="0"/>
              <w:kern w:val="28"/>
              <w:szCs w:val="24"/>
            </w:rPr>
            <w:t>.</w:t>
          </w:r>
          <w:r>
            <w:rPr>
              <w:rFonts w:hint="eastAsia" w:ascii="Calibri" w:hAnsi="Calibri" w:cs="Times New Roman"/>
              <w:iCs w:val="0"/>
              <w:kern w:val="28"/>
              <w:szCs w:val="24"/>
            </w:rPr>
            <w:t>1</w:t>
          </w:r>
          <w:r>
            <w:rPr>
              <w:rFonts w:ascii="Calibri" w:hAnsi="Calibri" w:cs="Times New Roman"/>
              <w:iCs w:val="0"/>
              <w:kern w:val="28"/>
              <w:szCs w:val="24"/>
            </w:rPr>
            <w:t xml:space="preserve"> Sole Supplier of F-35 Fan Discs</w:t>
          </w:r>
          <w:r>
            <w:tab/>
          </w:r>
          <w:r>
            <w:fldChar w:fldCharType="begin"/>
          </w:r>
          <w:r>
            <w:instrText xml:space="preserve"> PAGEREF _Toc26130 \h </w:instrText>
          </w:r>
          <w:r>
            <w:fldChar w:fldCharType="separate"/>
          </w:r>
          <w:r>
            <w:t>21</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_Toc7465 </w:instrText>
          </w:r>
          <w:r>
            <w:rPr>
              <w:rFonts w:eastAsia="楷体_GB2312" w:cs="Calibri"/>
              <w:bCs/>
              <w:lang w:val="zh-CN"/>
            </w:rPr>
            <w:fldChar w:fldCharType="separate"/>
          </w:r>
          <w:r>
            <w:rPr>
              <w:rFonts w:hint="eastAsia" w:ascii="Calibri" w:hAnsi="Calibri" w:cs="Times New Roman"/>
              <w:iCs w:val="0"/>
              <w:kern w:val="28"/>
              <w:szCs w:val="24"/>
            </w:rPr>
            <w:t>2</w:t>
          </w:r>
          <w:r>
            <w:rPr>
              <w:rFonts w:ascii="Calibri" w:hAnsi="Calibri" w:cs="Times New Roman"/>
              <w:iCs w:val="0"/>
              <w:kern w:val="28"/>
              <w:szCs w:val="24"/>
            </w:rPr>
            <w:t>.</w:t>
          </w:r>
          <w:r>
            <w:rPr>
              <w:rFonts w:hint="eastAsia" w:ascii="Calibri" w:hAnsi="Calibri" w:cs="Times New Roman"/>
              <w:iCs w:val="0"/>
              <w:kern w:val="28"/>
              <w:szCs w:val="24"/>
            </w:rPr>
            <w:t>2</w:t>
          </w:r>
          <w:r>
            <w:rPr>
              <w:rFonts w:ascii="Calibri" w:hAnsi="Calibri" w:cs="Times New Roman"/>
              <w:iCs w:val="0"/>
              <w:kern w:val="28"/>
              <w:szCs w:val="24"/>
            </w:rPr>
            <w:t xml:space="preserve"> </w:t>
          </w:r>
          <w:r>
            <w:rPr>
              <w:rFonts w:hint="eastAsia" w:ascii="Calibri" w:hAnsi="Calibri" w:cs="Times New Roman"/>
              <w:iCs w:val="0"/>
              <w:kern w:val="28"/>
              <w:szCs w:val="24"/>
            </w:rPr>
            <w:t>D</w:t>
          </w:r>
          <w:r>
            <w:rPr>
              <w:rFonts w:ascii="Calibri" w:hAnsi="Calibri" w:cs="Times New Roman"/>
              <w:iCs w:val="0"/>
              <w:kern w:val="28"/>
              <w:szCs w:val="24"/>
            </w:rPr>
            <w:t xml:space="preserve">eep </w:t>
          </w:r>
          <w:r>
            <w:rPr>
              <w:rFonts w:hint="eastAsia" w:ascii="Calibri" w:hAnsi="Calibri" w:cs="Times New Roman"/>
              <w:iCs w:val="0"/>
              <w:kern w:val="28"/>
              <w:szCs w:val="24"/>
            </w:rPr>
            <w:t>M</w:t>
          </w:r>
          <w:r>
            <w:rPr>
              <w:rFonts w:ascii="Calibri" w:hAnsi="Calibri" w:cs="Times New Roman"/>
              <w:iCs w:val="0"/>
              <w:kern w:val="28"/>
              <w:szCs w:val="24"/>
            </w:rPr>
            <w:t xml:space="preserve">etallurgical </w:t>
          </w:r>
          <w:r>
            <w:rPr>
              <w:rFonts w:hint="eastAsia" w:ascii="Calibri" w:hAnsi="Calibri" w:cs="Times New Roman"/>
              <w:iCs w:val="0"/>
              <w:kern w:val="28"/>
              <w:szCs w:val="24"/>
            </w:rPr>
            <w:t>E</w:t>
          </w:r>
          <w:r>
            <w:rPr>
              <w:rFonts w:ascii="Calibri" w:hAnsi="Calibri" w:cs="Times New Roman"/>
              <w:iCs w:val="0"/>
              <w:kern w:val="28"/>
              <w:szCs w:val="24"/>
            </w:rPr>
            <w:t xml:space="preserve">xpertise </w:t>
          </w:r>
          <w:r>
            <w:rPr>
              <w:rFonts w:hint="eastAsia" w:ascii="Calibri" w:hAnsi="Calibri" w:cs="Times New Roman"/>
              <w:iCs w:val="0"/>
              <w:kern w:val="28"/>
              <w:szCs w:val="24"/>
            </w:rPr>
            <w:t xml:space="preserve">&amp; </w:t>
          </w:r>
          <w:r>
            <w:rPr>
              <w:rFonts w:ascii="Calibri" w:hAnsi="Calibri" w:cs="Times New Roman"/>
              <w:iCs w:val="0"/>
              <w:kern w:val="28"/>
              <w:szCs w:val="24"/>
            </w:rPr>
            <w:t>High-Performance Components</w:t>
          </w:r>
          <w:r>
            <w:tab/>
          </w:r>
          <w:r>
            <w:fldChar w:fldCharType="begin"/>
          </w:r>
          <w:r>
            <w:instrText xml:space="preserve"> PAGEREF _Toc7465 \h </w:instrText>
          </w:r>
          <w:r>
            <w:fldChar w:fldCharType="separate"/>
          </w:r>
          <w:r>
            <w:t>24</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_Toc28812 </w:instrText>
          </w:r>
          <w:r>
            <w:rPr>
              <w:rFonts w:eastAsia="楷体_GB2312" w:cs="Calibri"/>
              <w:bCs/>
              <w:lang w:val="zh-CN"/>
            </w:rPr>
            <w:fldChar w:fldCharType="separate"/>
          </w:r>
          <w:r>
            <w:rPr>
              <w:rFonts w:hint="eastAsia" w:ascii="Calibri" w:hAnsi="Calibri" w:cs="Times New Roman"/>
              <w:iCs w:val="0"/>
              <w:kern w:val="28"/>
              <w:szCs w:val="24"/>
            </w:rPr>
            <w:t>2</w:t>
          </w:r>
          <w:r>
            <w:rPr>
              <w:rFonts w:ascii="Calibri" w:hAnsi="Calibri" w:cs="Times New Roman"/>
              <w:iCs w:val="0"/>
              <w:kern w:val="28"/>
              <w:szCs w:val="24"/>
            </w:rPr>
            <w:t>.</w:t>
          </w:r>
          <w:r>
            <w:rPr>
              <w:rFonts w:hint="eastAsia" w:ascii="Calibri" w:hAnsi="Calibri" w:cs="Times New Roman"/>
              <w:iCs w:val="0"/>
              <w:kern w:val="28"/>
              <w:szCs w:val="24"/>
            </w:rPr>
            <w:t>3</w:t>
          </w:r>
          <w:r>
            <w:rPr>
              <w:rFonts w:ascii="Calibri" w:hAnsi="Calibri" w:cs="Times New Roman"/>
              <w:iCs w:val="0"/>
              <w:kern w:val="28"/>
              <w:szCs w:val="24"/>
            </w:rPr>
            <w:t xml:space="preserve"> Robust Order Book</w:t>
          </w:r>
          <w:r>
            <w:rPr>
              <w:rFonts w:hint="eastAsia" w:ascii="Calibri" w:hAnsi="Calibri" w:cs="Times New Roman"/>
              <w:iCs w:val="0"/>
              <w:kern w:val="28"/>
              <w:szCs w:val="24"/>
            </w:rPr>
            <w:t xml:space="preserve"> &amp; Acquire CAM</w:t>
          </w:r>
          <w:r>
            <w:tab/>
          </w:r>
          <w:r>
            <w:fldChar w:fldCharType="begin"/>
          </w:r>
          <w:r>
            <w:instrText xml:space="preserve"> PAGEREF _Toc28812 \h </w:instrText>
          </w:r>
          <w:r>
            <w:fldChar w:fldCharType="separate"/>
          </w:r>
          <w:r>
            <w:t>27</w:t>
          </w:r>
          <w:r>
            <w:fldChar w:fldCharType="end"/>
          </w:r>
          <w:r>
            <w:rPr>
              <w:rFonts w:eastAsia="楷体_GB2312" w:cs="Calibri"/>
              <w:bCs/>
              <w:lang w:val="zh-CN"/>
            </w:rPr>
            <w:fldChar w:fldCharType="end"/>
          </w:r>
        </w:p>
        <w:p>
          <w:pPr>
            <w:pStyle w:val="9"/>
            <w:tabs>
              <w:tab w:val="right" w:leader="dot" w:pos="7458"/>
            </w:tabs>
          </w:pPr>
          <w:r>
            <w:rPr>
              <w:rFonts w:eastAsia="楷体_GB2312" w:cs="Calibri"/>
              <w:bCs/>
              <w:lang w:val="zh-CN"/>
            </w:rPr>
            <w:fldChar w:fldCharType="begin"/>
          </w:r>
          <w:r>
            <w:rPr>
              <w:rFonts w:eastAsia="楷体_GB2312" w:cs="Calibri"/>
              <w:bCs/>
              <w:lang w:val="zh-CN"/>
            </w:rPr>
            <w:instrText xml:space="preserve"> HYPERLINK \l _Toc6684 </w:instrText>
          </w:r>
          <w:r>
            <w:rPr>
              <w:rFonts w:eastAsia="楷体_GB2312" w:cs="Calibri"/>
              <w:bCs/>
              <w:lang w:val="zh-CN"/>
            </w:rPr>
            <w:fldChar w:fldCharType="separate"/>
          </w:r>
          <w:r>
            <w:rPr>
              <w:rFonts w:hint="eastAsia" w:eastAsia="宋体" w:cs="Times New Roman"/>
              <w:snapToGrid/>
              <w:kern w:val="28"/>
              <w:szCs w:val="28"/>
              <w:lang w:eastAsia="zh-CN"/>
            </w:rPr>
            <w:t>3</w:t>
          </w:r>
          <w:r>
            <w:rPr>
              <w:rFonts w:eastAsia="宋体" w:cs="Times New Roman"/>
              <w:snapToGrid/>
              <w:kern w:val="28"/>
              <w:szCs w:val="28"/>
              <w:lang w:eastAsia="zh-CN"/>
            </w:rPr>
            <w:t>. Industry Tailwinds &amp; HWM Positioning</w:t>
          </w:r>
          <w:r>
            <w:tab/>
          </w:r>
          <w:r>
            <w:fldChar w:fldCharType="begin"/>
          </w:r>
          <w:r>
            <w:instrText xml:space="preserve"> PAGEREF _Toc6684 \h </w:instrText>
          </w:r>
          <w:r>
            <w:fldChar w:fldCharType="separate"/>
          </w:r>
          <w:r>
            <w:t>31</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_Toc18739 </w:instrText>
          </w:r>
          <w:r>
            <w:rPr>
              <w:rFonts w:eastAsia="楷体_GB2312" w:cs="Calibri"/>
              <w:bCs/>
              <w:lang w:val="zh-CN"/>
            </w:rPr>
            <w:fldChar w:fldCharType="separate"/>
          </w:r>
          <w:r>
            <w:rPr>
              <w:rFonts w:hint="eastAsia" w:ascii="Calibri" w:hAnsi="Calibri" w:cs="Times New Roman"/>
              <w:iCs w:val="0"/>
              <w:kern w:val="28"/>
              <w:szCs w:val="24"/>
            </w:rPr>
            <w:t>3</w:t>
          </w:r>
          <w:r>
            <w:rPr>
              <w:rFonts w:ascii="Calibri" w:hAnsi="Calibri" w:cs="Times New Roman"/>
              <w:iCs w:val="0"/>
              <w:kern w:val="28"/>
              <w:szCs w:val="24"/>
            </w:rPr>
            <w:t>.1 Solid Demand in Defense Aerospace</w:t>
          </w:r>
          <w:r>
            <w:tab/>
          </w:r>
          <w:r>
            <w:fldChar w:fldCharType="begin"/>
          </w:r>
          <w:r>
            <w:instrText xml:space="preserve"> PAGEREF _Toc18739 \h </w:instrText>
          </w:r>
          <w:r>
            <w:fldChar w:fldCharType="separate"/>
          </w:r>
          <w:r>
            <w:t>31</w:t>
          </w:r>
          <w:r>
            <w:fldChar w:fldCharType="end"/>
          </w:r>
          <w:r>
            <w:rPr>
              <w:rFonts w:eastAsia="楷体_GB2312" w:cs="Calibri"/>
              <w:bCs/>
              <w:lang w:val="zh-CN"/>
            </w:rPr>
            <w:fldChar w:fldCharType="end"/>
          </w:r>
        </w:p>
        <w:p>
          <w:pPr>
            <w:pStyle w:val="10"/>
            <w:tabs>
              <w:tab w:val="right" w:leader="dot" w:pos="7458"/>
            </w:tabs>
          </w:pPr>
          <w:r>
            <w:rPr>
              <w:rFonts w:eastAsia="楷体_GB2312" w:cs="Calibri"/>
              <w:bCs/>
              <w:lang w:val="zh-CN"/>
            </w:rPr>
            <w:fldChar w:fldCharType="begin"/>
          </w:r>
          <w:r>
            <w:rPr>
              <w:rFonts w:eastAsia="楷体_GB2312" w:cs="Calibri"/>
              <w:bCs/>
              <w:lang w:val="zh-CN"/>
            </w:rPr>
            <w:instrText xml:space="preserve"> HYPERLINK \l _Toc13262 </w:instrText>
          </w:r>
          <w:r>
            <w:rPr>
              <w:rFonts w:eastAsia="楷体_GB2312" w:cs="Calibri"/>
              <w:bCs/>
              <w:lang w:val="zh-CN"/>
            </w:rPr>
            <w:fldChar w:fldCharType="separate"/>
          </w:r>
          <w:r>
            <w:rPr>
              <w:rFonts w:hint="eastAsia" w:ascii="Calibri" w:hAnsi="Calibri" w:cs="Times New Roman"/>
              <w:iCs w:val="0"/>
              <w:kern w:val="28"/>
              <w:szCs w:val="24"/>
            </w:rPr>
            <w:t>3</w:t>
          </w:r>
          <w:r>
            <w:rPr>
              <w:rFonts w:ascii="Calibri" w:hAnsi="Calibri" w:cs="Times New Roman"/>
              <w:iCs w:val="0"/>
              <w:kern w:val="28"/>
              <w:szCs w:val="24"/>
            </w:rPr>
            <w:t>.</w:t>
          </w:r>
          <w:r>
            <w:rPr>
              <w:rFonts w:hint="eastAsia" w:ascii="Calibri" w:hAnsi="Calibri" w:cs="Times New Roman"/>
              <w:iCs w:val="0"/>
              <w:kern w:val="28"/>
              <w:szCs w:val="24"/>
            </w:rPr>
            <w:t>2</w:t>
          </w:r>
          <w:r>
            <w:rPr>
              <w:rFonts w:ascii="Calibri" w:hAnsi="Calibri" w:cs="Times New Roman"/>
              <w:iCs w:val="0"/>
              <w:kern w:val="28"/>
              <w:szCs w:val="24"/>
            </w:rPr>
            <w:t xml:space="preserve"> Advanced Manufacturing &amp; Powering Deep Space exploration</w:t>
          </w:r>
          <w:r>
            <w:tab/>
          </w:r>
          <w:r>
            <w:fldChar w:fldCharType="begin"/>
          </w:r>
          <w:r>
            <w:instrText xml:space="preserve"> PAGEREF _Toc13262 \h </w:instrText>
          </w:r>
          <w:r>
            <w:fldChar w:fldCharType="separate"/>
          </w:r>
          <w:r>
            <w:t>33</w:t>
          </w:r>
          <w:r>
            <w:fldChar w:fldCharType="end"/>
          </w:r>
          <w:r>
            <w:rPr>
              <w:rFonts w:eastAsia="楷体_GB2312" w:cs="Calibri"/>
              <w:bCs/>
              <w:lang w:val="zh-CN"/>
            </w:rPr>
            <w:fldChar w:fldCharType="end"/>
          </w:r>
        </w:p>
        <w:p>
          <w:pPr>
            <w:pStyle w:val="9"/>
            <w:tabs>
              <w:tab w:val="right" w:leader="dot" w:pos="7458"/>
            </w:tabs>
          </w:pPr>
          <w:r>
            <w:rPr>
              <w:rFonts w:eastAsia="楷体_GB2312" w:cs="Calibri"/>
              <w:bCs/>
              <w:lang w:val="zh-CN"/>
            </w:rPr>
            <w:fldChar w:fldCharType="begin"/>
          </w:r>
          <w:r>
            <w:rPr>
              <w:rFonts w:eastAsia="楷体_GB2312" w:cs="Calibri"/>
              <w:bCs/>
              <w:lang w:val="zh-CN"/>
            </w:rPr>
            <w:instrText xml:space="preserve"> HYPERLINK \l _Toc23243 </w:instrText>
          </w:r>
          <w:r>
            <w:rPr>
              <w:rFonts w:eastAsia="楷体_GB2312" w:cs="Calibri"/>
              <w:bCs/>
              <w:lang w:val="zh-CN"/>
            </w:rPr>
            <w:fldChar w:fldCharType="separate"/>
          </w:r>
          <w:r>
            <w:rPr>
              <w:rFonts w:hint="eastAsia" w:eastAsia="宋体" w:cs="Times New Roman"/>
              <w:snapToGrid/>
              <w:kern w:val="28"/>
              <w:szCs w:val="28"/>
              <w:lang w:eastAsia="zh-CN"/>
            </w:rPr>
            <w:t>4</w:t>
          </w:r>
          <w:r>
            <w:rPr>
              <w:rFonts w:eastAsia="宋体" w:cs="Times New Roman"/>
              <w:snapToGrid/>
              <w:kern w:val="28"/>
              <w:szCs w:val="28"/>
              <w:lang w:eastAsia="zh-CN"/>
            </w:rPr>
            <w:t>. Valuation&amp; recommendation</w:t>
          </w:r>
          <w:r>
            <w:tab/>
          </w:r>
          <w:r>
            <w:fldChar w:fldCharType="begin"/>
          </w:r>
          <w:r>
            <w:instrText xml:space="preserve"> PAGEREF _Toc23243 \h </w:instrText>
          </w:r>
          <w:r>
            <w:fldChar w:fldCharType="separate"/>
          </w:r>
          <w:r>
            <w:t>34</w:t>
          </w:r>
          <w:r>
            <w:fldChar w:fldCharType="end"/>
          </w:r>
          <w:r>
            <w:rPr>
              <w:rFonts w:eastAsia="楷体_GB2312" w:cs="Calibri"/>
              <w:bCs/>
              <w:lang w:val="zh-CN"/>
            </w:rPr>
            <w:fldChar w:fldCharType="end"/>
          </w:r>
        </w:p>
        <w:p>
          <w:pPr>
            <w:pStyle w:val="9"/>
            <w:tabs>
              <w:tab w:val="right" w:leader="dot" w:pos="7458"/>
            </w:tabs>
          </w:pPr>
          <w:r>
            <w:rPr>
              <w:rFonts w:eastAsia="楷体_GB2312" w:cs="Calibri"/>
              <w:bCs/>
              <w:lang w:val="zh-CN"/>
            </w:rPr>
            <w:fldChar w:fldCharType="begin"/>
          </w:r>
          <w:r>
            <w:rPr>
              <w:rFonts w:eastAsia="楷体_GB2312" w:cs="Calibri"/>
              <w:bCs/>
              <w:lang w:val="zh-CN"/>
            </w:rPr>
            <w:instrText xml:space="preserve"> HYPERLINK \l _Toc1562 </w:instrText>
          </w:r>
          <w:r>
            <w:rPr>
              <w:rFonts w:eastAsia="楷体_GB2312" w:cs="Calibri"/>
              <w:bCs/>
              <w:lang w:val="zh-CN"/>
            </w:rPr>
            <w:fldChar w:fldCharType="separate"/>
          </w:r>
          <w:r>
            <w:rPr>
              <w:rFonts w:hint="eastAsia" w:eastAsia="宋体" w:cs="Times New Roman"/>
              <w:snapToGrid/>
              <w:kern w:val="28"/>
              <w:szCs w:val="28"/>
              <w:lang w:eastAsia="zh-CN"/>
            </w:rPr>
            <w:t>5</w:t>
          </w:r>
          <w:r>
            <w:rPr>
              <w:rFonts w:eastAsia="宋体" w:cs="Times New Roman"/>
              <w:snapToGrid/>
              <w:kern w:val="28"/>
              <w:szCs w:val="28"/>
              <w:lang w:eastAsia="zh-CN"/>
            </w:rPr>
            <w:t xml:space="preserve">. </w:t>
          </w:r>
          <w:r>
            <w:rPr>
              <w:rFonts w:hint="eastAsia" w:eastAsia="宋体" w:cs="Times New Roman"/>
              <w:snapToGrid/>
              <w:kern w:val="28"/>
              <w:szCs w:val="28"/>
              <w:lang w:eastAsia="zh-CN"/>
            </w:rPr>
            <w:t>Risks</w:t>
          </w:r>
          <w:r>
            <w:tab/>
          </w:r>
          <w:r>
            <w:fldChar w:fldCharType="begin"/>
          </w:r>
          <w:r>
            <w:instrText xml:space="preserve"> PAGEREF _Toc1562 \h </w:instrText>
          </w:r>
          <w:r>
            <w:fldChar w:fldCharType="separate"/>
          </w:r>
          <w:r>
            <w:t>36</w:t>
          </w:r>
          <w:r>
            <w:fldChar w:fldCharType="end"/>
          </w:r>
          <w:r>
            <w:rPr>
              <w:rFonts w:eastAsia="楷体_GB2312" w:cs="Calibri"/>
              <w:bCs/>
              <w:lang w:val="zh-CN"/>
            </w:rPr>
            <w:fldChar w:fldCharType="end"/>
          </w:r>
        </w:p>
        <w:p>
          <w:pPr>
            <w:rPr>
              <w:rFonts w:eastAsia="楷体_GB2312" w:cs="Calibri"/>
            </w:rPr>
          </w:pPr>
          <w:r>
            <w:rPr>
              <w:rFonts w:eastAsia="楷体_GB2312" w:cs="Calibri"/>
              <w:bCs/>
              <w:lang w:val="zh-CN"/>
            </w:rPr>
            <w:fldChar w:fldCharType="end"/>
          </w:r>
        </w:p>
      </w:sdtContent>
    </w:sdt>
    <w:p>
      <w:pPr>
        <w:pStyle w:val="19"/>
        <w:rPr>
          <w:rFonts w:eastAsia="楷体_GB2312" w:cs="Calibri"/>
          <w:lang w:eastAsia="zh-CN"/>
        </w:rPr>
      </w:pPr>
    </w:p>
    <w:p>
      <w:pPr>
        <w:rPr>
          <w:rFonts w:eastAsiaTheme="minorEastAsia"/>
          <w:lang w:eastAsia="zh-CN"/>
        </w:rPr>
      </w:pPr>
    </w:p>
    <w:p>
      <w:pPr>
        <w:rPr>
          <w:rFonts w:eastAsiaTheme="minorEastAsia"/>
          <w:lang w:eastAsia="zh-CN"/>
        </w:rPr>
      </w:pPr>
    </w:p>
    <w:p>
      <w:pPr>
        <w:rPr>
          <w:rFonts w:eastAsia="宋体"/>
          <w:lang w:eastAsia="zh-CN"/>
        </w:rPr>
      </w:pPr>
      <w:r>
        <w:rPr>
          <w:rFonts w:eastAsia="宋体"/>
          <w:lang w:eastAsia="zh-CN"/>
        </w:rPr>
        <w:br w:type="page"/>
      </w:r>
    </w:p>
    <w:p>
      <w:pPr>
        <w:pStyle w:val="2"/>
        <w:spacing w:beforeLines="100" w:after="240" w:afterLines="100"/>
        <w:jc w:val="both"/>
        <w:rPr>
          <w:rFonts w:eastAsia="宋体" w:cs="Times New Roman"/>
          <w:snapToGrid/>
          <w:color w:val="23558C"/>
          <w:kern w:val="28"/>
          <w:sz w:val="28"/>
          <w:szCs w:val="28"/>
          <w:lang w:eastAsia="zh-CN"/>
        </w:rPr>
      </w:pPr>
      <w:bookmarkStart w:id="0" w:name="_Toc3541"/>
      <w:r>
        <w:rPr>
          <w:rFonts w:eastAsia="宋体" w:cs="Times New Roman"/>
          <w:snapToGrid/>
          <w:color w:val="23558C"/>
          <w:kern w:val="28"/>
          <w:sz w:val="28"/>
          <w:szCs w:val="28"/>
          <w:lang w:eastAsia="zh-CN"/>
        </w:rPr>
        <w:t>1. Howmet Aerospace: A Company of Innovators and Makers</w:t>
      </w:r>
      <w:bookmarkEnd w:id="0"/>
    </w:p>
    <w:p>
      <w:pPr>
        <w:pStyle w:val="148"/>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1" w:name="_Toc8843"/>
      <w:r>
        <w:rPr>
          <w:rFonts w:ascii="Calibri" w:hAnsi="Calibri" w:cs="Times New Roman"/>
          <w:iCs w:val="0"/>
          <w:color w:val="23558C"/>
          <w:kern w:val="28"/>
          <w:sz w:val="24"/>
          <w:szCs w:val="24"/>
        </w:rPr>
        <w:t>1.1 Global Aero-Engine Structural Castings Leader</w:t>
      </w:r>
      <w:bookmarkEnd w:id="1"/>
    </w:p>
    <w:p>
      <w:pPr>
        <w:jc w:val="both"/>
        <w:rPr>
          <w:rFonts w:eastAsia="宋体" w:cs="Calibri"/>
          <w:sz w:val="22"/>
          <w:szCs w:val="22"/>
          <w:lang w:eastAsia="zh-CN"/>
        </w:rPr>
      </w:pPr>
      <w:r>
        <w:rPr>
          <w:rFonts w:eastAsia="宋体" w:cs="Calibri"/>
          <w:b/>
          <w:bCs/>
          <w:sz w:val="22"/>
          <w:szCs w:val="22"/>
          <w:lang w:eastAsia="zh-CN"/>
        </w:rPr>
        <w:t>Howmet Aerospace</w:t>
      </w:r>
      <w:r>
        <w:rPr>
          <w:rFonts w:hint="eastAsia" w:cs="Calibri" w:eastAsiaTheme="minorEastAsia"/>
          <w:b/>
          <w:bCs/>
          <w:sz w:val="22"/>
          <w:szCs w:val="22"/>
          <w:lang w:eastAsia="zh-CN"/>
        </w:rPr>
        <w:t xml:space="preserve"> (NYSE: </w:t>
      </w:r>
      <w:r>
        <w:rPr>
          <w:rFonts w:hint="eastAsia" w:eastAsia="宋体" w:cs="Calibri"/>
          <w:b/>
          <w:bCs/>
          <w:sz w:val="22"/>
          <w:szCs w:val="22"/>
          <w:lang w:eastAsia="zh-CN"/>
        </w:rPr>
        <w:t>HWM)</w:t>
      </w:r>
      <w:r>
        <w:t xml:space="preserve"> </w:t>
      </w:r>
      <w:r>
        <w:rPr>
          <w:rFonts w:eastAsia="宋体" w:cs="Calibri"/>
          <w:sz w:val="22"/>
          <w:szCs w:val="22"/>
          <w:lang w:eastAsia="zh-CN"/>
        </w:rPr>
        <w:t>is an American manufacturing company that develops and produces advanced engineered metal products primarily for the aerospace, defense, and commercial transportation sectors.</w:t>
      </w:r>
      <w:r>
        <w:rPr>
          <w:rFonts w:hint="eastAsia" w:eastAsia="宋体" w:cs="Calibri"/>
          <w:sz w:val="22"/>
          <w:szCs w:val="22"/>
          <w:lang w:eastAsia="zh-CN"/>
        </w:rPr>
        <w:t xml:space="preserve"> </w:t>
      </w:r>
      <w:r>
        <w:rPr>
          <w:rFonts w:eastAsia="宋体" w:cs="Calibri"/>
          <w:sz w:val="22"/>
          <w:szCs w:val="22"/>
          <w:lang w:eastAsia="zh-CN"/>
        </w:rPr>
        <w:t xml:space="preserve">Headquartered in Pittsburgh, Pennsylvania, it specializes in components such as investment castings, forgings, fasteners, seamless rolled rings, and titanium structures used in jet engines, </w:t>
      </w:r>
      <w:r>
        <w:rPr>
          <w:rFonts w:hint="eastAsia" w:eastAsia="宋体" w:cs="Calibri"/>
          <w:sz w:val="22"/>
          <w:szCs w:val="22"/>
          <w:lang w:eastAsia="zh-CN"/>
        </w:rPr>
        <w:t>airframes</w:t>
      </w:r>
      <w:r>
        <w:rPr>
          <w:rFonts w:eastAsia="宋体" w:cs="Calibri"/>
          <w:sz w:val="22"/>
          <w:szCs w:val="22"/>
          <w:lang w:eastAsia="zh-CN"/>
        </w:rPr>
        <w:t>, and industrial gas turbines.</w:t>
      </w:r>
    </w:p>
    <w:p>
      <w:pPr>
        <w:jc w:val="both"/>
        <w:rPr>
          <w:rFonts w:cs="Calibri" w:eastAsiaTheme="minorEastAsia"/>
          <w:sz w:val="22"/>
          <w:szCs w:val="22"/>
          <w:lang w:eastAsia="zh-CN"/>
        </w:rPr>
      </w:pPr>
    </w:p>
    <w:p>
      <w:pPr>
        <w:jc w:val="both"/>
        <w:rPr>
          <w:rFonts w:eastAsia="宋体" w:cs="Calibri"/>
          <w:sz w:val="22"/>
          <w:szCs w:val="22"/>
          <w:lang w:eastAsia="zh-CN"/>
        </w:rPr>
      </w:pPr>
      <w:r>
        <w:rPr>
          <w:rFonts w:cs="Calibri" w:eastAsiaTheme="minorEastAsia"/>
          <w:b/>
          <w:bCs/>
          <w:sz w:val="22"/>
          <w:szCs w:val="22"/>
          <w:lang w:eastAsia="zh-CN"/>
        </w:rPr>
        <w:t>The company was founded in 1907.</w:t>
      </w:r>
      <w:r>
        <w:rPr>
          <w:rFonts w:hint="eastAsia" w:eastAsia="宋体" w:cs="Calibri"/>
          <w:b/>
          <w:bCs/>
          <w:sz w:val="22"/>
          <w:szCs w:val="22"/>
          <w:lang w:eastAsia="zh-CN"/>
        </w:rPr>
        <w:t xml:space="preserve"> HWM </w:t>
      </w:r>
      <w:r>
        <w:rPr>
          <w:rFonts w:cs="Calibri" w:eastAsiaTheme="minorEastAsia"/>
          <w:b/>
          <w:bCs/>
          <w:sz w:val="22"/>
          <w:szCs w:val="22"/>
          <w:lang w:eastAsia="zh-CN"/>
        </w:rPr>
        <w:t xml:space="preserve"> traces its origins to innovations in the mid-20th century</w:t>
      </w:r>
      <w:r>
        <w:rPr>
          <w:rFonts w:cs="Calibri" w:eastAsiaTheme="minorEastAsia"/>
          <w:sz w:val="22"/>
          <w:szCs w:val="22"/>
          <w:lang w:eastAsia="zh-CN"/>
        </w:rPr>
        <w:t>, including the invention of the first forged aluminum truck wheel in 1948 and early advancements in investment casting processes starting around 1951.</w:t>
      </w:r>
      <w:r>
        <w:t xml:space="preserve"> </w:t>
      </w:r>
      <w:r>
        <w:rPr>
          <w:rFonts w:cs="Calibri" w:eastAsiaTheme="minorEastAsia"/>
          <w:sz w:val="22"/>
          <w:szCs w:val="22"/>
          <w:lang w:eastAsia="zh-CN"/>
        </w:rPr>
        <w:t>In 2016, Arconic Inc. was spun-off as an independent company from Alcoa Inc. Arconic Inc. was comprised of three segments. In April 2020, Arconic Inc.’s Global Rolled Products segment was spun-off into another independent company as Arconic Corporation. The remaining Engineered Components and Forging segments were retained as the current Company, renamed to Howmet Aerospace Inc.</w:t>
      </w:r>
      <w:r>
        <w:rPr>
          <w:rFonts w:hint="eastAsia" w:eastAsia="宋体" w:cs="Calibri"/>
          <w:sz w:val="22"/>
          <w:szCs w:val="22"/>
          <w:lang w:eastAsia="zh-CN"/>
        </w:rPr>
        <w:t xml:space="preserve"> </w:t>
      </w:r>
      <w:r>
        <w:rPr>
          <w:rFonts w:eastAsia="宋体" w:cs="Calibri"/>
          <w:sz w:val="22"/>
          <w:szCs w:val="22"/>
          <w:lang w:eastAsia="zh-CN"/>
        </w:rPr>
        <w:t xml:space="preserve">Its current form emerged in 2020 as a spin-off from Arconic. </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bookmarkStart w:id="2" w:name="_Hlk216640996"/>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s timeline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6343650" cy="2289810"/>
                  <wp:effectExtent l="0" t="0" r="0" b="0"/>
                  <wp:docPr id="12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2"/>
                          <pic:cNvPicPr>
                            <a:picLocks noChangeAspect="1"/>
                          </pic:cNvPicPr>
                        </pic:nvPicPr>
                        <pic:blipFill>
                          <a:blip r:embed="rId12"/>
                          <a:stretch>
                            <a:fillRect/>
                          </a:stretch>
                        </pic:blipFill>
                        <pic:spPr>
                          <a:xfrm>
                            <a:off x="0" y="0"/>
                            <a:ext cx="6343650" cy="22898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 xml:space="preserve">marklines, recyclingtoday </w:t>
            </w:r>
            <w:r>
              <w:rPr>
                <w:rFonts w:hint="eastAsia" w:ascii="Calibri" w:hAnsi="Calibri" w:cs="Calibri"/>
                <w:snapToGrid w:val="0"/>
                <w:sz w:val="16"/>
                <w:szCs w:val="16"/>
                <w:lang w:eastAsia="ja-JP"/>
              </w:rPr>
              <w:t>, HFI</w:t>
            </w:r>
          </w:p>
        </w:tc>
      </w:tr>
      <w:bookmarkEnd w:id="2"/>
    </w:tbl>
    <w:p>
      <w:pPr>
        <w:jc w:val="both"/>
        <w:rPr>
          <w:rFonts w:eastAsia="宋体" w:cs="Calibri"/>
          <w:b/>
          <w:bCs/>
          <w:sz w:val="22"/>
          <w:szCs w:val="22"/>
          <w:lang w:eastAsia="zh-CN"/>
        </w:rPr>
      </w:pPr>
      <w:r>
        <w:rPr>
          <w:rFonts w:cs="Calibri" w:eastAsiaTheme="minorEastAsia"/>
          <w:b/>
          <w:bCs/>
          <w:sz w:val="22"/>
          <w:szCs w:val="22"/>
          <w:lang w:eastAsia="zh-CN"/>
        </w:rPr>
        <w:t>HWM is a critical supplier, providing over 90% of structural and rotating aero engine parts for many aircraft manufacturers.</w:t>
      </w:r>
      <w:r>
        <w:rPr>
          <w:rFonts w:hint="eastAsia" w:eastAsia="宋体" w:cs="Calibri"/>
          <w:b/>
          <w:bCs/>
          <w:sz w:val="22"/>
          <w:szCs w:val="22"/>
          <w:lang w:eastAsia="zh-CN"/>
        </w:rPr>
        <w:t xml:space="preserve"> </w:t>
      </w:r>
      <w:r>
        <w:rPr>
          <w:rFonts w:cs="Calibri" w:eastAsiaTheme="minorEastAsia"/>
          <w:b/>
          <w:bCs/>
          <w:sz w:val="22"/>
          <w:szCs w:val="22"/>
          <w:lang w:eastAsia="zh-CN"/>
        </w:rPr>
        <w:t>Howmet’s operations consist of four worldwide reportable segments as follows:</w:t>
      </w:r>
    </w:p>
    <w:p>
      <w:pPr>
        <w:jc w:val="both"/>
        <w:rPr>
          <w:rFonts w:eastAsia="宋体" w:cs="Calibri"/>
          <w:sz w:val="22"/>
          <w:szCs w:val="22"/>
          <w:lang w:eastAsia="zh-CN"/>
        </w:rPr>
      </w:pPr>
    </w:p>
    <w:p>
      <w:pPr>
        <w:jc w:val="both"/>
        <w:rPr>
          <w:rFonts w:cs="Calibri" w:eastAsiaTheme="minorEastAsia"/>
          <w:b/>
          <w:bCs/>
          <w:sz w:val="22"/>
          <w:szCs w:val="22"/>
          <w:lang w:eastAsia="zh-CN"/>
        </w:rPr>
      </w:pPr>
      <w:bookmarkStart w:id="3" w:name="OLE_LINK1"/>
      <w:r>
        <w:rPr>
          <w:rFonts w:cs="Calibri" w:eastAsiaTheme="minorEastAsia"/>
          <w:b/>
          <w:bCs/>
          <w:sz w:val="22"/>
          <w:szCs w:val="22"/>
          <w:lang w:eastAsia="zh-CN"/>
        </w:rPr>
        <w:t>Engine Products</w:t>
      </w:r>
    </w:p>
    <w:bookmarkEnd w:id="3"/>
    <w:p>
      <w:pPr>
        <w:jc w:val="both"/>
        <w:rPr>
          <w:rFonts w:eastAsia="宋体" w:cs="Calibri"/>
          <w:sz w:val="22"/>
          <w:szCs w:val="22"/>
          <w:lang w:eastAsia="zh-CN"/>
        </w:rPr>
      </w:pPr>
      <w:r>
        <w:rPr>
          <w:rFonts w:cs="Calibri" w:eastAsiaTheme="minorEastAsia"/>
          <w:sz w:val="22"/>
          <w:szCs w:val="22"/>
          <w:lang w:eastAsia="zh-CN"/>
        </w:rPr>
        <w:t>Engine Products produces investment castings, including airfoils, and seamless rolled rings primarily</w:t>
      </w:r>
      <w:r>
        <w:rPr>
          <w:rFonts w:cs="Calibri" w:eastAsiaTheme="minorEastAsia"/>
          <w:b/>
          <w:bCs/>
          <w:sz w:val="22"/>
          <w:szCs w:val="22"/>
          <w:lang w:eastAsia="zh-CN"/>
        </w:rPr>
        <w:t xml:space="preserve"> for aircraft engines and industrial gas turbine applications.</w:t>
      </w:r>
      <w:r>
        <w:rPr>
          <w:rFonts w:cs="Calibri" w:eastAsiaTheme="minorEastAsia"/>
          <w:sz w:val="22"/>
          <w:szCs w:val="22"/>
          <w:lang w:eastAsia="zh-CN"/>
        </w:rPr>
        <w:t xml:space="preserve"> Engine Products produces rotating parts, as well as structural parts.</w:t>
      </w:r>
      <w:r>
        <w:rPr>
          <w:rFonts w:hint="eastAsia" w:eastAsia="宋体" w:cs="Calibri"/>
          <w:sz w:val="22"/>
          <w:szCs w:val="22"/>
          <w:lang w:eastAsia="zh-CN"/>
        </w:rPr>
        <w:t xml:space="preserve"> As </w:t>
      </w:r>
      <w:r>
        <w:rPr>
          <w:rFonts w:eastAsia="宋体" w:cs="Calibri"/>
          <w:sz w:val="22"/>
          <w:szCs w:val="22"/>
          <w:lang w:eastAsia="zh-CN"/>
        </w:rPr>
        <w:t xml:space="preserve">a world-class producer of aero engine and industrial gas turbine components, including </w:t>
      </w:r>
      <w:r>
        <w:rPr>
          <w:rFonts w:eastAsia="宋体" w:cs="Calibri"/>
          <w:b/>
          <w:bCs/>
          <w:sz w:val="22"/>
          <w:szCs w:val="22"/>
          <w:lang w:eastAsia="zh-CN"/>
        </w:rPr>
        <w:t>airfoils, rings, disks and forgings</w:t>
      </w:r>
      <w:r>
        <w:rPr>
          <w:rFonts w:eastAsia="宋体" w:cs="Calibri"/>
          <w:sz w:val="22"/>
          <w:szCs w:val="22"/>
          <w:lang w:eastAsia="zh-CN"/>
        </w:rPr>
        <w:t xml:space="preserve">. </w:t>
      </w:r>
      <w:r>
        <w:rPr>
          <w:rFonts w:hint="eastAsia" w:eastAsia="宋体" w:cs="Calibri"/>
          <w:sz w:val="22"/>
          <w:szCs w:val="22"/>
          <w:lang w:eastAsia="zh-CN"/>
        </w:rPr>
        <w:t>HWM</w:t>
      </w:r>
      <w:r>
        <w:rPr>
          <w:rFonts w:hint="eastAsia" w:eastAsia="宋体"/>
          <w:lang w:eastAsia="zh-CN"/>
        </w:rPr>
        <w:t xml:space="preserve"> </w:t>
      </w:r>
      <w:r>
        <w:rPr>
          <w:rFonts w:eastAsia="宋体" w:cs="Calibri"/>
          <w:sz w:val="22"/>
          <w:szCs w:val="22"/>
          <w:lang w:eastAsia="zh-CN"/>
        </w:rPr>
        <w:t>excel</w:t>
      </w:r>
      <w:r>
        <w:rPr>
          <w:rFonts w:hint="eastAsia" w:eastAsia="宋体" w:cs="Calibri"/>
          <w:sz w:val="22"/>
          <w:szCs w:val="22"/>
          <w:lang w:eastAsia="zh-CN"/>
        </w:rPr>
        <w:t>s</w:t>
      </w:r>
      <w:r>
        <w:rPr>
          <w:rFonts w:eastAsia="宋体" w:cs="Calibri"/>
          <w:sz w:val="22"/>
          <w:szCs w:val="22"/>
          <w:lang w:eastAsia="zh-CN"/>
        </w:rPr>
        <w:t xml:space="preserve"> in vacuum-melted superalloys, machining, performance coatings and hot isostatic pressing for high-performance parts</w:t>
      </w:r>
      <w:r>
        <w:rPr>
          <w:rFonts w:hint="eastAsia" w:eastAsia="宋体" w:cs="Calibri"/>
          <w:sz w:val="22"/>
          <w:szCs w:val="22"/>
          <w:lang w:eastAsia="zh-CN"/>
        </w:rPr>
        <w:t>.</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rPr>
              <w:t xml:space="preserve">Engine Products - </w:t>
            </w:r>
            <w:r>
              <w:rPr>
                <w:rFonts w:ascii="Calibri" w:hAnsi="Calibri" w:cs="Calibri"/>
                <w:bCs w:val="0"/>
                <w:snapToGrid w:val="0"/>
                <w:sz w:val="20"/>
                <w:szCs w:val="20"/>
              </w:rPr>
              <w:t>Manufacturer of high -performance aero engine and IGT components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p>
            <w:pPr>
              <w:pStyle w:val="150"/>
              <w:keepNext/>
              <w:jc w:val="center"/>
              <w:rPr>
                <w:rFonts w:hint="eastAsia" w:ascii="等线" w:hAnsi="等线"/>
              </w:rPr>
            </w:pPr>
            <w:r>
              <w:drawing>
                <wp:inline distT="0" distB="0" distL="0" distR="0">
                  <wp:extent cx="5247640" cy="232791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53145" cy="233070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p>
        </w:tc>
      </w:tr>
    </w:tbl>
    <w:p>
      <w:pPr>
        <w:jc w:val="both"/>
        <w:rPr>
          <w:rFonts w:cs="Calibri" w:eastAsiaTheme="minorEastAsia"/>
          <w:b/>
          <w:bCs/>
          <w:sz w:val="22"/>
          <w:szCs w:val="22"/>
          <w:lang w:eastAsia="zh-CN"/>
        </w:rPr>
      </w:pPr>
      <w:r>
        <w:rPr>
          <w:rFonts w:cs="Calibri" w:eastAsiaTheme="minorEastAsia"/>
          <w:b/>
          <w:bCs/>
          <w:sz w:val="22"/>
          <w:szCs w:val="22"/>
          <w:lang w:eastAsia="zh-CN"/>
        </w:rPr>
        <w:t>Fastening Systems</w:t>
      </w:r>
    </w:p>
    <w:p>
      <w:pPr>
        <w:jc w:val="both"/>
        <w:rPr>
          <w:rFonts w:eastAsia="宋体" w:cs="Calibri"/>
          <w:sz w:val="22"/>
          <w:szCs w:val="22"/>
          <w:lang w:eastAsia="zh-CN"/>
        </w:rPr>
      </w:pPr>
      <w:r>
        <w:rPr>
          <w:rFonts w:cs="Calibri" w:eastAsiaTheme="minorEastAsia"/>
          <w:sz w:val="22"/>
          <w:szCs w:val="22"/>
          <w:lang w:eastAsia="zh-CN"/>
        </w:rPr>
        <w:t>Fastening Systems produces</w:t>
      </w:r>
      <w:r>
        <w:rPr>
          <w:rFonts w:cs="Calibri" w:eastAsiaTheme="minorEastAsia"/>
          <w:b/>
          <w:bCs/>
          <w:sz w:val="22"/>
          <w:szCs w:val="22"/>
          <w:lang w:eastAsia="zh-CN"/>
        </w:rPr>
        <w:t xml:space="preserve"> aerospace fastening systems</w:t>
      </w:r>
      <w:r>
        <w:rPr>
          <w:rFonts w:cs="Calibri" w:eastAsiaTheme="minorEastAsia"/>
          <w:sz w:val="22"/>
          <w:szCs w:val="22"/>
          <w:lang w:eastAsia="zh-CN"/>
        </w:rPr>
        <w:t xml:space="preserve">, as well as </w:t>
      </w:r>
      <w:r>
        <w:rPr>
          <w:rFonts w:cs="Calibri" w:eastAsiaTheme="minorEastAsia"/>
          <w:b/>
          <w:bCs/>
          <w:sz w:val="22"/>
          <w:szCs w:val="22"/>
          <w:lang w:eastAsia="zh-CN"/>
        </w:rPr>
        <w:t>commercial transportation, industrial, and other fasteners</w:t>
      </w:r>
      <w:r>
        <w:rPr>
          <w:rFonts w:cs="Calibri" w:eastAsiaTheme="minorEastAsia"/>
          <w:sz w:val="22"/>
          <w:szCs w:val="22"/>
          <w:lang w:eastAsia="zh-CN"/>
        </w:rPr>
        <w:t>. The business’s high-tech, multi-material fastening systems are found nose to tail on aircraft and aero engines. Fastening Systems</w:t>
      </w:r>
      <w:r>
        <w:rPr>
          <w:rFonts w:hint="eastAsia" w:cs="Calibri" w:eastAsiaTheme="minorEastAsia"/>
          <w:sz w:val="22"/>
          <w:szCs w:val="22"/>
          <w:lang w:eastAsia="zh-CN"/>
        </w:rPr>
        <w:t>’</w:t>
      </w:r>
      <w:r>
        <w:rPr>
          <w:rFonts w:cs="Calibri" w:eastAsiaTheme="minorEastAsia"/>
          <w:sz w:val="22"/>
          <w:szCs w:val="22"/>
          <w:lang w:eastAsia="zh-CN"/>
        </w:rPr>
        <w:t>products are also critical components of commercial transportation vehicles and construction, industrial, and renewable energy equipment</w:t>
      </w:r>
      <w:r>
        <w:rPr>
          <w:rFonts w:hint="eastAsia" w:eastAsia="宋体" w:cs="Calibri"/>
          <w:sz w:val="22"/>
          <w:szCs w:val="22"/>
          <w:lang w:eastAsia="zh-CN"/>
        </w:rPr>
        <w:t>. HWM</w:t>
      </w:r>
      <w:r>
        <w:rPr>
          <w:rFonts w:cs="Calibri" w:eastAsiaTheme="minorEastAsia"/>
          <w:sz w:val="22"/>
          <w:szCs w:val="22"/>
          <w:lang w:eastAsia="zh-CN"/>
        </w:rPr>
        <w:t xml:space="preserve"> hold</w:t>
      </w:r>
      <w:r>
        <w:rPr>
          <w:rFonts w:hint="eastAsia" w:eastAsia="宋体" w:cs="Calibri"/>
          <w:sz w:val="22"/>
          <w:szCs w:val="22"/>
          <w:lang w:eastAsia="zh-CN"/>
        </w:rPr>
        <w:t>s</w:t>
      </w:r>
      <w:r>
        <w:rPr>
          <w:rFonts w:cs="Calibri" w:eastAsiaTheme="minorEastAsia"/>
          <w:sz w:val="22"/>
          <w:szCs w:val="22"/>
          <w:lang w:eastAsia="zh-CN"/>
        </w:rPr>
        <w:t xml:space="preserve"> the number one global position in aerospace fastening systems, and we’re the North American leader in commercial transportation fasteners.</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rPr>
              <w:t xml:space="preserve">Fastening System - </w:t>
            </w:r>
            <w:r>
              <w:rPr>
                <w:rFonts w:ascii="Calibri" w:hAnsi="Calibri" w:cs="Calibri"/>
                <w:bCs w:val="0"/>
                <w:snapToGrid w:val="0"/>
                <w:sz w:val="20"/>
                <w:szCs w:val="20"/>
              </w:rPr>
              <w:t>Manufacturer of multi -material, engineered fastening products and systems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vAlign w:val="center"/>
          </w:tcPr>
          <w:p>
            <w:pPr>
              <w:pStyle w:val="150"/>
              <w:keepNext/>
              <w:jc w:val="center"/>
              <w:rPr>
                <w:rFonts w:hint="eastAsia" w:ascii="等线" w:hAnsi="等线"/>
              </w:rPr>
            </w:pPr>
            <w:r>
              <w:drawing>
                <wp:inline distT="0" distB="0" distL="0" distR="0">
                  <wp:extent cx="5573395" cy="2553970"/>
                  <wp:effectExtent l="0" t="0" r="825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591825" cy="256250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p>
    <w:p>
      <w:pPr>
        <w:jc w:val="both"/>
        <w:rPr>
          <w:rFonts w:cs="Calibri" w:eastAsiaTheme="minorEastAsia"/>
          <w:b/>
          <w:bCs/>
          <w:sz w:val="22"/>
          <w:szCs w:val="22"/>
          <w:lang w:eastAsia="zh-CN"/>
        </w:rPr>
      </w:pPr>
      <w:r>
        <w:rPr>
          <w:rFonts w:cs="Calibri" w:eastAsiaTheme="minorEastAsia"/>
          <w:b/>
          <w:bCs/>
          <w:sz w:val="22"/>
          <w:szCs w:val="22"/>
          <w:lang w:eastAsia="zh-CN"/>
        </w:rPr>
        <w:t>Engineered Structures</w:t>
      </w:r>
    </w:p>
    <w:p>
      <w:pPr>
        <w:jc w:val="both"/>
        <w:rPr>
          <w:rFonts w:eastAsia="宋体" w:cs="Calibri"/>
          <w:sz w:val="22"/>
          <w:szCs w:val="22"/>
          <w:lang w:eastAsia="zh-CN"/>
        </w:rPr>
      </w:pPr>
      <w:r>
        <w:rPr>
          <w:rFonts w:cs="Calibri" w:eastAsiaTheme="minorEastAsia"/>
          <w:sz w:val="22"/>
          <w:szCs w:val="22"/>
          <w:lang w:eastAsia="zh-CN"/>
        </w:rPr>
        <w:t xml:space="preserve">Engineered Structures produces </w:t>
      </w:r>
      <w:r>
        <w:rPr>
          <w:rFonts w:cs="Calibri" w:eastAsiaTheme="minorEastAsia"/>
          <w:b/>
          <w:bCs/>
          <w:sz w:val="22"/>
          <w:szCs w:val="22"/>
          <w:lang w:eastAsia="zh-CN"/>
        </w:rPr>
        <w:t>titanium ingots and mill products</w:t>
      </w:r>
      <w:r>
        <w:rPr>
          <w:rFonts w:cs="Calibri" w:eastAsiaTheme="minorEastAsia"/>
          <w:sz w:val="22"/>
          <w:szCs w:val="22"/>
          <w:lang w:eastAsia="zh-CN"/>
        </w:rPr>
        <w:t xml:space="preserve"> for </w:t>
      </w:r>
      <w:r>
        <w:rPr>
          <w:rFonts w:cs="Calibri" w:eastAsiaTheme="minorEastAsia"/>
          <w:b/>
          <w:bCs/>
          <w:sz w:val="22"/>
          <w:szCs w:val="22"/>
          <w:lang w:eastAsia="zh-CN"/>
        </w:rPr>
        <w:t>aerospace and defense applications</w:t>
      </w:r>
      <w:r>
        <w:rPr>
          <w:rFonts w:cs="Calibri" w:eastAsiaTheme="minorEastAsia"/>
          <w:sz w:val="22"/>
          <w:szCs w:val="22"/>
          <w:lang w:eastAsia="zh-CN"/>
        </w:rPr>
        <w:t xml:space="preserve"> and is </w:t>
      </w:r>
      <w:r>
        <w:rPr>
          <w:rFonts w:cs="Calibri" w:eastAsiaTheme="minorEastAsia"/>
          <w:b/>
          <w:bCs/>
          <w:sz w:val="22"/>
          <w:szCs w:val="22"/>
          <w:lang w:eastAsia="zh-CN"/>
        </w:rPr>
        <w:t>vertically integrated to produce titanium forgings, titanium extrusions, forming and machining services for airframe, wing, aero-engine, and landing gear components</w:t>
      </w:r>
      <w:r>
        <w:rPr>
          <w:rFonts w:cs="Calibri" w:eastAsiaTheme="minorEastAsia"/>
          <w:sz w:val="22"/>
          <w:szCs w:val="22"/>
          <w:lang w:eastAsia="zh-CN"/>
        </w:rPr>
        <w:t xml:space="preserve">. Engineered Structures also produces </w:t>
      </w:r>
      <w:r>
        <w:rPr>
          <w:rFonts w:cs="Calibri" w:eastAsiaTheme="minorEastAsia"/>
          <w:b/>
          <w:bCs/>
          <w:sz w:val="22"/>
          <w:szCs w:val="22"/>
          <w:lang w:eastAsia="zh-CN"/>
        </w:rPr>
        <w:t>aluminum forgings, nickel forgings, and aluminum machined components and assemblies</w:t>
      </w:r>
      <w:r>
        <w:rPr>
          <w:rFonts w:cs="Calibri" w:eastAsiaTheme="minorEastAsia"/>
          <w:sz w:val="22"/>
          <w:szCs w:val="22"/>
          <w:lang w:eastAsia="zh-CN"/>
        </w:rPr>
        <w:t xml:space="preserve"> for aerospace and defense applications.</w:t>
      </w:r>
      <w:r>
        <w:rPr>
          <w:rFonts w:hint="eastAsia" w:eastAsia="宋体" w:cs="Calibri"/>
          <w:sz w:val="22"/>
          <w:szCs w:val="22"/>
          <w:lang w:eastAsia="zh-CN"/>
        </w:rPr>
        <w:t xml:space="preserve"> As </w:t>
      </w:r>
      <w:r>
        <w:rPr>
          <w:rFonts w:eastAsia="宋体" w:cs="Calibri"/>
          <w:sz w:val="22"/>
          <w:szCs w:val="22"/>
          <w:lang w:eastAsia="zh-CN"/>
        </w:rPr>
        <w:t>a world-class producer of titanium aero ingots and mill products – and a leader in highly engineered, multi-material structures for aircraft.</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rPr>
              <w:t xml:space="preserve">Engineered Structures - </w:t>
            </w:r>
            <w:r>
              <w:rPr>
                <w:rFonts w:ascii="Calibri" w:hAnsi="Calibri" w:cs="Calibri"/>
                <w:bCs w:val="0"/>
                <w:snapToGrid w:val="0"/>
                <w:sz w:val="20"/>
                <w:szCs w:val="20"/>
              </w:rPr>
              <w:t>Manufacturer of multi -material, engineered products and solutions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5819775" cy="2487930"/>
                  <wp:effectExtent l="0" t="0" r="0" b="7620"/>
                  <wp:docPr id="406254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4285" name="图片 1"/>
                          <pic:cNvPicPr>
                            <a:picLocks noChangeAspect="1"/>
                          </pic:cNvPicPr>
                        </pic:nvPicPr>
                        <pic:blipFill>
                          <a:blip r:embed="rId15"/>
                          <a:stretch>
                            <a:fillRect/>
                          </a:stretch>
                        </pic:blipFill>
                        <pic:spPr>
                          <a:xfrm>
                            <a:off x="0" y="0"/>
                            <a:ext cx="5826150" cy="2490839"/>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p>
    <w:p>
      <w:pPr>
        <w:jc w:val="both"/>
        <w:rPr>
          <w:rFonts w:cs="Calibri" w:eastAsiaTheme="minorEastAsia"/>
          <w:b/>
          <w:bCs/>
          <w:sz w:val="22"/>
          <w:szCs w:val="22"/>
          <w:lang w:eastAsia="zh-CN"/>
        </w:rPr>
      </w:pPr>
      <w:r>
        <w:rPr>
          <w:rFonts w:cs="Calibri" w:eastAsiaTheme="minorEastAsia"/>
          <w:b/>
          <w:bCs/>
          <w:sz w:val="22"/>
          <w:szCs w:val="22"/>
          <w:lang w:eastAsia="zh-CN"/>
        </w:rPr>
        <w:t>Forged Wheels</w:t>
      </w:r>
    </w:p>
    <w:p>
      <w:pPr>
        <w:jc w:val="both"/>
        <w:rPr>
          <w:rFonts w:eastAsia="宋体" w:cs="Calibri"/>
          <w:sz w:val="22"/>
          <w:szCs w:val="22"/>
          <w:lang w:eastAsia="zh-CN"/>
        </w:rPr>
      </w:pPr>
      <w:r>
        <w:rPr>
          <w:rFonts w:hint="eastAsia" w:eastAsia="宋体" w:cs="Calibri"/>
          <w:sz w:val="22"/>
          <w:szCs w:val="22"/>
          <w:lang w:eastAsia="zh-CN"/>
        </w:rPr>
        <w:t>Company</w:t>
      </w:r>
      <w:r>
        <w:rPr>
          <w:rFonts w:cs="Calibri" w:eastAsiaTheme="minorEastAsia"/>
          <w:sz w:val="22"/>
          <w:szCs w:val="22"/>
          <w:lang w:eastAsia="zh-CN"/>
        </w:rPr>
        <w:t xml:space="preserve"> invented the first forged aluminum truck wheel in 1948 – and by doing so, </w:t>
      </w:r>
      <w:r>
        <w:rPr>
          <w:rFonts w:hint="eastAsia" w:eastAsia="宋体" w:cs="Calibri"/>
          <w:sz w:val="22"/>
          <w:szCs w:val="22"/>
          <w:lang w:eastAsia="zh-CN"/>
        </w:rPr>
        <w:t>they</w:t>
      </w:r>
      <w:r>
        <w:rPr>
          <w:rFonts w:cs="Calibri" w:eastAsiaTheme="minorEastAsia"/>
          <w:sz w:val="22"/>
          <w:szCs w:val="22"/>
          <w:lang w:eastAsia="zh-CN"/>
        </w:rPr>
        <w:t xml:space="preserve"> created an entire industry. Seven decades later, </w:t>
      </w:r>
      <w:r>
        <w:rPr>
          <w:rFonts w:hint="eastAsia" w:eastAsia="宋体" w:cs="Calibri"/>
          <w:sz w:val="22"/>
          <w:szCs w:val="22"/>
          <w:lang w:eastAsia="zh-CN"/>
        </w:rPr>
        <w:t>HWM is</w:t>
      </w:r>
      <w:r>
        <w:rPr>
          <w:rFonts w:cs="Calibri" w:eastAsiaTheme="minorEastAsia"/>
          <w:sz w:val="22"/>
          <w:szCs w:val="22"/>
          <w:lang w:eastAsia="zh-CN"/>
        </w:rPr>
        <w:t xml:space="preserve"> the number one global market leader in the forged, aluminum heavy-duty truck wheel market. Forged Wheels provides </w:t>
      </w:r>
      <w:r>
        <w:rPr>
          <w:rFonts w:cs="Calibri" w:eastAsiaTheme="minorEastAsia"/>
          <w:b/>
          <w:bCs/>
          <w:sz w:val="22"/>
          <w:szCs w:val="22"/>
          <w:lang w:eastAsia="zh-CN"/>
        </w:rPr>
        <w:t>forged aluminum wheels and related products</w:t>
      </w:r>
      <w:r>
        <w:rPr>
          <w:rFonts w:cs="Calibri" w:eastAsiaTheme="minorEastAsia"/>
          <w:sz w:val="22"/>
          <w:szCs w:val="22"/>
          <w:lang w:eastAsia="zh-CN"/>
        </w:rPr>
        <w:t xml:space="preserve"> for </w:t>
      </w:r>
      <w:r>
        <w:rPr>
          <w:rFonts w:cs="Calibri" w:eastAsiaTheme="minorEastAsia"/>
          <w:b/>
          <w:bCs/>
          <w:sz w:val="22"/>
          <w:szCs w:val="22"/>
          <w:lang w:eastAsia="zh-CN"/>
        </w:rPr>
        <w:t>heavy-duty trucks and the commercial transportation market</w:t>
      </w:r>
      <w:r>
        <w:rPr>
          <w:rFonts w:cs="Calibri" w:eastAsiaTheme="minorEastAsia"/>
          <w:sz w:val="22"/>
          <w:szCs w:val="22"/>
          <w:lang w:eastAsia="zh-CN"/>
        </w:rPr>
        <w:t>.</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rPr>
              <w:t xml:space="preserve">Forged Wheels - </w:t>
            </w:r>
            <w:r>
              <w:rPr>
                <w:rFonts w:ascii="Calibri" w:hAnsi="Calibri" w:cs="Calibri"/>
                <w:bCs w:val="0"/>
                <w:snapToGrid w:val="0"/>
                <w:sz w:val="20"/>
                <w:szCs w:val="20"/>
              </w:rPr>
              <w:t>Manufacturer of forged aluminum wheels for commercial transportation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5740400" cy="2491740"/>
                  <wp:effectExtent l="0" t="0" r="0" b="3810"/>
                  <wp:docPr id="168477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639" name="图片 1"/>
                          <pic:cNvPicPr>
                            <a:picLocks noChangeAspect="1"/>
                          </pic:cNvPicPr>
                        </pic:nvPicPr>
                        <pic:blipFill>
                          <a:blip r:embed="rId16"/>
                          <a:stretch>
                            <a:fillRect/>
                          </a:stretch>
                        </pic:blipFill>
                        <pic:spPr>
                          <a:xfrm>
                            <a:off x="0" y="0"/>
                            <a:ext cx="5747120" cy="2495021"/>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ascii="Calibri" w:hAnsi="Calibri" w:cs="Calibri"/>
                <w:bCs w:val="0"/>
                <w:snapToGrid w:val="0"/>
                <w:sz w:val="20"/>
                <w:szCs w:val="20"/>
                <w:lang w:eastAsia="ja-JP"/>
              </w:rPr>
              <w:t>operations consist of four worldwide reportable segments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6217920" cy="2669540"/>
                  <wp:effectExtent l="0" t="0" r="0" b="0"/>
                  <wp:docPr id="35675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55645" name="图片 1"/>
                          <pic:cNvPicPr>
                            <a:picLocks noChangeAspect="1"/>
                          </pic:cNvPicPr>
                        </pic:nvPicPr>
                        <pic:blipFill>
                          <a:blip r:embed="rId17"/>
                          <a:stretch>
                            <a:fillRect/>
                          </a:stretch>
                        </pic:blipFill>
                        <pic:spPr>
                          <a:xfrm>
                            <a:off x="0" y="0"/>
                            <a:ext cx="6222208" cy="2671999"/>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jc w:val="both"/>
        <w:rPr>
          <w:rFonts w:eastAsia="宋体" w:cs="Calibri"/>
          <w:b/>
          <w:bCs/>
          <w:sz w:val="22"/>
          <w:szCs w:val="22"/>
          <w:lang w:eastAsia="zh-CN"/>
        </w:rPr>
      </w:pPr>
    </w:p>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lang w:val="en-US" w:eastAsia="zh-CN"/>
              </w:rPr>
              <w:t>four</w:t>
            </w:r>
            <w:r>
              <w:rPr>
                <w:rFonts w:ascii="Calibri" w:hAnsi="Calibri" w:cs="Calibri"/>
                <w:bCs w:val="0"/>
                <w:snapToGrid w:val="0"/>
                <w:sz w:val="20"/>
                <w:szCs w:val="20"/>
                <w:lang w:eastAsia="ja-JP"/>
              </w:rPr>
              <w:t xml:space="preserve"> segments</w:t>
            </w:r>
            <w:r>
              <w:rPr>
                <w:rFonts w:hint="eastAsia" w:ascii="Calibri" w:hAnsi="Calibri" w:cs="Calibri"/>
                <w:bCs w:val="0"/>
                <w:snapToGrid w:val="0"/>
                <w:sz w:val="20"/>
                <w:szCs w:val="20"/>
              </w:rPr>
              <w:t xml:space="preserve"> and select customers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6343650" cy="3608705"/>
                  <wp:effectExtent l="0" t="0" r="0" b="0"/>
                  <wp:docPr id="289803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03917" name="图片 1"/>
                          <pic:cNvPicPr>
                            <a:picLocks noChangeAspect="1"/>
                          </pic:cNvPicPr>
                        </pic:nvPicPr>
                        <pic:blipFill>
                          <a:blip r:embed="rId18"/>
                          <a:stretch>
                            <a:fillRect/>
                          </a:stretch>
                        </pic:blipFill>
                        <pic:spPr>
                          <a:xfrm>
                            <a:off x="0" y="0"/>
                            <a:ext cx="6343650" cy="360870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pStyle w:val="148"/>
        <w:jc w:val="both"/>
        <w:rPr>
          <w:rFonts w:hint="eastAsia" w:cs="Times New Roman"/>
          <w:b w:val="0"/>
          <w:bCs w:val="0"/>
          <w:color w:val="23558C"/>
          <w:kern w:val="28"/>
          <w:sz w:val="24"/>
          <w:szCs w:val="24"/>
        </w:rPr>
      </w:pPr>
      <w:bookmarkStart w:id="4" w:name="_Toc6068"/>
      <w:r>
        <w:rPr>
          <w:rFonts w:ascii="Calibri" w:hAnsi="Calibri" w:cs="Times New Roman"/>
          <w:iCs w:val="0"/>
          <w:color w:val="23558C"/>
          <w:kern w:val="28"/>
          <w:sz w:val="24"/>
          <w:szCs w:val="24"/>
        </w:rPr>
        <w:t>1.</w:t>
      </w:r>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 xml:space="preserve"> </w:t>
      </w:r>
      <w:r>
        <w:rPr>
          <w:rFonts w:hint="eastAsia" w:ascii="Calibri" w:hAnsi="Calibri" w:cs="Times New Roman"/>
          <w:iCs w:val="0"/>
          <w:color w:val="23558C"/>
          <w:kern w:val="28"/>
          <w:sz w:val="24"/>
          <w:szCs w:val="24"/>
        </w:rPr>
        <w:t>Engine Products: Titanium Structural Components and Airfoils (Turbine Blades and Vanes)</w:t>
      </w:r>
      <w:bookmarkEnd w:id="4"/>
    </w:p>
    <w:p>
      <w:pPr>
        <w:jc w:val="both"/>
        <w:rPr>
          <w:rFonts w:eastAsia="宋体" w:cs="Calibri"/>
          <w:sz w:val="22"/>
          <w:szCs w:val="22"/>
          <w:lang w:eastAsia="zh-CN"/>
        </w:rPr>
      </w:pPr>
      <w:r>
        <w:rPr>
          <w:rFonts w:hint="eastAsia" w:eastAsia="宋体" w:cs="Calibri"/>
          <w:b/>
          <w:bCs/>
          <w:sz w:val="22"/>
          <w:szCs w:val="22"/>
          <w:lang w:eastAsia="zh-CN"/>
        </w:rPr>
        <w:t>Howmet</w:t>
      </w:r>
      <w:r>
        <w:rPr>
          <w:rFonts w:eastAsia="宋体" w:cs="Calibri"/>
          <w:b/>
          <w:bCs/>
          <w:sz w:val="22"/>
          <w:szCs w:val="22"/>
          <w:lang w:eastAsia="zh-CN"/>
        </w:rPr>
        <w:t>’</w:t>
      </w:r>
      <w:r>
        <w:rPr>
          <w:rFonts w:hint="eastAsia" w:eastAsia="宋体" w:cs="Calibri"/>
          <w:b/>
          <w:bCs/>
          <w:sz w:val="22"/>
          <w:szCs w:val="22"/>
          <w:lang w:eastAsia="zh-CN"/>
        </w:rPr>
        <w:t>s engine products</w:t>
      </w:r>
      <w:r>
        <w:rPr>
          <w:rFonts w:eastAsia="宋体" w:cs="Calibri"/>
          <w:b/>
          <w:bCs/>
          <w:sz w:val="22"/>
          <w:szCs w:val="22"/>
          <w:lang w:eastAsia="zh-CN"/>
        </w:rPr>
        <w:t xml:space="preserve"> portfolio spans the full thermo-mechanical spectrum</w:t>
      </w:r>
      <w:r>
        <w:rPr>
          <w:rFonts w:eastAsia="宋体" w:cs="Calibri"/>
          <w:sz w:val="22"/>
          <w:szCs w:val="22"/>
          <w:lang w:eastAsia="zh-CN"/>
        </w:rPr>
        <w:t>—from titanium front frames and aluminum bleed valves in the cold section (lower operating temperatures, high strength-to-weight requirements) to single-crystal superalloy turbine airfoils and nickel-based mid/rear turbine frames in the hot section (extreme creep resistance and thermal management).</w:t>
      </w:r>
      <w:r>
        <w:t xml:space="preserve"> </w:t>
      </w:r>
      <w:bookmarkStart w:id="5" w:name="OLE_LINK2"/>
      <w:r>
        <w:rPr>
          <w:rFonts w:eastAsia="宋体" w:cs="Calibri"/>
          <w:b/>
          <w:bCs/>
          <w:sz w:val="22"/>
          <w:szCs w:val="22"/>
          <w:lang w:eastAsia="zh-CN"/>
        </w:rPr>
        <w:t>Howmet’s engine content strategy represents a quintessential "picks and shovels" play in the aerospace supply chain</w:t>
      </w:r>
      <w:bookmarkEnd w:id="5"/>
      <w:r>
        <w:rPr>
          <w:rFonts w:eastAsia="宋体" w:cs="Calibri"/>
          <w:b/>
          <w:bCs/>
          <w:sz w:val="22"/>
          <w:szCs w:val="22"/>
          <w:lang w:eastAsia="zh-CN"/>
        </w:rPr>
        <w:t xml:space="preserve">. </w:t>
      </w:r>
      <w:r>
        <w:rPr>
          <w:rFonts w:eastAsia="宋体" w:cs="Calibri"/>
          <w:sz w:val="22"/>
          <w:szCs w:val="22"/>
          <w:lang w:eastAsia="zh-CN"/>
        </w:rPr>
        <w:t>HWM embeds critical structural and hot-section content across virtually all commercial engine architectures.</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s</w:t>
            </w:r>
            <w:r>
              <w:rPr>
                <w:rFonts w:ascii="Calibri" w:hAnsi="Calibri" w:cs="Calibri"/>
                <w:bCs w:val="0"/>
                <w:snapToGrid w:val="0"/>
                <w:sz w:val="20"/>
                <w:szCs w:val="20"/>
              </w:rPr>
              <w:t xml:space="preserve"> </w:t>
            </w:r>
            <w:r>
              <w:rPr>
                <w:rFonts w:hint="eastAsia" w:ascii="Calibri" w:hAnsi="Calibri" w:cs="Calibri"/>
                <w:bCs w:val="0"/>
                <w:snapToGrid w:val="0"/>
                <w:sz w:val="20"/>
                <w:szCs w:val="20"/>
              </w:rPr>
              <w:t>Key Engine Content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5961380" cy="2915920"/>
                  <wp:effectExtent l="0" t="0" r="1270" b="0"/>
                  <wp:docPr id="2086332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2025" name="图片 1"/>
                          <pic:cNvPicPr>
                            <a:picLocks noChangeAspect="1"/>
                          </pic:cNvPicPr>
                        </pic:nvPicPr>
                        <pic:blipFill>
                          <a:blip r:embed="rId19"/>
                          <a:stretch>
                            <a:fillRect/>
                          </a:stretch>
                        </pic:blipFill>
                        <pic:spPr>
                          <a:xfrm>
                            <a:off x="0" y="0"/>
                            <a:ext cx="5965036" cy="2918031"/>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r>
        <w:rPr>
          <w:rFonts w:hint="eastAsia" w:eastAsia="宋体" w:cs="Calibri"/>
          <w:b/>
          <w:bCs/>
          <w:sz w:val="22"/>
          <w:szCs w:val="22"/>
          <w:lang w:eastAsia="zh-CN"/>
        </w:rPr>
        <w:t>Howmet produces large, intricate investment casting made of titanium, including engine components and structural airframe parts.</w:t>
      </w:r>
      <w:r>
        <w:rPr>
          <w:rFonts w:hint="eastAsia" w:eastAsia="宋体" w:cs="Calibri"/>
          <w:sz w:val="22"/>
          <w:szCs w:val="22"/>
          <w:lang w:eastAsia="zh-CN"/>
        </w:rPr>
        <w:t xml:space="preserve"> Howmet Engine Products Structural Castings &amp; Components consist of </w:t>
      </w:r>
      <w:r>
        <w:rPr>
          <w:rFonts w:eastAsia="宋体" w:cs="Calibri"/>
          <w:sz w:val="22"/>
          <w:szCs w:val="22"/>
          <w:lang w:eastAsia="zh-CN"/>
        </w:rPr>
        <w:t>primarily</w:t>
      </w:r>
      <w:r>
        <w:rPr>
          <w:rFonts w:hint="eastAsia" w:eastAsia="宋体" w:cs="Calibri"/>
          <w:sz w:val="22"/>
          <w:szCs w:val="22"/>
          <w:lang w:eastAsia="zh-CN"/>
        </w:rPr>
        <w:t xml:space="preserve"> titanium alloys, nickel superalloys, and aluminum, designed for high-stress aerospace application. K</w:t>
      </w:r>
      <w:r>
        <w:rPr>
          <w:rFonts w:eastAsia="宋体" w:cs="Calibri"/>
          <w:sz w:val="22"/>
          <w:szCs w:val="22"/>
          <w:lang w:eastAsia="zh-CN"/>
        </w:rPr>
        <w:t>e</w:t>
      </w:r>
      <w:r>
        <w:rPr>
          <w:rFonts w:hint="eastAsia" w:eastAsia="宋体" w:cs="Calibri"/>
          <w:sz w:val="22"/>
          <w:szCs w:val="22"/>
          <w:lang w:eastAsia="zh-CN"/>
        </w:rPr>
        <w:t xml:space="preserve">y products include investment-cast titanium engine components (blades, vanes), airframe structures (frames, pylons), and </w:t>
      </w:r>
      <w:r>
        <w:rPr>
          <w:rFonts w:eastAsia="宋体" w:cs="Calibri"/>
          <w:sz w:val="22"/>
          <w:szCs w:val="22"/>
          <w:lang w:eastAsia="zh-CN"/>
        </w:rPr>
        <w:t>fasteners</w:t>
      </w:r>
      <w:r>
        <w:rPr>
          <w:rFonts w:hint="eastAsia" w:eastAsia="宋体" w:cs="Calibri"/>
          <w:sz w:val="22"/>
          <w:szCs w:val="22"/>
          <w:lang w:eastAsia="zh-CN"/>
        </w:rPr>
        <w:t xml:space="preserve"> designed for extreme heat and </w:t>
      </w:r>
      <w:r>
        <w:rPr>
          <w:rFonts w:eastAsia="宋体" w:cs="Calibri"/>
          <w:sz w:val="22"/>
          <w:szCs w:val="22"/>
          <w:lang w:eastAsia="zh-CN"/>
        </w:rPr>
        <w:t>strength</w:t>
      </w:r>
      <w:r>
        <w:rPr>
          <w:rFonts w:hint="eastAsia" w:eastAsia="宋体" w:cs="Calibri"/>
          <w:sz w:val="22"/>
          <w:szCs w:val="22"/>
          <w:lang w:eastAsia="zh-CN"/>
        </w:rPr>
        <w:t>.</w:t>
      </w:r>
    </w:p>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 w:val="0"/>
                <w:snapToGrid w:val="0"/>
                <w:sz w:val="20"/>
                <w:szCs w:val="20"/>
              </w:rPr>
              <w:t>Engine Content Ubiquity</w:t>
            </w:r>
            <w:r>
              <w:rPr>
                <w:rFonts w:hint="eastAsia" w:ascii="Calibri" w:hAnsi="Calibri" w:cs="Calibri"/>
                <w:b w:val="0"/>
                <w:snapToGrid w:val="0"/>
                <w:sz w:val="20"/>
                <w:szCs w:val="20"/>
              </w:rPr>
              <w:t>-</w:t>
            </w:r>
            <w:r>
              <w:rPr>
                <w:rFonts w:ascii="Calibri" w:hAnsi="Calibri" w:cs="Calibri"/>
                <w:b w:val="0"/>
                <w:snapToGrid w:val="0"/>
                <w:sz w:val="20"/>
                <w:szCs w:val="20"/>
              </w:rPr>
              <w:t>Full-Spectrum Coverage from Fan Cases to Turbine Airfoils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5766435" cy="3701415"/>
                  <wp:effectExtent l="0" t="0" r="5715" b="0"/>
                  <wp:docPr id="625010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10381" name="图片 1"/>
                          <pic:cNvPicPr>
                            <a:picLocks noChangeAspect="1"/>
                          </pic:cNvPicPr>
                        </pic:nvPicPr>
                        <pic:blipFill>
                          <a:blip r:embed="rId20"/>
                          <a:stretch>
                            <a:fillRect/>
                          </a:stretch>
                        </pic:blipFill>
                        <pic:spPr>
                          <a:xfrm>
                            <a:off x="0" y="0"/>
                            <a:ext cx="5777033" cy="370840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lang w:eastAsia="ja-JP"/>
              </w:rPr>
              <w:t>Company Announcement</w:t>
            </w:r>
            <w:r>
              <w:rPr>
                <w:rFonts w:hint="eastAsia" w:ascii="Calibri" w:hAnsi="Calibri" w:cs="Calibri"/>
                <w:snapToGrid w:val="0"/>
                <w:sz w:val="16"/>
                <w:szCs w:val="16"/>
              </w:rPr>
              <w:t xml:space="preserve">s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r>
              <w:rPr>
                <w:rFonts w:ascii="Calibri" w:hAnsi="Calibri" w:cs="Calibri"/>
                <w:snapToGrid w:val="0"/>
                <w:sz w:val="16"/>
                <w:szCs w:val="16"/>
              </w:rPr>
              <w:t>Howmet's Engine Products business inherited the complete technical lineage of Arconic's former aerospace division.</w:t>
            </w:r>
          </w:p>
        </w:tc>
      </w:tr>
    </w:tbl>
    <w:p>
      <w:pPr>
        <w:jc w:val="both"/>
        <w:rPr>
          <w:rFonts w:eastAsia="宋体" w:cs="Calibri"/>
          <w:sz w:val="22"/>
          <w:szCs w:val="22"/>
          <w:lang w:eastAsia="zh-CN"/>
        </w:rPr>
      </w:pPr>
    </w:p>
    <w:p>
      <w:pPr>
        <w:jc w:val="both"/>
        <w:rPr>
          <w:rFonts w:eastAsia="宋体" w:cs="Calibri"/>
          <w:sz w:val="22"/>
          <w:szCs w:val="22"/>
          <w:lang w:eastAsia="zh-CN"/>
        </w:rPr>
      </w:pPr>
      <w:r>
        <w:rPr>
          <w:rFonts w:hint="eastAsia" w:eastAsia="宋体" w:cs="Calibri"/>
          <w:sz w:val="22"/>
          <w:szCs w:val="22"/>
          <w:lang w:eastAsia="zh-CN"/>
        </w:rPr>
        <w:t xml:space="preserve">With the rapid development of aviation manufacturing </w:t>
      </w:r>
      <w:r>
        <w:rPr>
          <w:rFonts w:eastAsia="宋体" w:cs="Calibri"/>
          <w:sz w:val="22"/>
          <w:szCs w:val="22"/>
          <w:lang w:eastAsia="zh-CN"/>
        </w:rPr>
        <w:t>industry</w:t>
      </w:r>
      <w:r>
        <w:rPr>
          <w:rFonts w:hint="eastAsia" w:eastAsia="宋体" w:cs="Calibri"/>
          <w:sz w:val="22"/>
          <w:szCs w:val="22"/>
          <w:lang w:eastAsia="zh-CN"/>
        </w:rPr>
        <w:t xml:space="preserve"> in recent years, large-scale precision titanium alloy castings are more and more favored by designers due to their high overall size accuracy, good stiffness, light weight and high stability. For example, </w:t>
      </w:r>
      <w:r>
        <w:rPr>
          <w:rFonts w:eastAsia="宋体" w:cs="Calibri"/>
          <w:sz w:val="22"/>
          <w:szCs w:val="22"/>
          <w:lang w:eastAsia="zh-CN"/>
        </w:rPr>
        <w:t>In the bell Boeing V-22 helicopter drive system, Howmet and Bell Helicopter replaced the components made of 43 aluminum alloy forgings and 536 fasteners with 3 titanium alloy integral precision castings and 32 fasteners, greatly reducing the quality of components, reducing the manufacturing cost by 30% and the manufacturing cycle by 62%. The U.S. F-22 fighter uses a large number of titanium alloy precision castings in the vertical tail rudder actuator support and other key bearing parts, accounting for about 7.1% of its overall structural quality.</w:t>
      </w:r>
    </w:p>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 w:val="0"/>
                <w:snapToGrid w:val="0"/>
                <w:sz w:val="20"/>
                <w:szCs w:val="20"/>
              </w:rPr>
              <w:t>Howmet's Titanium Monolithic Technology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6343650" cy="2689225"/>
                  <wp:effectExtent l="0" t="0" r="0" b="0"/>
                  <wp:docPr id="1780328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8568" name="图片 1"/>
                          <pic:cNvPicPr>
                            <a:picLocks noChangeAspect="1"/>
                          </pic:cNvPicPr>
                        </pic:nvPicPr>
                        <pic:blipFill>
                          <a:blip r:embed="rId21"/>
                          <a:stretch>
                            <a:fillRect/>
                          </a:stretch>
                        </pic:blipFill>
                        <pic:spPr>
                          <a:xfrm>
                            <a:off x="0" y="0"/>
                            <a:ext cx="6343650" cy="268922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 xml:space="preserve">zhycasting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r>
        <w:rPr>
          <w:rFonts w:eastAsia="宋体" w:cs="Calibri"/>
          <w:b/>
          <w:bCs/>
          <w:sz w:val="22"/>
          <w:szCs w:val="22"/>
          <w:lang w:eastAsia="zh-CN"/>
        </w:rPr>
        <w:t>Howmet’s titanium segment operates as a vertically integrated platform spanning the full metallurgical chain from revert recycling to finished parts.</w:t>
      </w:r>
      <w:r>
        <w:rPr>
          <w:rFonts w:eastAsia="宋体" w:cs="Calibri"/>
          <w:sz w:val="22"/>
          <w:szCs w:val="22"/>
          <w:lang w:eastAsia="zh-CN"/>
        </w:rPr>
        <w:t xml:space="preserve"> Through the TITAL acquisition and 3D-printed PMMA pattern technology, the company produces complex structural castings for airframes and engines, while manufacturing over 16,000 extruded profiles annually and market-leading fastening systems (LHP™ lockbolts). This closed-loop ecosystem—encompassing VAR remelting, advanced alloy development, and additive manufacturing—ensures stringent cost and quality control, creating a technical moat that single-process competitors cannot easily replicate.</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Key technologies and capabilities of HWM Titanium Components</w:t>
            </w:r>
            <w:r>
              <w:rPr>
                <w:rFonts w:ascii="Calibri" w:hAnsi="Calibri" w:cs="Calibri"/>
                <w:bCs w:val="0"/>
                <w:snapToGrid w:val="0"/>
                <w:sz w:val="20"/>
                <w:szCs w:val="20"/>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8" w:hRule="atLeast"/>
        </w:trPr>
        <w:tc>
          <w:tcPr>
            <w:tcW w:w="10206" w:type="dxa"/>
            <w:tcBorders>
              <w:top w:val="single" w:color="023F97" w:sz="4" w:space="0"/>
              <w:bottom w:val="single" w:color="023F97" w:sz="4" w:space="0"/>
            </w:tcBorders>
            <w:vAlign w:val="center"/>
          </w:tcPr>
          <w:tbl>
            <w:tblPr>
              <w:tblStyle w:val="11"/>
              <w:tblW w:w="10020" w:type="dxa"/>
              <w:tblInd w:w="0" w:type="dxa"/>
              <w:tblLayout w:type="fixed"/>
              <w:tblCellMar>
                <w:top w:w="0" w:type="dxa"/>
                <w:left w:w="108" w:type="dxa"/>
                <w:bottom w:w="0" w:type="dxa"/>
                <w:right w:w="108" w:type="dxa"/>
              </w:tblCellMar>
            </w:tblPr>
            <w:tblGrid>
              <w:gridCol w:w="3548"/>
              <w:gridCol w:w="6472"/>
            </w:tblGrid>
            <w:tr>
              <w:tblPrEx>
                <w:tblCellMar>
                  <w:top w:w="0" w:type="dxa"/>
                  <w:left w:w="108" w:type="dxa"/>
                  <w:bottom w:w="0" w:type="dxa"/>
                  <w:right w:w="108" w:type="dxa"/>
                </w:tblCellMar>
              </w:tblPrEx>
              <w:trPr>
                <w:trHeight w:val="279" w:hRule="atLeast"/>
              </w:trPr>
              <w:tc>
                <w:tcPr>
                  <w:tcW w:w="3548"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jc w:val="center"/>
                    <w:rPr>
                      <w:rFonts w:hint="eastAsia" w:ascii="等线" w:hAnsi="等线" w:eastAsia="等线" w:cs="宋体"/>
                      <w:b/>
                      <w:bCs/>
                      <w:snapToGrid/>
                      <w:color w:val="FFFFFF"/>
                      <w:sz w:val="18"/>
                      <w:szCs w:val="18"/>
                      <w:lang w:eastAsia="zh-CN"/>
                    </w:rPr>
                  </w:pPr>
                  <w:r>
                    <w:rPr>
                      <w:rFonts w:ascii="等线" w:hAnsi="等线" w:eastAsia="等线" w:cs="宋体"/>
                      <w:b/>
                      <w:bCs/>
                      <w:snapToGrid/>
                      <w:color w:val="FFFFFF"/>
                      <w:sz w:val="18"/>
                      <w:szCs w:val="18"/>
                      <w:lang w:eastAsia="zh-CN"/>
                    </w:rPr>
                    <w:t>Key Titanium Components</w:t>
                  </w:r>
                </w:p>
              </w:tc>
              <w:tc>
                <w:tcPr>
                  <w:tcW w:w="647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hint="eastAsia" w:ascii="等线" w:hAnsi="等线" w:eastAsia="等线" w:cs="宋体"/>
                      <w:b/>
                      <w:bCs/>
                      <w:snapToGrid/>
                      <w:color w:val="FFFFFF"/>
                      <w:sz w:val="18"/>
                      <w:szCs w:val="18"/>
                      <w:lang w:eastAsia="zh-CN"/>
                    </w:rPr>
                  </w:pPr>
                  <w:r>
                    <w:rPr>
                      <w:rFonts w:ascii="等线" w:hAnsi="等线" w:eastAsia="等线" w:cs="宋体"/>
                      <w:b/>
                      <w:bCs/>
                      <w:snapToGrid/>
                      <w:color w:val="FFFFFF"/>
                      <w:sz w:val="18"/>
                      <w:szCs w:val="18"/>
                      <w:lang w:eastAsia="zh-CN"/>
                    </w:rPr>
                    <w:t xml:space="preserve">Details </w:t>
                  </w:r>
                </w:p>
              </w:tc>
            </w:tr>
            <w:tr>
              <w:tblPrEx>
                <w:tblCellMar>
                  <w:top w:w="0" w:type="dxa"/>
                  <w:left w:w="108" w:type="dxa"/>
                  <w:bottom w:w="0" w:type="dxa"/>
                  <w:right w:w="108" w:type="dxa"/>
                </w:tblCellMar>
              </w:tblPrEx>
              <w:trPr>
                <w:trHeight w:val="1408"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Advanced Titanium Casting</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Through its TITAL acquisition, Howmet produces titanium structural components for airframes and engines, using 3D-printed PMMA patterns to create high-precision, complex shapes.</w:t>
                  </w:r>
                </w:p>
              </w:tc>
            </w:tr>
            <w:tr>
              <w:tblPrEx>
                <w:tblCellMar>
                  <w:top w:w="0" w:type="dxa"/>
                  <w:left w:w="108" w:type="dxa"/>
                  <w:bottom w:w="0" w:type="dxa"/>
                  <w:right w:w="108" w:type="dxa"/>
                </w:tblCellMar>
              </w:tblPrEx>
              <w:trPr>
                <w:trHeight w:val="1558"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Titanium Fastening Systems</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The company is a leader in titanium fasteners, offering products like LHP™ lockbolts for composite materials and Aero-Lite® pins, which provide high clamp loads and reduce aircraft weight.</w:t>
                  </w:r>
                </w:p>
              </w:tc>
            </w:tr>
            <w:tr>
              <w:tblPrEx>
                <w:tblCellMar>
                  <w:top w:w="0" w:type="dxa"/>
                  <w:left w:w="108" w:type="dxa"/>
                  <w:bottom w:w="0" w:type="dxa"/>
                  <w:right w:w="108" w:type="dxa"/>
                </w:tblCellMar>
              </w:tblPrEx>
              <w:trPr>
                <w:trHeight w:val="689"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Titanium Extrusion</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The company utilizes advanced extrusion presses to produce over 16,000 solid and hollow titanium profiles per year.</w:t>
                  </w:r>
                </w:p>
              </w:tc>
            </w:tr>
            <w:tr>
              <w:tblPrEx>
                <w:tblCellMar>
                  <w:top w:w="0" w:type="dxa"/>
                  <w:left w:w="108" w:type="dxa"/>
                  <w:bottom w:w="0" w:type="dxa"/>
                  <w:right w:w="108" w:type="dxa"/>
                </w:tblCellMar>
              </w:tblPrEx>
              <w:trPr>
                <w:trHeight w:val="969"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Advanced Alloy Development</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Development of advanced titanium alloys designed for higher-temperature aerospace applications.</w:t>
                  </w:r>
                </w:p>
              </w:tc>
            </w:tr>
            <w:tr>
              <w:tblPrEx>
                <w:tblCellMar>
                  <w:top w:w="0" w:type="dxa"/>
                  <w:left w:w="108" w:type="dxa"/>
                  <w:bottom w:w="0" w:type="dxa"/>
                  <w:right w:w="108" w:type="dxa"/>
                </w:tblCellMar>
              </w:tblPrEx>
              <w:trPr>
                <w:trHeight w:val="1078"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Vertical Integration</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 xml:space="preserve">Capabilities span from melting titanium to producing, forging, and machining finished, high-performance parts. </w:t>
                  </w:r>
                </w:p>
              </w:tc>
            </w:tr>
            <w:tr>
              <w:tblPrEx>
                <w:tblCellMar>
                  <w:top w:w="0" w:type="dxa"/>
                  <w:left w:w="108" w:type="dxa"/>
                  <w:bottom w:w="0" w:type="dxa"/>
                  <w:right w:w="108" w:type="dxa"/>
                </w:tblCellMar>
              </w:tblPrEx>
              <w:trPr>
                <w:trHeight w:val="689"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Additive Manufacturing (3D Printing)</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Howmet is a leader in titanium alloy 3D printing for aerospace, focusing on complex structural components and engine parts.</w:t>
                  </w:r>
                </w:p>
              </w:tc>
            </w:tr>
            <w:tr>
              <w:tblPrEx>
                <w:tblCellMar>
                  <w:top w:w="0" w:type="dxa"/>
                  <w:left w:w="108" w:type="dxa"/>
                  <w:bottom w:w="0" w:type="dxa"/>
                  <w:right w:w="108" w:type="dxa"/>
                </w:tblCellMar>
              </w:tblPrEx>
              <w:trPr>
                <w:trHeight w:val="919" w:hRule="atLeast"/>
              </w:trPr>
              <w:tc>
                <w:tcPr>
                  <w:tcW w:w="3548"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Precision Casting &amp; Forging</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The company utilizes advanced techniques such as cold hearth melting, vacuum-arc remelting (VAR), and centrifugal/gravity casting to create titanium components, including near-net-shape parts that reduce waste.</w:t>
                  </w:r>
                </w:p>
              </w:tc>
            </w:tr>
            <w:tr>
              <w:tblPrEx>
                <w:tblCellMar>
                  <w:top w:w="0" w:type="dxa"/>
                  <w:left w:w="108" w:type="dxa"/>
                  <w:bottom w:w="0" w:type="dxa"/>
                  <w:right w:w="108" w:type="dxa"/>
                </w:tblCellMar>
              </w:tblPrEx>
              <w:trPr>
                <w:trHeight w:val="689" w:hRule="atLeast"/>
              </w:trPr>
              <w:tc>
                <w:tcPr>
                  <w:tcW w:w="3548"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Supply Chain Integration</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Operations include the full cycle from raw material processing and revert (recycled titanium) to final ingot melting and testing.</w:t>
                  </w:r>
                </w:p>
              </w:tc>
            </w:tr>
            <w:tr>
              <w:tblPrEx>
                <w:tblCellMar>
                  <w:top w:w="0" w:type="dxa"/>
                  <w:left w:w="108" w:type="dxa"/>
                  <w:bottom w:w="0" w:type="dxa"/>
                  <w:right w:w="108" w:type="dxa"/>
                </w:tblCellMar>
              </w:tblPrEx>
              <w:trPr>
                <w:trHeight w:val="689" w:hRule="atLeast"/>
              </w:trPr>
              <w:tc>
                <w:tcPr>
                  <w:tcW w:w="3548" w:type="dxa"/>
                  <w:tcBorders>
                    <w:top w:val="nil"/>
                    <w:left w:val="single" w:color="auto" w:sz="4" w:space="0"/>
                    <w:bottom w:val="single" w:color="auto" w:sz="4" w:space="0"/>
                    <w:right w:val="single" w:color="auto" w:sz="4" w:space="0"/>
                  </w:tcBorders>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Fastening Systems</w:t>
                  </w:r>
                </w:p>
              </w:tc>
              <w:tc>
                <w:tcPr>
                  <w:tcW w:w="6472"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 xml:space="preserve"> Over 50 years of experience producing high-strength titanium fasteners for extreme temperature and stress applications. </w:t>
                  </w:r>
                </w:p>
              </w:tc>
            </w:tr>
          </w:tbl>
          <w:p>
            <w:pPr>
              <w:pStyle w:val="150"/>
              <w:keepNext/>
              <w:spacing w:after="240"/>
              <w:jc w:val="center"/>
              <w:rPr>
                <w:rFonts w:hint="eastAsia" w:ascii="等线" w:hAnsi="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rPr>
              <w:t xml:space="preserve">Company Announcements </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r>
        <w:rPr>
          <w:rFonts w:eastAsia="宋体" w:cs="Calibri"/>
          <w:sz w:val="22"/>
          <w:szCs w:val="22"/>
          <w:lang w:eastAsia="zh-CN"/>
        </w:rPr>
        <w:t>Howmet Aerospace is a leader in turbine blade technology, pioneering single-crystal airfoils that offer up to nine times greater creep resistance, significantly increasing jet engine efficiency and lifespan. Their breakthroughs include advanced ceramic cores for cooling channels, high-temperature coatings, and proprietary aluminum-lithium fan blades. These innovations enhance thermal resistance and reduce weight, supporting next-generation, fuel-efficient aerospace engines.</w:t>
      </w:r>
    </w:p>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Key Breakthroughs and Technologies of Howmet</w:t>
            </w:r>
            <w:r>
              <w:rPr>
                <w:rFonts w:ascii="Calibri" w:hAnsi="Calibri" w:cs="Calibri"/>
                <w:bCs w:val="0"/>
                <w:snapToGrid w:val="0"/>
                <w:sz w:val="20"/>
                <w:szCs w:val="20"/>
              </w:rPr>
              <w:t>’</w:t>
            </w:r>
            <w:r>
              <w:rPr>
                <w:rFonts w:hint="eastAsia" w:ascii="Calibri" w:hAnsi="Calibri" w:cs="Calibri"/>
                <w:bCs w:val="0"/>
                <w:snapToGrid w:val="0"/>
                <w:sz w:val="20"/>
                <w:szCs w:val="20"/>
              </w:rPr>
              <w:t>s Turbine Blade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tbl>
            <w:tblPr>
              <w:tblStyle w:val="11"/>
              <w:tblW w:w="10060" w:type="dxa"/>
              <w:tblInd w:w="0" w:type="dxa"/>
              <w:tblLayout w:type="fixed"/>
              <w:tblCellMar>
                <w:top w:w="0" w:type="dxa"/>
                <w:left w:w="108" w:type="dxa"/>
                <w:bottom w:w="0" w:type="dxa"/>
                <w:right w:w="108" w:type="dxa"/>
              </w:tblCellMar>
            </w:tblPr>
            <w:tblGrid>
              <w:gridCol w:w="3400"/>
              <w:gridCol w:w="6660"/>
            </w:tblGrid>
            <w:tr>
              <w:tblPrEx>
                <w:tblCellMar>
                  <w:top w:w="0" w:type="dxa"/>
                  <w:left w:w="108" w:type="dxa"/>
                  <w:bottom w:w="0" w:type="dxa"/>
                  <w:right w:w="108" w:type="dxa"/>
                </w:tblCellMar>
              </w:tblPrEx>
              <w:trPr>
                <w:trHeight w:val="280" w:hRule="atLeast"/>
              </w:trPr>
              <w:tc>
                <w:tcPr>
                  <w:tcW w:w="3400"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jc w:val="center"/>
                    <w:rPr>
                      <w:rFonts w:hint="eastAsia" w:ascii="等线" w:hAnsi="等线" w:eastAsia="等线" w:cs="宋体"/>
                      <w:b/>
                      <w:bCs/>
                      <w:snapToGrid/>
                      <w:color w:val="FFFFFF"/>
                      <w:sz w:val="18"/>
                      <w:szCs w:val="18"/>
                      <w:lang w:eastAsia="zh-CN"/>
                    </w:rPr>
                  </w:pPr>
                  <w:r>
                    <w:rPr>
                      <w:rFonts w:ascii="等线" w:hAnsi="等线" w:eastAsia="等线" w:cs="宋体"/>
                      <w:b/>
                      <w:bCs/>
                      <w:snapToGrid/>
                      <w:color w:val="FFFFFF"/>
                      <w:sz w:val="18"/>
                      <w:szCs w:val="18"/>
                      <w:lang w:eastAsia="zh-CN"/>
                    </w:rPr>
                    <w:t>Turbine Blade breakthroughs</w:t>
                  </w:r>
                </w:p>
              </w:tc>
              <w:tc>
                <w:tcPr>
                  <w:tcW w:w="6660"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hint="eastAsia" w:ascii="等线" w:hAnsi="等线" w:eastAsia="等线" w:cs="宋体"/>
                      <w:b/>
                      <w:bCs/>
                      <w:snapToGrid/>
                      <w:color w:val="FFFFFF"/>
                      <w:sz w:val="18"/>
                      <w:szCs w:val="18"/>
                      <w:lang w:eastAsia="zh-CN"/>
                    </w:rPr>
                  </w:pPr>
                  <w:r>
                    <w:rPr>
                      <w:rFonts w:ascii="等线" w:hAnsi="等线" w:eastAsia="等线" w:cs="宋体"/>
                      <w:b/>
                      <w:bCs/>
                      <w:snapToGrid/>
                      <w:color w:val="FFFFFF"/>
                      <w:sz w:val="18"/>
                      <w:szCs w:val="18"/>
                      <w:lang w:eastAsia="zh-CN"/>
                    </w:rPr>
                    <w:t>Details</w:t>
                  </w:r>
                </w:p>
              </w:tc>
            </w:tr>
            <w:tr>
              <w:tblPrEx>
                <w:tblCellMar>
                  <w:top w:w="0" w:type="dxa"/>
                  <w:left w:w="108" w:type="dxa"/>
                  <w:bottom w:w="0" w:type="dxa"/>
                  <w:right w:w="108" w:type="dxa"/>
                </w:tblCellMar>
              </w:tblPrEx>
              <w:trPr>
                <w:trHeight w:val="690" w:hRule="atLeast"/>
              </w:trPr>
              <w:tc>
                <w:tcPr>
                  <w:tcW w:w="3400"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Single-Crystal Airfoils</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Perfected techniques for producing single-crystal, directionally solidified turbine blades that eliminate grain boundaries, improving resistance to deformation and high temperatures.</w:t>
                  </w:r>
                </w:p>
              </w:tc>
            </w:tr>
            <w:tr>
              <w:tblPrEx>
                <w:tblCellMar>
                  <w:top w:w="0" w:type="dxa"/>
                  <w:left w:w="108" w:type="dxa"/>
                  <w:bottom w:w="0" w:type="dxa"/>
                  <w:right w:w="108" w:type="dxa"/>
                </w:tblCellMar>
              </w:tblPrEx>
              <w:trPr>
                <w:trHeight w:val="690" w:hRule="atLeast"/>
              </w:trPr>
              <w:tc>
                <w:tcPr>
                  <w:tcW w:w="3400"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Advanced Internal Cooling</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Engineered ceramic cores to create complex, hollow passages within airfoils, allowing increased air flow for cooling, essential for operating above the melting point of the base metal.</w:t>
                  </w:r>
                </w:p>
              </w:tc>
            </w:tr>
            <w:tr>
              <w:tblPrEx>
                <w:tblCellMar>
                  <w:top w:w="0" w:type="dxa"/>
                  <w:left w:w="108" w:type="dxa"/>
                  <w:bottom w:w="0" w:type="dxa"/>
                  <w:right w:w="108" w:type="dxa"/>
                </w:tblCellMar>
              </w:tblPrEx>
              <w:trPr>
                <w:trHeight w:val="460" w:hRule="atLeast"/>
              </w:trPr>
              <w:tc>
                <w:tcPr>
                  <w:tcW w:w="3400"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Next-Gen Materials &amp; Coatings</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Developed specialized superalloys and environmental coatings that protect components from extreme heat and pressure.</w:t>
                  </w:r>
                </w:p>
              </w:tc>
            </w:tr>
            <w:tr>
              <w:tblPrEx>
                <w:tblCellMar>
                  <w:top w:w="0" w:type="dxa"/>
                  <w:left w:w="108" w:type="dxa"/>
                  <w:bottom w:w="0" w:type="dxa"/>
                  <w:right w:w="108" w:type="dxa"/>
                </w:tblCellMar>
              </w:tblPrEx>
              <w:trPr>
                <w:trHeight w:val="280" w:hRule="atLeast"/>
              </w:trPr>
              <w:tc>
                <w:tcPr>
                  <w:tcW w:w="3400"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Aluminum-Lithium Fan Blades</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Developed the first aluminum-lithium front fan blades for improved engine efficiency.</w:t>
                  </w:r>
                </w:p>
              </w:tc>
            </w:tr>
            <w:tr>
              <w:tblPrEx>
                <w:tblCellMar>
                  <w:top w:w="0" w:type="dxa"/>
                  <w:left w:w="108" w:type="dxa"/>
                  <w:bottom w:w="0" w:type="dxa"/>
                  <w:right w:w="108" w:type="dxa"/>
                </w:tblCellMar>
              </w:tblPrEx>
              <w:trPr>
                <w:trHeight w:val="690" w:hRule="atLeast"/>
              </w:trPr>
              <w:tc>
                <w:tcPr>
                  <w:tcW w:w="3400" w:type="dxa"/>
                  <w:tcBorders>
                    <w:top w:val="nil"/>
                    <w:left w:val="single" w:color="auto" w:sz="4" w:space="0"/>
                    <w:bottom w:val="single" w:color="auto" w:sz="4" w:space="0"/>
                    <w:right w:val="single" w:color="auto" w:sz="4" w:space="0"/>
                  </w:tcBorders>
                  <w:noWrap/>
                  <w:vAlign w:val="center"/>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Manufacturing Excellence</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 xml:space="preserve">As a dominant supplier for engines like the LEAP, Howmet is crucial for supplying high-pressure turbine blades, despite current production challenges in meeting industry demand. </w:t>
                  </w:r>
                </w:p>
              </w:tc>
            </w:tr>
            <w:tr>
              <w:tblPrEx>
                <w:tblCellMar>
                  <w:top w:w="0" w:type="dxa"/>
                  <w:left w:w="108" w:type="dxa"/>
                  <w:bottom w:w="0" w:type="dxa"/>
                  <w:right w:w="108" w:type="dxa"/>
                </w:tblCellMar>
              </w:tblPrEx>
              <w:trPr>
                <w:trHeight w:val="280" w:hRule="atLeast"/>
              </w:trPr>
              <w:tc>
                <w:tcPr>
                  <w:tcW w:w="3400" w:type="dxa"/>
                  <w:tcBorders>
                    <w:top w:val="nil"/>
                    <w:left w:val="single" w:color="auto" w:sz="4" w:space="0"/>
                    <w:bottom w:val="single" w:color="auto" w:sz="4" w:space="0"/>
                    <w:right w:val="single" w:color="auto" w:sz="4" w:space="0"/>
                  </w:tcBorders>
                  <w:noWrap/>
                  <w:vAlign w:val="bottom"/>
                </w:tcPr>
                <w:p>
                  <w:pPr>
                    <w:jc w:val="center"/>
                    <w:rPr>
                      <w:rFonts w:hint="eastAsia" w:ascii="等线" w:hAnsi="等线" w:eastAsia="等线" w:cs="宋体"/>
                      <w:b/>
                      <w:bCs/>
                      <w:snapToGrid/>
                      <w:color w:val="000000"/>
                      <w:sz w:val="18"/>
                      <w:szCs w:val="18"/>
                      <w:lang w:eastAsia="zh-CN"/>
                    </w:rPr>
                  </w:pPr>
                  <w:r>
                    <w:rPr>
                      <w:rFonts w:ascii="等线" w:hAnsi="等线" w:eastAsia="等线" w:cs="宋体"/>
                      <w:b/>
                      <w:bCs/>
                      <w:snapToGrid/>
                      <w:color w:val="000000"/>
                      <w:sz w:val="18"/>
                      <w:szCs w:val="18"/>
                      <w:lang w:eastAsia="zh-CN"/>
                    </w:rPr>
                    <w:t>Extending Service Life</w:t>
                  </w:r>
                </w:p>
              </w:tc>
              <w:tc>
                <w:tcPr>
                  <w:tcW w:w="666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18"/>
                      <w:szCs w:val="18"/>
                      <w:lang w:eastAsia="zh-CN"/>
                    </w:rPr>
                  </w:pPr>
                  <w:r>
                    <w:rPr>
                      <w:rFonts w:ascii="等线" w:hAnsi="等线" w:eastAsia="等线" w:cs="宋体"/>
                      <w:snapToGrid/>
                      <w:color w:val="000000"/>
                      <w:sz w:val="18"/>
                      <w:szCs w:val="18"/>
                      <w:lang w:eastAsia="zh-CN"/>
                    </w:rPr>
                    <w:t>Up to 25,000 hours between overhauls</w:t>
                  </w:r>
                </w:p>
              </w:tc>
            </w:tr>
          </w:tbl>
          <w:p>
            <w:pPr>
              <w:pStyle w:val="150"/>
              <w:keepNext/>
              <w:spacing w:after="240"/>
              <w:jc w:val="center"/>
              <w:rPr>
                <w:rFonts w:hint="eastAsia" w:ascii="等线" w:hAnsi="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r>
        <w:rPr>
          <w:rFonts w:eastAsia="宋体" w:cs="Calibri"/>
          <w:sz w:val="22"/>
          <w:szCs w:val="22"/>
          <w:lang w:eastAsia="zh-CN"/>
        </w:rPr>
        <w:t>Howmet carries forward the technical legacy of Arconic's aero-engine division, maintaining global market leadership in seamless rings, fastening systems, and single-crystal airfoils.</w:t>
      </w:r>
    </w:p>
    <w:p>
      <w:pPr>
        <w:jc w:val="both"/>
        <w:rPr>
          <w:rFonts w:eastAsia="宋体" w:cs="Calibri"/>
          <w:sz w:val="22"/>
          <w:szCs w:val="22"/>
          <w:lang w:eastAsia="zh-CN"/>
        </w:rPr>
      </w:pPr>
      <w:r>
        <w:rPr>
          <w:rFonts w:eastAsia="宋体" w:cs="Calibri"/>
          <w:sz w:val="22"/>
          <w:szCs w:val="22"/>
          <w:lang w:eastAsia="zh-CN"/>
        </w:rPr>
        <w:t>engineers, backed by decades of materials science expertise and</w:t>
      </w:r>
      <w:r>
        <w:rPr>
          <w:rFonts w:hint="eastAsia" w:eastAsia="宋体" w:cs="Calibri"/>
          <w:sz w:val="22"/>
          <w:szCs w:val="22"/>
          <w:lang w:eastAsia="zh-CN"/>
        </w:rPr>
        <w:t xml:space="preserve"> </w:t>
      </w:r>
      <w:r>
        <w:rPr>
          <w:rFonts w:eastAsia="宋体" w:cs="Calibri"/>
          <w:sz w:val="22"/>
          <w:szCs w:val="22"/>
          <w:lang w:eastAsia="zh-CN"/>
        </w:rPr>
        <w:t>working closely with leading aero engine manufacturers, enable:</w:t>
      </w:r>
    </w:p>
    <w:p>
      <w:pPr>
        <w:jc w:val="both"/>
        <w:rPr>
          <w:rFonts w:eastAsia="宋体" w:cs="Calibri"/>
          <w:sz w:val="22"/>
          <w:szCs w:val="22"/>
          <w:lang w:eastAsia="zh-CN"/>
        </w:rPr>
      </w:pPr>
    </w:p>
    <w:p>
      <w:pPr>
        <w:pStyle w:val="26"/>
        <w:numPr>
          <w:ilvl w:val="0"/>
          <w:numId w:val="9"/>
        </w:numPr>
        <w:jc w:val="both"/>
        <w:rPr>
          <w:rFonts w:eastAsia="宋体" w:cs="Calibri"/>
          <w:sz w:val="22"/>
          <w:szCs w:val="22"/>
          <w:lang w:eastAsia="zh-CN"/>
        </w:rPr>
      </w:pPr>
      <w:r>
        <w:rPr>
          <w:rFonts w:eastAsia="宋体" w:cs="Calibri"/>
          <w:sz w:val="22"/>
          <w:szCs w:val="22"/>
          <w:lang w:eastAsia="zh-CN"/>
        </w:rPr>
        <w:t xml:space="preserve"> Advanced single crystal turbine airfoils with specifically aligned</w:t>
      </w:r>
      <w:r>
        <w:rPr>
          <w:rFonts w:hint="eastAsia" w:eastAsia="宋体" w:cs="Calibri"/>
          <w:sz w:val="22"/>
          <w:szCs w:val="22"/>
          <w:lang w:eastAsia="zh-CN"/>
        </w:rPr>
        <w:t xml:space="preserve"> </w:t>
      </w:r>
      <w:r>
        <w:rPr>
          <w:rFonts w:eastAsia="宋体" w:cs="Calibri"/>
          <w:sz w:val="22"/>
          <w:szCs w:val="22"/>
          <w:lang w:eastAsia="zh-CN"/>
        </w:rPr>
        <w:t>grain structures, which increase turbine blade life, temperature</w:t>
      </w:r>
      <w:r>
        <w:rPr>
          <w:rFonts w:hint="eastAsia" w:eastAsia="宋体" w:cs="Calibri"/>
          <w:sz w:val="22"/>
          <w:szCs w:val="22"/>
          <w:lang w:eastAsia="zh-CN"/>
        </w:rPr>
        <w:t xml:space="preserve"> </w:t>
      </w:r>
      <w:r>
        <w:rPr>
          <w:rFonts w:eastAsia="宋体" w:cs="Calibri"/>
          <w:sz w:val="22"/>
          <w:szCs w:val="22"/>
          <w:lang w:eastAsia="zh-CN"/>
        </w:rPr>
        <w:t>capability and strength.</w:t>
      </w:r>
    </w:p>
    <w:p>
      <w:pPr>
        <w:pStyle w:val="26"/>
        <w:numPr>
          <w:ilvl w:val="0"/>
          <w:numId w:val="9"/>
        </w:numPr>
        <w:jc w:val="both"/>
        <w:rPr>
          <w:rFonts w:eastAsia="宋体" w:cs="Calibri"/>
          <w:sz w:val="22"/>
          <w:szCs w:val="22"/>
          <w:lang w:eastAsia="zh-CN"/>
        </w:rPr>
      </w:pPr>
      <w:r>
        <w:rPr>
          <w:rFonts w:eastAsia="宋体" w:cs="Calibri"/>
          <w:sz w:val="22"/>
          <w:szCs w:val="22"/>
          <w:lang w:eastAsia="zh-CN"/>
        </w:rPr>
        <w:t xml:space="preserve"> Engineered ceramics that allow turbine airfoil designers to</w:t>
      </w:r>
      <w:r>
        <w:rPr>
          <w:rFonts w:hint="eastAsia" w:eastAsia="宋体" w:cs="Calibri"/>
          <w:sz w:val="22"/>
          <w:szCs w:val="22"/>
          <w:lang w:eastAsia="zh-CN"/>
        </w:rPr>
        <w:t xml:space="preserve"> </w:t>
      </w:r>
      <w:r>
        <w:rPr>
          <w:rFonts w:eastAsia="宋体" w:cs="Calibri"/>
          <w:sz w:val="22"/>
          <w:szCs w:val="22"/>
          <w:lang w:eastAsia="zh-CN"/>
        </w:rPr>
        <w:t>create intricate internal turbine blade cooling schemes that</w:t>
      </w:r>
      <w:r>
        <w:rPr>
          <w:rFonts w:hint="eastAsia" w:eastAsia="宋体" w:cs="Calibri"/>
          <w:sz w:val="22"/>
          <w:szCs w:val="22"/>
          <w:lang w:eastAsia="zh-CN"/>
        </w:rPr>
        <w:t xml:space="preserve"> </w:t>
      </w:r>
      <w:r>
        <w:rPr>
          <w:rFonts w:eastAsia="宋体" w:cs="Calibri"/>
          <w:sz w:val="22"/>
          <w:szCs w:val="22"/>
          <w:lang w:eastAsia="zh-CN"/>
        </w:rPr>
        <w:t>improve efficiency</w:t>
      </w:r>
      <w:r>
        <w:rPr>
          <w:rFonts w:hint="eastAsia" w:eastAsia="宋体" w:cs="Calibri"/>
          <w:sz w:val="22"/>
          <w:szCs w:val="22"/>
          <w:lang w:eastAsia="zh-CN"/>
        </w:rPr>
        <w:t xml:space="preserve"> </w:t>
      </w:r>
      <w:r>
        <w:rPr>
          <w:rFonts w:eastAsia="宋体" w:cs="Calibri"/>
          <w:sz w:val="22"/>
          <w:szCs w:val="22"/>
          <w:lang w:eastAsia="zh-CN"/>
        </w:rPr>
        <w:t>and lengthen the life of the blade.</w:t>
      </w:r>
    </w:p>
    <w:p>
      <w:pPr>
        <w:pStyle w:val="26"/>
        <w:numPr>
          <w:ilvl w:val="0"/>
          <w:numId w:val="9"/>
        </w:numPr>
        <w:jc w:val="both"/>
        <w:rPr>
          <w:rFonts w:hint="eastAsia" w:eastAsia="宋体" w:cs="Calibri"/>
          <w:sz w:val="22"/>
          <w:szCs w:val="22"/>
          <w:lang w:eastAsia="zh-CN"/>
        </w:rPr>
      </w:pPr>
      <w:r>
        <w:rPr>
          <w:rFonts w:eastAsia="宋体" w:cs="Calibri"/>
          <w:sz w:val="22"/>
          <w:szCs w:val="22"/>
          <w:lang w:eastAsia="zh-CN"/>
        </w:rPr>
        <w:t xml:space="preserve"> Advanced coatings that protect the engine airfoils from the</w:t>
      </w:r>
      <w:r>
        <w:rPr>
          <w:rFonts w:hint="eastAsia" w:eastAsia="宋体" w:cs="Calibri"/>
          <w:sz w:val="22"/>
          <w:szCs w:val="22"/>
          <w:lang w:eastAsia="zh-CN"/>
        </w:rPr>
        <w:t xml:space="preserve"> </w:t>
      </w:r>
      <w:r>
        <w:rPr>
          <w:rFonts w:eastAsia="宋体" w:cs="Calibri"/>
          <w:sz w:val="22"/>
          <w:szCs w:val="22"/>
          <w:lang w:eastAsia="zh-CN"/>
        </w:rPr>
        <w:t>extreme combustion temperatures of today’s gas turbines.</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Technology Moat</w:t>
            </w:r>
            <w:r>
              <w:rPr>
                <w:rFonts w:hint="eastAsia" w:ascii="Calibri" w:hAnsi="Calibri" w:cs="Calibri"/>
                <w:bCs w:val="0"/>
                <w:snapToGrid w:val="0"/>
                <w:sz w:val="20"/>
                <w:szCs w:val="20"/>
              </w:rPr>
              <w:t xml:space="preserve"> - </w:t>
            </w:r>
            <w:r>
              <w:rPr>
                <w:rFonts w:ascii="Calibri" w:hAnsi="Calibri" w:cs="Calibri"/>
                <w:bCs w:val="0"/>
                <w:snapToGrid w:val="0"/>
                <w:sz w:val="20"/>
                <w:szCs w:val="20"/>
                <w:lang w:eastAsia="ja-JP"/>
              </w:rPr>
              <w:t>Cooling, Coatings, and Digital Manufacturing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870"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6343650" cy="2975610"/>
                  <wp:effectExtent l="0" t="0" r="0" b="0"/>
                  <wp:docPr id="1779395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5783" name="图片 1"/>
                          <pic:cNvPicPr>
                            <a:picLocks noChangeAspect="1"/>
                          </pic:cNvPicPr>
                        </pic:nvPicPr>
                        <pic:blipFill>
                          <a:blip r:embed="rId22"/>
                          <a:stretch>
                            <a:fillRect/>
                          </a:stretch>
                        </pic:blipFill>
                        <pic:spPr>
                          <a:xfrm>
                            <a:off x="0" y="0"/>
                            <a:ext cx="6343650" cy="297561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r>
        <w:rPr>
          <w:rFonts w:eastAsia="宋体" w:cs="Calibri"/>
          <w:b/>
          <w:bCs/>
          <w:sz w:val="22"/>
          <w:szCs w:val="22"/>
          <w:lang w:eastAsia="zh-CN"/>
        </w:rPr>
        <w:t>Single-Crystal Blades:</w:t>
      </w:r>
      <w:r>
        <w:t xml:space="preserve"> </w:t>
      </w:r>
      <w:r>
        <w:rPr>
          <w:rFonts w:eastAsia="宋体" w:cs="Calibri"/>
          <w:sz w:val="22"/>
          <w:szCs w:val="22"/>
          <w:lang w:eastAsia="zh-CN"/>
        </w:rPr>
        <w:t>Combustor temperatures reach 1,600–2,000°C—far exceeding the blade alloy's melting point (1,000–1,200°C). Howmet's solution is a triple-layer thermal shield plus a single-crystal substrate: surface film cooling drops temps by 500°C, ceramic coatings add another 300°C of insulation, and a patented platinum-aluminum-hafnium (Pt-Al-Hf) bondcoat extends service life by 3–5×.</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 xml:space="preserve">The real moat is in the casting. </w:t>
      </w:r>
      <w:r>
        <w:rPr>
          <w:rFonts w:eastAsia="宋体" w:cs="Calibri"/>
          <w:sz w:val="22"/>
          <w:szCs w:val="22"/>
          <w:lang w:eastAsia="zh-CN"/>
        </w:rPr>
        <w:t>Howmet casts 200-micron (hair-thin) internal cooling channels in one shot—no post-cast drilling required. This "drill-free" technology preserves material integrity while making the intricate internal geometry impossible to reverse-engineer, creating the ultimate defensive barrier in the hot-section components market.</w:t>
      </w:r>
    </w:p>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Technical Barriers of Howmet's Single-Crystal Turbine Blades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5948045" cy="2990215"/>
                  <wp:effectExtent l="0" t="0" r="0" b="635"/>
                  <wp:docPr id="1155735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5771" name="图片 1"/>
                          <pic:cNvPicPr>
                            <a:picLocks noChangeAspect="1"/>
                          </pic:cNvPicPr>
                        </pic:nvPicPr>
                        <pic:blipFill>
                          <a:blip r:embed="rId23"/>
                          <a:stretch>
                            <a:fillRect/>
                          </a:stretch>
                        </pic:blipFill>
                        <pic:spPr>
                          <a:xfrm>
                            <a:off x="0" y="0"/>
                            <a:ext cx="5957304" cy="2995349"/>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rPr>
              <w:t>thundersaidenergy</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igure:</w:t>
            </w:r>
            <w:r>
              <w:rPr>
                <w:rFonts w:hint="eastAsia" w:ascii="Calibri" w:hAnsi="Calibri" w:cs="Calibri"/>
                <w:bCs w:val="0"/>
                <w:snapToGrid w:val="0"/>
                <w:sz w:val="20"/>
                <w:szCs w:val="20"/>
              </w:rPr>
              <w:t xml:space="preserve"> </w:t>
            </w:r>
            <w:r>
              <w:rPr>
                <w:rFonts w:ascii="Calibri" w:hAnsi="Calibri" w:cs="Calibri"/>
                <w:bCs w:val="0"/>
                <w:snapToGrid w:val="0"/>
                <w:sz w:val="20"/>
                <w:szCs w:val="20"/>
              </w:rPr>
              <w:t>Blade Cross-Section Structure (From Right Image, Top to Bottom)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0" w:hRule="atLeast"/>
        </w:trPr>
        <w:tc>
          <w:tcPr>
            <w:tcW w:w="10206" w:type="dxa"/>
            <w:tcBorders>
              <w:top w:val="single" w:color="023F97" w:sz="4" w:space="0"/>
              <w:bottom w:val="single" w:color="023F97" w:sz="4" w:space="0"/>
            </w:tcBorders>
            <w:vAlign w:val="center"/>
          </w:tcPr>
          <w:tbl>
            <w:tblPr>
              <w:tblStyle w:val="11"/>
              <w:tblW w:w="9910" w:type="dxa"/>
              <w:tblInd w:w="0" w:type="dxa"/>
              <w:tblLayout w:type="fixed"/>
              <w:tblCellMar>
                <w:top w:w="0" w:type="dxa"/>
                <w:left w:w="108" w:type="dxa"/>
                <w:bottom w:w="0" w:type="dxa"/>
                <w:right w:w="108" w:type="dxa"/>
              </w:tblCellMar>
            </w:tblPr>
            <w:tblGrid>
              <w:gridCol w:w="2402"/>
              <w:gridCol w:w="2378"/>
              <w:gridCol w:w="2565"/>
              <w:gridCol w:w="2565"/>
            </w:tblGrid>
            <w:tr>
              <w:tblPrEx>
                <w:tblCellMar>
                  <w:top w:w="0" w:type="dxa"/>
                  <w:left w:w="108" w:type="dxa"/>
                  <w:bottom w:w="0" w:type="dxa"/>
                  <w:right w:w="108" w:type="dxa"/>
                </w:tblCellMar>
              </w:tblPrEx>
              <w:trPr>
                <w:trHeight w:val="276" w:hRule="atLeast"/>
              </w:trPr>
              <w:tc>
                <w:tcPr>
                  <w:tcW w:w="2402" w:type="dxa"/>
                  <w:tcBorders>
                    <w:top w:val="single" w:color="auto" w:sz="4" w:space="0"/>
                    <w:left w:val="single" w:color="auto" w:sz="4" w:space="0"/>
                    <w:bottom w:val="single" w:color="auto" w:sz="4" w:space="0"/>
                    <w:right w:val="single" w:color="auto" w:sz="4" w:space="0"/>
                  </w:tcBorders>
                  <w:shd w:val="clear" w:color="000000" w:fill="4472C4"/>
                  <w:vAlign w:val="center"/>
                </w:tcPr>
                <w:p>
                  <w:pPr>
                    <w:jc w:val="center"/>
                    <w:rPr>
                      <w:rFonts w:hint="eastAsia" w:ascii="等线 Light" w:hAnsi="等线 Light" w:eastAsia="等线 Light" w:cs="宋体"/>
                      <w:b/>
                      <w:bCs/>
                      <w:snapToGrid/>
                      <w:color w:val="FFFFFF"/>
                      <w:sz w:val="18"/>
                      <w:szCs w:val="18"/>
                      <w:lang w:eastAsia="zh-CN"/>
                    </w:rPr>
                  </w:pPr>
                  <w:r>
                    <w:rPr>
                      <w:rFonts w:ascii="等线 Light" w:hAnsi="等线 Light" w:eastAsia="等线 Light" w:cs="宋体"/>
                      <w:b/>
                      <w:bCs/>
                      <w:snapToGrid/>
                      <w:color w:val="FFFFFF"/>
                      <w:sz w:val="18"/>
                      <w:szCs w:val="18"/>
                      <w:lang w:eastAsia="zh-CN"/>
                    </w:rPr>
                    <w:t>Layer</w:t>
                  </w:r>
                </w:p>
              </w:tc>
              <w:tc>
                <w:tcPr>
                  <w:tcW w:w="2378" w:type="dxa"/>
                  <w:tcBorders>
                    <w:top w:val="single" w:color="auto" w:sz="4" w:space="0"/>
                    <w:left w:val="nil"/>
                    <w:bottom w:val="single" w:color="auto" w:sz="4" w:space="0"/>
                    <w:right w:val="single" w:color="auto" w:sz="4" w:space="0"/>
                  </w:tcBorders>
                  <w:shd w:val="clear" w:color="000000" w:fill="4472C4"/>
                  <w:vAlign w:val="center"/>
                </w:tcPr>
                <w:p>
                  <w:pPr>
                    <w:jc w:val="center"/>
                    <w:rPr>
                      <w:rFonts w:hint="eastAsia" w:ascii="等线 Light" w:hAnsi="等线 Light" w:eastAsia="等线 Light" w:cs="宋体"/>
                      <w:b/>
                      <w:bCs/>
                      <w:snapToGrid/>
                      <w:color w:val="FFFFFF"/>
                      <w:sz w:val="18"/>
                      <w:szCs w:val="18"/>
                      <w:lang w:eastAsia="zh-CN"/>
                    </w:rPr>
                  </w:pPr>
                  <w:r>
                    <w:rPr>
                      <w:rFonts w:ascii="等线 Light" w:hAnsi="等线 Light" w:eastAsia="等线 Light" w:cs="宋体"/>
                      <w:b/>
                      <w:bCs/>
                      <w:snapToGrid/>
                      <w:color w:val="FFFFFF"/>
                      <w:sz w:val="18"/>
                      <w:szCs w:val="18"/>
                      <w:lang w:eastAsia="zh-CN"/>
                    </w:rPr>
                    <w:t>Material/Technology</w:t>
                  </w:r>
                </w:p>
              </w:tc>
              <w:tc>
                <w:tcPr>
                  <w:tcW w:w="2565" w:type="dxa"/>
                  <w:tcBorders>
                    <w:top w:val="single" w:color="auto" w:sz="4" w:space="0"/>
                    <w:left w:val="nil"/>
                    <w:bottom w:val="single" w:color="auto" w:sz="4" w:space="0"/>
                    <w:right w:val="single" w:color="auto" w:sz="4" w:space="0"/>
                  </w:tcBorders>
                  <w:shd w:val="clear" w:color="000000" w:fill="4472C4"/>
                  <w:vAlign w:val="center"/>
                </w:tcPr>
                <w:p>
                  <w:pPr>
                    <w:jc w:val="center"/>
                    <w:rPr>
                      <w:rFonts w:hint="eastAsia" w:ascii="等线 Light" w:hAnsi="等线 Light" w:eastAsia="等线 Light" w:cs="宋体"/>
                      <w:b/>
                      <w:bCs/>
                      <w:snapToGrid/>
                      <w:color w:val="FFFFFF"/>
                      <w:sz w:val="18"/>
                      <w:szCs w:val="18"/>
                      <w:lang w:eastAsia="zh-CN"/>
                    </w:rPr>
                  </w:pPr>
                  <w:r>
                    <w:rPr>
                      <w:rFonts w:ascii="等线 Light" w:hAnsi="等线 Light" w:eastAsia="等线 Light" w:cs="宋体"/>
                      <w:b/>
                      <w:bCs/>
                      <w:snapToGrid/>
                      <w:color w:val="FFFFFF"/>
                      <w:sz w:val="18"/>
                      <w:szCs w:val="18"/>
                      <w:lang w:eastAsia="zh-CN"/>
                    </w:rPr>
                    <w:t>Function</w:t>
                  </w:r>
                </w:p>
              </w:tc>
              <w:tc>
                <w:tcPr>
                  <w:tcW w:w="2565" w:type="dxa"/>
                  <w:tcBorders>
                    <w:top w:val="single" w:color="auto" w:sz="4" w:space="0"/>
                    <w:left w:val="nil"/>
                    <w:bottom w:val="single" w:color="auto" w:sz="4" w:space="0"/>
                    <w:right w:val="single" w:color="auto" w:sz="4" w:space="0"/>
                  </w:tcBorders>
                  <w:shd w:val="clear" w:color="000000" w:fill="4472C4"/>
                  <w:vAlign w:val="center"/>
                </w:tcPr>
                <w:p>
                  <w:pPr>
                    <w:jc w:val="center"/>
                    <w:rPr>
                      <w:rFonts w:hint="eastAsia" w:ascii="等线 Light" w:hAnsi="等线 Light" w:eastAsia="等线 Light" w:cs="宋体"/>
                      <w:b/>
                      <w:bCs/>
                      <w:snapToGrid/>
                      <w:color w:val="FFFFFF"/>
                      <w:sz w:val="18"/>
                      <w:szCs w:val="18"/>
                      <w:lang w:eastAsia="zh-CN"/>
                    </w:rPr>
                  </w:pPr>
                  <w:r>
                    <w:rPr>
                      <w:rFonts w:ascii="等线 Light" w:hAnsi="等线 Light" w:eastAsia="等线 Light" w:cs="宋体"/>
                      <w:b/>
                      <w:bCs/>
                      <w:snapToGrid/>
                      <w:color w:val="FFFFFF"/>
                      <w:sz w:val="18"/>
                      <w:szCs w:val="18"/>
                      <w:lang w:eastAsia="zh-CN"/>
                    </w:rPr>
                    <w:t>Howmet Patent Moat</w:t>
                  </w:r>
                </w:p>
              </w:tc>
            </w:tr>
            <w:tr>
              <w:tblPrEx>
                <w:tblCellMar>
                  <w:top w:w="0" w:type="dxa"/>
                  <w:left w:w="108" w:type="dxa"/>
                  <w:bottom w:w="0" w:type="dxa"/>
                  <w:right w:w="108" w:type="dxa"/>
                </w:tblCellMar>
              </w:tblPrEx>
              <w:trPr>
                <w:trHeight w:val="907" w:hRule="atLeast"/>
              </w:trPr>
              <w:tc>
                <w:tcPr>
                  <w:tcW w:w="2402" w:type="dxa"/>
                  <w:tcBorders>
                    <w:top w:val="nil"/>
                    <w:left w:val="single" w:color="auto" w:sz="4" w:space="0"/>
                    <w:bottom w:val="single" w:color="auto" w:sz="4" w:space="0"/>
                    <w:right w:val="single" w:color="auto" w:sz="4" w:space="0"/>
                  </w:tcBorders>
                  <w:shd w:val="clear" w:color="000000" w:fill="FFFFFF"/>
                  <w:vAlign w:val="center"/>
                </w:tcPr>
                <w:p>
                  <w:pPr>
                    <w:rPr>
                      <w:rFonts w:hint="eastAsia" w:ascii="等线 Light" w:hAnsi="等线 Light" w:eastAsia="等线 Light" w:cs="宋体"/>
                      <w:b/>
                      <w:bCs/>
                      <w:snapToGrid/>
                      <w:color w:val="000000"/>
                      <w:sz w:val="18"/>
                      <w:szCs w:val="18"/>
                      <w:lang w:eastAsia="zh-CN"/>
                    </w:rPr>
                  </w:pPr>
                  <w:r>
                    <w:rPr>
                      <w:rFonts w:ascii="等线 Light" w:hAnsi="等线 Light" w:eastAsia="等线 Light" w:cs="宋体"/>
                      <w:b/>
                      <w:bCs/>
                      <w:snapToGrid/>
                      <w:color w:val="000000"/>
                      <w:sz w:val="18"/>
                      <w:szCs w:val="18"/>
                      <w:lang w:eastAsia="zh-CN"/>
                    </w:rPr>
                    <w:t>Film Cooling</w:t>
                  </w:r>
                </w:p>
              </w:tc>
              <w:tc>
                <w:tcPr>
                  <w:tcW w:w="2378"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Air Film</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Blows cool air from surface micro-holes forming an "air cushion," reducing temperature by </w:t>
                  </w:r>
                  <w:r>
                    <w:rPr>
                      <w:rFonts w:ascii="等线 Light" w:hAnsi="等线 Light" w:eastAsia="等线 Light" w:cs="宋体"/>
                      <w:b/>
                      <w:bCs/>
                      <w:snapToGrid/>
                      <w:color w:val="000000"/>
                      <w:sz w:val="18"/>
                      <w:szCs w:val="18"/>
                      <w:lang w:eastAsia="zh-CN"/>
                    </w:rPr>
                    <w:t>100-500°C</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Direct casting of </w:t>
                  </w:r>
                  <w:r>
                    <w:rPr>
                      <w:rFonts w:ascii="等线 Light" w:hAnsi="等线 Light" w:eastAsia="等线 Light" w:cs="宋体"/>
                      <w:b/>
                      <w:bCs/>
                      <w:snapToGrid/>
                      <w:color w:val="000000"/>
                      <w:sz w:val="18"/>
                      <w:szCs w:val="18"/>
                      <w:lang w:eastAsia="zh-CN"/>
                    </w:rPr>
                    <w:t>200-micron</w:t>
                  </w:r>
                  <w:r>
                    <w:rPr>
                      <w:rFonts w:ascii="等线 Light" w:hAnsi="等线 Light" w:eastAsia="等线 Light" w:cs="宋体"/>
                      <w:snapToGrid/>
                      <w:color w:val="000000"/>
                      <w:sz w:val="18"/>
                      <w:szCs w:val="18"/>
                      <w:lang w:eastAsia="zh-CN"/>
                    </w:rPr>
                    <w:t> cooling channels (drill-free)</w:t>
                  </w:r>
                </w:p>
              </w:tc>
            </w:tr>
            <w:tr>
              <w:tblPrEx>
                <w:tblCellMar>
                  <w:top w:w="0" w:type="dxa"/>
                  <w:left w:w="108" w:type="dxa"/>
                  <w:bottom w:w="0" w:type="dxa"/>
                  <w:right w:w="108" w:type="dxa"/>
                </w:tblCellMar>
              </w:tblPrEx>
              <w:trPr>
                <w:trHeight w:val="680" w:hRule="atLeast"/>
              </w:trPr>
              <w:tc>
                <w:tcPr>
                  <w:tcW w:w="2402" w:type="dxa"/>
                  <w:tcBorders>
                    <w:top w:val="nil"/>
                    <w:left w:val="single" w:color="auto" w:sz="4" w:space="0"/>
                    <w:bottom w:val="single" w:color="auto" w:sz="4" w:space="0"/>
                    <w:right w:val="single" w:color="auto" w:sz="4" w:space="0"/>
                  </w:tcBorders>
                  <w:shd w:val="clear" w:color="000000" w:fill="FFFFFF"/>
                  <w:vAlign w:val="center"/>
                </w:tcPr>
                <w:p>
                  <w:pPr>
                    <w:rPr>
                      <w:rFonts w:hint="eastAsia" w:ascii="等线 Light" w:hAnsi="等线 Light" w:eastAsia="等线 Light" w:cs="宋体"/>
                      <w:b/>
                      <w:bCs/>
                      <w:snapToGrid/>
                      <w:color w:val="000000"/>
                      <w:sz w:val="18"/>
                      <w:szCs w:val="18"/>
                      <w:lang w:eastAsia="zh-CN"/>
                    </w:rPr>
                  </w:pPr>
                  <w:r>
                    <w:rPr>
                      <w:rFonts w:ascii="等线 Light" w:hAnsi="等线 Light" w:eastAsia="等线 Light" w:cs="宋体"/>
                      <w:b/>
                      <w:bCs/>
                      <w:snapToGrid/>
                      <w:color w:val="000000"/>
                      <w:sz w:val="18"/>
                      <w:szCs w:val="18"/>
                      <w:lang w:eastAsia="zh-CN"/>
                    </w:rPr>
                    <w:t>Thermal Barrier Coating (TBC)</w:t>
                  </w:r>
                </w:p>
              </w:tc>
              <w:tc>
                <w:tcPr>
                  <w:tcW w:w="2378"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Alumina/Zirconia Ceramics</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Vapor-deposited, provides </w:t>
                  </w:r>
                  <w:r>
                    <w:rPr>
                      <w:rFonts w:ascii="等线 Light" w:hAnsi="等线 Light" w:eastAsia="等线 Light" w:cs="宋体"/>
                      <w:b/>
                      <w:bCs/>
                      <w:snapToGrid/>
                      <w:color w:val="000000"/>
                      <w:sz w:val="18"/>
                      <w:szCs w:val="18"/>
                      <w:lang w:eastAsia="zh-CN"/>
                    </w:rPr>
                    <w:t>100-300°C</w:t>
                  </w:r>
                  <w:r>
                    <w:rPr>
                      <w:rFonts w:ascii="等线 Light" w:hAnsi="等线 Light" w:eastAsia="等线 Light" w:cs="宋体"/>
                      <w:snapToGrid/>
                      <w:color w:val="000000"/>
                      <w:sz w:val="18"/>
                      <w:szCs w:val="18"/>
                      <w:lang w:eastAsia="zh-CN"/>
                    </w:rPr>
                    <w:t> thermal insulation</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Proprietary ceramic formulation &amp; EB-PVD deposition process</w:t>
                  </w:r>
                </w:p>
              </w:tc>
            </w:tr>
            <w:tr>
              <w:tblPrEx>
                <w:tblCellMar>
                  <w:top w:w="0" w:type="dxa"/>
                  <w:left w:w="108" w:type="dxa"/>
                  <w:bottom w:w="0" w:type="dxa"/>
                  <w:right w:w="108" w:type="dxa"/>
                </w:tblCellMar>
              </w:tblPrEx>
              <w:trPr>
                <w:trHeight w:val="907" w:hRule="atLeast"/>
              </w:trPr>
              <w:tc>
                <w:tcPr>
                  <w:tcW w:w="2402" w:type="dxa"/>
                  <w:tcBorders>
                    <w:top w:val="nil"/>
                    <w:left w:val="single" w:color="auto" w:sz="4" w:space="0"/>
                    <w:bottom w:val="single" w:color="auto" w:sz="4" w:space="0"/>
                    <w:right w:val="single" w:color="auto" w:sz="4" w:space="0"/>
                  </w:tcBorders>
                  <w:shd w:val="clear" w:color="000000" w:fill="FFFFFF"/>
                  <w:vAlign w:val="center"/>
                </w:tcPr>
                <w:p>
                  <w:pPr>
                    <w:rPr>
                      <w:rFonts w:hint="eastAsia" w:ascii="等线 Light" w:hAnsi="等线 Light" w:eastAsia="等线 Light" w:cs="宋体"/>
                      <w:b/>
                      <w:bCs/>
                      <w:snapToGrid/>
                      <w:color w:val="000000"/>
                      <w:sz w:val="18"/>
                      <w:szCs w:val="18"/>
                      <w:lang w:eastAsia="zh-CN"/>
                    </w:rPr>
                  </w:pPr>
                  <w:r>
                    <w:rPr>
                      <w:rFonts w:ascii="等线 Light" w:hAnsi="等线 Light" w:eastAsia="等线 Light" w:cs="宋体"/>
                      <w:b/>
                      <w:bCs/>
                      <w:snapToGrid/>
                      <w:color w:val="000000"/>
                      <w:sz w:val="18"/>
                      <w:szCs w:val="18"/>
                      <w:lang w:eastAsia="zh-CN"/>
                    </w:rPr>
                    <w:t>Bondcoat</w:t>
                  </w:r>
                </w:p>
              </w:tc>
              <w:tc>
                <w:tcPr>
                  <w:tcW w:w="2378"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Platinum-Aluminum-Hafnium (Pt-Al-Hf)</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Bonds substrate to coating, oxidation/corrosion resistant; extends blade life by </w:t>
                  </w:r>
                  <w:r>
                    <w:rPr>
                      <w:rFonts w:ascii="等线 Light" w:hAnsi="等线 Light" w:eastAsia="等线 Light" w:cs="宋体"/>
                      <w:b/>
                      <w:bCs/>
                      <w:snapToGrid/>
                      <w:color w:val="000000"/>
                      <w:sz w:val="18"/>
                      <w:szCs w:val="18"/>
                      <w:lang w:eastAsia="zh-CN"/>
                    </w:rPr>
                    <w:t>3-5×</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Patented Pt-Al-Hf deposition composition</w:t>
                  </w:r>
                </w:p>
              </w:tc>
            </w:tr>
            <w:tr>
              <w:tblPrEx>
                <w:tblCellMar>
                  <w:top w:w="0" w:type="dxa"/>
                  <w:left w:w="108" w:type="dxa"/>
                  <w:bottom w:w="0" w:type="dxa"/>
                  <w:right w:w="108" w:type="dxa"/>
                </w:tblCellMar>
              </w:tblPrEx>
              <w:trPr>
                <w:trHeight w:val="680" w:hRule="atLeast"/>
              </w:trPr>
              <w:tc>
                <w:tcPr>
                  <w:tcW w:w="2402" w:type="dxa"/>
                  <w:tcBorders>
                    <w:top w:val="nil"/>
                    <w:left w:val="single" w:color="auto" w:sz="4" w:space="0"/>
                    <w:bottom w:val="single" w:color="auto" w:sz="4" w:space="0"/>
                    <w:right w:val="single" w:color="auto" w:sz="4" w:space="0"/>
                  </w:tcBorders>
                  <w:shd w:val="clear" w:color="000000" w:fill="FFFFFF"/>
                  <w:vAlign w:val="center"/>
                </w:tcPr>
                <w:p>
                  <w:pPr>
                    <w:rPr>
                      <w:rFonts w:hint="eastAsia" w:ascii="等线 Light" w:hAnsi="等线 Light" w:eastAsia="等线 Light" w:cs="宋体"/>
                      <w:b/>
                      <w:bCs/>
                      <w:snapToGrid/>
                      <w:color w:val="000000"/>
                      <w:sz w:val="18"/>
                      <w:szCs w:val="18"/>
                      <w:lang w:eastAsia="zh-CN"/>
                    </w:rPr>
                  </w:pPr>
                  <w:r>
                    <w:rPr>
                      <w:rFonts w:ascii="等线 Light" w:hAnsi="等线 Light" w:eastAsia="等线 Light" w:cs="宋体"/>
                      <w:b/>
                      <w:bCs/>
                      <w:snapToGrid/>
                      <w:color w:val="000000"/>
                      <w:sz w:val="18"/>
                      <w:szCs w:val="18"/>
                      <w:lang w:eastAsia="zh-CN"/>
                    </w:rPr>
                    <w:t>Substrate</w:t>
                  </w:r>
                </w:p>
              </w:tc>
              <w:tc>
                <w:tcPr>
                  <w:tcW w:w="2378"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Nickel-based Single-Crystal Superalloy</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Grain-boundary-free structure, primary load-bearing component</w:t>
                  </w:r>
                </w:p>
              </w:tc>
              <w:tc>
                <w:tcPr>
                  <w:tcW w:w="2565" w:type="dxa"/>
                  <w:tcBorders>
                    <w:top w:val="nil"/>
                    <w:left w:val="nil"/>
                    <w:bottom w:val="single" w:color="auto" w:sz="4" w:space="0"/>
                    <w:right w:val="single" w:color="auto" w:sz="4" w:space="0"/>
                  </w:tcBorders>
                  <w:shd w:val="clear" w:color="000000" w:fill="FFFFFF"/>
                  <w:vAlign w:val="center"/>
                </w:tcPr>
                <w:p>
                  <w:pPr>
                    <w:rPr>
                      <w:rFonts w:hint="eastAsia" w:ascii="等线 Light" w:hAnsi="等线 Light" w:eastAsia="等线 Light" w:cs="宋体"/>
                      <w:snapToGrid/>
                      <w:color w:val="000000"/>
                      <w:sz w:val="18"/>
                      <w:szCs w:val="18"/>
                      <w:lang w:eastAsia="zh-CN"/>
                    </w:rPr>
                  </w:pPr>
                  <w:r>
                    <w:rPr>
                      <w:rFonts w:ascii="等线 Light" w:hAnsi="等线 Light" w:eastAsia="等线 Light" w:cs="宋体"/>
                      <w:snapToGrid/>
                      <w:color w:val="000000"/>
                      <w:sz w:val="18"/>
                      <w:szCs w:val="18"/>
                      <w:lang w:eastAsia="zh-CN"/>
                    </w:rPr>
                    <w:t>Single-crystal directional solidification casting technology</w:t>
                  </w:r>
                </w:p>
              </w:tc>
            </w:tr>
          </w:tbl>
          <w:p>
            <w:pPr>
              <w:pStyle w:val="150"/>
              <w:keepNext/>
              <w:spacing w:after="240"/>
              <w:jc w:val="center"/>
              <w:rPr>
                <w:rFonts w:hint="eastAsia" w:ascii="等线" w:hAnsi="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rPr>
              <w:t>thundersaidenergy</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r>
              <w:rPr>
                <w:rFonts w:hint="eastAsia" w:ascii="Calibri" w:hAnsi="Calibri" w:cs="Calibri"/>
                <w:snapToGrid w:val="0"/>
                <w:sz w:val="16"/>
                <w:szCs w:val="16"/>
              </w:rPr>
              <w:t xml:space="preserve"> </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OEMs like Pratt &amp; Whitney, GE Aerospace, Rolls</w:t>
      </w:r>
      <w:r>
        <w:rPr>
          <w:rFonts w:hint="eastAsia" w:eastAsia="宋体" w:cs="Calibri"/>
          <w:sz w:val="22"/>
          <w:szCs w:val="22"/>
          <w:lang w:eastAsia="zh-CN"/>
        </w:rPr>
        <w:t xml:space="preserve"> </w:t>
      </w:r>
      <w:r>
        <w:rPr>
          <w:rFonts w:eastAsia="宋体" w:cs="Calibri"/>
          <w:sz w:val="22"/>
          <w:szCs w:val="22"/>
          <w:lang w:eastAsia="zh-CN"/>
        </w:rPr>
        <w:t>Royce, and Safran are pushing toward higher bypass ratios and hotter cores for better fuel burn and lower emissions. That only works if the materials can cope. Howmet Aerospace is effectively a key enabler of more efficient, lower</w:t>
      </w:r>
      <w:r>
        <w:rPr>
          <w:rFonts w:hint="eastAsia" w:eastAsia="宋体" w:cs="Calibri"/>
          <w:sz w:val="22"/>
          <w:szCs w:val="22"/>
          <w:lang w:eastAsia="zh-CN"/>
        </w:rPr>
        <w:t xml:space="preserve"> </w:t>
      </w:r>
      <w:r>
        <w:rPr>
          <w:rFonts w:eastAsia="宋体" w:cs="Calibri"/>
          <w:sz w:val="22"/>
          <w:szCs w:val="22"/>
          <w:lang w:eastAsia="zh-CN"/>
        </w:rPr>
        <w:t>emission aviation without needing a radical change in propulsion architecture.</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In jet engine and industrial gas turbine castings, the clearest head</w:t>
      </w:r>
      <w:r>
        <w:rPr>
          <w:rFonts w:hint="eastAsia" w:eastAsia="宋体" w:cs="Calibri"/>
          <w:sz w:val="22"/>
          <w:szCs w:val="22"/>
          <w:lang w:eastAsia="zh-CN"/>
        </w:rPr>
        <w:t xml:space="preserve"> </w:t>
      </w:r>
      <w:r>
        <w:rPr>
          <w:rFonts w:eastAsia="宋体" w:cs="Calibri"/>
          <w:sz w:val="22"/>
          <w:szCs w:val="22"/>
          <w:lang w:eastAsia="zh-CN"/>
        </w:rPr>
        <w:t>to</w:t>
      </w:r>
      <w:r>
        <w:rPr>
          <w:rFonts w:hint="eastAsia" w:eastAsia="宋体" w:cs="Calibri"/>
          <w:sz w:val="22"/>
          <w:szCs w:val="22"/>
          <w:lang w:eastAsia="zh-CN"/>
        </w:rPr>
        <w:t xml:space="preserve"> </w:t>
      </w:r>
      <w:r>
        <w:rPr>
          <w:rFonts w:eastAsia="宋体" w:cs="Calibri"/>
          <w:sz w:val="22"/>
          <w:szCs w:val="22"/>
          <w:lang w:eastAsia="zh-CN"/>
        </w:rPr>
        <w:t>head rivalry is between Howmet Aerospace and Precision Castparts, a Berkshire Hathaway company. PCC’s</w:t>
      </w:r>
      <w:r>
        <w:rPr>
          <w:rFonts w:hint="eastAsia" w:eastAsia="宋体" w:cs="Calibri"/>
          <w:sz w:val="22"/>
          <w:szCs w:val="22"/>
          <w:lang w:eastAsia="zh-CN"/>
        </w:rPr>
        <w:t xml:space="preserve"> </w:t>
      </w:r>
      <w:r>
        <w:rPr>
          <w:rFonts w:eastAsia="宋体" w:cs="Calibri"/>
          <w:sz w:val="22"/>
          <w:szCs w:val="22"/>
          <w:lang w:eastAsia="zh-CN"/>
        </w:rPr>
        <w:t>portfolio includes products like </w:t>
      </w:r>
      <w:r>
        <w:rPr>
          <w:rFonts w:eastAsia="宋体" w:cs="Calibri"/>
          <w:b/>
          <w:bCs/>
          <w:sz w:val="22"/>
          <w:szCs w:val="22"/>
          <w:lang w:eastAsia="zh-CN"/>
        </w:rPr>
        <w:t>PCC Airfoils turbine blades and Special Metals superalloy materials</w:t>
      </w:r>
      <w:r>
        <w:rPr>
          <w:rFonts w:eastAsia="宋体" w:cs="Calibri"/>
          <w:sz w:val="22"/>
          <w:szCs w:val="22"/>
          <w:lang w:eastAsia="zh-CN"/>
        </w:rPr>
        <w:t>, which compete directly with Howmet Aerospace’s Engine Products division.</w:t>
      </w:r>
    </w:p>
    <w:p>
      <w:pPr>
        <w:jc w:val="both"/>
        <w:rPr>
          <w:rFonts w:eastAsia="宋体" w:cs="Calibri"/>
          <w:sz w:val="22"/>
          <w:szCs w:val="22"/>
          <w:lang w:eastAsia="zh-CN"/>
        </w:rPr>
      </w:pPr>
      <w:r>
        <w:rPr>
          <w:rFonts w:eastAsia="宋体" w:cs="Calibri"/>
          <w:sz w:val="22"/>
          <w:szCs w:val="22"/>
          <w:lang w:eastAsia="zh-CN"/>
        </w:rPr>
        <w:t>Compared directly to PCC Airfoils, Howmet Aerospace’s engine components emphasize:</w:t>
      </w:r>
    </w:p>
    <w:p>
      <w:pPr>
        <w:numPr>
          <w:ilvl w:val="0"/>
          <w:numId w:val="10"/>
        </w:numPr>
        <w:jc w:val="both"/>
        <w:rPr>
          <w:rFonts w:eastAsia="宋体" w:cs="Calibri"/>
          <w:sz w:val="22"/>
          <w:szCs w:val="22"/>
          <w:lang w:eastAsia="zh-CN"/>
        </w:rPr>
      </w:pPr>
      <w:r>
        <w:rPr>
          <w:rFonts w:eastAsia="宋体" w:cs="Calibri"/>
          <w:b/>
          <w:bCs/>
          <w:sz w:val="22"/>
          <w:szCs w:val="22"/>
          <w:lang w:eastAsia="zh-CN"/>
        </w:rPr>
        <w:t>Process innovation</w:t>
      </w:r>
      <w:r>
        <w:rPr>
          <w:rFonts w:eastAsia="宋体" w:cs="Calibri"/>
          <w:sz w:val="22"/>
          <w:szCs w:val="22"/>
          <w:lang w:eastAsia="zh-CN"/>
        </w:rPr>
        <w:t> in single</w:t>
      </w:r>
      <w:r>
        <w:rPr>
          <w:rFonts w:hint="eastAsia" w:eastAsia="宋体" w:cs="Calibri"/>
          <w:sz w:val="22"/>
          <w:szCs w:val="22"/>
          <w:lang w:eastAsia="zh-CN"/>
        </w:rPr>
        <w:t xml:space="preserve"> </w:t>
      </w:r>
      <w:r>
        <w:rPr>
          <w:rFonts w:eastAsia="宋体" w:cs="Calibri"/>
          <w:sz w:val="22"/>
          <w:szCs w:val="22"/>
          <w:lang w:eastAsia="zh-CN"/>
        </w:rPr>
        <w:t>crystal and directionally solidified casting, driven by deep collaboration with engine OEMs.</w:t>
      </w:r>
    </w:p>
    <w:p>
      <w:pPr>
        <w:numPr>
          <w:ilvl w:val="0"/>
          <w:numId w:val="10"/>
        </w:numPr>
        <w:jc w:val="both"/>
        <w:rPr>
          <w:rFonts w:eastAsia="宋体" w:cs="Calibri"/>
          <w:sz w:val="22"/>
          <w:szCs w:val="22"/>
          <w:lang w:eastAsia="zh-CN"/>
        </w:rPr>
      </w:pPr>
      <w:r>
        <w:rPr>
          <w:rFonts w:eastAsia="宋体" w:cs="Calibri"/>
          <w:b/>
          <w:bCs/>
          <w:sz w:val="22"/>
          <w:szCs w:val="22"/>
          <w:lang w:eastAsia="zh-CN"/>
        </w:rPr>
        <w:t>Integration</w:t>
      </w:r>
      <w:r>
        <w:rPr>
          <w:rFonts w:eastAsia="宋体" w:cs="Calibri"/>
          <w:sz w:val="22"/>
          <w:szCs w:val="22"/>
          <w:lang w:eastAsia="zh-CN"/>
        </w:rPr>
        <w:t> with downstream machining and coatings, bundling more value into each component.</w:t>
      </w:r>
    </w:p>
    <w:p>
      <w:pPr>
        <w:numPr>
          <w:ilvl w:val="0"/>
          <w:numId w:val="10"/>
        </w:numPr>
        <w:jc w:val="both"/>
        <w:rPr>
          <w:rFonts w:eastAsia="宋体" w:cs="Calibri"/>
          <w:sz w:val="22"/>
          <w:szCs w:val="22"/>
          <w:lang w:eastAsia="zh-CN"/>
        </w:rPr>
      </w:pPr>
      <w:r>
        <w:rPr>
          <w:rFonts w:eastAsia="宋体" w:cs="Calibri"/>
          <w:b/>
          <w:bCs/>
          <w:sz w:val="22"/>
          <w:szCs w:val="22"/>
          <w:lang w:eastAsia="zh-CN"/>
        </w:rPr>
        <w:t>Portfolio diversification</w:t>
      </w:r>
      <w:r>
        <w:rPr>
          <w:rFonts w:eastAsia="宋体" w:cs="Calibri"/>
          <w:sz w:val="22"/>
          <w:szCs w:val="22"/>
          <w:lang w:eastAsia="zh-CN"/>
        </w:rPr>
        <w:t> into defense and industrial markets, spreading risk beyond a single large customer set.</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In 2015, Berkshire acquired Precision Castparts (PCC) for $37bn. Over the last decade, PCCs revenue and operating income has declined from $10bn to ~$9.5bn and $2.5bn to $1.5bn, respectively. What was once an investment casting duopoly has now seen entrants such as Consolidated Precision Products (CPP) take share.</w:t>
      </w:r>
    </w:p>
    <w:p>
      <w:pPr>
        <w:jc w:val="both"/>
        <w:rPr>
          <w:rFonts w:eastAsia="宋体" w:cs="Calibri"/>
          <w:sz w:val="22"/>
          <w:szCs w:val="22"/>
          <w:lang w:eastAsia="zh-CN"/>
        </w:rPr>
      </w:pPr>
    </w:p>
    <w:p>
      <w:pPr>
        <w:jc w:val="both"/>
        <w:rPr>
          <w:rFonts w:eastAsia="宋体" w:cs="Calibri"/>
          <w:sz w:val="22"/>
          <w:szCs w:val="22"/>
          <w:lang w:eastAsia="zh-CN"/>
        </w:rPr>
      </w:pPr>
      <w:r>
        <w:rPr>
          <w:rFonts w:hint="eastAsia" w:eastAsia="宋体" w:cs="Calibri"/>
          <w:sz w:val="22"/>
          <w:szCs w:val="22"/>
          <w:lang w:eastAsia="zh-CN"/>
        </w:rPr>
        <w:t xml:space="preserve">Comparing the </w:t>
      </w:r>
      <w:r>
        <w:rPr>
          <w:rFonts w:eastAsia="宋体" w:cs="Calibri"/>
          <w:sz w:val="22"/>
          <w:szCs w:val="22"/>
          <w:lang w:eastAsia="zh-CN"/>
        </w:rPr>
        <w:t>Single Crystal HPT Blade Investment Casting Process</w:t>
      </w:r>
      <w:r>
        <w:rPr>
          <w:rFonts w:hint="eastAsia" w:eastAsia="宋体" w:cs="Calibri"/>
          <w:sz w:val="22"/>
          <w:szCs w:val="22"/>
          <w:lang w:eastAsia="zh-CN"/>
        </w:rPr>
        <w:t xml:space="preserve"> of Howmet and Precision Castparts, it is a difficult craft.</w:t>
      </w:r>
      <w:r>
        <w:t xml:space="preserve"> </w:t>
      </w:r>
      <w:r>
        <w:rPr>
          <w:rFonts w:eastAsia="宋体" w:cs="Calibri"/>
          <w:sz w:val="22"/>
          <w:szCs w:val="22"/>
          <w:lang w:eastAsia="zh-CN"/>
        </w:rPr>
        <w:t>There are literally only four or five companies in the world that are any good at it. PCC and Howmet probably own 80% of the market, maybe even higher for single crystal.</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The aircraft engine blade market has witnessed notable growth in recent years and is poised for further expansion. Valued at $17.52 billion in 2025, the market is projected to reach $18.84 billion in 2026, growing at a CAGR of 7.5%.</w:t>
      </w:r>
      <w:r>
        <w:rPr>
          <w:rFonts w:hint="eastAsia" w:eastAsia="宋体" w:cs="Calibri"/>
          <w:sz w:val="22"/>
          <w:szCs w:val="22"/>
          <w:lang w:eastAsia="zh-CN"/>
        </w:rPr>
        <w:t xml:space="preserve"> </w:t>
      </w:r>
      <w:r>
        <w:rPr>
          <w:rFonts w:eastAsia="宋体" w:cs="Calibri"/>
          <w:sz w:val="22"/>
          <w:szCs w:val="22"/>
          <w:lang w:eastAsia="zh-CN"/>
        </w:rPr>
        <w:t>Looking ahead, the market is expected to continue its upward trajectory, reaching $24.92 billion by 2030 at a CAGR of 7.2%.</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 xml:space="preserve">According to Research and Markets, the global aircraft engine blade market was valued at approximately </w:t>
      </w:r>
      <w:r>
        <w:rPr>
          <w:rFonts w:hint="eastAsia" w:eastAsia="宋体" w:cs="Calibri"/>
          <w:sz w:val="22"/>
          <w:szCs w:val="22"/>
          <w:lang w:eastAsia="zh-CN"/>
        </w:rPr>
        <w:t>$</w:t>
      </w:r>
      <w:r>
        <w:rPr>
          <w:rFonts w:eastAsia="宋体" w:cs="Calibri"/>
          <w:sz w:val="22"/>
          <w:szCs w:val="22"/>
          <w:lang w:eastAsia="zh-CN"/>
        </w:rPr>
        <w:t xml:space="preserve">17.52 billion in 2025. Excluding composite fan blades, the addressable market for investment castings is estimated at </w:t>
      </w:r>
      <w:r>
        <w:rPr>
          <w:rFonts w:hint="eastAsia" w:eastAsia="宋体" w:cs="Calibri"/>
          <w:sz w:val="22"/>
          <w:szCs w:val="22"/>
          <w:lang w:eastAsia="zh-CN"/>
        </w:rPr>
        <w:t>$</w:t>
      </w:r>
      <w:r>
        <w:rPr>
          <w:rFonts w:eastAsia="宋体" w:cs="Calibri"/>
          <w:sz w:val="22"/>
          <w:szCs w:val="22"/>
          <w:lang w:eastAsia="zh-CN"/>
        </w:rPr>
        <w:t xml:space="preserve">8-9 billion. Within this, single-crystal and directionally-solidified (DS) high-temperature blades represent approximately </w:t>
      </w:r>
      <w:r>
        <w:rPr>
          <w:rFonts w:hint="eastAsia" w:eastAsia="宋体" w:cs="Calibri"/>
          <w:sz w:val="22"/>
          <w:szCs w:val="22"/>
          <w:lang w:eastAsia="zh-CN"/>
        </w:rPr>
        <w:t>$</w:t>
      </w:r>
      <w:r>
        <w:rPr>
          <w:rFonts w:eastAsia="宋体" w:cs="Calibri"/>
          <w:sz w:val="22"/>
          <w:szCs w:val="22"/>
          <w:lang w:eastAsia="zh-CN"/>
        </w:rPr>
        <w:t>5-6 billion, where Howmet and PCC form a duopoly with a combined market share of approximately 75-85% (equivalent to</w:t>
      </w:r>
      <w:r>
        <w:rPr>
          <w:rFonts w:hint="eastAsia" w:eastAsia="宋体" w:cs="Calibri"/>
          <w:sz w:val="22"/>
          <w:szCs w:val="22"/>
          <w:lang w:eastAsia="zh-CN"/>
        </w:rPr>
        <w:t>$</w:t>
      </w:r>
      <w:r>
        <w:rPr>
          <w:rFonts w:eastAsia="宋体" w:cs="Calibri"/>
          <w:sz w:val="22"/>
          <w:szCs w:val="22"/>
          <w:lang w:eastAsia="zh-CN"/>
        </w:rPr>
        <w:t>4-5</w:t>
      </w:r>
      <w:r>
        <w:rPr>
          <w:rFonts w:hint="eastAsia" w:eastAsia="宋体" w:cs="Calibri"/>
          <w:sz w:val="22"/>
          <w:szCs w:val="22"/>
          <w:lang w:eastAsia="zh-CN"/>
        </w:rPr>
        <w:t xml:space="preserve"> billion).</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Aircraft Engine Blade Market Predict</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657600" cy="2472690"/>
                  <wp:effectExtent l="0" t="0" r="0" b="3810"/>
                  <wp:docPr id="52560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7150" name="图片 1"/>
                          <pic:cNvPicPr>
                            <a:picLocks noChangeAspect="1"/>
                          </pic:cNvPicPr>
                        </pic:nvPicPr>
                        <pic:blipFill>
                          <a:blip r:embed="rId24"/>
                          <a:stretch>
                            <a:fillRect/>
                          </a:stretch>
                        </pic:blipFill>
                        <pic:spPr>
                          <a:xfrm>
                            <a:off x="0" y="0"/>
                            <a:ext cx="3674200" cy="248426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w:t>
            </w:r>
            <w:r>
              <w:rPr>
                <w:rFonts w:hint="eastAsia" w:eastAsia="宋体" w:cs="Calibri"/>
                <w:lang w:eastAsia="zh-CN"/>
              </w:rPr>
              <w:t>GlobeNewswires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As a tier-1 component supplier, Howmet operates with materially lower R&amp;D intensity (0.5</w:t>
      </w:r>
      <w:r>
        <w:rPr>
          <w:rFonts w:hint="eastAsia" w:eastAsia="宋体" w:cs="Calibri"/>
          <w:sz w:val="22"/>
          <w:szCs w:val="22"/>
          <w:lang w:eastAsia="zh-CN"/>
        </w:rPr>
        <w:t>4</w:t>
      </w:r>
      <w:r>
        <w:rPr>
          <w:rFonts w:eastAsia="宋体" w:cs="Calibri"/>
          <w:sz w:val="22"/>
          <w:szCs w:val="22"/>
          <w:lang w:eastAsia="zh-CN"/>
        </w:rPr>
        <w:t>%) versus integrated engine manufacturers GE and Safran (</w:t>
      </w:r>
      <w:r>
        <w:rPr>
          <w:rFonts w:hint="eastAsia" w:eastAsia="宋体" w:cs="Calibri"/>
          <w:sz w:val="22"/>
          <w:szCs w:val="22"/>
          <w:lang w:eastAsia="zh-CN"/>
        </w:rPr>
        <w:t>7% and 7.84%</w:t>
      </w:r>
      <w:r>
        <w:rPr>
          <w:rFonts w:eastAsia="宋体" w:cs="Calibri"/>
          <w:sz w:val="22"/>
          <w:szCs w:val="22"/>
          <w:lang w:eastAsia="zh-CN"/>
        </w:rPr>
        <w:t>)</w:t>
      </w:r>
      <w:r>
        <w:rPr>
          <w:rFonts w:hint="eastAsia" w:eastAsia="宋体" w:cs="Calibri"/>
          <w:sz w:val="22"/>
          <w:szCs w:val="22"/>
          <w:lang w:eastAsia="zh-CN"/>
        </w:rPr>
        <w:t xml:space="preserve"> in 2024</w:t>
      </w:r>
      <w:r>
        <w:rPr>
          <w:rFonts w:eastAsia="宋体" w:cs="Calibri"/>
          <w:sz w:val="22"/>
          <w:szCs w:val="22"/>
          <w:lang w:eastAsia="zh-CN"/>
        </w:rPr>
        <w:t>.</w:t>
      </w:r>
      <w:r>
        <w:rPr>
          <w:rFonts w:hint="eastAsia" w:eastAsia="宋体" w:cs="Calibri"/>
          <w:sz w:val="22"/>
          <w:szCs w:val="22"/>
          <w:lang w:eastAsia="zh-CN"/>
        </w:rPr>
        <w:t xml:space="preserve"> </w:t>
      </w:r>
      <w:r>
        <w:rPr>
          <w:rFonts w:eastAsia="宋体" w:cs="Calibri"/>
          <w:sz w:val="22"/>
          <w:szCs w:val="22"/>
          <w:lang w:eastAsia="zh-CN"/>
        </w:rPr>
        <w:t>Similarly, HWM maintains a significantly leaner workforce (</w:t>
      </w:r>
      <w:r>
        <w:rPr>
          <w:rFonts w:hint="eastAsia" w:eastAsia="宋体" w:cs="Calibri"/>
          <w:sz w:val="22"/>
          <w:szCs w:val="22"/>
          <w:lang w:eastAsia="zh-CN"/>
        </w:rPr>
        <w:t>23930</w:t>
      </w:r>
      <w:r>
        <w:rPr>
          <w:rFonts w:eastAsia="宋体" w:cs="Calibri"/>
          <w:sz w:val="22"/>
          <w:szCs w:val="22"/>
          <w:lang w:eastAsia="zh-CN"/>
        </w:rPr>
        <w:t xml:space="preserve"> employees) compared to GE (</w:t>
      </w:r>
      <w:r>
        <w:rPr>
          <w:rFonts w:hint="eastAsia" w:eastAsia="宋体" w:cs="Calibri"/>
          <w:sz w:val="22"/>
          <w:szCs w:val="22"/>
          <w:lang w:eastAsia="zh-CN"/>
        </w:rPr>
        <w:t>53000</w:t>
      </w:r>
      <w:r>
        <w:rPr>
          <w:rFonts w:eastAsia="宋体" w:cs="Calibri"/>
          <w:sz w:val="22"/>
          <w:szCs w:val="22"/>
          <w:lang w:eastAsia="zh-CN"/>
        </w:rPr>
        <w:t>) and Safran (</w:t>
      </w:r>
      <w:r>
        <w:rPr>
          <w:rFonts w:hint="eastAsia" w:eastAsia="宋体" w:cs="Calibri"/>
          <w:sz w:val="22"/>
          <w:szCs w:val="22"/>
          <w:lang w:eastAsia="zh-CN"/>
        </w:rPr>
        <w:t>99364</w:t>
      </w:r>
      <w:r>
        <w:rPr>
          <w:rFonts w:eastAsia="宋体" w:cs="Calibri"/>
          <w:sz w:val="22"/>
          <w:szCs w:val="22"/>
          <w:lang w:eastAsia="zh-CN"/>
        </w:rPr>
        <w:t>)</w:t>
      </w:r>
      <w:r>
        <w:rPr>
          <w:rFonts w:hint="eastAsia" w:eastAsia="宋体" w:cs="Calibri"/>
          <w:sz w:val="22"/>
          <w:szCs w:val="22"/>
          <w:lang w:eastAsia="zh-CN"/>
        </w:rPr>
        <w:t xml:space="preserve"> in 2024</w:t>
      </w:r>
      <w:r>
        <w:rPr>
          <w:rFonts w:eastAsia="宋体" w:cs="Calibri"/>
          <w:sz w:val="22"/>
          <w:szCs w:val="22"/>
          <w:lang w:eastAsia="zh-CN"/>
        </w:rPr>
        <w:t>, underscoring its asset-light, specialized supplier model versus the vertically integrated operations of full-service engine OEMs.</w:t>
      </w:r>
    </w:p>
    <w:p>
      <w:pPr>
        <w:jc w:val="both"/>
        <w:rPr>
          <w:rFonts w:eastAsia="宋体" w:cs="Calibri"/>
          <w:sz w:val="22"/>
          <w:szCs w:val="22"/>
          <w:lang w:eastAsia="zh-CN"/>
        </w:rPr>
      </w:pPr>
    </w:p>
    <w:tbl>
      <w:tblPr>
        <w:tblStyle w:val="11"/>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R&amp;D Expense Ratio Comparison</w:t>
            </w:r>
            <w:r>
              <w:rPr>
                <w:rFonts w:hint="eastAsia" w:eastAsia="楷体_GB2312" w:cs="Calibri"/>
                <w:b/>
                <w:sz w:val="20"/>
                <w:szCs w:val="20"/>
                <w:lang w:eastAsia="zh-CN"/>
              </w:rPr>
              <w:t xml:space="preserve"> (2022-2024)</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lang w:eastAsia="zh-CN"/>
              </w:rPr>
            </w:pPr>
            <w:r>
              <w:rPr>
                <w:rFonts w:eastAsia="楷体_GB2312" w:cs="Calibri"/>
                <w:b/>
                <w:sz w:val="20"/>
                <w:szCs w:val="20"/>
              </w:rPr>
              <w:t>Figure: Total Employment Comparison</w:t>
            </w:r>
            <w:r>
              <w:rPr>
                <w:rFonts w:hint="eastAsia" w:eastAsia="楷体_GB2312" w:cs="Calibri"/>
                <w:b/>
                <w:sz w:val="20"/>
                <w:szCs w:val="20"/>
                <w:lang w:eastAsia="zh-CN"/>
              </w:rPr>
              <w:t xml:space="preserve"> (2022-2024)</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rFonts w:eastAsia="楷体_GB2312" w:cs="Calibri"/>
                <w:b/>
                <w:color w:val="000000"/>
                <w:sz w:val="20"/>
                <w:szCs w:val="20"/>
                <w:lang w:bidi="ar"/>
              </w:rPr>
              <w:drawing>
                <wp:inline distT="0" distB="0" distL="0" distR="0">
                  <wp:extent cx="3130550" cy="1800860"/>
                  <wp:effectExtent l="0" t="0" r="0" b="8890"/>
                  <wp:docPr id="6438111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1154" name="图片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51051" cy="1812538"/>
                          </a:xfrm>
                          <a:prstGeom prst="rect">
                            <a:avLst/>
                          </a:prstGeom>
                          <a:noFill/>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rFonts w:eastAsia="楷体_GB2312" w:cs="Calibri"/>
                <w:b/>
                <w:sz w:val="20"/>
                <w:szCs w:val="20"/>
              </w:rPr>
              <w:drawing>
                <wp:inline distT="0" distB="0" distL="0" distR="0">
                  <wp:extent cx="3141345" cy="1806575"/>
                  <wp:effectExtent l="0" t="0" r="1905" b="3175"/>
                  <wp:docPr id="6781857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5707" name="图片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159148" cy="1817195"/>
                          </a:xfrm>
                          <a:prstGeom prst="rect">
                            <a:avLst/>
                          </a:prstGeom>
                          <a:noFill/>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Company Announcements</w:t>
            </w:r>
            <w:r>
              <w:rPr>
                <w:rFonts w:hint="eastAsia" w:eastAsia="楷体_GB2312" w:cs="Calibri"/>
                <w:lang w:eastAsia="zh-CN"/>
              </w:rPr>
              <w:t xml:space="preserve">,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Company Announcements</w:t>
            </w:r>
            <w:r>
              <w:rPr>
                <w:rFonts w:hint="eastAsia" w:eastAsia="楷体_GB2312" w:cs="Calibri"/>
                <w:lang w:eastAsia="zh-CN"/>
              </w:rPr>
              <w:t xml:space="preserve">, </w:t>
            </w:r>
            <w:r>
              <w:rPr>
                <w:rFonts w:eastAsia="楷体_GB2312" w:cs="Calibri"/>
              </w:rPr>
              <w:t>H</w:t>
            </w:r>
            <w:r>
              <w:rPr>
                <w:rFonts w:hint="eastAsia" w:eastAsia="楷体_GB2312" w:cs="Calibri"/>
                <w:lang w:eastAsia="zh-CN"/>
              </w:rPr>
              <w:t>F</w:t>
            </w:r>
            <w:r>
              <w:rPr>
                <w:rFonts w:eastAsia="楷体_GB2312" w:cs="Calibri"/>
              </w:rPr>
              <w:t>I</w:t>
            </w:r>
          </w:p>
        </w:tc>
      </w:tr>
    </w:tbl>
    <w:p>
      <w:pPr>
        <w:jc w:val="both"/>
        <w:rPr>
          <w:rFonts w:eastAsia="宋体" w:cs="Calibri"/>
          <w:sz w:val="22"/>
          <w:szCs w:val="22"/>
          <w:lang w:eastAsia="zh-CN"/>
        </w:rPr>
      </w:pPr>
      <w:r>
        <w:rPr>
          <w:rFonts w:hint="eastAsia" w:eastAsia="宋体" w:cs="Calibri"/>
          <w:sz w:val="22"/>
          <w:szCs w:val="22"/>
          <w:lang w:eastAsia="zh-CN"/>
        </w:rPr>
        <w:t xml:space="preserve">In 2024, </w:t>
      </w:r>
      <w:r>
        <w:rPr>
          <w:rFonts w:eastAsia="宋体" w:cs="Calibri"/>
          <w:sz w:val="22"/>
          <w:szCs w:val="22"/>
          <w:lang w:eastAsia="zh-CN"/>
        </w:rPr>
        <w:t>Howmet holds 950 granted patents and 220 pending applications, enjoying 20-year protection terms from filing dates under USPTO standards. The portfolio exhibits temporal bifurcation: legacy patents inherited from the 2016 Arconic spin-off retain &lt;12 years of remaining validity, while post-2016 filings enjoy 15-20 years of protection.</w:t>
      </w:r>
      <w:r>
        <w:rPr>
          <w:rFonts w:hint="eastAsia" w:eastAsia="宋体" w:cs="Calibri"/>
          <w:sz w:val="22"/>
          <w:szCs w:val="22"/>
          <w:lang w:eastAsia="zh-CN"/>
        </w:rPr>
        <w:t xml:space="preserve"> HWM</w:t>
      </w:r>
      <w:r>
        <w:rPr>
          <w:rFonts w:eastAsia="宋体" w:cs="Calibri"/>
          <w:sz w:val="22"/>
          <w:szCs w:val="22"/>
          <w:lang w:eastAsia="zh-CN"/>
        </w:rPr>
        <w:t xml:space="preserve"> discloses that its business is not materially dependent on any single patent. </w:t>
      </w:r>
      <w:r>
        <w:rPr>
          <w:rFonts w:hint="eastAsia" w:eastAsia="宋体" w:cs="Calibri"/>
          <w:sz w:val="22"/>
          <w:szCs w:val="22"/>
          <w:lang w:eastAsia="zh-CN"/>
        </w:rPr>
        <w:t>M</w:t>
      </w:r>
      <w:r>
        <w:rPr>
          <w:rFonts w:eastAsia="宋体" w:cs="Calibri"/>
          <w:sz w:val="22"/>
          <w:szCs w:val="22"/>
          <w:lang w:eastAsia="zh-CN"/>
        </w:rPr>
        <w:t xml:space="preserve">aterial formulations and thermal treatment processes—are protected as trade secrets, which are not subject to the 20-year statutory limit and can be maintained indefinitely. </w:t>
      </w: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HWM</w:t>
            </w:r>
            <w:r>
              <w:rPr>
                <w:rFonts w:eastAsia="楷体_GB2312" w:cs="Calibri"/>
                <w:b/>
                <w:sz w:val="20"/>
                <w:szCs w:val="20"/>
                <w:lang w:eastAsia="zh-CN"/>
              </w:rPr>
              <w:t>’</w:t>
            </w:r>
            <w:r>
              <w:rPr>
                <w:rFonts w:hint="eastAsia" w:eastAsia="楷体_GB2312" w:cs="Calibri"/>
                <w:b/>
                <w:sz w:val="20"/>
                <w:szCs w:val="20"/>
                <w:lang w:eastAsia="zh-CN"/>
              </w:rPr>
              <w:t>s Worldwide patents (2021-2024)</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eastAsia="宋体" w:cs="Calibri"/>
                <w:b/>
                <w:bCs/>
                <w:sz w:val="20"/>
                <w:szCs w:val="20"/>
                <w:lang w:eastAsia="zh-CN"/>
              </w:rPr>
              <w:drawing>
                <wp:inline distT="0" distB="0" distL="0" distR="0">
                  <wp:extent cx="3909060" cy="2349500"/>
                  <wp:effectExtent l="0" t="0" r="0" b="0"/>
                  <wp:docPr id="16815011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01158"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912891" cy="2352070"/>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pStyle w:val="148"/>
        <w:jc w:val="both"/>
        <w:rPr>
          <w:rFonts w:hint="eastAsia" w:cs="Times New Roman"/>
          <w:b w:val="0"/>
          <w:bCs w:val="0"/>
          <w:color w:val="23558C"/>
          <w:kern w:val="28"/>
          <w:sz w:val="24"/>
          <w:szCs w:val="24"/>
        </w:rPr>
      </w:pPr>
      <w:bookmarkStart w:id="6" w:name="_Toc14024"/>
      <w:r>
        <w:rPr>
          <w:rFonts w:ascii="Calibri" w:hAnsi="Calibri" w:cs="Times New Roman"/>
          <w:iCs w:val="0"/>
          <w:color w:val="23558C"/>
          <w:kern w:val="28"/>
          <w:sz w:val="24"/>
          <w:szCs w:val="24"/>
        </w:rPr>
        <w:t>1.</w:t>
      </w:r>
      <w:r>
        <w:rPr>
          <w:rFonts w:hint="eastAsia" w:ascii="Calibri" w:hAnsi="Calibri" w:cs="Times New Roman"/>
          <w:iCs w:val="0"/>
          <w:color w:val="23558C"/>
          <w:kern w:val="28"/>
          <w:sz w:val="24"/>
          <w:szCs w:val="24"/>
        </w:rPr>
        <w:t>3</w:t>
      </w:r>
      <w:r>
        <w:rPr>
          <w:rFonts w:ascii="Calibri" w:hAnsi="Calibri" w:cs="Times New Roman"/>
          <w:iCs w:val="0"/>
          <w:color w:val="23558C"/>
          <w:kern w:val="28"/>
          <w:sz w:val="24"/>
          <w:szCs w:val="24"/>
        </w:rPr>
        <w:t xml:space="preserve"> Financial Performance</w:t>
      </w:r>
      <w:bookmarkEnd w:id="6"/>
    </w:p>
    <w:p>
      <w:pPr>
        <w:jc w:val="both"/>
        <w:rPr>
          <w:rFonts w:eastAsia="宋体" w:cs="Calibri"/>
          <w:sz w:val="22"/>
          <w:szCs w:val="22"/>
          <w:lang w:eastAsia="zh-CN"/>
        </w:rPr>
      </w:pPr>
      <w:r>
        <w:rPr>
          <w:rFonts w:eastAsia="宋体" w:cs="Calibri"/>
          <w:sz w:val="22"/>
          <w:szCs w:val="22"/>
          <w:lang w:eastAsia="zh-CN"/>
        </w:rPr>
        <w:t xml:space="preserve">In 2024, Howmet Aerospace generated revenue of $7.4 billion, up 12% year-on-year, </w:t>
      </w:r>
      <w:r>
        <w:rPr>
          <w:rFonts w:eastAsia="宋体" w:cs="Calibri"/>
          <w:b/>
          <w:bCs/>
          <w:sz w:val="22"/>
          <w:szCs w:val="22"/>
          <w:lang w:eastAsia="zh-CN"/>
        </w:rPr>
        <w:t>primarily driven by growth in the commercial aerospace market of 20%</w:t>
      </w:r>
      <w:r>
        <w:rPr>
          <w:rFonts w:eastAsia="宋体" w:cs="Calibri"/>
          <w:sz w:val="22"/>
          <w:szCs w:val="22"/>
          <w:lang w:eastAsia="zh-CN"/>
        </w:rPr>
        <w:t>. Engine Products (50% share) rose 14% on robust demand from commercial and defense aerospace as well as industrial gas turbines, while Fastening Systems (22%) and Engineered Structures (14%) increased 17% and 21%, respectively, buoyed by the commercial-aerospace rebound—particularly wide-body recovery—and defense aerospace markets. Only Forged Wheels (14%) declined 8% amid weaker commercial-transportation volumes and reduced pass-through of aluminum and other inflationary costs. Geographically, the Americas remained the largest market at 56% of full-year sales, Europe contributed 33% on the back of Airbus production gains, and Asia-Pacific</w:t>
      </w:r>
      <w:r>
        <w:rPr>
          <w:rFonts w:hint="eastAsia" w:eastAsia="宋体" w:cs="Calibri"/>
          <w:sz w:val="22"/>
          <w:szCs w:val="22"/>
          <w:lang w:eastAsia="zh-CN"/>
        </w:rPr>
        <w:t xml:space="preserve"> </w:t>
      </w:r>
      <w:r>
        <w:rPr>
          <w:rFonts w:eastAsia="宋体" w:cs="Calibri"/>
          <w:sz w:val="22"/>
          <w:szCs w:val="22"/>
          <w:lang w:eastAsia="zh-CN"/>
        </w:rPr>
        <w:t xml:space="preserve">represented 14%. </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HWM</w:t>
            </w:r>
            <w:r>
              <w:rPr>
                <w:rFonts w:eastAsia="楷体_GB2312" w:cs="Calibri"/>
                <w:b/>
                <w:sz w:val="20"/>
                <w:szCs w:val="20"/>
                <w:lang w:eastAsia="zh-CN"/>
              </w:rPr>
              <w:t>’</w:t>
            </w:r>
            <w:r>
              <w:rPr>
                <w:rFonts w:hint="eastAsia" w:eastAsia="楷体_GB2312" w:cs="Calibri"/>
                <w:b/>
                <w:sz w:val="20"/>
                <w:szCs w:val="20"/>
                <w:lang w:eastAsia="zh-CN"/>
              </w:rPr>
              <w:t>s 2024 Revenue by Segment &amp; Sales by Regional Destination</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700905" cy="1486535"/>
                  <wp:effectExtent l="0" t="0" r="4445" b="0"/>
                  <wp:docPr id="577258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8461" name="图片 3"/>
                          <pic:cNvPicPr>
                            <a:picLocks noChangeAspect="1"/>
                          </pic:cNvPicPr>
                        </pic:nvPicPr>
                        <pic:blipFill>
                          <a:blip r:embed="rId28"/>
                          <a:stretch>
                            <a:fillRect/>
                          </a:stretch>
                        </pic:blipFill>
                        <pic:spPr>
                          <a:xfrm>
                            <a:off x="0" y="0"/>
                            <a:ext cx="4750537" cy="150256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Record EBITDA margins</w:t>
      </w:r>
      <w:r>
        <w:rPr>
          <w:rFonts w:hint="eastAsia" w:eastAsia="宋体" w:cs="Calibri"/>
          <w:b/>
          <w:bCs/>
          <w:sz w:val="22"/>
          <w:szCs w:val="22"/>
          <w:lang w:eastAsia="zh-CN"/>
        </w:rPr>
        <w:t>.</w:t>
      </w:r>
      <w:r>
        <w:rPr>
          <w:rFonts w:hint="eastAsia" w:eastAsia="宋体" w:cs="Calibri"/>
          <w:sz w:val="22"/>
          <w:szCs w:val="22"/>
          <w:lang w:eastAsia="zh-CN"/>
        </w:rPr>
        <w:t xml:space="preserve"> </w:t>
      </w:r>
      <w:r>
        <w:rPr>
          <w:rFonts w:eastAsia="宋体" w:cs="Calibri"/>
          <w:sz w:val="22"/>
          <w:szCs w:val="22"/>
          <w:lang w:eastAsia="zh-CN"/>
        </w:rPr>
        <w:t xml:space="preserve">In 2025Q3, Engine Products delivered Segment Adjusted EBITDA of </w:t>
      </w:r>
      <w:r>
        <w:rPr>
          <w:rFonts w:hint="eastAsia" w:eastAsia="宋体" w:cs="Calibri"/>
          <w:sz w:val="22"/>
          <w:szCs w:val="22"/>
          <w:lang w:eastAsia="zh-CN"/>
        </w:rPr>
        <w:t>$</w:t>
      </w:r>
      <w:r>
        <w:rPr>
          <w:rFonts w:eastAsia="宋体" w:cs="Calibri"/>
          <w:sz w:val="22"/>
          <w:szCs w:val="22"/>
          <w:lang w:eastAsia="zh-CN"/>
        </w:rPr>
        <w:t xml:space="preserve">368 million, up 19.9 % YoY, extending the quarterly uptrend that began in 2021, supported by simultaneous expansion in commercial aerospace, defense aerospace, industrial gas turbines and oil-&amp;-gas markets. </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 xml:space="preserve">Fastening Systems reached </w:t>
      </w:r>
      <w:r>
        <w:rPr>
          <w:rFonts w:hint="eastAsia" w:eastAsia="宋体" w:cs="Calibri"/>
          <w:b/>
          <w:bCs/>
          <w:sz w:val="22"/>
          <w:szCs w:val="22"/>
          <w:lang w:eastAsia="zh-CN"/>
        </w:rPr>
        <w:t>$</w:t>
      </w:r>
      <w:r>
        <w:rPr>
          <w:rFonts w:eastAsia="宋体" w:cs="Calibri"/>
          <w:b/>
          <w:bCs/>
          <w:sz w:val="22"/>
          <w:szCs w:val="22"/>
          <w:lang w:eastAsia="zh-CN"/>
        </w:rPr>
        <w:t>138 million, surging 35.3 % YoY</w:t>
      </w:r>
      <w:r>
        <w:rPr>
          <w:rFonts w:eastAsia="宋体" w:cs="Calibri"/>
          <w:sz w:val="22"/>
          <w:szCs w:val="22"/>
          <w:lang w:eastAsia="zh-CN"/>
        </w:rPr>
        <w:t xml:space="preserve">—its fastest quarterly pace in four years—benefiting from recovering commercial-aerospace demand and productivity gains that largely offset weakness in commercial transportation; the segment’s EBITDA has nearly doubled since 2021. </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 xml:space="preserve">Engineered Structures hit </w:t>
      </w:r>
      <w:r>
        <w:rPr>
          <w:rFonts w:hint="eastAsia" w:eastAsia="宋体" w:cs="Calibri"/>
          <w:b/>
          <w:bCs/>
          <w:sz w:val="22"/>
          <w:szCs w:val="22"/>
          <w:lang w:eastAsia="zh-CN"/>
        </w:rPr>
        <w:t>$</w:t>
      </w:r>
      <w:r>
        <w:rPr>
          <w:rFonts w:eastAsia="宋体" w:cs="Calibri"/>
          <w:b/>
          <w:bCs/>
          <w:sz w:val="22"/>
          <w:szCs w:val="22"/>
          <w:lang w:eastAsia="zh-CN"/>
        </w:rPr>
        <w:t>58 million, jumping 52.6 % YoY</w:t>
      </w:r>
      <w:r>
        <w:rPr>
          <w:rFonts w:eastAsia="宋体" w:cs="Calibri"/>
          <w:sz w:val="22"/>
          <w:szCs w:val="22"/>
          <w:lang w:eastAsia="zh-CN"/>
        </w:rPr>
        <w:t xml:space="preserve"> and setting a new quarterly record, driven by combined momentum in defense and commercial aerospace, the steepest recovery slope among the four divisions. </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 xml:space="preserve">Forged Wheels recorded </w:t>
      </w:r>
      <w:r>
        <w:rPr>
          <w:rFonts w:hint="eastAsia" w:eastAsia="宋体" w:cs="Calibri"/>
          <w:b/>
          <w:bCs/>
          <w:sz w:val="22"/>
          <w:szCs w:val="22"/>
          <w:lang w:eastAsia="zh-CN"/>
        </w:rPr>
        <w:t>$</w:t>
      </w:r>
      <w:r>
        <w:rPr>
          <w:rFonts w:eastAsia="宋体" w:cs="Calibri"/>
          <w:b/>
          <w:bCs/>
          <w:sz w:val="22"/>
          <w:szCs w:val="22"/>
          <w:lang w:eastAsia="zh-CN"/>
        </w:rPr>
        <w:t>73 million, up 14.1 % YoY</w:t>
      </w:r>
      <w:r>
        <w:rPr>
          <w:rFonts w:eastAsia="宋体" w:cs="Calibri"/>
          <w:sz w:val="22"/>
          <w:szCs w:val="22"/>
          <w:lang w:eastAsia="zh-CN"/>
        </w:rPr>
        <w:t xml:space="preserve">, with the gain achieved primarily through cost-reduction initiatives in response to lower commercial-transportation volumes; EBITDA for this segment declined 2 % between 2021 and 2024 Q3, signalling a defensive posture. </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 xml:space="preserve">Collectively, the three segments </w:t>
      </w:r>
      <w:r>
        <w:rPr>
          <w:rFonts w:hint="eastAsia" w:eastAsia="宋体" w:cs="Calibri"/>
          <w:sz w:val="22"/>
          <w:szCs w:val="22"/>
          <w:lang w:eastAsia="zh-CN"/>
        </w:rPr>
        <w:t>(</w:t>
      </w:r>
      <w:r>
        <w:rPr>
          <w:rFonts w:eastAsia="宋体" w:cs="Calibri"/>
          <w:sz w:val="22"/>
          <w:szCs w:val="22"/>
          <w:lang w:eastAsia="zh-CN"/>
        </w:rPr>
        <w:t>Engine Products</w:t>
      </w:r>
      <w:r>
        <w:rPr>
          <w:rFonts w:hint="eastAsia" w:eastAsia="宋体" w:cs="Calibri"/>
          <w:sz w:val="22"/>
          <w:szCs w:val="22"/>
          <w:lang w:eastAsia="zh-CN"/>
        </w:rPr>
        <w:t xml:space="preserve">, </w:t>
      </w:r>
      <w:r>
        <w:rPr>
          <w:rFonts w:eastAsia="宋体" w:cs="Calibri"/>
          <w:sz w:val="22"/>
          <w:szCs w:val="22"/>
          <w:lang w:eastAsia="zh-CN"/>
        </w:rPr>
        <w:t>Fastening Systems</w:t>
      </w:r>
      <w:r>
        <w:rPr>
          <w:rFonts w:hint="eastAsia" w:eastAsia="宋体" w:cs="Calibri"/>
          <w:sz w:val="22"/>
          <w:szCs w:val="22"/>
          <w:lang w:eastAsia="zh-CN"/>
        </w:rPr>
        <w:t xml:space="preserve"> and </w:t>
      </w:r>
      <w:r>
        <w:rPr>
          <w:rFonts w:eastAsia="宋体" w:cs="Calibri"/>
          <w:sz w:val="22"/>
          <w:szCs w:val="22"/>
          <w:lang w:eastAsia="zh-CN"/>
        </w:rPr>
        <w:t>Engineered Structures</w:t>
      </w:r>
      <w:r>
        <w:rPr>
          <w:rFonts w:hint="eastAsia" w:eastAsia="宋体" w:cs="Calibri"/>
          <w:sz w:val="22"/>
          <w:szCs w:val="22"/>
          <w:lang w:eastAsia="zh-CN"/>
        </w:rPr>
        <w:t xml:space="preserve">) </w:t>
      </w:r>
      <w:r>
        <w:rPr>
          <w:rFonts w:eastAsia="宋体" w:cs="Calibri"/>
          <w:sz w:val="22"/>
          <w:szCs w:val="22"/>
          <w:lang w:eastAsia="zh-CN"/>
        </w:rPr>
        <w:t>grew EBITDA more than 70 % versus 2021 Q3 and raised their share of total segment EBITDA from 75 % to 87 %, further concentrating profitability in the highest-growth markets.</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HWM</w:t>
            </w:r>
            <w:r>
              <w:rPr>
                <w:rFonts w:eastAsia="楷体_GB2312" w:cs="Calibri"/>
                <w:b/>
                <w:sz w:val="20"/>
                <w:szCs w:val="20"/>
                <w:lang w:eastAsia="zh-CN"/>
              </w:rPr>
              <w:t>’</w:t>
            </w:r>
            <w:r>
              <w:rPr>
                <w:rFonts w:hint="eastAsia" w:eastAsia="楷体_GB2312" w:cs="Calibri"/>
                <w:b/>
                <w:sz w:val="20"/>
                <w:szCs w:val="20"/>
                <w:lang w:eastAsia="zh-CN"/>
              </w:rPr>
              <w:t xml:space="preserve">s 2021-2025Q3 </w:t>
            </w:r>
            <w:r>
              <w:rPr>
                <w:rFonts w:eastAsia="楷体_GB2312" w:cs="Calibri"/>
                <w:b/>
                <w:sz w:val="20"/>
                <w:szCs w:val="20"/>
                <w:lang w:eastAsia="zh-CN"/>
              </w:rPr>
              <w:t>Segment Adjusted EBITDA</w:t>
            </w:r>
            <w:r>
              <w:rPr>
                <w:rFonts w:hint="eastAsia" w:eastAsia="楷体_GB2312" w:cs="Calibri"/>
                <w:b/>
                <w:sz w:val="20"/>
                <w:szCs w:val="20"/>
                <w:lang w:eastAsia="zh-CN"/>
              </w:rPr>
              <w:t xml:space="preserve"> by Segment </w:t>
            </w:r>
            <w:r>
              <w:rPr>
                <w:rFonts w:eastAsia="楷体_GB2312" w:cs="Calibri"/>
                <w:b/>
                <w:sz w:val="20"/>
                <w:szCs w:val="20"/>
                <w:lang w:eastAsia="zh-CN"/>
              </w:rPr>
              <w:t>(in U.S. dollar millions)</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1"/>
              <w:tblW w:w="7310" w:type="dxa"/>
              <w:tblInd w:w="0" w:type="dxa"/>
              <w:tblLayout w:type="fixed"/>
              <w:tblCellMar>
                <w:top w:w="0" w:type="dxa"/>
                <w:left w:w="108" w:type="dxa"/>
                <w:bottom w:w="0" w:type="dxa"/>
                <w:right w:w="108" w:type="dxa"/>
              </w:tblCellMar>
            </w:tblPr>
            <w:tblGrid>
              <w:gridCol w:w="1696"/>
              <w:gridCol w:w="802"/>
              <w:gridCol w:w="802"/>
              <w:gridCol w:w="802"/>
              <w:gridCol w:w="802"/>
              <w:gridCol w:w="802"/>
              <w:gridCol w:w="802"/>
              <w:gridCol w:w="802"/>
            </w:tblGrid>
            <w:tr>
              <w:tblPrEx>
                <w:tblCellMar>
                  <w:top w:w="0" w:type="dxa"/>
                  <w:left w:w="108" w:type="dxa"/>
                  <w:bottom w:w="0" w:type="dxa"/>
                  <w:right w:w="108" w:type="dxa"/>
                </w:tblCellMar>
              </w:tblPrEx>
              <w:trPr>
                <w:trHeight w:val="255" w:hRule="atLeast"/>
              </w:trPr>
              <w:tc>
                <w:tcPr>
                  <w:tcW w:w="1696"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rPr>
                      <w:rFonts w:eastAsia="等线" w:cs="Calibri"/>
                      <w:snapToGrid/>
                      <w:color w:val="FFFFFF"/>
                      <w:lang w:eastAsia="zh-CN"/>
                    </w:rPr>
                  </w:pPr>
                  <w:r>
                    <w:rPr>
                      <w:rFonts w:eastAsia="等线" w:cs="Calibri"/>
                      <w:snapToGrid/>
                      <w:color w:val="FFFFFF"/>
                      <w:lang w:eastAsia="zh-CN"/>
                    </w:rPr>
                    <w:t>　</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2021</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2022</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2023</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2024</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2024Q3</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2025Q3</w:t>
                  </w:r>
                </w:p>
              </w:tc>
              <w:tc>
                <w:tcPr>
                  <w:tcW w:w="802"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YOY</w:t>
                  </w:r>
                </w:p>
              </w:tc>
            </w:tr>
            <w:tr>
              <w:tblPrEx>
                <w:tblCellMar>
                  <w:top w:w="0" w:type="dxa"/>
                  <w:left w:w="108" w:type="dxa"/>
                  <w:bottom w:w="0" w:type="dxa"/>
                  <w:right w:w="108" w:type="dxa"/>
                </w:tblCellMar>
              </w:tblPrEx>
              <w:trPr>
                <w:trHeight w:val="255" w:hRule="atLeast"/>
              </w:trPr>
              <w:tc>
                <w:tcPr>
                  <w:tcW w:w="1696"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Engine Products</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564</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729</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887</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1150</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307</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368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19.87%</w:t>
                  </w:r>
                </w:p>
              </w:tc>
            </w:tr>
            <w:tr>
              <w:tblPrEx>
                <w:tblCellMar>
                  <w:top w:w="0" w:type="dxa"/>
                  <w:left w:w="108" w:type="dxa"/>
                  <w:bottom w:w="0" w:type="dxa"/>
                  <w:right w:w="108" w:type="dxa"/>
                </w:tblCellMar>
              </w:tblPrEx>
              <w:trPr>
                <w:trHeight w:val="255" w:hRule="atLeast"/>
              </w:trPr>
              <w:tc>
                <w:tcPr>
                  <w:tcW w:w="1696"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Fastening Systems</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239</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234</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278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406</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102</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138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35.29%</w:t>
                  </w:r>
                </w:p>
              </w:tc>
            </w:tr>
            <w:tr>
              <w:tblPrEx>
                <w:tblCellMar>
                  <w:top w:w="0" w:type="dxa"/>
                  <w:left w:w="108" w:type="dxa"/>
                  <w:bottom w:w="0" w:type="dxa"/>
                  <w:right w:w="108" w:type="dxa"/>
                </w:tblCellMar>
              </w:tblPrEx>
              <w:trPr>
                <w:trHeight w:val="255" w:hRule="atLeast"/>
              </w:trPr>
              <w:tc>
                <w:tcPr>
                  <w:tcW w:w="1696"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Engineered Structures</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103</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111</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113</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166</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58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52.63%</w:t>
                  </w:r>
                </w:p>
              </w:tc>
            </w:tr>
            <w:tr>
              <w:tblPrEx>
                <w:tblCellMar>
                  <w:top w:w="0" w:type="dxa"/>
                  <w:left w:w="108" w:type="dxa"/>
                  <w:bottom w:w="0" w:type="dxa"/>
                  <w:right w:w="108" w:type="dxa"/>
                </w:tblCellMar>
              </w:tblPrEx>
              <w:trPr>
                <w:trHeight w:val="255" w:hRule="atLeast"/>
              </w:trPr>
              <w:tc>
                <w:tcPr>
                  <w:tcW w:w="1696"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Forged Wheels</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294</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278</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309</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287</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64</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73</w:t>
                  </w:r>
                </w:p>
              </w:tc>
              <w:tc>
                <w:tcPr>
                  <w:tcW w:w="802"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14.06%</w:t>
                  </w:r>
                </w:p>
              </w:tc>
            </w:tr>
          </w:tbl>
          <w:p>
            <w:pPr>
              <w:spacing w:before="48" w:beforeLines="20" w:after="48" w:afterLines="20"/>
              <w:jc w:val="center"/>
              <w:textAlignment w:val="center"/>
              <w:rPr>
                <w:rFonts w:eastAsia="宋体" w:cs="Calibri"/>
                <w:b/>
                <w:bCs/>
                <w:sz w:val="20"/>
                <w:szCs w:val="20"/>
                <w:lang w:eastAsia="zh-CN"/>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 xml:space="preserve">In </w:t>
      </w:r>
      <w:r>
        <w:rPr>
          <w:rFonts w:hint="eastAsia" w:eastAsia="宋体" w:cs="Calibri"/>
          <w:sz w:val="22"/>
          <w:szCs w:val="22"/>
          <w:lang w:eastAsia="zh-CN"/>
        </w:rPr>
        <w:t>2025Q3</w:t>
      </w:r>
      <w:r>
        <w:rPr>
          <w:rFonts w:eastAsia="宋体" w:cs="Calibri"/>
          <w:sz w:val="22"/>
          <w:szCs w:val="22"/>
          <w:lang w:eastAsia="zh-CN"/>
        </w:rPr>
        <w:t>, all segments again expanded their Segment Adjusted EBITDA Margin versus the same quarter of 2024, adding 0.8–5.1 percentage points and reaching new third-quarter highs. Looking at full-year trends from 2021 to 2024, Engine Products rose from 24.7% to 30.8%, Fastening Systems climbed from 22.9% to 25.8%, Engineered Structures recovered from 14.2% to 15.6%, and Forged Wheels rebounded to 27.2%. The upward pattern is consistent across both quarterly and annual data, signalling durable profitability improvement.</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HWM</w:t>
            </w:r>
            <w:r>
              <w:rPr>
                <w:rFonts w:eastAsia="楷体_GB2312" w:cs="Calibri"/>
                <w:b/>
                <w:sz w:val="20"/>
                <w:szCs w:val="20"/>
                <w:lang w:eastAsia="zh-CN"/>
              </w:rPr>
              <w:t>’</w:t>
            </w:r>
            <w:r>
              <w:rPr>
                <w:rFonts w:hint="eastAsia" w:eastAsia="楷体_GB2312" w:cs="Calibri"/>
                <w:b/>
                <w:sz w:val="20"/>
                <w:szCs w:val="20"/>
                <w:lang w:eastAsia="zh-CN"/>
              </w:rPr>
              <w:t xml:space="preserve">s 2021-2025Q3 </w:t>
            </w:r>
            <w:r>
              <w:rPr>
                <w:rFonts w:eastAsia="楷体_GB2312" w:cs="Calibri"/>
                <w:b/>
                <w:sz w:val="20"/>
                <w:szCs w:val="20"/>
                <w:lang w:eastAsia="zh-CN"/>
              </w:rPr>
              <w:t>Segment Adjusted EBITDA Margin</w:t>
            </w:r>
            <w:r>
              <w:rPr>
                <w:rFonts w:hint="eastAsia" w:eastAsia="楷体_GB2312" w:cs="Calibri"/>
                <w:b/>
                <w:sz w:val="20"/>
                <w:szCs w:val="20"/>
                <w:lang w:eastAsia="zh-CN"/>
              </w:rPr>
              <w:t xml:space="preserve"> by Segment</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1"/>
              <w:tblW w:w="7280" w:type="dxa"/>
              <w:tblInd w:w="0" w:type="dxa"/>
              <w:tblLayout w:type="fixed"/>
              <w:tblCellMar>
                <w:top w:w="0" w:type="dxa"/>
                <w:left w:w="108" w:type="dxa"/>
                <w:bottom w:w="0" w:type="dxa"/>
                <w:right w:w="108" w:type="dxa"/>
              </w:tblCellMar>
            </w:tblPr>
            <w:tblGrid>
              <w:gridCol w:w="1898"/>
              <w:gridCol w:w="897"/>
              <w:gridCol w:w="897"/>
              <w:gridCol w:w="897"/>
              <w:gridCol w:w="897"/>
              <w:gridCol w:w="897"/>
              <w:gridCol w:w="897"/>
            </w:tblGrid>
            <w:tr>
              <w:tblPrEx>
                <w:tblCellMar>
                  <w:top w:w="0" w:type="dxa"/>
                  <w:left w:w="108" w:type="dxa"/>
                  <w:bottom w:w="0" w:type="dxa"/>
                  <w:right w:w="108" w:type="dxa"/>
                </w:tblCellMar>
              </w:tblPrEx>
              <w:trPr>
                <w:trHeight w:val="296" w:hRule="atLeast"/>
              </w:trPr>
              <w:tc>
                <w:tcPr>
                  <w:tcW w:w="1898" w:type="dxa"/>
                  <w:tcBorders>
                    <w:top w:val="single" w:color="auto" w:sz="4" w:space="0"/>
                    <w:left w:val="single" w:color="auto" w:sz="4" w:space="0"/>
                    <w:bottom w:val="single" w:color="auto" w:sz="4" w:space="0"/>
                    <w:right w:val="single" w:color="auto" w:sz="4" w:space="0"/>
                  </w:tcBorders>
                  <w:shd w:val="clear" w:color="000000" w:fill="4472C4"/>
                  <w:noWrap/>
                  <w:vAlign w:val="center"/>
                </w:tcPr>
                <w:p>
                  <w:pPr>
                    <w:rPr>
                      <w:rFonts w:eastAsia="等线" w:cs="Calibri"/>
                      <w:snapToGrid/>
                      <w:color w:val="FFFFFF"/>
                      <w:lang w:eastAsia="zh-CN"/>
                    </w:rPr>
                  </w:pPr>
                  <w:r>
                    <w:rPr>
                      <w:rFonts w:eastAsia="等线" w:cs="Calibri"/>
                      <w:snapToGrid/>
                      <w:color w:val="FFFFFF"/>
                      <w:lang w:eastAsia="zh-CN"/>
                    </w:rPr>
                    <w:t>　</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2021</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2022</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2023</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2024</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jc w:val="center"/>
                    <w:rPr>
                      <w:rFonts w:eastAsia="等线" w:cs="Calibri"/>
                      <w:b/>
                      <w:bCs/>
                      <w:snapToGrid/>
                      <w:color w:val="FFFFFF"/>
                      <w:lang w:eastAsia="zh-CN"/>
                    </w:rPr>
                  </w:pPr>
                  <w:r>
                    <w:rPr>
                      <w:rFonts w:eastAsia="等线" w:cs="Calibri"/>
                      <w:b/>
                      <w:bCs/>
                      <w:snapToGrid/>
                      <w:color w:val="FFFFFF"/>
                      <w:lang w:eastAsia="zh-CN"/>
                    </w:rPr>
                    <w:t>2024Q3</w:t>
                  </w:r>
                </w:p>
              </w:tc>
              <w:tc>
                <w:tcPr>
                  <w:tcW w:w="897" w:type="dxa"/>
                  <w:tcBorders>
                    <w:top w:val="single" w:color="auto" w:sz="4" w:space="0"/>
                    <w:left w:val="nil"/>
                    <w:bottom w:val="single" w:color="auto" w:sz="4" w:space="0"/>
                    <w:right w:val="single" w:color="auto" w:sz="4" w:space="0"/>
                  </w:tcBorders>
                  <w:shd w:val="clear" w:color="000000" w:fill="4472C4"/>
                  <w:noWrap/>
                  <w:vAlign w:val="center"/>
                </w:tcPr>
                <w:p>
                  <w:pPr>
                    <w:rPr>
                      <w:rFonts w:eastAsia="等线" w:cs="Calibri"/>
                      <w:snapToGrid/>
                      <w:color w:val="FFFFFF"/>
                      <w:lang w:eastAsia="zh-CN"/>
                    </w:rPr>
                  </w:pPr>
                  <w:r>
                    <w:rPr>
                      <w:rFonts w:eastAsia="等线" w:cs="Calibri"/>
                      <w:snapToGrid/>
                      <w:color w:val="FFFFFF"/>
                      <w:lang w:eastAsia="zh-CN"/>
                    </w:rPr>
                    <w:t>2025Q3</w:t>
                  </w:r>
                </w:p>
              </w:tc>
            </w:tr>
            <w:tr>
              <w:tblPrEx>
                <w:tblCellMar>
                  <w:top w:w="0" w:type="dxa"/>
                  <w:left w:w="108" w:type="dxa"/>
                  <w:bottom w:w="0" w:type="dxa"/>
                  <w:right w:w="108" w:type="dxa"/>
                </w:tblCellMar>
              </w:tblPrEx>
              <w:trPr>
                <w:trHeight w:val="296" w:hRule="atLeast"/>
              </w:trPr>
              <w:tc>
                <w:tcPr>
                  <w:tcW w:w="1898"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Engine Products</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24.7%</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27.0%</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27.2%</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30.8%</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32.5%</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33.3%</w:t>
                  </w:r>
                </w:p>
              </w:tc>
            </w:tr>
            <w:tr>
              <w:tblPrEx>
                <w:tblCellMar>
                  <w:top w:w="0" w:type="dxa"/>
                  <w:left w:w="108" w:type="dxa"/>
                  <w:bottom w:w="0" w:type="dxa"/>
                  <w:right w:w="108" w:type="dxa"/>
                </w:tblCellMar>
              </w:tblPrEx>
              <w:trPr>
                <w:trHeight w:val="296" w:hRule="atLeast"/>
              </w:trPr>
              <w:tc>
                <w:tcPr>
                  <w:tcW w:w="1898"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Fastening Systems</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22.9%</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20.9%</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20.6%</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25.8%</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26.0%</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30.8%</w:t>
                  </w:r>
                </w:p>
              </w:tc>
            </w:tr>
            <w:tr>
              <w:tblPrEx>
                <w:tblCellMar>
                  <w:top w:w="0" w:type="dxa"/>
                  <w:left w:w="108" w:type="dxa"/>
                  <w:bottom w:w="0" w:type="dxa"/>
                  <w:right w:w="108" w:type="dxa"/>
                </w:tblCellMar>
              </w:tblPrEx>
              <w:trPr>
                <w:trHeight w:val="296" w:hRule="atLeast"/>
              </w:trPr>
              <w:tc>
                <w:tcPr>
                  <w:tcW w:w="1898"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Engineered Structures</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14.2%</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14.1%</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12.9%</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15.6%</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15.0%</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20.1%</w:t>
                  </w:r>
                </w:p>
              </w:tc>
            </w:tr>
            <w:tr>
              <w:tblPrEx>
                <w:tblCellMar>
                  <w:top w:w="0" w:type="dxa"/>
                  <w:left w:w="108" w:type="dxa"/>
                  <w:bottom w:w="0" w:type="dxa"/>
                  <w:right w:w="108" w:type="dxa"/>
                </w:tblCellMar>
              </w:tblPrEx>
              <w:trPr>
                <w:trHeight w:val="296" w:hRule="atLeast"/>
              </w:trPr>
              <w:tc>
                <w:tcPr>
                  <w:tcW w:w="1898" w:type="dxa"/>
                  <w:tcBorders>
                    <w:top w:val="nil"/>
                    <w:left w:val="single" w:color="auto" w:sz="4" w:space="0"/>
                    <w:bottom w:val="single" w:color="auto" w:sz="4" w:space="0"/>
                    <w:right w:val="single" w:color="auto" w:sz="4" w:space="0"/>
                  </w:tcBorders>
                  <w:shd w:val="clear" w:color="000000" w:fill="4472C4"/>
                  <w:noWrap/>
                  <w:vAlign w:val="center"/>
                </w:tcPr>
                <w:p>
                  <w:pPr>
                    <w:rPr>
                      <w:rFonts w:eastAsia="等线" w:cs="Calibri"/>
                      <w:b/>
                      <w:bCs/>
                      <w:snapToGrid/>
                      <w:color w:val="FFFFFF"/>
                      <w:lang w:eastAsia="zh-CN"/>
                    </w:rPr>
                  </w:pPr>
                  <w:r>
                    <w:rPr>
                      <w:rFonts w:eastAsia="等线" w:cs="Calibri"/>
                      <w:b/>
                      <w:bCs/>
                      <w:snapToGrid/>
                      <w:color w:val="FFFFFF"/>
                      <w:lang w:eastAsia="zh-CN"/>
                    </w:rPr>
                    <w:t>Forged Wheels</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31.9%</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26.3%</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26.9%</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27.2%</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26.1%</w:t>
                  </w:r>
                </w:p>
              </w:tc>
              <w:tc>
                <w:tcPr>
                  <w:tcW w:w="897" w:type="dxa"/>
                  <w:tcBorders>
                    <w:top w:val="nil"/>
                    <w:left w:val="nil"/>
                    <w:bottom w:val="single" w:color="auto" w:sz="4" w:space="0"/>
                    <w:right w:val="single" w:color="auto" w:sz="4" w:space="0"/>
                  </w:tcBorders>
                  <w:noWrap/>
                  <w:vAlign w:val="center"/>
                </w:tcPr>
                <w:p>
                  <w:pPr>
                    <w:jc w:val="center"/>
                    <w:rPr>
                      <w:rFonts w:eastAsia="等线" w:cs="Calibri"/>
                      <w:snapToGrid/>
                      <w:color w:val="000000"/>
                      <w:lang w:eastAsia="zh-CN"/>
                    </w:rPr>
                  </w:pPr>
                  <w:r>
                    <w:rPr>
                      <w:rFonts w:eastAsia="等线" w:cs="Calibri"/>
                      <w:snapToGrid/>
                      <w:color w:val="000000"/>
                      <w:lang w:eastAsia="zh-CN"/>
                    </w:rPr>
                    <w:t>29.6%</w:t>
                  </w:r>
                </w:p>
              </w:tc>
            </w:tr>
          </w:tbl>
          <w:p>
            <w:pPr>
              <w:spacing w:before="48" w:beforeLines="20" w:after="48" w:afterLines="20"/>
              <w:jc w:val="center"/>
              <w:textAlignment w:val="center"/>
              <w:rPr>
                <w:rFonts w:eastAsia="宋体" w:cs="Calibri"/>
                <w:b/>
                <w:bCs/>
                <w:sz w:val="20"/>
                <w:szCs w:val="20"/>
                <w:lang w:eastAsia="zh-CN"/>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Robust Free Cash Flow Growth Fuels Accelerated Shareholder Returns</w:t>
      </w:r>
      <w:r>
        <w:rPr>
          <w:rFonts w:hint="eastAsia" w:eastAsia="宋体" w:cs="Calibri"/>
          <w:b/>
          <w:bCs/>
          <w:sz w:val="22"/>
          <w:szCs w:val="22"/>
          <w:lang w:eastAsia="zh-CN"/>
        </w:rPr>
        <w:t>.</w:t>
      </w:r>
      <w:r>
        <w:rPr>
          <w:rFonts w:hint="eastAsia" w:eastAsia="宋体" w:cs="Calibri"/>
          <w:sz w:val="22"/>
          <w:szCs w:val="22"/>
          <w:lang w:eastAsia="zh-CN"/>
        </w:rPr>
        <w:t xml:space="preserve"> In 2025Q3, HWM</w:t>
      </w:r>
      <w:r>
        <w:rPr>
          <w:rFonts w:eastAsia="宋体" w:cs="Calibri"/>
          <w:sz w:val="22"/>
          <w:szCs w:val="22"/>
          <w:lang w:eastAsia="zh-CN"/>
        </w:rPr>
        <w:t>’</w:t>
      </w:r>
      <w:r>
        <w:rPr>
          <w:rFonts w:hint="eastAsia" w:eastAsia="宋体" w:cs="Calibri"/>
          <w:sz w:val="22"/>
          <w:szCs w:val="22"/>
          <w:lang w:eastAsia="zh-CN"/>
        </w:rPr>
        <w:t xml:space="preserve">s Free Cash Flow </w:t>
      </w:r>
      <w:r>
        <w:rPr>
          <w:rFonts w:eastAsia="宋体" w:cs="Calibri"/>
          <w:sz w:val="22"/>
          <w:szCs w:val="22"/>
          <w:lang w:eastAsia="zh-CN"/>
        </w:rPr>
        <w:t>was $423 million after $108 million of capital expenditures</w:t>
      </w:r>
      <w:r>
        <w:rPr>
          <w:rFonts w:hint="eastAsia" w:eastAsia="宋体"/>
          <w:lang w:eastAsia="zh-CN"/>
        </w:rPr>
        <w:t xml:space="preserve">, </w:t>
      </w:r>
      <w:r>
        <w:rPr>
          <w:rFonts w:eastAsia="宋体" w:cs="Calibri"/>
          <w:sz w:val="22"/>
          <w:szCs w:val="22"/>
          <w:lang w:eastAsia="zh-CN"/>
        </w:rPr>
        <w:t>bringing the 2025 year-to-date total to $901 million, up 50.4 % from $599 million in 2024Q1-Q3</w:t>
      </w:r>
      <w:r>
        <w:rPr>
          <w:rFonts w:hint="eastAsia" w:eastAsia="宋体" w:cs="Calibri"/>
          <w:sz w:val="22"/>
          <w:szCs w:val="22"/>
          <w:lang w:eastAsia="zh-CN"/>
        </w:rPr>
        <w:t xml:space="preserve">. </w:t>
      </w:r>
      <w:r>
        <w:rPr>
          <w:rFonts w:eastAsia="宋体" w:cs="Calibri"/>
          <w:sz w:val="22"/>
          <w:szCs w:val="22"/>
          <w:lang w:eastAsia="zh-CN"/>
        </w:rPr>
        <w:t>Strong cash generation supported continued return of cash to shareholders, with $200 million of share repurchases in the third quarter 2025 and an additional $100 million in October, bringing year-to-date repurchases to $600 million. Furthermore, the Board of Directors declared a 20% increase in the common stock dividend to $0.12 per share in the third quarter 2025.</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HWM</w:t>
            </w:r>
            <w:r>
              <w:rPr>
                <w:rFonts w:eastAsia="楷体_GB2312" w:cs="Calibri"/>
                <w:b/>
                <w:sz w:val="20"/>
                <w:szCs w:val="20"/>
                <w:lang w:eastAsia="zh-CN"/>
              </w:rPr>
              <w:t>’</w:t>
            </w:r>
            <w:r>
              <w:rPr>
                <w:rFonts w:hint="eastAsia" w:eastAsia="楷体_GB2312" w:cs="Calibri"/>
                <w:b/>
                <w:sz w:val="20"/>
                <w:szCs w:val="20"/>
                <w:lang w:eastAsia="zh-CN"/>
              </w:rPr>
              <w:t xml:space="preserve">s 2021-2025Q1-Q3 </w:t>
            </w:r>
            <w:r>
              <w:rPr>
                <w:rFonts w:eastAsia="楷体_GB2312" w:cs="Calibri"/>
                <w:b/>
                <w:sz w:val="20"/>
                <w:szCs w:val="20"/>
                <w:lang w:eastAsia="zh-CN"/>
              </w:rPr>
              <w:t>Adjusted</w:t>
            </w:r>
            <w:r>
              <w:rPr>
                <w:rFonts w:hint="eastAsia" w:eastAsia="楷体_GB2312" w:cs="Calibri"/>
                <w:b/>
                <w:sz w:val="20"/>
                <w:szCs w:val="20"/>
                <w:lang w:eastAsia="zh-CN"/>
              </w:rPr>
              <w:t xml:space="preserve"> free cash flow</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313430" cy="2675890"/>
                  <wp:effectExtent l="0" t="0" r="1270" b="3810"/>
                  <wp:docPr id="6079017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eastAsia="楷体_GB2312" w:cs="Calibri"/>
                <w:lang w:eastAsia="zh-CN"/>
              </w:rPr>
              <w:t xml:space="preserv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hint="eastAsia" w:eastAsia="宋体" w:cs="Calibri"/>
          <w:b/>
          <w:bCs/>
          <w:sz w:val="22"/>
          <w:szCs w:val="22"/>
          <w:lang w:eastAsia="zh-CN"/>
        </w:rPr>
        <w:t>HWM</w:t>
      </w:r>
      <w:r>
        <w:rPr>
          <w:rFonts w:eastAsia="宋体" w:cs="Calibri"/>
          <w:b/>
          <w:bCs/>
          <w:sz w:val="22"/>
          <w:szCs w:val="22"/>
          <w:lang w:eastAsia="zh-CN"/>
        </w:rPr>
        <w:t>’</w:t>
      </w:r>
      <w:r>
        <w:rPr>
          <w:rFonts w:hint="eastAsia" w:eastAsia="宋体" w:cs="Calibri"/>
          <w:b/>
          <w:bCs/>
          <w:sz w:val="22"/>
          <w:szCs w:val="22"/>
          <w:lang w:eastAsia="zh-CN"/>
        </w:rPr>
        <w:t>s 2025Q3</w:t>
      </w:r>
      <w:r>
        <w:rPr>
          <w:rFonts w:eastAsia="宋体" w:cs="Calibri"/>
          <w:b/>
          <w:bCs/>
          <w:sz w:val="22"/>
          <w:szCs w:val="22"/>
          <w:lang w:eastAsia="zh-CN"/>
        </w:rPr>
        <w:t xml:space="preserve"> results described as beating across the board, stronger guidance</w:t>
      </w:r>
      <w:r>
        <w:rPr>
          <w:rFonts w:hint="eastAsia" w:eastAsia="宋体" w:cs="Calibri"/>
          <w:b/>
          <w:bCs/>
          <w:sz w:val="22"/>
          <w:szCs w:val="22"/>
          <w:lang w:eastAsia="zh-CN"/>
        </w:rPr>
        <w:t xml:space="preserve">. </w:t>
      </w:r>
      <w:r>
        <w:rPr>
          <w:rFonts w:eastAsia="宋体" w:cs="Calibri"/>
          <w:sz w:val="22"/>
          <w:szCs w:val="22"/>
          <w:lang w:eastAsia="zh-CN"/>
        </w:rPr>
        <w:t xml:space="preserve">Howmet </w:t>
      </w:r>
      <w:r>
        <w:rPr>
          <w:rFonts w:hint="eastAsia" w:eastAsia="宋体" w:cs="Calibri"/>
          <w:sz w:val="22"/>
          <w:szCs w:val="22"/>
          <w:lang w:eastAsia="zh-CN"/>
        </w:rPr>
        <w:t xml:space="preserve">raised its full-year 2025 revenue guidance from baseline $8.13 billion to baseline $8.185 billion, </w:t>
      </w:r>
      <w:r>
        <w:rPr>
          <w:rFonts w:eastAsia="宋体" w:cs="Calibri"/>
          <w:sz w:val="22"/>
          <w:szCs w:val="22"/>
          <w:lang w:eastAsia="zh-CN"/>
        </w:rPr>
        <w:t>profit forecast on strong aircraft demand</w:t>
      </w:r>
      <w:r>
        <w:rPr>
          <w:rFonts w:hint="eastAsia" w:eastAsia="宋体" w:cs="Calibri"/>
          <w:sz w:val="22"/>
          <w:szCs w:val="22"/>
          <w:lang w:eastAsia="zh-CN"/>
        </w:rPr>
        <w:t>. Also, HWM</w:t>
      </w:r>
      <w:r>
        <w:t xml:space="preserve"> </w:t>
      </w:r>
      <w:r>
        <w:rPr>
          <w:rFonts w:hint="eastAsia" w:eastAsia="宋体" w:cs="Calibri"/>
          <w:sz w:val="22"/>
          <w:szCs w:val="22"/>
          <w:lang w:eastAsia="zh-CN"/>
        </w:rPr>
        <w:t>provided its initial 2026 revenue outlook</w:t>
      </w:r>
      <w:r>
        <w:rPr>
          <w:rFonts w:eastAsia="宋体" w:cs="Calibri"/>
          <w:sz w:val="22"/>
          <w:szCs w:val="22"/>
          <w:lang w:eastAsia="zh-CN"/>
        </w:rPr>
        <w:t xml:space="preserve"> </w:t>
      </w:r>
      <w:r>
        <w:rPr>
          <w:rFonts w:hint="eastAsia" w:eastAsia="宋体" w:cs="Calibri"/>
          <w:sz w:val="22"/>
          <w:szCs w:val="22"/>
          <w:lang w:eastAsia="zh-CN"/>
        </w:rPr>
        <w:t xml:space="preserve">during its 2025Q3 earnings call, which is </w:t>
      </w:r>
      <w:r>
        <w:rPr>
          <w:rFonts w:eastAsia="宋体" w:cs="Calibri"/>
          <w:sz w:val="22"/>
          <w:szCs w:val="22"/>
          <w:lang w:eastAsia="zh-CN"/>
        </w:rPr>
        <w:t>$9 billion, up 10% on year for 2026 supported by rising production rates, engine spares, and industrial gas turbine demand linked to data centers.</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 xml:space="preserve">Boeing </w:t>
      </w:r>
      <w:r>
        <w:rPr>
          <w:rFonts w:hint="eastAsia" w:eastAsia="宋体" w:cs="Calibri"/>
          <w:b/>
          <w:bCs/>
          <w:sz w:val="22"/>
          <w:szCs w:val="22"/>
          <w:lang w:eastAsia="zh-CN"/>
        </w:rPr>
        <w:t>a</w:t>
      </w:r>
      <w:r>
        <w:rPr>
          <w:rFonts w:eastAsia="宋体" w:cs="Calibri"/>
          <w:b/>
          <w:bCs/>
          <w:sz w:val="22"/>
          <w:szCs w:val="22"/>
          <w:lang w:eastAsia="zh-CN"/>
        </w:rPr>
        <w:t>nd Airbus</w:t>
      </w:r>
      <w:r>
        <w:t xml:space="preserve"> </w:t>
      </w:r>
      <w:r>
        <w:rPr>
          <w:rFonts w:eastAsia="宋体" w:cs="Calibri"/>
          <w:b/>
          <w:bCs/>
          <w:sz w:val="22"/>
          <w:szCs w:val="22"/>
          <w:lang w:eastAsia="zh-CN"/>
        </w:rPr>
        <w:t>are ramping up production of their strong-selling single-aisle jets</w:t>
      </w:r>
      <w:r>
        <w:rPr>
          <w:rFonts w:eastAsia="宋体" w:cs="Calibri"/>
          <w:sz w:val="22"/>
          <w:szCs w:val="22"/>
          <w:lang w:eastAsia="zh-CN"/>
        </w:rPr>
        <w:t>, fueled by long order books and resilient air travel demand, benefiting suppliers like Howmet. At the same time, supply chain challenges and delays on output of widebody jets have weighed on new plane production, keeping older aircraft that require spare parts flying longer.</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HWM</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 xml:space="preserve">s </w:t>
            </w:r>
            <w:r>
              <w:rPr>
                <w:rFonts w:hint="eastAsia" w:ascii="Calibri" w:hAnsi="Calibri" w:cs="Calibri"/>
                <w:bCs w:val="0"/>
                <w:snapToGrid w:val="0"/>
                <w:sz w:val="20"/>
                <w:szCs w:val="20"/>
              </w:rPr>
              <w:t>2025 Guidance and 2026 Revenue Guidance (By 2025Q3)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jc w:val="center"/>
              <w:rPr>
                <w:rFonts w:hint="eastAsia" w:ascii="等线" w:hAnsi="等线"/>
              </w:rPr>
            </w:pPr>
            <w:r>
              <w:drawing>
                <wp:inline distT="0" distB="0" distL="0" distR="0">
                  <wp:extent cx="5367020" cy="2540000"/>
                  <wp:effectExtent l="0" t="0" r="5080" b="0"/>
                  <wp:docPr id="8253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764" name="图片 1"/>
                          <pic:cNvPicPr>
                            <a:picLocks noChangeAspect="1"/>
                          </pic:cNvPicPr>
                        </pic:nvPicPr>
                        <pic:blipFill>
                          <a:blip r:embed="rId30"/>
                          <a:stretch>
                            <a:fillRect/>
                          </a:stretch>
                        </pic:blipFill>
                        <pic:spPr>
                          <a:xfrm>
                            <a:off x="0" y="0"/>
                            <a:ext cx="5407377" cy="255940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HWM expected </w:t>
            </w:r>
            <w:r>
              <w:rPr>
                <w:rFonts w:ascii="Calibri" w:hAnsi="Calibri" w:cs="Calibri"/>
                <w:bCs w:val="0"/>
                <w:snapToGrid w:val="0"/>
                <w:sz w:val="20"/>
                <w:szCs w:val="20"/>
              </w:rPr>
              <w:t>Each Debt Tower Below Annual Free Cash Flow Expectations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spacing w:after="240"/>
              <w:jc w:val="center"/>
              <w:rPr>
                <w:rFonts w:hint="eastAsia" w:ascii="等线" w:hAnsi="等线"/>
              </w:rPr>
            </w:pPr>
            <w:r>
              <w:drawing>
                <wp:inline distT="0" distB="0" distL="0" distR="0">
                  <wp:extent cx="5978525" cy="2941955"/>
                  <wp:effectExtent l="0" t="0" r="3175" b="0"/>
                  <wp:docPr id="162128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87035" name="图片 1"/>
                          <pic:cNvPicPr>
                            <a:picLocks noChangeAspect="1"/>
                          </pic:cNvPicPr>
                        </pic:nvPicPr>
                        <pic:blipFill>
                          <a:blip r:embed="rId31"/>
                          <a:stretch>
                            <a:fillRect/>
                          </a:stretch>
                        </pic:blipFill>
                        <pic:spPr>
                          <a:xfrm>
                            <a:off x="0" y="0"/>
                            <a:ext cx="5983592" cy="29444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Industry PPI for aircraft engine manufacturing has risen cumulatively by</w:t>
      </w:r>
      <w:r>
        <w:rPr>
          <w:rFonts w:hint="eastAsia" w:eastAsia="宋体" w:cs="Calibri"/>
          <w:sz w:val="22"/>
          <w:szCs w:val="22"/>
          <w:lang w:eastAsia="zh-CN"/>
        </w:rPr>
        <w:t xml:space="preserve"> 17.88</w:t>
      </w:r>
      <w:r>
        <w:rPr>
          <w:rFonts w:eastAsia="宋体" w:cs="Calibri"/>
          <w:sz w:val="22"/>
          <w:szCs w:val="22"/>
          <w:lang w:eastAsia="zh-CN"/>
        </w:rPr>
        <w:t>% since 2020 (from</w:t>
      </w:r>
      <w:r>
        <w:rPr>
          <w:rFonts w:hint="eastAsia" w:eastAsia="宋体" w:cs="Calibri"/>
          <w:sz w:val="22"/>
          <w:szCs w:val="22"/>
          <w:lang w:eastAsia="zh-CN"/>
        </w:rPr>
        <w:t>233.3</w:t>
      </w:r>
      <w:r>
        <w:rPr>
          <w:rFonts w:eastAsia="宋体" w:cs="Calibri"/>
          <w:sz w:val="22"/>
          <w:szCs w:val="22"/>
          <w:lang w:eastAsia="zh-CN"/>
        </w:rPr>
        <w:t xml:space="preserve"> to 275</w:t>
      </w:r>
      <w:r>
        <w:rPr>
          <w:rFonts w:hint="eastAsia" w:eastAsia="宋体" w:cs="Calibri"/>
          <w:sz w:val="22"/>
          <w:szCs w:val="22"/>
          <w:lang w:eastAsia="zh-CN"/>
        </w:rPr>
        <w:t>.01</w:t>
      </w:r>
      <w:r>
        <w:rPr>
          <w:rFonts w:eastAsia="宋体" w:cs="Calibri"/>
          <w:sz w:val="22"/>
          <w:szCs w:val="22"/>
          <w:lang w:eastAsia="zh-CN"/>
        </w:rPr>
        <w:t>), with the engine parts sub-index exhibiting a steeper climb, reflecting persistent cost inflation across aerospace supply chains. Leveraging proprietary technology moats, HWM maintains pricing power through cost pass‐via price escalation clauses embedded in Long‐Term Agreements. The continued uptrend in PPI since late 2024 (lower panels) further validates the defensive support of HWM’s technology premium on gross margins amid industry‐wide pricing pressure.</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Producer Price Index by Industry </w:t>
            </w:r>
            <w:r>
              <w:rPr>
                <w:rFonts w:ascii="Calibri" w:hAnsi="Calibri" w:cs="Calibri"/>
                <w:bCs w:val="0"/>
                <w:snapToGrid w:val="0"/>
                <w:sz w:val="20"/>
                <w:szCs w:val="20"/>
              </w:rPr>
              <w:t>–</w:t>
            </w:r>
            <w:r>
              <w:rPr>
                <w:rFonts w:hint="eastAsia" w:ascii="Calibri" w:hAnsi="Calibri" w:cs="Calibri"/>
                <w:bCs w:val="0"/>
                <w:snapToGrid w:val="0"/>
                <w:sz w:val="20"/>
                <w:szCs w:val="20"/>
              </w:rPr>
              <w:t xml:space="preserve"> Aircraft Engine and Engine Parts Manufacturing (Jul2020-Jul2025)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3" w:hRule="atLeast"/>
        </w:trPr>
        <w:tc>
          <w:tcPr>
            <w:tcW w:w="10206" w:type="dxa"/>
            <w:tcBorders>
              <w:top w:val="single" w:color="023F97" w:sz="4" w:space="0"/>
              <w:bottom w:val="single" w:color="023F97" w:sz="4" w:space="0"/>
            </w:tcBorders>
            <w:vAlign w:val="center"/>
          </w:tcPr>
          <w:p>
            <w:pPr>
              <w:pStyle w:val="150"/>
              <w:keepNext/>
              <w:spacing w:after="240"/>
              <w:jc w:val="center"/>
              <w:rPr>
                <w:rFonts w:hint="eastAsia" w:ascii="等线" w:hAnsi="等线"/>
              </w:rPr>
            </w:pPr>
            <w:r>
              <w:drawing>
                <wp:inline distT="0" distB="0" distL="0" distR="0">
                  <wp:extent cx="6137910" cy="2127250"/>
                  <wp:effectExtent l="0" t="0" r="0" b="6350"/>
                  <wp:docPr id="1545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196"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52549" cy="2132424"/>
                          </a:xfrm>
                          <a:prstGeom prst="rect">
                            <a:avLst/>
                          </a:prstGeom>
                          <a:noFill/>
                        </pic:spPr>
                      </pic:pic>
                    </a:graphicData>
                  </a:graphic>
                </wp:inline>
              </w:drawing>
            </w:r>
          </w:p>
          <w:p>
            <w:pPr>
              <w:pStyle w:val="150"/>
              <w:keepNext/>
              <w:spacing w:after="240"/>
              <w:jc w:val="center"/>
              <w:rPr>
                <w:rFonts w:hint="eastAsia" w:ascii="等线" w:hAnsi="等线"/>
              </w:rPr>
            </w:pPr>
            <w:r>
              <w:drawing>
                <wp:inline distT="0" distB="0" distL="0" distR="0">
                  <wp:extent cx="6239510" cy="2163445"/>
                  <wp:effectExtent l="0" t="0" r="889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261148" cy="2171150"/>
                          </a:xfrm>
                          <a:prstGeom prst="rect">
                            <a:avLst/>
                          </a:prstGeom>
                          <a:noFill/>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Fred</w:t>
            </w:r>
            <w:r>
              <w:t xml:space="preserve"> </w:t>
            </w:r>
            <w:r>
              <w:rPr>
                <w:rFonts w:hint="eastAsia" w:ascii="Calibri" w:hAnsi="Calibri" w:cs="Calibri"/>
                <w:snapToGrid w:val="0"/>
                <w:sz w:val="16"/>
                <w:szCs w:val="16"/>
                <w:lang w:eastAsia="ja-JP"/>
              </w:rPr>
              <w:t xml:space="preserve"> , HFI</w:t>
            </w:r>
          </w:p>
        </w:tc>
      </w:tr>
    </w:tbl>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Producer Price Index by Industry </w:t>
            </w:r>
            <w:r>
              <w:rPr>
                <w:rFonts w:ascii="Calibri" w:hAnsi="Calibri" w:cs="Calibri"/>
                <w:bCs w:val="0"/>
                <w:snapToGrid w:val="0"/>
                <w:sz w:val="20"/>
                <w:szCs w:val="20"/>
              </w:rPr>
              <w:t>–</w:t>
            </w:r>
            <w:r>
              <w:rPr>
                <w:rFonts w:hint="eastAsia" w:ascii="Calibri" w:hAnsi="Calibri" w:cs="Calibri"/>
                <w:bCs w:val="0"/>
                <w:snapToGrid w:val="0"/>
                <w:sz w:val="20"/>
                <w:szCs w:val="20"/>
              </w:rPr>
              <w:t xml:space="preserve"> Aircraft Engine and Engine Parts Manufacturing-Accessories (Jul2020-Jul2025)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3" w:hRule="atLeast"/>
        </w:trPr>
        <w:tc>
          <w:tcPr>
            <w:tcW w:w="10206" w:type="dxa"/>
            <w:tcBorders>
              <w:top w:val="single" w:color="023F97" w:sz="4" w:space="0"/>
              <w:bottom w:val="single" w:color="023F97" w:sz="4" w:space="0"/>
            </w:tcBorders>
            <w:vAlign w:val="center"/>
          </w:tcPr>
          <w:p>
            <w:pPr>
              <w:pStyle w:val="150"/>
              <w:keepNext/>
              <w:spacing w:after="240"/>
              <w:jc w:val="center"/>
              <w:rPr>
                <w:rFonts w:ascii="等线" w:hAnsi="等线"/>
              </w:rPr>
            </w:pPr>
            <w:r>
              <w:drawing>
                <wp:inline distT="0" distB="0" distL="0" distR="0">
                  <wp:extent cx="6085840" cy="2099945"/>
                  <wp:effectExtent l="0" t="0" r="0" b="0"/>
                  <wp:docPr id="11079777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7777"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121835" cy="2112752"/>
                          </a:xfrm>
                          <a:prstGeom prst="rect">
                            <a:avLst/>
                          </a:prstGeom>
                          <a:noFill/>
                        </pic:spPr>
                      </pic:pic>
                    </a:graphicData>
                  </a:graphic>
                </wp:inline>
              </w:drawing>
            </w:r>
          </w:p>
          <w:p>
            <w:pPr>
              <w:pStyle w:val="150"/>
              <w:keepNext/>
              <w:spacing w:after="240"/>
              <w:jc w:val="center"/>
              <w:rPr>
                <w:rFonts w:hint="eastAsia" w:ascii="等线" w:hAnsi="等线"/>
              </w:rPr>
            </w:pPr>
            <w:r>
              <w:drawing>
                <wp:inline distT="0" distB="0" distL="0" distR="0">
                  <wp:extent cx="6083300" cy="2101215"/>
                  <wp:effectExtent l="0" t="0" r="0" b="0"/>
                  <wp:docPr id="1300322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266"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126289" cy="2116209"/>
                          </a:xfrm>
                          <a:prstGeom prst="rect">
                            <a:avLst/>
                          </a:prstGeom>
                          <a:noFill/>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Fred</w:t>
            </w:r>
            <w:r>
              <w:t xml:space="preserve"> </w:t>
            </w:r>
            <w:r>
              <w:rPr>
                <w:rFonts w:hint="eastAsia" w:ascii="Calibri" w:hAnsi="Calibri" w:cs="Calibri"/>
                <w:snapToGrid w:val="0"/>
                <w:sz w:val="16"/>
                <w:szCs w:val="16"/>
                <w:lang w:eastAsia="ja-JP"/>
              </w:rPr>
              <w:t xml:space="preserve"> , HFI</w:t>
            </w:r>
          </w:p>
        </w:tc>
      </w:tr>
    </w:tbl>
    <w:p>
      <w:pPr>
        <w:jc w:val="both"/>
        <w:rPr>
          <w:rFonts w:eastAsia="宋体" w:cs="Calibri"/>
          <w:sz w:val="22"/>
          <w:szCs w:val="22"/>
          <w:lang w:eastAsia="zh-CN"/>
        </w:rPr>
      </w:pPr>
    </w:p>
    <w:p>
      <w:pPr>
        <w:pStyle w:val="2"/>
        <w:spacing w:beforeLines="100" w:after="240" w:afterLines="100"/>
        <w:jc w:val="both"/>
        <w:rPr>
          <w:rFonts w:eastAsia="宋体" w:cs="Times New Roman"/>
          <w:snapToGrid/>
          <w:color w:val="23558C"/>
          <w:kern w:val="28"/>
          <w:sz w:val="28"/>
          <w:szCs w:val="28"/>
          <w:lang w:eastAsia="zh-CN"/>
        </w:rPr>
      </w:pPr>
      <w:bookmarkStart w:id="7" w:name="_Toc21650"/>
      <w:r>
        <w:rPr>
          <w:rFonts w:hint="eastAsia" w:eastAsia="宋体" w:cs="Times New Roman"/>
          <w:snapToGrid/>
          <w:color w:val="23558C"/>
          <w:kern w:val="28"/>
          <w:sz w:val="28"/>
          <w:szCs w:val="28"/>
          <w:lang w:eastAsia="zh-CN"/>
        </w:rPr>
        <w:t>2</w:t>
      </w:r>
      <w:r>
        <w:rPr>
          <w:rFonts w:eastAsia="宋体" w:cs="Times New Roman"/>
          <w:snapToGrid/>
          <w:color w:val="23558C"/>
          <w:kern w:val="28"/>
          <w:sz w:val="28"/>
          <w:szCs w:val="28"/>
          <w:lang w:eastAsia="zh-CN"/>
        </w:rPr>
        <w:t>. Core Competitive Strengths</w:t>
      </w:r>
      <w:bookmarkEnd w:id="7"/>
    </w:p>
    <w:p>
      <w:pPr>
        <w:pStyle w:val="148"/>
        <w:jc w:val="both"/>
        <w:rPr>
          <w:rFonts w:hint="eastAsia" w:cs="Times New Roman"/>
          <w:b w:val="0"/>
          <w:bCs w:val="0"/>
          <w:color w:val="23558C"/>
          <w:kern w:val="28"/>
          <w:sz w:val="24"/>
          <w:szCs w:val="24"/>
        </w:rPr>
      </w:pPr>
      <w:bookmarkStart w:id="8" w:name="_Toc26130"/>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w:t>
      </w:r>
      <w:r>
        <w:rPr>
          <w:rFonts w:hint="eastAsia" w:ascii="Calibri" w:hAnsi="Calibri" w:cs="Times New Roman"/>
          <w:iCs w:val="0"/>
          <w:color w:val="23558C"/>
          <w:kern w:val="28"/>
          <w:sz w:val="24"/>
          <w:szCs w:val="24"/>
        </w:rPr>
        <w:t>1</w:t>
      </w:r>
      <w:r>
        <w:rPr>
          <w:rFonts w:ascii="Calibri" w:hAnsi="Calibri" w:cs="Times New Roman"/>
          <w:iCs w:val="0"/>
          <w:color w:val="23558C"/>
          <w:kern w:val="28"/>
          <w:sz w:val="24"/>
          <w:szCs w:val="24"/>
        </w:rPr>
        <w:t xml:space="preserve"> Sole Supplier of F-35 Fan Discs</w:t>
      </w:r>
      <w:bookmarkEnd w:id="8"/>
    </w:p>
    <w:p>
      <w:pPr>
        <w:jc w:val="both"/>
        <w:rPr>
          <w:rFonts w:eastAsia="宋体" w:cs="Calibri"/>
          <w:sz w:val="22"/>
          <w:szCs w:val="22"/>
          <w:lang w:eastAsia="zh-CN"/>
        </w:rPr>
      </w:pPr>
      <w:r>
        <w:rPr>
          <w:rFonts w:hint="eastAsia" w:eastAsia="宋体" w:cs="Calibri"/>
          <w:sz w:val="22"/>
          <w:szCs w:val="22"/>
          <w:lang w:eastAsia="zh-CN"/>
        </w:rPr>
        <w:t>Currently, t</w:t>
      </w:r>
      <w:r>
        <w:rPr>
          <w:rFonts w:eastAsia="宋体" w:cs="Calibri"/>
          <w:sz w:val="22"/>
          <w:szCs w:val="22"/>
          <w:lang w:eastAsia="zh-CN"/>
        </w:rPr>
        <w:t>he defense aerospace market remains strong across F-35 demand in addition to legacy fighters.</w:t>
      </w:r>
      <w:r>
        <w:rPr>
          <w:rFonts w:hint="eastAsia" w:eastAsia="宋体" w:cs="Calibri"/>
          <w:sz w:val="22"/>
          <w:szCs w:val="22"/>
          <w:lang w:eastAsia="zh-CN"/>
        </w:rPr>
        <w:t xml:space="preserve"> </w:t>
      </w:r>
      <w:r>
        <w:rPr>
          <w:rFonts w:eastAsia="宋体" w:cs="Calibri"/>
          <w:sz w:val="22"/>
          <w:szCs w:val="22"/>
          <w:lang w:eastAsia="zh-CN"/>
        </w:rPr>
        <w:t>The Lockheed Martin F-35 Lightning II is one of the most sophisticated defense aircraft ever to take flight—and Howmet Aerospace innovation helps make it soar.</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From nose to tail, Howmet Aerospace solutions help meet aggressive weight, range and fuel efficiency targets and enable the F-35 to do what other military aircraft can’t.</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b/>
          <w:bCs/>
          <w:sz w:val="22"/>
          <w:szCs w:val="22"/>
          <w:lang w:eastAsia="zh-CN"/>
        </w:rPr>
        <w:t>Engineering the unprecedented</w:t>
      </w:r>
      <w:r>
        <w:rPr>
          <w:rFonts w:hint="eastAsia" w:eastAsia="宋体" w:cs="Calibri"/>
          <w:b/>
          <w:bCs/>
          <w:sz w:val="22"/>
          <w:szCs w:val="22"/>
          <w:lang w:eastAsia="zh-CN"/>
        </w:rPr>
        <w:t xml:space="preserve">. </w:t>
      </w:r>
      <w:r>
        <w:rPr>
          <w:rFonts w:eastAsia="宋体" w:cs="Calibri"/>
          <w:sz w:val="22"/>
          <w:szCs w:val="22"/>
          <w:lang w:eastAsia="zh-CN"/>
        </w:rPr>
        <w:t xml:space="preserve">In developing this complex machine, Lockheed Martin turned to Howmet Aerospace for many of its critical parts. These include single-piece forged aluminum bulkheads that form the “backbone” of the aircraft structure and save 300 to 400 pounds per jet and up to 20 percent in costs. </w:t>
      </w:r>
      <w:r>
        <w:rPr>
          <w:rFonts w:hint="eastAsia" w:eastAsia="宋体" w:cs="Calibri"/>
          <w:sz w:val="22"/>
          <w:szCs w:val="22"/>
          <w:lang w:eastAsia="zh-CN"/>
        </w:rPr>
        <w:t>Howmet</w:t>
      </w:r>
      <w:r>
        <w:rPr>
          <w:rFonts w:eastAsia="宋体" w:cs="Calibri"/>
          <w:sz w:val="22"/>
          <w:szCs w:val="22"/>
          <w:lang w:eastAsia="zh-CN"/>
        </w:rPr>
        <w:t xml:space="preserve"> also supply titanium bulkheads and the titanium material used to manufacture other airframe structures for all three F-35 JSF variants.</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 xml:space="preserve">To propel the powerful engine, </w:t>
      </w:r>
      <w:r>
        <w:rPr>
          <w:rFonts w:hint="eastAsia" w:eastAsia="宋体" w:cs="Calibri"/>
          <w:sz w:val="22"/>
          <w:szCs w:val="22"/>
          <w:lang w:eastAsia="zh-CN"/>
        </w:rPr>
        <w:t>Howmet</w:t>
      </w:r>
      <w:r>
        <w:rPr>
          <w:rFonts w:eastAsia="宋体" w:cs="Calibri"/>
          <w:sz w:val="22"/>
          <w:szCs w:val="22"/>
          <w:lang w:eastAsia="zh-CN"/>
        </w:rPr>
        <w:t xml:space="preserve"> supply single-crystal, nickel-based superalloy blades and vanes that operate in environments hotter than the melting point of the metal. And </w:t>
      </w:r>
      <w:r>
        <w:rPr>
          <w:rFonts w:hint="eastAsia" w:eastAsia="宋体" w:cs="Calibri"/>
          <w:sz w:val="22"/>
          <w:szCs w:val="22"/>
          <w:lang w:eastAsia="zh-CN"/>
        </w:rPr>
        <w:t xml:space="preserve">their </w:t>
      </w:r>
      <w:r>
        <w:rPr>
          <w:rFonts w:eastAsia="宋体" w:cs="Calibri"/>
          <w:sz w:val="22"/>
          <w:szCs w:val="22"/>
          <w:lang w:eastAsia="zh-CN"/>
        </w:rPr>
        <w:t>seamless rolled rings encase the engine parts.</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 xml:space="preserve">To hold together the complex design, </w:t>
      </w:r>
      <w:r>
        <w:rPr>
          <w:rFonts w:hint="eastAsia" w:eastAsia="宋体" w:cs="Calibri"/>
          <w:sz w:val="22"/>
          <w:szCs w:val="22"/>
          <w:lang w:eastAsia="zh-CN"/>
        </w:rPr>
        <w:t>Howmet</w:t>
      </w:r>
      <w:r>
        <w:rPr>
          <w:rFonts w:eastAsia="宋体" w:cs="Calibri"/>
          <w:sz w:val="22"/>
          <w:szCs w:val="22"/>
          <w:lang w:eastAsia="zh-CN"/>
        </w:rPr>
        <w:t>’</w:t>
      </w:r>
      <w:r>
        <w:rPr>
          <w:rFonts w:hint="eastAsia" w:eastAsia="宋体" w:cs="Calibri"/>
          <w:sz w:val="22"/>
          <w:szCs w:val="22"/>
          <w:lang w:eastAsia="zh-CN"/>
        </w:rPr>
        <w:t>s</w:t>
      </w:r>
      <w:r>
        <w:rPr>
          <w:rFonts w:eastAsia="宋体" w:cs="Calibri"/>
          <w:sz w:val="22"/>
          <w:szCs w:val="22"/>
          <w:lang w:eastAsia="zh-CN"/>
        </w:rPr>
        <w:t xml:space="preserve"> vibration-resistant fasteners are engineered to endure the most extreme G-forces and performance requirements.</w:t>
      </w:r>
    </w:p>
    <w:p>
      <w:pPr>
        <w:jc w:val="both"/>
        <w:rPr>
          <w:rFonts w:eastAsia="宋体"/>
          <w:lang w:eastAsia="zh-CN"/>
        </w:rPr>
      </w:pPr>
    </w:p>
    <w:p>
      <w:pPr>
        <w:jc w:val="both"/>
        <w:rPr>
          <w:rFonts w:eastAsia="宋体" w:cs="Calibri"/>
          <w:sz w:val="22"/>
          <w:szCs w:val="22"/>
          <w:lang w:eastAsia="zh-CN"/>
        </w:rPr>
      </w:pPr>
      <w:r>
        <w:rPr>
          <w:rFonts w:eastAsia="宋体" w:cs="Calibri"/>
          <w:sz w:val="22"/>
          <w:szCs w:val="22"/>
          <w:lang w:eastAsia="zh-CN"/>
        </w:rPr>
        <w:t>Howmet supplies titanium ingot, billet, sheet and plate (the “Products”) to Lockheed Martin and other customers that also serve as suppliers to Lockheed Martin</w:t>
      </w:r>
      <w:r>
        <w:rPr>
          <w:rFonts w:hint="eastAsia" w:eastAsia="宋体" w:cs="Calibri"/>
          <w:sz w:val="22"/>
          <w:szCs w:val="22"/>
          <w:lang w:eastAsia="zh-CN"/>
        </w:rPr>
        <w:t>.</w:t>
      </w:r>
      <w:r>
        <w:rPr>
          <w:rFonts w:eastAsia="宋体" w:cs="Calibri"/>
          <w:sz w:val="22"/>
          <w:szCs w:val="22"/>
          <w:lang w:eastAsia="zh-CN"/>
        </w:rPr>
        <w:t xml:space="preserve"> The Products are made by mixing titanium sponge and titanium scrap metal that is reverted back to Howmet by its Customers to recycle into new Product.</w:t>
      </w:r>
    </w:p>
    <w:p>
      <w:pPr>
        <w:jc w:val="both"/>
        <w:rPr>
          <w:rFonts w:eastAsia="宋体" w:cs="Calibri"/>
          <w:sz w:val="22"/>
          <w:szCs w:val="22"/>
          <w:lang w:eastAsia="zh-CN"/>
        </w:rPr>
      </w:pP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 The Lockheed Martin F-35 Lightning II</w:t>
            </w:r>
          </w:p>
        </w:tc>
      </w:tr>
      <w:tr>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243705" cy="2453640"/>
                  <wp:effectExtent l="0" t="0" r="4445" b="3810"/>
                  <wp:docPr id="1558217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7019" name="图片 1"/>
                          <pic:cNvPicPr>
                            <a:picLocks noChangeAspect="1"/>
                          </pic:cNvPicPr>
                        </pic:nvPicPr>
                        <pic:blipFill>
                          <a:blip r:embed="rId36"/>
                          <a:stretch>
                            <a:fillRect/>
                          </a:stretch>
                        </pic:blipFill>
                        <pic:spPr>
                          <a:xfrm>
                            <a:off x="0" y="0"/>
                            <a:ext cx="4243833" cy="245370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t xml:space="preserve"> </w:t>
            </w:r>
            <w:r>
              <w:rPr>
                <w:rFonts w:eastAsia="楷体_GB2312" w:cs="Calibri"/>
              </w:rPr>
              <w:t>Company Announcements, HFI</w:t>
            </w:r>
          </w:p>
        </w:tc>
      </w:tr>
    </w:tbl>
    <w:p>
      <w:pPr>
        <w:rPr>
          <w:rFonts w:eastAsia="宋体" w:cs="Calibri"/>
          <w:sz w:val="22"/>
          <w:szCs w:val="22"/>
          <w:lang w:eastAsia="zh-CN"/>
        </w:rPr>
      </w:pPr>
    </w:p>
    <w:p>
      <w:pPr>
        <w:rPr>
          <w:rFonts w:eastAsia="宋体" w:cs="Calibri"/>
          <w:sz w:val="22"/>
          <w:szCs w:val="22"/>
          <w:lang w:eastAsia="zh-CN"/>
        </w:rPr>
      </w:pPr>
      <w:r>
        <w:rPr>
          <w:rFonts w:eastAsia="宋体" w:cs="Calibri"/>
          <w:b/>
          <w:bCs/>
          <w:sz w:val="22"/>
          <w:szCs w:val="22"/>
          <w:lang w:eastAsia="zh-CN"/>
        </w:rPr>
        <w:t>About the F-35</w:t>
      </w:r>
      <w:r>
        <w:rPr>
          <w:rFonts w:hint="eastAsia" w:eastAsia="宋体" w:cs="Calibri"/>
          <w:b/>
          <w:bCs/>
          <w:sz w:val="22"/>
          <w:szCs w:val="22"/>
          <w:lang w:eastAsia="zh-CN"/>
        </w:rPr>
        <w:t xml:space="preserve">. </w:t>
      </w:r>
      <w:r>
        <w:rPr>
          <w:rFonts w:eastAsia="宋体" w:cs="Calibri"/>
          <w:sz w:val="22"/>
          <w:szCs w:val="22"/>
          <w:lang w:eastAsia="zh-CN"/>
        </w:rPr>
        <w:t>With 12 nations operating the F-35 across the global fleet, and almost 1,300 aircraft in service, the F-35 is delivering on its promise of unmatched reliability and lethality. Lockheed Martin is positioned to keep the fleet at the cutting edge of technology and support our allies as they expand their capabilities worldwide to ensure the F-35 remains an indispensable contributor to global security for decades to come.</w:t>
      </w:r>
    </w:p>
    <w:p>
      <w:pPr>
        <w:rPr>
          <w:rFonts w:eastAsia="宋体" w:cs="Calibri"/>
          <w:b/>
          <w:bCs/>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 F-35 Lightning II</w:t>
            </w:r>
            <w:r>
              <w:rPr>
                <w:rFonts w:hint="eastAsia" w:eastAsia="楷体_GB2312" w:cs="Calibri"/>
                <w:b/>
                <w:sz w:val="20"/>
                <w:szCs w:val="20"/>
                <w:lang w:eastAsia="zh-CN"/>
              </w:rPr>
              <w:t xml:space="preserve"> </w:t>
            </w:r>
            <w:r>
              <w:rPr>
                <w:rFonts w:eastAsia="楷体_GB2312" w:cs="Calibri"/>
                <w:b/>
                <w:sz w:val="20"/>
                <w:szCs w:val="20"/>
                <w:lang w:eastAsia="zh-CN"/>
              </w:rPr>
              <w:t>Technical data</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1"/>
              <w:tblW w:w="6836" w:type="dxa"/>
              <w:tblInd w:w="0" w:type="dxa"/>
              <w:tblLayout w:type="fixed"/>
              <w:tblCellMar>
                <w:top w:w="0" w:type="dxa"/>
                <w:left w:w="108" w:type="dxa"/>
                <w:bottom w:w="0" w:type="dxa"/>
                <w:right w:w="108" w:type="dxa"/>
              </w:tblCellMar>
            </w:tblPr>
            <w:tblGrid>
              <w:gridCol w:w="3095"/>
              <w:gridCol w:w="3741"/>
            </w:tblGrid>
            <w:tr>
              <w:tblPrEx>
                <w:tblCellMar>
                  <w:top w:w="0" w:type="dxa"/>
                  <w:left w:w="108" w:type="dxa"/>
                  <w:bottom w:w="0" w:type="dxa"/>
                  <w:right w:w="108" w:type="dxa"/>
                </w:tblCellMar>
              </w:tblPrEx>
              <w:trPr>
                <w:trHeight w:val="299" w:hRule="atLeast"/>
              </w:trPr>
              <w:tc>
                <w:tcPr>
                  <w:tcW w:w="6836" w:type="dxa"/>
                  <w:gridSpan w:val="2"/>
                  <w:tcBorders>
                    <w:top w:val="nil"/>
                    <w:left w:val="nil"/>
                    <w:bottom w:val="nil"/>
                    <w:right w:val="nil"/>
                  </w:tcBorders>
                  <w:shd w:val="clear" w:color="000000" w:fill="4472C4"/>
                  <w:noWrap/>
                  <w:vAlign w:val="center"/>
                </w:tcPr>
                <w:p>
                  <w:pPr>
                    <w:jc w:val="center"/>
                    <w:rPr>
                      <w:rFonts w:hint="eastAsia" w:ascii="等线" w:hAnsi="等线" w:eastAsia="等线" w:cs="宋体"/>
                      <w:b/>
                      <w:bCs/>
                      <w:snapToGrid/>
                      <w:color w:val="FFFFFF"/>
                      <w:sz w:val="22"/>
                      <w:szCs w:val="22"/>
                      <w:lang w:eastAsia="zh-CN"/>
                    </w:rPr>
                  </w:pPr>
                  <w:r>
                    <w:rPr>
                      <w:rFonts w:hint="eastAsia" w:ascii="等线" w:hAnsi="等线" w:eastAsia="等线" w:cs="宋体"/>
                      <w:b/>
                      <w:bCs/>
                      <w:snapToGrid/>
                      <w:color w:val="FFFFFF"/>
                      <w:sz w:val="22"/>
                      <w:szCs w:val="22"/>
                      <w:lang w:eastAsia="zh-CN"/>
                    </w:rPr>
                    <w:t>Technical data</w:t>
                  </w:r>
                </w:p>
              </w:tc>
            </w:tr>
            <w:tr>
              <w:tblPrEx>
                <w:tblCellMar>
                  <w:top w:w="0" w:type="dxa"/>
                  <w:left w:w="108" w:type="dxa"/>
                  <w:bottom w:w="0" w:type="dxa"/>
                  <w:right w:w="108" w:type="dxa"/>
                </w:tblCellMar>
              </w:tblPrEx>
              <w:trPr>
                <w:trHeight w:val="299" w:hRule="atLeast"/>
              </w:trPr>
              <w:tc>
                <w:tcPr>
                  <w:tcW w:w="3095" w:type="dxa"/>
                  <w:tcBorders>
                    <w:top w:val="single" w:color="auto" w:sz="4" w:space="0"/>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Wing Span</w:t>
                  </w:r>
                </w:p>
              </w:tc>
              <w:tc>
                <w:tcPr>
                  <w:tcW w:w="3740" w:type="dxa"/>
                  <w:tcBorders>
                    <w:top w:val="single" w:color="auto" w:sz="4" w:space="0"/>
                    <w:left w:val="nil"/>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10,70 m – 35 ft</w:t>
                  </w:r>
                </w:p>
              </w:tc>
            </w:tr>
            <w:tr>
              <w:tblPrEx>
                <w:tblCellMar>
                  <w:top w:w="0" w:type="dxa"/>
                  <w:left w:w="108" w:type="dxa"/>
                  <w:bottom w:w="0" w:type="dxa"/>
                  <w:right w:w="108" w:type="dxa"/>
                </w:tblCellMar>
              </w:tblPrEx>
              <w:trPr>
                <w:trHeight w:val="299" w:hRule="atLeast"/>
              </w:trPr>
              <w:tc>
                <w:tcPr>
                  <w:tcW w:w="3095" w:type="dxa"/>
                  <w:tcBorders>
                    <w:top w:val="nil"/>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Length</w:t>
                  </w:r>
                </w:p>
              </w:tc>
              <w:tc>
                <w:tcPr>
                  <w:tcW w:w="3740" w:type="dxa"/>
                  <w:tcBorders>
                    <w:top w:val="nil"/>
                    <w:left w:val="nil"/>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15,70 m – 51.4 ft</w:t>
                  </w:r>
                </w:p>
              </w:tc>
            </w:tr>
            <w:tr>
              <w:tblPrEx>
                <w:tblCellMar>
                  <w:top w:w="0" w:type="dxa"/>
                  <w:left w:w="108" w:type="dxa"/>
                  <w:bottom w:w="0" w:type="dxa"/>
                  <w:right w:w="108" w:type="dxa"/>
                </w:tblCellMar>
              </w:tblPrEx>
              <w:trPr>
                <w:trHeight w:val="299" w:hRule="atLeast"/>
              </w:trPr>
              <w:tc>
                <w:tcPr>
                  <w:tcW w:w="3095" w:type="dxa"/>
                  <w:tcBorders>
                    <w:top w:val="nil"/>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Maximum Speed</w:t>
                  </w:r>
                </w:p>
              </w:tc>
              <w:tc>
                <w:tcPr>
                  <w:tcW w:w="3740" w:type="dxa"/>
                  <w:tcBorders>
                    <w:top w:val="nil"/>
                    <w:left w:val="nil"/>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Mach 1.6</w:t>
                  </w:r>
                </w:p>
              </w:tc>
            </w:tr>
            <w:tr>
              <w:tblPrEx>
                <w:tblCellMar>
                  <w:top w:w="0" w:type="dxa"/>
                  <w:left w:w="108" w:type="dxa"/>
                  <w:bottom w:w="0" w:type="dxa"/>
                  <w:right w:w="108" w:type="dxa"/>
                </w:tblCellMar>
              </w:tblPrEx>
              <w:trPr>
                <w:trHeight w:val="299" w:hRule="atLeast"/>
              </w:trPr>
              <w:tc>
                <w:tcPr>
                  <w:tcW w:w="3095" w:type="dxa"/>
                  <w:tcBorders>
                    <w:top w:val="nil"/>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Weapons Payload</w:t>
                  </w:r>
                </w:p>
              </w:tc>
              <w:tc>
                <w:tcPr>
                  <w:tcW w:w="3740" w:type="dxa"/>
                  <w:tcBorders>
                    <w:top w:val="nil"/>
                    <w:left w:val="nil"/>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8,160 kg - 18,000 lb</w:t>
                  </w:r>
                </w:p>
              </w:tc>
            </w:tr>
            <w:tr>
              <w:tblPrEx>
                <w:tblCellMar>
                  <w:top w:w="0" w:type="dxa"/>
                  <w:left w:w="108" w:type="dxa"/>
                  <w:bottom w:w="0" w:type="dxa"/>
                  <w:right w:w="108" w:type="dxa"/>
                </w:tblCellMar>
              </w:tblPrEx>
              <w:trPr>
                <w:trHeight w:val="897" w:hRule="atLeast"/>
              </w:trPr>
              <w:tc>
                <w:tcPr>
                  <w:tcW w:w="3095" w:type="dxa"/>
                  <w:tcBorders>
                    <w:top w:val="nil"/>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Powerplant</w:t>
                  </w:r>
                </w:p>
              </w:tc>
              <w:tc>
                <w:tcPr>
                  <w:tcW w:w="3740" w:type="dxa"/>
                  <w:tcBorders>
                    <w:top w:val="nil"/>
                    <w:left w:val="nil"/>
                    <w:bottom w:val="single" w:color="auto" w:sz="4" w:space="0"/>
                    <w:right w:val="single" w:color="auto" w:sz="4" w:space="0"/>
                  </w:tcBorders>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Pratt &amp; Whitney F135-PW-100 reheated turbofan</w:t>
                  </w:r>
                </w:p>
              </w:tc>
            </w:tr>
            <w:tr>
              <w:tblPrEx>
                <w:tblCellMar>
                  <w:top w:w="0" w:type="dxa"/>
                  <w:left w:w="108" w:type="dxa"/>
                  <w:bottom w:w="0" w:type="dxa"/>
                  <w:right w:w="108" w:type="dxa"/>
                </w:tblCellMar>
              </w:tblPrEx>
              <w:trPr>
                <w:trHeight w:val="299" w:hRule="atLeast"/>
              </w:trPr>
              <w:tc>
                <w:tcPr>
                  <w:tcW w:w="3095" w:type="dxa"/>
                  <w:tcBorders>
                    <w:top w:val="nil"/>
                    <w:left w:val="single" w:color="auto" w:sz="4" w:space="0"/>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Thrust</w:t>
                  </w:r>
                </w:p>
              </w:tc>
              <w:tc>
                <w:tcPr>
                  <w:tcW w:w="3740" w:type="dxa"/>
                  <w:tcBorders>
                    <w:top w:val="nil"/>
                    <w:left w:val="nil"/>
                    <w:bottom w:val="single" w:color="auto" w:sz="4" w:space="0"/>
                    <w:right w:val="single" w:color="auto" w:sz="4" w:space="0"/>
                  </w:tcBorders>
                  <w:noWrap/>
                  <w:vAlign w:val="center"/>
                </w:tcPr>
                <w:p>
                  <w:pPr>
                    <w:rPr>
                      <w:rFonts w:hint="eastAsia" w:ascii="等线" w:hAnsi="等线" w:eastAsia="等线" w:cs="宋体"/>
                      <w:snapToGrid/>
                      <w:color w:val="000000"/>
                      <w:sz w:val="22"/>
                      <w:szCs w:val="22"/>
                      <w:lang w:eastAsia="zh-CN"/>
                    </w:rPr>
                  </w:pPr>
                  <w:r>
                    <w:rPr>
                      <w:rFonts w:hint="eastAsia" w:ascii="等线" w:hAnsi="等线" w:eastAsia="等线" w:cs="宋体"/>
                      <w:snapToGrid/>
                      <w:color w:val="000000"/>
                      <w:sz w:val="22"/>
                      <w:szCs w:val="22"/>
                      <w:lang w:eastAsia="zh-CN"/>
                    </w:rPr>
                    <w:t>191 kN – 40,000 lb</w:t>
                  </w:r>
                </w:p>
              </w:tc>
            </w:tr>
          </w:tbl>
          <w:p>
            <w:pPr>
              <w:spacing w:before="48" w:beforeLines="20" w:after="48" w:afterLines="20"/>
              <w:jc w:val="center"/>
              <w:textAlignment w:val="center"/>
              <w:rPr>
                <w:rFonts w:eastAsia="宋体" w:cs="Calibri"/>
                <w:b/>
                <w:bCs/>
                <w:sz w:val="20"/>
                <w:szCs w:val="20"/>
                <w:lang w:eastAsia="zh-CN"/>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t xml:space="preserve"> </w:t>
            </w:r>
            <w:r>
              <w:rPr>
                <w:rFonts w:eastAsia="楷体_GB2312" w:cs="Calibri"/>
              </w:rPr>
              <w:t>Leonardo, HFI</w:t>
            </w:r>
          </w:p>
        </w:tc>
      </w:tr>
    </w:tbl>
    <w:p>
      <w:pPr>
        <w:rPr>
          <w:rFonts w:eastAsia="宋体" w:cs="Calibri"/>
          <w:b/>
          <w:bCs/>
          <w:sz w:val="22"/>
          <w:szCs w:val="22"/>
          <w:lang w:eastAsia="zh-CN"/>
        </w:rPr>
      </w:pPr>
    </w:p>
    <w:p>
      <w:pPr>
        <w:jc w:val="both"/>
        <w:rPr>
          <w:rFonts w:eastAsia="宋体" w:cs="Calibri"/>
          <w:sz w:val="22"/>
          <w:szCs w:val="22"/>
          <w:lang w:eastAsia="zh-CN"/>
        </w:rPr>
      </w:pPr>
      <w:r>
        <w:rPr>
          <w:rFonts w:eastAsia="宋体" w:cs="Calibri"/>
          <w:b/>
          <w:bCs/>
          <w:sz w:val="22"/>
          <w:szCs w:val="22"/>
          <w:lang w:eastAsia="zh-CN"/>
        </w:rPr>
        <w:t>Annual F-35 production is now running at a pace five times faster than any other allied fighter currently in production</w:t>
      </w:r>
      <w:r>
        <w:rPr>
          <w:rFonts w:eastAsia="宋体" w:cs="Calibri"/>
          <w:sz w:val="22"/>
          <w:szCs w:val="22"/>
          <w:lang w:eastAsia="zh-CN"/>
        </w:rPr>
        <w:t>, underscoring the program's scale and maturity.</w:t>
      </w:r>
      <w:r>
        <w:rPr>
          <w:rFonts w:hint="eastAsia" w:eastAsia="宋体" w:cs="Calibri"/>
          <w:sz w:val="22"/>
          <w:szCs w:val="22"/>
          <w:lang w:eastAsia="zh-CN"/>
        </w:rPr>
        <w:t xml:space="preserve"> </w:t>
      </w:r>
      <w:r>
        <w:rPr>
          <w:rFonts w:eastAsia="宋体" w:cs="Calibri"/>
          <w:sz w:val="22"/>
          <w:szCs w:val="22"/>
          <w:lang w:eastAsia="zh-CN"/>
        </w:rPr>
        <w:t>In a record-breaking year for the F-35 Lightning II program, Lockheed Martin delivered 191 F-35s in 2025, surpassing the previous delivery record of 142 jets. The milestone comes on the heels of the program reaching one million flight hours earlier in the year. In 2025, the program team also delivered the most advanced software to date with the completion of TR-3, as they sustained the global fleet of almost 1,300 aircraft and growing.</w:t>
      </w:r>
      <w:r>
        <w:rPr>
          <w:rFonts w:hint="eastAsia" w:eastAsia="宋体" w:cs="Calibri"/>
          <w:sz w:val="22"/>
          <w:szCs w:val="22"/>
          <w:lang w:eastAsia="zh-CN"/>
        </w:rPr>
        <w:t xml:space="preserve"> </w:t>
      </w:r>
      <w:r>
        <w:rPr>
          <w:rFonts w:eastAsia="宋体" w:cs="Calibri"/>
          <w:b/>
          <w:bCs/>
          <w:sz w:val="22"/>
          <w:szCs w:val="22"/>
          <w:lang w:eastAsia="zh-CN"/>
        </w:rPr>
        <w:t>Most importantly, the F-35 continued to prove its performance in real-world combat operations</w:t>
      </w:r>
      <w:r>
        <w:rPr>
          <w:rFonts w:hint="eastAsia" w:eastAsia="宋体" w:cs="Calibri"/>
          <w:b/>
          <w:bCs/>
          <w:sz w:val="22"/>
          <w:szCs w:val="22"/>
          <w:lang w:eastAsia="zh-CN"/>
        </w:rPr>
        <w:t>.</w:t>
      </w:r>
      <w:r>
        <w:rPr>
          <w:rFonts w:hint="eastAsia" w:eastAsia="宋体" w:cs="Calibri"/>
          <w:sz w:val="22"/>
          <w:szCs w:val="22"/>
          <w:lang w:eastAsia="zh-CN"/>
        </w:rPr>
        <w:t xml:space="preserve"> Also, </w:t>
      </w:r>
      <w:r>
        <w:rPr>
          <w:rFonts w:eastAsia="宋体" w:cs="Calibri"/>
          <w:sz w:val="22"/>
          <w:szCs w:val="22"/>
          <w:lang w:eastAsia="zh-CN"/>
        </w:rPr>
        <w:t>A new $24.3 billion contract was secured for 296 fighters, with international partners like Italy and Denmark adding 25 and 16 aircraft to their orders, respectively.</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F-35 </w:t>
            </w:r>
            <w:r>
              <w:rPr>
                <w:rFonts w:hint="eastAsia" w:eastAsia="楷体_GB2312" w:cs="Calibri"/>
                <w:b/>
                <w:sz w:val="20"/>
                <w:szCs w:val="20"/>
                <w:lang w:eastAsia="zh-CN"/>
              </w:rPr>
              <w:t>Total Deliveries</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bookmarkStart w:id="20" w:name="_GoBack"/>
            <w:r>
              <w:rPr>
                <w:snapToGrid/>
              </w:rPr>
              <w:drawing>
                <wp:inline distT="0" distB="0" distL="0" distR="0">
                  <wp:extent cx="3784600" cy="2440940"/>
                  <wp:effectExtent l="0" t="0" r="0" b="10160"/>
                  <wp:docPr id="9421793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bookmarkEnd w:id="20"/>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eastAsia="楷体_GB2312" w:cs="Calibri"/>
              </w:rPr>
              <w:t>:</w:t>
            </w:r>
            <w:r>
              <w:rPr>
                <w:rFonts w:hint="eastAsia" w:eastAsia="楷体_GB2312" w:cs="Calibri"/>
                <w:lang w:eastAsia="zh-CN"/>
              </w:rPr>
              <w:t xml:space="preserve"> Air Force Technology</w:t>
            </w:r>
            <w:r>
              <w:rPr>
                <w:rFonts w:eastAsia="楷体_GB2312" w:cs="Calibri"/>
              </w:rPr>
              <w:t>, HFI</w:t>
            </w:r>
          </w:p>
        </w:tc>
      </w:tr>
    </w:tbl>
    <w:p>
      <w:pPr>
        <w:jc w:val="both"/>
        <w:rPr>
          <w:rFonts w:eastAsia="宋体" w:cs="Calibri"/>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F-35 Components and Howmet</w:t>
            </w:r>
            <w:r>
              <w:rPr>
                <w:rFonts w:ascii="Calibri" w:hAnsi="Calibri" w:cs="Calibri"/>
                <w:bCs w:val="0"/>
                <w:snapToGrid w:val="0"/>
                <w:sz w:val="20"/>
                <w:szCs w:val="20"/>
              </w:rPr>
              <w:t>’</w:t>
            </w:r>
            <w:r>
              <w:rPr>
                <w:rFonts w:hint="eastAsia" w:ascii="Calibri" w:hAnsi="Calibri" w:cs="Calibri"/>
                <w:bCs w:val="0"/>
                <w:snapToGrid w:val="0"/>
                <w:sz w:val="20"/>
                <w:szCs w:val="20"/>
              </w:rPr>
              <w:t>s critical part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spacing w:after="240"/>
              <w:jc w:val="center"/>
              <w:rPr>
                <w:rFonts w:hint="eastAsia" w:ascii="等线" w:hAnsi="等线"/>
              </w:rPr>
            </w:pPr>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639445</wp:posOffset>
                      </wp:positionH>
                      <wp:positionV relativeFrom="paragraph">
                        <wp:posOffset>1997710</wp:posOffset>
                      </wp:positionV>
                      <wp:extent cx="1216025" cy="301625"/>
                      <wp:effectExtent l="0" t="0" r="22225" b="22225"/>
                      <wp:wrapNone/>
                      <wp:docPr id="1432712621" name="矩形 6"/>
                      <wp:cNvGraphicFramePr/>
                      <a:graphic xmlns:a="http://schemas.openxmlformats.org/drawingml/2006/main">
                        <a:graphicData uri="http://schemas.microsoft.com/office/word/2010/wordprocessingShape">
                          <wps:wsp>
                            <wps:cNvSpPr/>
                            <wps:spPr>
                              <a:xfrm>
                                <a:off x="0" y="0"/>
                                <a:ext cx="1216025" cy="3016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 o:spid="_x0000_s1026" o:spt="1" style="position:absolute;left:0pt;margin-left:50.35pt;margin-top:157.3pt;height:23.75pt;width:95.75pt;z-index:251659264;v-text-anchor:middle;mso-width-relative:page;mso-height-relative:page;" filled="f" stroked="t" coordsize="21600,21600" o:gfxdata="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31+/+2AAAAAsBAAAPAAAAAAAAAAEAIAAAACIAAABkcnMvZG93bnJldi54bWxQSwEC&#10;FAAUAAAACACHTuJALlL8AmYCAAC9BAAADgAAAAAAAAABACAAAAAnAQAAZHJzL2Uyb0RvYy54bWxQ&#10;SwUGAAAAAAYABgBZAQAA/wUAAAAA&#10;">
                      <v:fill on="f" focussize="0,0"/>
                      <v:stroke weight="2pt" color="#FF8181 [3205]" joinstyle="round"/>
                      <v:imagedata o:title=""/>
                      <o:lock v:ext="edit" aspectratio="f"/>
                    </v:rect>
                  </w:pict>
                </mc:Fallback>
              </mc:AlternateContent>
            </w:r>
            <w:r>
              <w:rPr>
                <w:rFonts w:hint="eastAsia"/>
              </w:rPr>
              <w:drawing>
                <wp:inline distT="0" distB="0" distL="0" distR="0">
                  <wp:extent cx="5151120" cy="3865880"/>
                  <wp:effectExtent l="0" t="0" r="0" b="1270"/>
                  <wp:docPr id="1598328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821"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54243" cy="3868004"/>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Howmet holds sole-source supplier status for titanium and aluminum bulkheads on the F-35 Joint Strike Fighter (JSF) program—arguably the most critical structural component in the airframe. This exclusive position (denoted as 'sole-source' in the diagram) creates an impenetrable moat: once qualified for a defense platform, switching costs and security clearances prevent competitor entry, securing multi-decade revenue visibility across the aircraft's 30+ year service life</w:t>
      </w:r>
      <w:r>
        <w:rPr>
          <w:rFonts w:hint="eastAsia" w:eastAsia="宋体" w:cs="Calibri"/>
          <w:sz w:val="22"/>
          <w:szCs w:val="22"/>
          <w:lang w:eastAsia="zh-CN"/>
        </w:rPr>
        <w:t>.</w:t>
      </w:r>
    </w:p>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Howmet’s products are essential to the F-35 fighter jet, lighter aircraft with &gt;50% carbon fiber use 2-3x higher-value fasteners, Howmet’s largest Forging Press is 50,000 tons and 10 stories tall, while Howmet is also the largest producer of forged aluminium wheels that are 45% lighter than steel, improving fuel efficiency by 5% and/or 3% greater payload capacity on 18-wheeler trucks.</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149"/>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igure:</w:t>
            </w:r>
            <w:r>
              <w:rPr>
                <w:rFonts w:hint="eastAsia" w:ascii="Calibri" w:hAnsi="Calibri" w:cs="Calibri"/>
                <w:bCs w:val="0"/>
                <w:snapToGrid w:val="0"/>
                <w:sz w:val="20"/>
                <w:szCs w:val="20"/>
              </w:rPr>
              <w:t xml:space="preserve"> Howmet </w:t>
            </w:r>
            <w:r>
              <w:rPr>
                <w:rFonts w:ascii="Calibri" w:hAnsi="Calibri" w:cs="Calibri"/>
                <w:bCs w:val="0"/>
                <w:snapToGrid w:val="0"/>
                <w:sz w:val="20"/>
                <w:szCs w:val="20"/>
              </w:rPr>
              <w:t>F-35 Sole-Source</w:t>
            </w:r>
            <w:r>
              <w:rPr>
                <w:rFonts w:hint="eastAsia" w:ascii="Calibri" w:hAnsi="Calibri" w:cs="Calibri"/>
                <w:bCs w:val="0"/>
                <w:snapToGrid w:val="0"/>
                <w:sz w:val="20"/>
                <w:szCs w:val="20"/>
              </w:rPr>
              <w:t>-</w:t>
            </w:r>
            <w:r>
              <w:rPr>
                <w:rFonts w:ascii="Calibri" w:hAnsi="Calibri" w:cs="Calibri"/>
                <w:bCs w:val="0"/>
                <w:snapToGrid w:val="0"/>
                <w:sz w:val="20"/>
                <w:szCs w:val="20"/>
              </w:rPr>
              <w:t>Titanium &amp; Aluminum Bulkheads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pPr>
              <w:pStyle w:val="150"/>
              <w:keepNext/>
              <w:spacing w:after="240"/>
              <w:jc w:val="center"/>
              <w:rPr>
                <w:rFonts w:hint="eastAsia" w:ascii="等线" w:hAnsi="等线"/>
              </w:rPr>
            </w:pPr>
            <w:r>
              <w:drawing>
                <wp:inline distT="0" distB="0" distL="0" distR="0">
                  <wp:extent cx="6343650" cy="3415665"/>
                  <wp:effectExtent l="0" t="0" r="0" b="0"/>
                  <wp:docPr id="46296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61730" name="图片 1"/>
                          <pic:cNvPicPr>
                            <a:picLocks noChangeAspect="1"/>
                          </pic:cNvPicPr>
                        </pic:nvPicPr>
                        <pic:blipFill>
                          <a:blip r:embed="rId39"/>
                          <a:stretch>
                            <a:fillRect/>
                          </a:stretch>
                        </pic:blipFill>
                        <pic:spPr>
                          <a:xfrm>
                            <a:off x="0" y="0"/>
                            <a:ext cx="6343650" cy="341566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151"/>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t xml:space="preserve"> </w:t>
            </w:r>
            <w:r>
              <w:rPr>
                <w:rFonts w:ascii="Calibri" w:hAnsi="Calibri" w:cs="Calibri"/>
                <w:snapToGrid w:val="0"/>
                <w:sz w:val="16"/>
                <w:szCs w:val="16"/>
                <w:lang w:eastAsia="ja-JP"/>
              </w:rPr>
              <w:t>Company Announcements</w:t>
            </w:r>
            <w:r>
              <w:rPr>
                <w:rFonts w:hint="eastAsia" w:ascii="Calibri" w:hAnsi="Calibri" w:cs="Calibri"/>
                <w:b/>
                <w:bCs/>
                <w:snapToGrid w:val="0"/>
                <w:sz w:val="16"/>
                <w:szCs w:val="16"/>
                <w:lang w:eastAsia="ja-JP"/>
              </w:rPr>
              <w:t xml:space="preserve"> </w:t>
            </w:r>
            <w:r>
              <w:rPr>
                <w:rFonts w:hint="eastAsia" w:ascii="Calibri" w:hAnsi="Calibri" w:cs="Calibri"/>
                <w:snapToGrid w:val="0"/>
                <w:sz w:val="16"/>
                <w:szCs w:val="16"/>
                <w:lang w:eastAsia="ja-JP"/>
              </w:rPr>
              <w:t>, HFI</w:t>
            </w:r>
          </w:p>
        </w:tc>
      </w:tr>
    </w:tbl>
    <w:p>
      <w:pPr>
        <w:rPr>
          <w:rFonts w:eastAsia="宋体" w:cs="Calibri"/>
          <w:b/>
          <w:bCs/>
          <w:sz w:val="22"/>
          <w:szCs w:val="22"/>
          <w:lang w:eastAsia="zh-CN"/>
        </w:rPr>
      </w:pPr>
    </w:p>
    <w:p>
      <w:pPr>
        <w:rPr>
          <w:rFonts w:eastAsia="宋体" w:cs="Calibri"/>
          <w:sz w:val="22"/>
          <w:szCs w:val="22"/>
          <w:lang w:eastAsia="zh-CN"/>
        </w:rPr>
      </w:pPr>
      <w:r>
        <w:rPr>
          <w:rFonts w:eastAsia="宋体" w:cs="Calibri"/>
          <w:b/>
          <w:bCs/>
          <w:sz w:val="22"/>
          <w:szCs w:val="22"/>
          <w:lang w:eastAsia="zh-CN"/>
        </w:rPr>
        <w:t>Growing global demand</w:t>
      </w:r>
      <w:r>
        <w:rPr>
          <w:rFonts w:hint="eastAsia" w:eastAsia="宋体" w:cs="Calibri"/>
          <w:b/>
          <w:bCs/>
          <w:sz w:val="22"/>
          <w:szCs w:val="22"/>
          <w:lang w:eastAsia="zh-CN"/>
        </w:rPr>
        <w:t xml:space="preserve">. </w:t>
      </w:r>
      <w:r>
        <w:rPr>
          <w:rFonts w:eastAsia="宋体" w:cs="Calibri"/>
          <w:sz w:val="22"/>
          <w:szCs w:val="22"/>
          <w:lang w:eastAsia="zh-CN"/>
        </w:rPr>
        <w:t>Customers displayed continued confidence in the F-35 as they expanded their fleet size, with Italy and Denmark increasing their programs of record by adding 25 and 16 aircraft to their fleets, respectively. And across the program, international customers met major program milestones:</w:t>
      </w:r>
    </w:p>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 Finland celebrated the rollout of its first F-35.</w:t>
      </w:r>
    </w:p>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 Belgium welcomed its first in-country aircraft.</w:t>
      </w:r>
    </w:p>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 Norway completed deliveries of its F-35 fleet.</w:t>
      </w:r>
    </w:p>
    <w:p>
      <w:pPr>
        <w:rPr>
          <w:rFonts w:eastAsia="宋体" w:cs="Calibri"/>
          <w:sz w:val="22"/>
          <w:szCs w:val="22"/>
          <w:lang w:eastAsia="zh-CN"/>
        </w:rPr>
      </w:pPr>
    </w:p>
    <w:p>
      <w:pPr>
        <w:rPr>
          <w:rFonts w:eastAsia="宋体" w:cs="Calibri"/>
          <w:sz w:val="22"/>
          <w:szCs w:val="22"/>
          <w:lang w:eastAsia="zh-CN"/>
        </w:rPr>
      </w:pPr>
      <w:r>
        <w:rPr>
          <w:rFonts w:eastAsia="宋体" w:cs="Calibri"/>
          <w:sz w:val="22"/>
          <w:szCs w:val="22"/>
          <w:lang w:eastAsia="zh-CN"/>
        </w:rPr>
        <w:t>In September, the F-35 Joint Program Office (JPO) and Lockheed Martin reached final agreement of Lots 18-19 for the production and delivery of up to 296 F-35s for $24 billion, marking the finalization of the largest production contracts in program history. The JPO and Lockheed Martin also agreed to an Air Vehicle Sustainment Contract award this year, which supports annualized sustainment activities across the F-35 enterprise for 2025 and beyond.</w:t>
      </w:r>
    </w:p>
    <w:p>
      <w:pPr>
        <w:rPr>
          <w:rFonts w:eastAsia="宋体" w:cs="Calibri"/>
          <w:sz w:val="22"/>
          <w:szCs w:val="22"/>
          <w:lang w:eastAsia="zh-CN"/>
        </w:rPr>
      </w:pPr>
    </w:p>
    <w:p>
      <w:pPr>
        <w:pStyle w:val="148"/>
        <w:jc w:val="both"/>
        <w:rPr>
          <w:rFonts w:hint="eastAsia" w:cs="Times New Roman"/>
          <w:b w:val="0"/>
          <w:bCs w:val="0"/>
          <w:color w:val="23558C"/>
          <w:kern w:val="28"/>
          <w:sz w:val="24"/>
          <w:szCs w:val="24"/>
        </w:rPr>
      </w:pPr>
      <w:bookmarkStart w:id="9" w:name="_Toc7465"/>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w:t>
      </w:r>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 xml:space="preserve"> </w:t>
      </w:r>
      <w:r>
        <w:rPr>
          <w:rFonts w:hint="eastAsia" w:ascii="Calibri" w:hAnsi="Calibri" w:cs="Times New Roman"/>
          <w:iCs w:val="0"/>
          <w:color w:val="23558C"/>
          <w:kern w:val="28"/>
          <w:sz w:val="24"/>
          <w:szCs w:val="24"/>
        </w:rPr>
        <w:t>D</w:t>
      </w:r>
      <w:r>
        <w:rPr>
          <w:rFonts w:ascii="Calibri" w:hAnsi="Calibri" w:cs="Times New Roman"/>
          <w:iCs w:val="0"/>
          <w:color w:val="23558C"/>
          <w:kern w:val="28"/>
          <w:sz w:val="24"/>
          <w:szCs w:val="24"/>
        </w:rPr>
        <w:t xml:space="preserve">eep </w:t>
      </w:r>
      <w:r>
        <w:rPr>
          <w:rFonts w:hint="eastAsia" w:ascii="Calibri" w:hAnsi="Calibri" w:cs="Times New Roman"/>
          <w:iCs w:val="0"/>
          <w:color w:val="23558C"/>
          <w:kern w:val="28"/>
          <w:sz w:val="24"/>
          <w:szCs w:val="24"/>
        </w:rPr>
        <w:t>M</w:t>
      </w:r>
      <w:r>
        <w:rPr>
          <w:rFonts w:ascii="Calibri" w:hAnsi="Calibri" w:cs="Times New Roman"/>
          <w:iCs w:val="0"/>
          <w:color w:val="23558C"/>
          <w:kern w:val="28"/>
          <w:sz w:val="24"/>
          <w:szCs w:val="24"/>
        </w:rPr>
        <w:t xml:space="preserve">etallurgical </w:t>
      </w:r>
      <w:r>
        <w:rPr>
          <w:rFonts w:hint="eastAsia" w:ascii="Calibri" w:hAnsi="Calibri" w:cs="Times New Roman"/>
          <w:iCs w:val="0"/>
          <w:color w:val="23558C"/>
          <w:kern w:val="28"/>
          <w:sz w:val="24"/>
          <w:szCs w:val="24"/>
        </w:rPr>
        <w:t>E</w:t>
      </w:r>
      <w:r>
        <w:rPr>
          <w:rFonts w:ascii="Calibri" w:hAnsi="Calibri" w:cs="Times New Roman"/>
          <w:iCs w:val="0"/>
          <w:color w:val="23558C"/>
          <w:kern w:val="28"/>
          <w:sz w:val="24"/>
          <w:szCs w:val="24"/>
        </w:rPr>
        <w:t xml:space="preserve">xpertise </w:t>
      </w:r>
      <w:r>
        <w:rPr>
          <w:rFonts w:hint="eastAsia" w:ascii="Calibri" w:hAnsi="Calibri" w:cs="Times New Roman"/>
          <w:iCs w:val="0"/>
          <w:color w:val="23558C"/>
          <w:kern w:val="28"/>
          <w:sz w:val="24"/>
          <w:szCs w:val="24"/>
        </w:rPr>
        <w:t xml:space="preserve">&amp; </w:t>
      </w:r>
      <w:r>
        <w:rPr>
          <w:rFonts w:ascii="Calibri" w:hAnsi="Calibri" w:cs="Times New Roman"/>
          <w:iCs w:val="0"/>
          <w:color w:val="23558C"/>
          <w:kern w:val="28"/>
          <w:sz w:val="24"/>
          <w:szCs w:val="24"/>
        </w:rPr>
        <w:t>High-Performance Components</w:t>
      </w:r>
      <w:bookmarkEnd w:id="9"/>
    </w:p>
    <w:p>
      <w:pPr>
        <w:rPr>
          <w:rFonts w:eastAsia="宋体" w:cs="Calibri"/>
          <w:sz w:val="22"/>
          <w:szCs w:val="22"/>
          <w:lang w:eastAsia="zh-CN"/>
        </w:rPr>
      </w:pPr>
      <w:r>
        <w:rPr>
          <w:rFonts w:eastAsia="宋体" w:cs="Calibri"/>
          <w:sz w:val="22"/>
          <w:szCs w:val="22"/>
          <w:lang w:eastAsia="zh-CN"/>
        </w:rPr>
        <w:t>Although primarily known for its expertise in investment casting and forging, Howmet has been strengthening its additive manufacturing capabilities over the last decade.</w:t>
      </w:r>
    </w:p>
    <w:p>
      <w:pPr>
        <w:rPr>
          <w:rFonts w:eastAsia="宋体" w:cs="Calibri"/>
          <w:sz w:val="22"/>
          <w:szCs w:val="22"/>
          <w:lang w:eastAsia="zh-CN"/>
        </w:rPr>
      </w:pPr>
    </w:p>
    <w:p>
      <w:pPr>
        <w:rPr>
          <w:rFonts w:eastAsia="楷体" w:cs="Calibri"/>
          <w:kern w:val="2"/>
          <w:sz w:val="22"/>
          <w:szCs w:val="22"/>
          <w:lang w:eastAsia="zh-CN"/>
        </w:rPr>
      </w:pPr>
      <w:r>
        <w:rPr>
          <w:rFonts w:eastAsia="楷体" w:cs="Calibri"/>
          <w:kern w:val="2"/>
          <w:sz w:val="22"/>
          <w:szCs w:val="22"/>
          <w:lang w:eastAsia="zh-CN"/>
        </w:rPr>
        <w:t>A major milestone in the company’s additive journey dates back to 2016, when it opened a state-of-the-art 3D printing metal powder production facility near Pittsburgh. Designed to produce proprietary titanium, nickel, and aluminum powders tailored for aerospace applications, the site became a hub for advancing additive processes and material development.</w:t>
      </w:r>
    </w:p>
    <w:p>
      <w:pPr>
        <w:rPr>
          <w:rFonts w:eastAsia="楷体" w:cs="Calibri"/>
          <w:kern w:val="2"/>
          <w:sz w:val="22"/>
          <w:szCs w:val="22"/>
          <w:lang w:eastAsia="zh-CN"/>
        </w:rPr>
      </w:pPr>
    </w:p>
    <w:p>
      <w:pPr>
        <w:rPr>
          <w:rFonts w:eastAsia="楷体" w:cs="Calibri"/>
          <w:kern w:val="2"/>
          <w:sz w:val="22"/>
          <w:szCs w:val="22"/>
          <w:lang w:eastAsia="zh-CN"/>
        </w:rPr>
      </w:pPr>
      <w:r>
        <w:rPr>
          <w:rFonts w:eastAsia="楷体" w:cs="Calibri"/>
          <w:kern w:val="2"/>
          <w:sz w:val="22"/>
          <w:szCs w:val="22"/>
          <w:lang w:eastAsia="zh-CN"/>
        </w:rPr>
        <w:t>As part of this broader push, Howmet (then Alcoa) also developed the Ampliforge™ process, a patented hybrid manufacturing technique that exemplifies the company’s approach to innovation. Rather than relying solely on additive methods, Ampliforge™ begins with a near-net-shape 3D printed part, which is then enhanced through traditional forging.</w:t>
      </w: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Schematic illustration of Ampliforge process</w:t>
            </w:r>
            <w:r>
              <w:t xml:space="preserve"> </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603750" cy="2165350"/>
                  <wp:effectExtent l="0" t="0" r="6350" b="6350"/>
                  <wp:docPr id="20401860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86057" name="图片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603750" cy="2165350"/>
                          </a:xfrm>
                          <a:prstGeom prst="rect">
                            <a:avLst/>
                          </a:prstGeom>
                          <a:noFill/>
                          <a:ln>
                            <a:noFill/>
                          </a:ln>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Fabbaloo, </w:t>
            </w:r>
            <w:r>
              <w:rPr>
                <w:rFonts w:hint="eastAsia" w:eastAsia="楷体_GB2312" w:cs="Calibri"/>
              </w:rPr>
              <w:t>HFI</w:t>
            </w:r>
          </w:p>
        </w:tc>
      </w:tr>
    </w:tbl>
    <w:p>
      <w:pPr>
        <w:rPr>
          <w:rFonts w:eastAsia="楷体" w:cs="Calibri"/>
          <w:kern w:val="2"/>
          <w:sz w:val="22"/>
          <w:szCs w:val="22"/>
          <w:lang w:eastAsia="zh-CN"/>
        </w:rPr>
      </w:pPr>
    </w:p>
    <w:p>
      <w:pPr>
        <w:rPr>
          <w:rFonts w:eastAsia="楷体_GB2312" w:cs="Calibri"/>
          <w:kern w:val="2"/>
          <w:sz w:val="20"/>
          <w:szCs w:val="20"/>
          <w:lang w:eastAsia="zh-CN"/>
        </w:rPr>
      </w:pPr>
      <w:r>
        <w:rPr>
          <w:rFonts w:eastAsia="楷体_GB2312" w:cs="Calibri"/>
          <w:kern w:val="2"/>
          <w:sz w:val="20"/>
          <w:szCs w:val="20"/>
          <w:lang w:eastAsia="zh-CN"/>
        </w:rPr>
        <w:t>One of the most impactful has been its long-standing collaboration with Airbus, which began in April 2016 with an agreement to supply 3D printed titanium fuselage and engine pylon components for commercial aircraft. In September 2017, the collaboration reached a significant milestone with the first installation of a 3D printed titanium bracket on a series-production Airbus A350, marking a leap forward in the certification and use of metal additive parts in structural applications.</w:t>
      </w: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bookmarkStart w:id="10" w:name="_Hlk220086380"/>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Titanium 3D printed bracket</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1916430" cy="2753360"/>
                  <wp:effectExtent l="0" t="0" r="1270" b="2540"/>
                  <wp:docPr id="14304774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7479" name="图片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916430" cy="275336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Fabbaloo, </w:t>
            </w:r>
            <w:r>
              <w:rPr>
                <w:rFonts w:hint="eastAsia" w:eastAsia="楷体_GB2312" w:cs="Calibri"/>
              </w:rPr>
              <w:t>HFI</w:t>
            </w:r>
          </w:p>
        </w:tc>
      </w:tr>
      <w:bookmarkEnd w:id="10"/>
    </w:tbl>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kern w:val="2"/>
          <w:sz w:val="20"/>
          <w:szCs w:val="20"/>
          <w:lang w:eastAsia="zh-CN"/>
        </w:rPr>
        <w:t xml:space="preserve">Howmet Aerospace has firmly established itself as a global leader in two of the most critical areas of metal additive manufacturing: </w:t>
      </w:r>
      <w:r>
        <w:rPr>
          <w:rFonts w:eastAsia="楷体_GB2312" w:cs="Calibri"/>
          <w:b/>
          <w:bCs/>
          <w:kern w:val="2"/>
          <w:sz w:val="20"/>
          <w:szCs w:val="20"/>
          <w:lang w:eastAsia="zh-CN"/>
        </w:rPr>
        <w:t xml:space="preserve">titanium alloy components and turbine blade production. </w:t>
      </w:r>
      <w:r>
        <w:rPr>
          <w:rFonts w:eastAsia="楷体_GB2312" w:cs="Calibri"/>
          <w:kern w:val="2"/>
          <w:sz w:val="20"/>
          <w:szCs w:val="20"/>
          <w:lang w:eastAsia="zh-CN"/>
        </w:rPr>
        <w:t>According to a 2024 report by GlobalData, Howmet holds the top global position in patent filings related to titanium alloy 3D printing for the aerospace and defense industries, ahead of major players such as Boeing, RTX, and Safran.</w:t>
      </w: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Leaders in titanium alloy 3D printing</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213860" cy="2963545"/>
                  <wp:effectExtent l="0" t="0" r="0" b="8255"/>
                  <wp:docPr id="1370585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582" name="图片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216503" cy="2965347"/>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Fabbaloo, </w:t>
            </w:r>
            <w:r>
              <w:rPr>
                <w:rFonts w:hint="eastAsia" w:eastAsia="楷体_GB2312" w:cs="Calibri"/>
              </w:rPr>
              <w:t>HFI</w:t>
            </w:r>
          </w:p>
        </w:tc>
      </w:tr>
    </w:tbl>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kern w:val="2"/>
          <w:sz w:val="20"/>
          <w:szCs w:val="20"/>
          <w:lang w:eastAsia="zh-CN"/>
        </w:rPr>
        <w:t>Optimized 3D-printed hinge for deployment of spacecraft solar arrays whose nature-inspired design minimizes the amount of material and weight of the part – critically important for space travel.</w:t>
      </w: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Optimized 3D-printed hinge</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714115" cy="2799715"/>
                  <wp:effectExtent l="0" t="0" r="635" b="635"/>
                  <wp:docPr id="204535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9943" name="图片 1"/>
                          <pic:cNvPicPr>
                            <a:picLocks noChangeAspect="1"/>
                          </pic:cNvPicPr>
                        </pic:nvPicPr>
                        <pic:blipFill>
                          <a:blip r:embed="rId43"/>
                          <a:stretch>
                            <a:fillRect/>
                          </a:stretch>
                        </pic:blipFill>
                        <pic:spPr>
                          <a:xfrm>
                            <a:off x="0" y="0"/>
                            <a:ext cx="3714286" cy="280000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Fabbaloo, </w:t>
            </w:r>
            <w:r>
              <w:rPr>
                <w:rFonts w:hint="eastAsia" w:eastAsia="楷体_GB2312" w:cs="Calibri"/>
              </w:rPr>
              <w:t>HFI</w:t>
            </w:r>
            <w:r>
              <w:rPr>
                <w:rFonts w:hint="eastAsia" w:eastAsia="楷体_GB2312" w:cs="Calibri"/>
                <w:lang w:eastAsia="zh-CN"/>
              </w:rPr>
              <w:t xml:space="preserve"> </w:t>
            </w:r>
            <w:r>
              <w:rPr>
                <w:rFonts w:hint="eastAsia" w:cs="Calibri"/>
              </w:rPr>
              <w:t>*</w:t>
            </w:r>
            <w:r>
              <w:rPr>
                <w:rFonts w:cs="Calibri"/>
              </w:rPr>
              <w:t>Howmet's Engine Products business inherited the complete technical lineage of Arconic's former aerospace division.</w:t>
            </w:r>
          </w:p>
        </w:tc>
      </w:tr>
    </w:tbl>
    <w:p>
      <w:pPr>
        <w:rPr>
          <w:rFonts w:eastAsia="楷体_GB2312" w:cs="Calibri"/>
          <w:kern w:val="2"/>
          <w:sz w:val="20"/>
          <w:szCs w:val="20"/>
          <w:lang w:eastAsia="zh-CN"/>
        </w:rPr>
      </w:pPr>
    </w:p>
    <w:p>
      <w:pPr>
        <w:rPr>
          <w:rFonts w:eastAsia="楷体_GB2312" w:cs="Calibri"/>
          <w:kern w:val="2"/>
          <w:sz w:val="20"/>
          <w:szCs w:val="20"/>
          <w:lang w:eastAsia="zh-CN"/>
        </w:rPr>
      </w:pPr>
    </w:p>
    <w:p>
      <w:pPr>
        <w:pStyle w:val="148"/>
        <w:jc w:val="both"/>
        <w:rPr>
          <w:rFonts w:hint="eastAsia" w:cs="Times New Roman"/>
          <w:b w:val="0"/>
          <w:bCs w:val="0"/>
          <w:color w:val="23558C"/>
          <w:kern w:val="28"/>
          <w:sz w:val="24"/>
          <w:szCs w:val="24"/>
        </w:rPr>
      </w:pPr>
      <w:bookmarkStart w:id="11" w:name="_Toc28812"/>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w:t>
      </w:r>
      <w:r>
        <w:rPr>
          <w:rFonts w:hint="eastAsia" w:ascii="Calibri" w:hAnsi="Calibri" w:cs="Times New Roman"/>
          <w:iCs w:val="0"/>
          <w:color w:val="23558C"/>
          <w:kern w:val="28"/>
          <w:sz w:val="24"/>
          <w:szCs w:val="24"/>
        </w:rPr>
        <w:t>3</w:t>
      </w:r>
      <w:r>
        <w:rPr>
          <w:rFonts w:ascii="Calibri" w:hAnsi="Calibri" w:cs="Times New Roman"/>
          <w:iCs w:val="0"/>
          <w:color w:val="23558C"/>
          <w:kern w:val="28"/>
          <w:sz w:val="24"/>
          <w:szCs w:val="24"/>
        </w:rPr>
        <w:t xml:space="preserve"> Robust Order Book</w:t>
      </w:r>
      <w:r>
        <w:rPr>
          <w:rFonts w:hint="eastAsia" w:ascii="Calibri" w:hAnsi="Calibri" w:cs="Times New Roman"/>
          <w:iCs w:val="0"/>
          <w:color w:val="23558C"/>
          <w:kern w:val="28"/>
          <w:sz w:val="24"/>
          <w:szCs w:val="24"/>
        </w:rPr>
        <w:t xml:space="preserve"> &amp; Acquire CAM</w:t>
      </w:r>
      <w:bookmarkEnd w:id="11"/>
    </w:p>
    <w:p>
      <w:pPr>
        <w:rPr>
          <w:rFonts w:eastAsia="楷体_GB2312" w:cs="Calibri"/>
          <w:kern w:val="2"/>
          <w:sz w:val="20"/>
          <w:szCs w:val="20"/>
          <w:lang w:eastAsia="zh-CN"/>
        </w:rPr>
      </w:pPr>
      <w:r>
        <w:rPr>
          <w:rFonts w:eastAsia="楷体_GB2312" w:cs="Calibri"/>
          <w:kern w:val="2"/>
          <w:sz w:val="20"/>
          <w:szCs w:val="20"/>
          <w:lang w:eastAsia="zh-CN"/>
        </w:rPr>
        <w:t>Aerospace’s largest and fastest growing market is aerospace, where we have had a major presence since the Wright brothers’ first flight. Fueled by an expanding middle class and increasing air travel, global aircraft demand has led a firm order book with an</w:t>
      </w:r>
      <w:r>
        <w:rPr>
          <w:rFonts w:eastAsia="楷体_GB2312" w:cs="Calibri"/>
          <w:b/>
          <w:bCs/>
          <w:kern w:val="2"/>
          <w:sz w:val="20"/>
          <w:szCs w:val="20"/>
          <w:lang w:eastAsia="zh-CN"/>
        </w:rPr>
        <w:t xml:space="preserve"> 8.5 year backlog for both commercial aircraft and aero engines</w:t>
      </w:r>
      <w:r>
        <w:rPr>
          <w:rFonts w:hint="eastAsia" w:eastAsia="楷体_GB2312" w:cs="Calibri"/>
          <w:b/>
          <w:bCs/>
          <w:kern w:val="2"/>
          <w:sz w:val="20"/>
          <w:szCs w:val="20"/>
          <w:lang w:eastAsia="zh-CN"/>
        </w:rPr>
        <w:t xml:space="preserve">, </w:t>
      </w:r>
      <w:r>
        <w:rPr>
          <w:rFonts w:eastAsia="楷体_GB2312" w:cs="Calibri"/>
          <w:b/>
          <w:bCs/>
          <w:kern w:val="2"/>
          <w:sz w:val="20"/>
          <w:szCs w:val="20"/>
          <w:lang w:eastAsia="zh-CN"/>
        </w:rPr>
        <w:t>and rising aircraft production by Boeing and Airbus, who are working to clear a global order book of over 17,000 aircraft.</w:t>
      </w: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t xml:space="preserve"> </w:t>
            </w:r>
            <w:r>
              <w:rPr>
                <w:rFonts w:hint="eastAsia" w:eastAsia="楷体_GB2312" w:cs="Calibri"/>
                <w:b/>
                <w:sz w:val="20"/>
                <w:szCs w:val="20"/>
                <w:lang w:eastAsia="zh-CN"/>
              </w:rPr>
              <w:t>P</w:t>
            </w:r>
            <w:r>
              <w:rPr>
                <w:rFonts w:eastAsia="楷体_GB2312" w:cs="Calibri"/>
                <w:b/>
                <w:sz w:val="20"/>
                <w:szCs w:val="20"/>
              </w:rPr>
              <w:t xml:space="preserve">articipation </w:t>
            </w:r>
            <w:r>
              <w:rPr>
                <w:rFonts w:hint="eastAsia" w:eastAsia="楷体_GB2312" w:cs="Calibri"/>
                <w:b/>
                <w:sz w:val="20"/>
                <w:szCs w:val="20"/>
                <w:lang w:eastAsia="zh-CN"/>
              </w:rPr>
              <w:t>A</w:t>
            </w:r>
            <w:r>
              <w:rPr>
                <w:rFonts w:eastAsia="楷体_GB2312" w:cs="Calibri"/>
                <w:b/>
                <w:sz w:val="20"/>
                <w:szCs w:val="20"/>
              </w:rPr>
              <w:t xml:space="preserve">cross </w:t>
            </w:r>
            <w:r>
              <w:rPr>
                <w:rFonts w:hint="eastAsia" w:eastAsia="楷体_GB2312" w:cs="Calibri"/>
                <w:b/>
                <w:sz w:val="20"/>
                <w:szCs w:val="20"/>
                <w:lang w:eastAsia="zh-CN"/>
              </w:rPr>
              <w:t>A</w:t>
            </w:r>
            <w:r>
              <w:rPr>
                <w:rFonts w:eastAsia="楷体_GB2312" w:cs="Calibri"/>
                <w:b/>
                <w:sz w:val="20"/>
                <w:szCs w:val="20"/>
              </w:rPr>
              <w:t xml:space="preserve">irframe </w:t>
            </w:r>
            <w:r>
              <w:rPr>
                <w:rFonts w:hint="eastAsia" w:eastAsia="楷体_GB2312" w:cs="Calibri"/>
                <w:b/>
                <w:sz w:val="20"/>
                <w:szCs w:val="20"/>
                <w:lang w:eastAsia="zh-CN"/>
              </w:rPr>
              <w:t>P</w:t>
            </w:r>
            <w:r>
              <w:rPr>
                <w:rFonts w:eastAsia="楷体_GB2312" w:cs="Calibri"/>
                <w:b/>
                <w:sz w:val="20"/>
                <w:szCs w:val="20"/>
              </w:rPr>
              <w:t>latforms</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046855" cy="2115185"/>
                  <wp:effectExtent l="0" t="0" r="0" b="0"/>
                  <wp:docPr id="19111437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3736" name="图片 2"/>
                          <pic:cNvPicPr>
                            <a:picLocks noChangeAspect="1"/>
                          </pic:cNvPicPr>
                        </pic:nvPicPr>
                        <pic:blipFill>
                          <a:blip r:embed="rId44"/>
                          <a:stretch>
                            <a:fillRect/>
                          </a:stretch>
                        </pic:blipFill>
                        <pic:spPr>
                          <a:xfrm>
                            <a:off x="0" y="0"/>
                            <a:ext cx="4046950" cy="2115731"/>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Source</w:t>
            </w:r>
            <w:r>
              <w:rPr>
                <w:rFonts w:eastAsia="楷体_GB2312" w:cs="Calibri"/>
              </w:rPr>
              <w:t>: Company Announcements</w:t>
            </w:r>
            <w:r>
              <w:rPr>
                <w:rFonts w:hint="eastAsia" w:eastAsia="楷体_GB2312" w:cs="Calibri"/>
                <w:lang w:eastAsia="zh-CN"/>
              </w:rPr>
              <w:t xml:space="preserve">, </w:t>
            </w:r>
            <w:r>
              <w:rPr>
                <w:rFonts w:hint="eastAsia" w:eastAsia="楷体_GB2312" w:cs="Calibri"/>
              </w:rPr>
              <w:t>HFI</w:t>
            </w:r>
            <w:r>
              <w:rPr>
                <w:rFonts w:hint="eastAsia" w:eastAsia="楷体_GB2312" w:cs="Calibri"/>
                <w:lang w:eastAsia="zh-CN"/>
              </w:rPr>
              <w:t xml:space="preserve"> </w:t>
            </w:r>
          </w:p>
        </w:tc>
      </w:tr>
    </w:tbl>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kern w:val="2"/>
          <w:sz w:val="20"/>
          <w:szCs w:val="20"/>
          <w:lang w:eastAsia="zh-CN"/>
        </w:rPr>
        <w:t>Boeing and Airbus are accelerating production to manage a record backlog exceeding 17,000 aircraft as of late 2025, with industry delivery times stretching up to 14 years. While Airbus targets 75 A320-family planes monthly by 2026, Boeing increased 737 Max production to 42 monthly in late 2025. Both face supply chain bottlenecks and skilled labor shortages.</w:t>
      </w: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Boeing &amp; Airbus: 2025 Data Through Dec 31. (Backlog, Gross Orders and Deliveries)</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567940"/>
                  <wp:effectExtent l="0" t="0" r="6350" b="3810"/>
                  <wp:docPr id="131372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21115" name="图片 1"/>
                          <pic:cNvPicPr>
                            <a:picLocks noChangeAspect="1"/>
                          </pic:cNvPicPr>
                        </pic:nvPicPr>
                        <pic:blipFill>
                          <a:blip r:embed="rId45"/>
                          <a:stretch>
                            <a:fillRect/>
                          </a:stretch>
                        </pic:blipFill>
                        <pic:spPr>
                          <a:xfrm>
                            <a:off x="0" y="0"/>
                            <a:ext cx="4603750" cy="256794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 xml:space="preserve">Source: </w:t>
            </w:r>
            <w:r>
              <w:rPr>
                <w:rFonts w:hint="eastAsia" w:eastAsia="楷体_GB2312" w:cs="Calibri"/>
                <w:lang w:eastAsia="zh-CN"/>
              </w:rPr>
              <w:t xml:space="preserve">Flightplan, </w:t>
            </w:r>
            <w:r>
              <w:rPr>
                <w:rFonts w:hint="eastAsia" w:eastAsia="楷体_GB2312" w:cs="Calibri"/>
              </w:rPr>
              <w:t>HFI</w:t>
            </w:r>
            <w:r>
              <w:rPr>
                <w:rFonts w:hint="eastAsia" w:eastAsia="楷体_GB2312" w:cs="Calibri"/>
                <w:lang w:eastAsia="zh-CN"/>
              </w:rPr>
              <w:t xml:space="preserve"> *</w:t>
            </w:r>
            <w:r>
              <w:rPr>
                <w:rFonts w:eastAsia="楷体_GB2312" w:cs="Calibri"/>
                <w:lang w:eastAsia="zh-CN"/>
              </w:rPr>
              <w:t xml:space="preserve"> A320neo numbers include all variants for the family; A319neo, A320neo and A321neo.</w:t>
            </w:r>
          </w:p>
        </w:tc>
      </w:tr>
    </w:tbl>
    <w:p>
      <w:pPr>
        <w:rPr>
          <w:rFonts w:eastAsia="楷体_GB2312" w:cs="Calibri"/>
          <w:kern w:val="2"/>
          <w:sz w:val="20"/>
          <w:szCs w:val="20"/>
          <w:lang w:eastAsia="zh-CN"/>
        </w:rPr>
      </w:pP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Narrow-Body &amp; Wide-Body: Order &amp; Deliveries in Dec 2025</w:t>
            </w:r>
          </w:p>
        </w:tc>
      </w:tr>
      <w:tr>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735830" cy="2807970"/>
                  <wp:effectExtent l="0" t="0" r="7620" b="0"/>
                  <wp:docPr id="869395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95734" name="图片 1"/>
                          <pic:cNvPicPr>
                            <a:picLocks noChangeAspect="1"/>
                          </pic:cNvPicPr>
                        </pic:nvPicPr>
                        <pic:blipFill>
                          <a:blip r:embed="rId46"/>
                          <a:stretch>
                            <a:fillRect/>
                          </a:stretch>
                        </pic:blipFill>
                        <pic:spPr>
                          <a:xfrm>
                            <a:off x="0" y="0"/>
                            <a:ext cx="4735830" cy="280797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 xml:space="preserve">Source: </w:t>
            </w:r>
            <w:r>
              <w:rPr>
                <w:rFonts w:hint="eastAsia" w:eastAsia="楷体_GB2312" w:cs="Calibri"/>
                <w:lang w:eastAsia="zh-CN"/>
              </w:rPr>
              <w:t xml:space="preserve">Flightplan, </w:t>
            </w:r>
            <w:r>
              <w:rPr>
                <w:rFonts w:hint="eastAsia" w:eastAsia="楷体_GB2312" w:cs="Calibri"/>
              </w:rPr>
              <w:t>HFI</w:t>
            </w:r>
            <w:r>
              <w:rPr>
                <w:rFonts w:hint="eastAsia" w:eastAsia="楷体_GB2312" w:cs="Calibri"/>
                <w:lang w:eastAsia="zh-CN"/>
              </w:rPr>
              <w:t xml:space="preserve"> *</w:t>
            </w:r>
            <w:r>
              <w:rPr>
                <w:rFonts w:eastAsia="楷体_GB2312" w:cs="Calibri"/>
                <w:lang w:eastAsia="zh-CN"/>
              </w:rPr>
              <w:t xml:space="preserve"> A320neo numbers include all variants for the family; A319neo, A320neo and A321neo.</w:t>
            </w:r>
          </w:p>
        </w:tc>
      </w:tr>
    </w:tbl>
    <w:p>
      <w:pPr>
        <w:rPr>
          <w:rFonts w:eastAsia="楷体_GB2312" w:cs="Calibri"/>
          <w:kern w:val="2"/>
          <w:sz w:val="20"/>
          <w:szCs w:val="20"/>
          <w:lang w:eastAsia="zh-CN"/>
        </w:rPr>
      </w:pPr>
    </w:p>
    <w:p>
      <w:pPr>
        <w:rPr>
          <w:rFonts w:eastAsia="楷体_GB2312" w:cs="Calibri"/>
          <w:kern w:val="2"/>
          <w:sz w:val="20"/>
          <w:szCs w:val="20"/>
          <w:lang w:eastAsia="zh-CN"/>
        </w:rPr>
      </w:pPr>
      <w:r>
        <w:rPr>
          <w:rFonts w:hint="eastAsia" w:eastAsia="楷体_GB2312" w:cs="Calibri"/>
          <w:b/>
          <w:bCs/>
          <w:kern w:val="2"/>
          <w:sz w:val="20"/>
          <w:szCs w:val="20"/>
          <w:lang w:eastAsia="zh-CN"/>
        </w:rPr>
        <w:t xml:space="preserve">In Dec2025, </w:t>
      </w:r>
      <w:r>
        <w:rPr>
          <w:rFonts w:eastAsia="楷体_GB2312" w:cs="Calibri"/>
          <w:b/>
          <w:bCs/>
          <w:kern w:val="2"/>
          <w:sz w:val="20"/>
          <w:szCs w:val="20"/>
          <w:lang w:eastAsia="zh-CN"/>
        </w:rPr>
        <w:t>Boeing handed over 63 jetliners to customers, bringing its annual delivery total to 600 aircraft, the most in seven years</w:t>
      </w:r>
      <w:r>
        <w:rPr>
          <w:rFonts w:hint="eastAsia" w:eastAsia="楷体_GB2312" w:cs="Calibri"/>
          <w:kern w:val="2"/>
          <w:sz w:val="20"/>
          <w:szCs w:val="20"/>
          <w:lang w:eastAsia="zh-CN"/>
        </w:rPr>
        <w:t>.</w:t>
      </w:r>
      <w:r>
        <w:rPr>
          <w:b/>
          <w:bCs/>
        </w:rPr>
        <w:t xml:space="preserve"> </w:t>
      </w:r>
      <w:r>
        <w:rPr>
          <w:rFonts w:eastAsia="楷体_GB2312" w:cs="Calibri"/>
          <w:b/>
          <w:bCs/>
          <w:kern w:val="2"/>
          <w:sz w:val="20"/>
          <w:szCs w:val="20"/>
          <w:lang w:eastAsia="zh-CN"/>
        </w:rPr>
        <w:t>Airbus delivered 793 commercial aircraft to 91 customers globally in 2025 and registered 1,000 new gross orders in the Commercial Aircraft business.</w:t>
      </w:r>
      <w:r>
        <w:rPr>
          <w:rFonts w:eastAsia="楷体_GB2312" w:cs="Calibri"/>
          <w:kern w:val="2"/>
          <w:sz w:val="20"/>
          <w:szCs w:val="20"/>
          <w:lang w:eastAsia="zh-CN"/>
        </w:rPr>
        <w:t xml:space="preserve"> The backlog at the end of December 2025 increased to a new year-end record of 8,754 aircraft highlighting the strong market demand for Airbus’ product portfolio.</w:t>
      </w:r>
    </w:p>
    <w:p>
      <w:pPr>
        <w:rPr>
          <w:rFonts w:eastAsia="楷体_GB2312" w:cs="Calibri"/>
          <w:kern w:val="2"/>
          <w:sz w:val="20"/>
          <w:szCs w:val="20"/>
          <w:lang w:eastAsia="zh-CN"/>
        </w:rPr>
      </w:pP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Boeing airplane deliveries (2018-2025)</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735830" cy="3109595"/>
                  <wp:effectExtent l="0" t="0" r="7620" b="0"/>
                  <wp:docPr id="2016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3" name="图片 1"/>
                          <pic:cNvPicPr>
                            <a:picLocks noChangeAspect="1"/>
                          </pic:cNvPicPr>
                        </pic:nvPicPr>
                        <pic:blipFill>
                          <a:blip r:embed="rId47"/>
                          <a:stretch>
                            <a:fillRect/>
                          </a:stretch>
                        </pic:blipFill>
                        <pic:spPr>
                          <a:xfrm>
                            <a:off x="0" y="0"/>
                            <a:ext cx="4735830" cy="31095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 xml:space="preserve">Source: </w:t>
            </w:r>
            <w:r>
              <w:rPr>
                <w:rFonts w:hint="eastAsia" w:eastAsia="楷体_GB2312" w:cs="Calibri"/>
                <w:lang w:eastAsia="zh-CN"/>
              </w:rPr>
              <w:t xml:space="preserve">Boeing, </w:t>
            </w:r>
            <w:r>
              <w:rPr>
                <w:rFonts w:hint="eastAsia" w:eastAsia="楷体_GB2312" w:cs="Calibri"/>
              </w:rPr>
              <w:t>HFI</w:t>
            </w:r>
            <w:r>
              <w:rPr>
                <w:rFonts w:hint="eastAsia" w:eastAsia="楷体_GB2312" w:cs="Calibri"/>
                <w:lang w:eastAsia="zh-CN"/>
              </w:rPr>
              <w:t xml:space="preserve"> </w:t>
            </w:r>
          </w:p>
        </w:tc>
      </w:tr>
    </w:tbl>
    <w:p>
      <w:pPr>
        <w:rPr>
          <w:rFonts w:eastAsia="楷体_GB2312" w:cs="Calibri"/>
          <w:kern w:val="2"/>
          <w:sz w:val="20"/>
          <w:szCs w:val="20"/>
          <w:lang w:eastAsia="zh-CN"/>
        </w:rPr>
      </w:pP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Airbus airplane deliveries (2023-2025)</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1398270"/>
                  <wp:effectExtent l="0" t="0" r="6350" b="0"/>
                  <wp:docPr id="16410449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44926" name="图片 4"/>
                          <pic:cNvPicPr>
                            <a:picLocks noChangeAspect="1"/>
                          </pic:cNvPicPr>
                        </pic:nvPicPr>
                        <pic:blipFill>
                          <a:blip r:embed="rId48"/>
                          <a:stretch>
                            <a:fillRect/>
                          </a:stretch>
                        </pic:blipFill>
                        <pic:spPr>
                          <a:xfrm>
                            <a:off x="0" y="0"/>
                            <a:ext cx="4603750" cy="1398270"/>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lang w:eastAsia="zh-CN"/>
              </w:rPr>
            </w:pPr>
            <w:r>
              <w:rPr>
                <w:rFonts w:eastAsia="楷体_GB2312" w:cs="Calibri"/>
                <w:b/>
                <w:bCs/>
              </w:rPr>
              <w:t xml:space="preserve">Source: </w:t>
            </w:r>
            <w:r>
              <w:rPr>
                <w:rFonts w:hint="eastAsia" w:eastAsia="楷体_GB2312" w:cs="Calibri"/>
                <w:lang w:eastAsia="zh-CN"/>
              </w:rPr>
              <w:t xml:space="preserve">Airbus, </w:t>
            </w:r>
            <w:r>
              <w:rPr>
                <w:rFonts w:hint="eastAsia" w:eastAsia="楷体_GB2312" w:cs="Calibri"/>
              </w:rPr>
              <w:t>HFI</w:t>
            </w:r>
            <w:r>
              <w:rPr>
                <w:rFonts w:hint="eastAsia" w:eastAsia="楷体_GB2312" w:cs="Calibri"/>
                <w:lang w:eastAsia="zh-CN"/>
              </w:rPr>
              <w:t xml:space="preserve"> </w:t>
            </w:r>
          </w:p>
        </w:tc>
      </w:tr>
    </w:tbl>
    <w:p>
      <w:pPr>
        <w:rPr>
          <w:rFonts w:eastAsia="楷体_GB2312" w:cs="Calibri"/>
          <w:kern w:val="2"/>
          <w:sz w:val="20"/>
          <w:szCs w:val="20"/>
          <w:lang w:eastAsia="zh-CN"/>
        </w:rPr>
      </w:pPr>
    </w:p>
    <w:p>
      <w:pPr>
        <w:jc w:val="both"/>
        <w:rPr>
          <w:rFonts w:eastAsia="楷体_GB2312" w:cs="Calibri"/>
          <w:kern w:val="2"/>
          <w:sz w:val="20"/>
          <w:szCs w:val="20"/>
          <w:lang w:eastAsia="zh-CN"/>
        </w:rPr>
      </w:pPr>
      <w:r>
        <w:rPr>
          <w:rFonts w:eastAsia="楷体_GB2312" w:cs="Calibri"/>
          <w:b/>
          <w:bCs/>
          <w:kern w:val="2"/>
          <w:sz w:val="20"/>
          <w:szCs w:val="20"/>
          <w:lang w:eastAsia="zh-CN"/>
        </w:rPr>
        <w:t xml:space="preserve">In 2026–2028, </w:t>
      </w:r>
      <w:r>
        <w:rPr>
          <w:rFonts w:hint="eastAsia" w:eastAsia="楷体_GB2312" w:cs="Calibri"/>
          <w:b/>
          <w:bCs/>
          <w:kern w:val="2"/>
          <w:sz w:val="20"/>
          <w:szCs w:val="20"/>
          <w:lang w:eastAsia="zh-CN"/>
        </w:rPr>
        <w:t xml:space="preserve">we forecast </w:t>
      </w:r>
      <w:r>
        <w:rPr>
          <w:rFonts w:eastAsia="楷体_GB2312" w:cs="Calibri"/>
          <w:b/>
          <w:bCs/>
          <w:kern w:val="2"/>
          <w:sz w:val="20"/>
          <w:szCs w:val="20"/>
          <w:lang w:eastAsia="zh-CN"/>
        </w:rPr>
        <w:t xml:space="preserve">Airbus and Boeing MRO faces high demand driven by aging fleets, </w:t>
      </w:r>
      <w:r>
        <w:rPr>
          <w:rFonts w:eastAsia="楷体_GB2312" w:cs="Calibri"/>
          <w:kern w:val="2"/>
          <w:sz w:val="20"/>
          <w:szCs w:val="20"/>
          <w:lang w:eastAsia="zh-CN"/>
        </w:rPr>
        <w:t>engine issues (specifically geared turbofan, or GTF), and a push to stabilize production rates. Airbus holds a structural advantage in narrowbody, while Boeing aims to reclaim market share through increased deliveries. MRO providers are focusing on capacity, with major component support deals already secured for 2026.</w:t>
      </w:r>
      <w:r>
        <w:rPr>
          <w:rFonts w:hint="eastAsia" w:eastAsia="楷体_GB2312" w:cs="Calibri"/>
          <w:kern w:val="2"/>
          <w:sz w:val="20"/>
          <w:szCs w:val="20"/>
          <w:lang w:eastAsia="zh-CN"/>
        </w:rPr>
        <w:t xml:space="preserve"> </w:t>
      </w:r>
      <w:r>
        <w:rPr>
          <w:rFonts w:eastAsia="楷体_GB2312" w:cs="Calibri"/>
          <w:kern w:val="2"/>
          <w:sz w:val="20"/>
          <w:szCs w:val="20"/>
          <w:lang w:eastAsia="zh-CN"/>
        </w:rPr>
        <w:t>MRO providers are rapidly expanding to handle increased,</w:t>
      </w:r>
      <w:r>
        <w:rPr>
          <w:rFonts w:hint="eastAsia" w:eastAsia="楷体_GB2312" w:cs="Calibri"/>
          <w:kern w:val="2"/>
          <w:sz w:val="20"/>
          <w:szCs w:val="20"/>
          <w:lang w:eastAsia="zh-CN"/>
        </w:rPr>
        <w:t xml:space="preserve"> </w:t>
      </w:r>
      <w:r>
        <w:rPr>
          <w:rFonts w:eastAsia="楷体_GB2312" w:cs="Calibri"/>
          <w:kern w:val="2"/>
          <w:sz w:val="20"/>
          <w:szCs w:val="20"/>
          <w:lang w:eastAsia="zh-CN"/>
        </w:rPr>
        <w:t>maintenance needs, with strong M&amp;A activity expected in the sector.</w:t>
      </w:r>
    </w:p>
    <w:p>
      <w:pPr>
        <w:jc w:val="both"/>
        <w:rPr>
          <w:rFonts w:eastAsia="楷体_GB2312" w:cs="Calibri"/>
          <w:kern w:val="2"/>
          <w:sz w:val="20"/>
          <w:szCs w:val="20"/>
          <w:lang w:eastAsia="zh-CN"/>
        </w:rPr>
      </w:pPr>
    </w:p>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b/>
          <w:bCs/>
          <w:kern w:val="2"/>
          <w:sz w:val="20"/>
          <w:szCs w:val="20"/>
          <w:lang w:eastAsia="zh-CN"/>
        </w:rPr>
        <w:t>CAM Acquisition Targets Aerospace Supply-Chain Pressure Points</w:t>
      </w:r>
      <w:r>
        <w:rPr>
          <w:rFonts w:hint="eastAsia" w:eastAsia="楷体_GB2312" w:cs="Calibri"/>
          <w:b/>
          <w:bCs/>
          <w:kern w:val="2"/>
          <w:sz w:val="20"/>
          <w:szCs w:val="20"/>
          <w:lang w:eastAsia="zh-CN"/>
        </w:rPr>
        <w:t xml:space="preserve">. </w:t>
      </w:r>
      <w:r>
        <w:rPr>
          <w:rFonts w:eastAsia="楷体_GB2312" w:cs="Calibri"/>
          <w:kern w:val="2"/>
          <w:sz w:val="20"/>
          <w:szCs w:val="20"/>
          <w:lang w:eastAsia="zh-CN"/>
        </w:rPr>
        <w:t xml:space="preserve">Howmet Aerospace is making a big bet on the nuts and bolts of aerospace manufacturing. The company has agreed to acquire </w:t>
      </w:r>
      <w:r>
        <w:rPr>
          <w:rFonts w:eastAsia="楷体_GB2312" w:cs="Calibri"/>
          <w:b/>
          <w:bCs/>
          <w:kern w:val="2"/>
          <w:sz w:val="20"/>
          <w:szCs w:val="20"/>
          <w:lang w:eastAsia="zh-CN"/>
        </w:rPr>
        <w:t>Consolidated Aerospace Manufacturing</w:t>
      </w:r>
      <w:r>
        <w:rPr>
          <w:rFonts w:eastAsia="楷体_GB2312" w:cs="Calibri"/>
          <w:kern w:val="2"/>
          <w:sz w:val="20"/>
          <w:szCs w:val="20"/>
          <w:lang w:eastAsia="zh-CN"/>
        </w:rPr>
        <w:t>, or CAM, in an all-cash deal valued at roughly $1.8 billion, buying the business from Stanley Black &amp; Decker.</w:t>
      </w:r>
    </w:p>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kern w:val="2"/>
          <w:sz w:val="20"/>
          <w:szCs w:val="20"/>
          <w:lang w:eastAsia="zh-CN"/>
        </w:rPr>
        <w:t>CAM’s hardware is everywhere across modern aircraft and defense platforms. The company designs and manufactures precision fasteners, fluid fittings, latches, and other highly engineered components that are essential to keeping aircraft structures, engines, and systems together under extreme conditions. Its portfolio includes well-known aerospace brands such as Bristol Industries, 3V Fasteners, Moeller, Aerofit, Voss Industries, QRP, E.A. Patten, and Prikos &amp; Becker.</w:t>
      </w:r>
    </w:p>
    <w:p>
      <w:pPr>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 CAM hardware touches everything from the 737 MAX and A350 to the F-35 and KC-46</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3903980" cy="2602230"/>
                  <wp:effectExtent l="0" t="0" r="1270" b="7620"/>
                  <wp:docPr id="16848715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71593" name="图片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908071" cy="2605201"/>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 xml:space="preserve">Flightplan, </w:t>
            </w:r>
            <w:r>
              <w:rPr>
                <w:rFonts w:hint="eastAsia" w:eastAsia="楷体_GB2312" w:cs="Calibri"/>
              </w:rPr>
              <w:t>HFI</w:t>
            </w:r>
          </w:p>
        </w:tc>
      </w:tr>
    </w:tbl>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b/>
          <w:bCs/>
          <w:kern w:val="2"/>
          <w:sz w:val="20"/>
          <w:szCs w:val="20"/>
          <w:lang w:eastAsia="zh-CN"/>
        </w:rPr>
        <w:t>In commercial aviation,</w:t>
      </w:r>
      <w:r>
        <w:rPr>
          <w:rFonts w:eastAsia="楷体_GB2312" w:cs="Calibri"/>
          <w:kern w:val="2"/>
          <w:sz w:val="20"/>
          <w:szCs w:val="20"/>
          <w:lang w:eastAsia="zh-CN"/>
        </w:rPr>
        <w:t xml:space="preserve"> CAM supplies high-strength fasteners, specialized latches, and ducting components used on major Boeing programs, including the 737 MAX and 787 Dreamliner. It is also a key supplier to Airbus, providing mission-critical latches and fluid fittings for the A320neo family, as well as widebody platforms such as the A350 and A330. Beyond large commercial jets, CAM hardware appears on aircraft produced by regional and business jet manufacturers, including Bombardier and Embraer.</w:t>
      </w:r>
    </w:p>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b/>
          <w:bCs/>
          <w:kern w:val="2"/>
          <w:sz w:val="20"/>
          <w:szCs w:val="20"/>
          <w:lang w:eastAsia="zh-CN"/>
        </w:rPr>
        <w:t xml:space="preserve">The defense side of the business is equally broad. </w:t>
      </w:r>
      <w:r>
        <w:rPr>
          <w:rFonts w:eastAsia="楷体_GB2312" w:cs="Calibri"/>
          <w:kern w:val="2"/>
          <w:sz w:val="20"/>
          <w:szCs w:val="20"/>
          <w:lang w:eastAsia="zh-CN"/>
        </w:rPr>
        <w:t>CAM components are integrated into frontline fighter aircraft such as the F-35 Lightning II, the F-15 Eagle, and the F/A-18 Super Hornet, where reliability under heat, vibration, and combat stress is non-negotiable. The company also supplies airframe hardware for heavy transport and tanker aircraft, including the C-17 Globemaster III and the KC-46, and produces components for military helicopters built by Bell and Sikorsky.</w:t>
      </w:r>
    </w:p>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b/>
          <w:bCs/>
          <w:kern w:val="2"/>
          <w:sz w:val="20"/>
          <w:szCs w:val="20"/>
          <w:lang w:eastAsia="zh-CN"/>
        </w:rPr>
        <w:t xml:space="preserve">CAM’s reach extends into propulsion as well. </w:t>
      </w:r>
      <w:r>
        <w:rPr>
          <w:rFonts w:eastAsia="楷体_GB2312" w:cs="Calibri"/>
          <w:kern w:val="2"/>
          <w:sz w:val="20"/>
          <w:szCs w:val="20"/>
          <w:lang w:eastAsia="zh-CN"/>
        </w:rPr>
        <w:t>The company provides tubular assemblies and fittings used in major engine programs, including GE Aerospace’s GEnx and LEAP engines, Pratt &amp; Whitney’s Geared Turbofan, and Rolls-Royce’s Trent family. It also supports space and strategic systems markets, supplying fluid distribution systems and high-pressure fittings for commercial launch vehicles and missile defense applications.</w:t>
      </w:r>
    </w:p>
    <w:p>
      <w:pPr>
        <w:rPr>
          <w:rFonts w:eastAsia="楷体_GB2312" w:cs="Calibri"/>
          <w:kern w:val="2"/>
          <w:sz w:val="20"/>
          <w:szCs w:val="20"/>
          <w:lang w:eastAsia="zh-CN"/>
        </w:rPr>
      </w:pPr>
    </w:p>
    <w:p>
      <w:pPr>
        <w:rPr>
          <w:rFonts w:eastAsia="楷体_GB2312" w:cs="Calibri"/>
          <w:kern w:val="2"/>
          <w:sz w:val="20"/>
          <w:szCs w:val="20"/>
          <w:lang w:eastAsia="zh-CN"/>
        </w:rPr>
      </w:pPr>
      <w:r>
        <w:rPr>
          <w:rFonts w:eastAsia="楷体_GB2312" w:cs="Calibri"/>
          <w:b/>
          <w:bCs/>
          <w:kern w:val="2"/>
          <w:sz w:val="20"/>
          <w:szCs w:val="20"/>
          <w:lang w:eastAsia="zh-CN"/>
        </w:rPr>
        <w:t>Howmet sees CAM delivering $485–495 million in top-line and better than 20% adjusted EBITDA margin in 2026, even before cost synergies.</w:t>
      </w:r>
      <w:r>
        <w:rPr>
          <w:rFonts w:eastAsia="楷体_GB2312" w:cs="Calibri"/>
          <w:kern w:val="2"/>
          <w:sz w:val="20"/>
          <w:szCs w:val="20"/>
          <w:lang w:eastAsia="zh-CN"/>
        </w:rPr>
        <w:t xml:space="preserve"> After synergies and tax perks, the price tag works out to roughly 13× adjusted EBITDA. Slated to close in 1H 2026, the deal highlights the accelerating shake-up in aerospace supply chains, especially in lucrative niches like precision fasteners and fluid systems. By folding CAM into its portfolio, Howmet boosts its Tier-1 status with both commercial and defense primes, raising content per ship on virtually every major platform now rolling off the line. With build rates climbing and defense budgets staying flush, control of these hard-to-replace parts should give Howmet stronger pricing power, more resilient cash flows, and added leverage when negotiating with the industry’s biggest customers.</w:t>
      </w:r>
    </w:p>
    <w:p>
      <w:pPr>
        <w:rPr>
          <w:rFonts w:eastAsia="楷体_GB2312" w:cs="Calibri"/>
          <w:kern w:val="2"/>
          <w:sz w:val="20"/>
          <w:szCs w:val="20"/>
          <w:lang w:eastAsia="zh-CN"/>
        </w:rPr>
      </w:pPr>
    </w:p>
    <w:p>
      <w:pPr>
        <w:rPr>
          <w:rFonts w:eastAsia="楷体_GB2312" w:cs="Calibri"/>
          <w:kern w:val="2"/>
          <w:sz w:val="20"/>
          <w:szCs w:val="20"/>
          <w:lang w:eastAsia="zh-CN"/>
        </w:rPr>
      </w:pPr>
      <w:r>
        <w:rPr>
          <w:rFonts w:hint="eastAsia" w:eastAsia="楷体_GB2312" w:cs="Calibri"/>
          <w:kern w:val="2"/>
          <w:sz w:val="20"/>
          <w:szCs w:val="20"/>
          <w:lang w:eastAsia="zh-CN"/>
        </w:rPr>
        <w:t>CAM Defense</w:t>
      </w:r>
      <w:r>
        <w:rPr>
          <w:rFonts w:eastAsia="楷体_GB2312" w:cs="Calibri"/>
          <w:kern w:val="2"/>
          <w:sz w:val="20"/>
          <w:szCs w:val="20"/>
          <w:lang w:eastAsia="zh-CN"/>
        </w:rPr>
        <w:t>’</w:t>
      </w:r>
      <w:r>
        <w:rPr>
          <w:rFonts w:hint="eastAsia" w:eastAsia="楷体_GB2312" w:cs="Calibri"/>
          <w:kern w:val="2"/>
          <w:sz w:val="20"/>
          <w:szCs w:val="20"/>
          <w:lang w:eastAsia="zh-CN"/>
        </w:rPr>
        <w:t>s</w:t>
      </w:r>
      <w:r>
        <w:rPr>
          <w:rFonts w:eastAsia="楷体_GB2312" w:cs="Calibri"/>
          <w:kern w:val="2"/>
          <w:sz w:val="20"/>
          <w:szCs w:val="20"/>
          <w:lang w:eastAsia="zh-CN"/>
        </w:rPr>
        <w:t xml:space="preserve"> engineers have extensive expertise working with key new space firms such as </w:t>
      </w:r>
      <w:r>
        <w:rPr>
          <w:rFonts w:eastAsia="楷体_GB2312" w:cs="Calibri"/>
          <w:b/>
          <w:bCs/>
          <w:kern w:val="2"/>
          <w:sz w:val="20"/>
          <w:szCs w:val="20"/>
          <w:lang w:eastAsia="zh-CN"/>
        </w:rPr>
        <w:t>Blue Origin, SpaceX, and Stratolaunch</w:t>
      </w:r>
      <w:r>
        <w:rPr>
          <w:rFonts w:eastAsia="楷体_GB2312" w:cs="Calibri"/>
          <w:kern w:val="2"/>
          <w:sz w:val="20"/>
          <w:szCs w:val="20"/>
          <w:lang w:eastAsia="zh-CN"/>
        </w:rPr>
        <w:t>. T</w:t>
      </w:r>
      <w:r>
        <w:rPr>
          <w:rFonts w:hint="eastAsia" w:eastAsia="楷体_GB2312" w:cs="Calibri"/>
          <w:kern w:val="2"/>
          <w:sz w:val="20"/>
          <w:szCs w:val="20"/>
          <w:lang w:eastAsia="zh-CN"/>
        </w:rPr>
        <w:t>hey are</w:t>
      </w:r>
      <w:r>
        <w:rPr>
          <w:rFonts w:eastAsia="楷体_GB2312" w:cs="Calibri"/>
          <w:kern w:val="2"/>
          <w:sz w:val="20"/>
          <w:szCs w:val="20"/>
          <w:lang w:eastAsia="zh-CN"/>
        </w:rPr>
        <w:t xml:space="preserve"> on the cutting edge of contemporary liquid rocket technology, rapid and low-cost development programs, and DMLS 3D printing</w:t>
      </w: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CAM </w:t>
            </w:r>
            <w:r>
              <w:rPr>
                <w:rFonts w:hint="eastAsia" w:eastAsia="楷体_GB2312" w:cs="Calibri"/>
                <w:b/>
                <w:sz w:val="20"/>
                <w:szCs w:val="20"/>
                <w:lang w:eastAsia="zh-CN"/>
              </w:rPr>
              <w:t xml:space="preserve">Defense - </w:t>
            </w:r>
            <w:r>
              <w:rPr>
                <w:rFonts w:eastAsia="楷体_GB2312" w:cs="Calibri"/>
                <w:b/>
                <w:sz w:val="20"/>
                <w:szCs w:val="20"/>
                <w:lang w:eastAsia="zh-CN"/>
              </w:rPr>
              <w:t>Propulsion</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168140" cy="2782570"/>
                  <wp:effectExtent l="0" t="0" r="3810" b="0"/>
                  <wp:docPr id="1229074273" name="图片 9" descr="Servic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273" name="图片 9" descr="Service Detail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177632" cy="2788930"/>
                          </a:xfrm>
                          <a:prstGeom prst="rect">
                            <a:avLst/>
                          </a:prstGeom>
                          <a:noFill/>
                          <a:ln>
                            <a:noFill/>
                          </a:ln>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CAMG, </w:t>
            </w:r>
            <w:r>
              <w:rPr>
                <w:rFonts w:hint="eastAsia" w:eastAsia="楷体_GB2312" w:cs="Calibri"/>
              </w:rPr>
              <w:t>HFI</w:t>
            </w:r>
          </w:p>
        </w:tc>
      </w:tr>
    </w:tbl>
    <w:p>
      <w:pPr>
        <w:pStyle w:val="2"/>
        <w:spacing w:beforeLines="100" w:after="240" w:afterLines="100"/>
        <w:jc w:val="both"/>
        <w:rPr>
          <w:rFonts w:eastAsia="宋体" w:cs="Times New Roman"/>
          <w:snapToGrid/>
          <w:color w:val="23558C"/>
          <w:kern w:val="28"/>
          <w:sz w:val="28"/>
          <w:szCs w:val="28"/>
          <w:lang w:eastAsia="zh-CN"/>
        </w:rPr>
      </w:pPr>
      <w:bookmarkStart w:id="12" w:name="_Toc6684"/>
      <w:bookmarkStart w:id="13" w:name="_Toc186105500"/>
      <w:r>
        <w:rPr>
          <w:rFonts w:hint="eastAsia" w:eastAsia="宋体" w:cs="Times New Roman"/>
          <w:snapToGrid/>
          <w:color w:val="23558C"/>
          <w:kern w:val="28"/>
          <w:sz w:val="28"/>
          <w:szCs w:val="28"/>
          <w:lang w:eastAsia="zh-CN"/>
        </w:rPr>
        <w:t>3</w:t>
      </w:r>
      <w:r>
        <w:rPr>
          <w:rFonts w:eastAsia="宋体" w:cs="Times New Roman"/>
          <w:snapToGrid/>
          <w:color w:val="23558C"/>
          <w:kern w:val="28"/>
          <w:sz w:val="28"/>
          <w:szCs w:val="28"/>
          <w:lang w:eastAsia="zh-CN"/>
        </w:rPr>
        <w:t>. Industry Tailwinds &amp; HWM Positioning</w:t>
      </w:r>
      <w:bookmarkEnd w:id="12"/>
    </w:p>
    <w:p>
      <w:pPr>
        <w:jc w:val="both"/>
        <w:rPr>
          <w:rFonts w:eastAsia="宋体" w:cs="Calibri"/>
          <w:sz w:val="22"/>
          <w:szCs w:val="22"/>
          <w:lang w:eastAsia="zh-CN"/>
        </w:rPr>
      </w:pPr>
      <w:r>
        <w:rPr>
          <w:rFonts w:hint="eastAsia" w:eastAsia="宋体" w:cs="Calibri"/>
          <w:b/>
          <w:bCs/>
          <w:sz w:val="22"/>
          <w:szCs w:val="22"/>
          <w:lang w:eastAsia="zh-CN"/>
        </w:rPr>
        <w:t>Ho</w:t>
      </w:r>
      <w:r>
        <w:rPr>
          <w:rFonts w:eastAsia="宋体" w:cs="Calibri"/>
          <w:b/>
          <w:bCs/>
          <w:sz w:val="22"/>
          <w:szCs w:val="22"/>
          <w:lang w:eastAsia="zh-CN"/>
        </w:rPr>
        <w:t>wmet Aerospace's market position is characterized by its deep integration into the supply chains of leading aerospace and defense original equipment manufacturers (OEMs).</w:t>
      </w:r>
      <w:r>
        <w:rPr>
          <w:rFonts w:eastAsia="宋体" w:cs="Calibri"/>
          <w:sz w:val="22"/>
          <w:szCs w:val="22"/>
          <w:lang w:eastAsia="zh-CN"/>
        </w:rPr>
        <w:t xml:space="preserve"> By focusing on high-value, highly engineered engine and airframe components, it erects steep barriers for would-be rivals. Repeated on-time delivery of complex parts that meet exacting quality specs cements this advantage. Long-standing co-development agreements with Rolls-Royce, Boeing, Airbus and Lockheed Martin lock in share on critical platforms, while continued investment in advanced manufacturing and materials science widens the moat.</w:t>
      </w:r>
    </w:p>
    <w:p>
      <w:pPr>
        <w:pStyle w:val="148"/>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14" w:name="_Toc18739"/>
      <w:r>
        <w:rPr>
          <w:rFonts w:hint="eastAsia" w:ascii="Calibri" w:hAnsi="Calibri" w:cs="Times New Roman"/>
          <w:iCs w:val="0"/>
          <w:color w:val="23558C"/>
          <w:kern w:val="28"/>
          <w:sz w:val="24"/>
          <w:szCs w:val="24"/>
        </w:rPr>
        <w:t>3</w:t>
      </w:r>
      <w:r>
        <w:rPr>
          <w:rFonts w:ascii="Calibri" w:hAnsi="Calibri" w:cs="Times New Roman"/>
          <w:iCs w:val="0"/>
          <w:color w:val="23558C"/>
          <w:kern w:val="28"/>
          <w:sz w:val="24"/>
          <w:szCs w:val="24"/>
        </w:rPr>
        <w:t>.1 Solid Demand in Defense Aerospace</w:t>
      </w:r>
      <w:bookmarkEnd w:id="14"/>
    </w:p>
    <w:p>
      <w:pPr>
        <w:jc w:val="both"/>
        <w:rPr>
          <w:rFonts w:eastAsia="宋体" w:cs="Calibri"/>
          <w:sz w:val="22"/>
          <w:szCs w:val="22"/>
          <w:lang w:eastAsia="zh-CN"/>
        </w:rPr>
      </w:pPr>
      <w:r>
        <w:rPr>
          <w:rFonts w:eastAsia="宋体" w:cs="Calibri"/>
          <w:sz w:val="22"/>
          <w:szCs w:val="22"/>
          <w:lang w:eastAsia="zh-CN"/>
        </w:rPr>
        <w:t xml:space="preserve">For over 40 years, Howmet Aerospace has been a key defense manufacturing partner to the U.S. military and allied nations. In collaboration with prime contractors, </w:t>
      </w:r>
      <w:r>
        <w:rPr>
          <w:rFonts w:hint="eastAsia" w:eastAsia="宋体" w:cs="Calibri"/>
          <w:sz w:val="22"/>
          <w:szCs w:val="22"/>
          <w:lang w:eastAsia="zh-CN"/>
        </w:rPr>
        <w:t>their</w:t>
      </w:r>
      <w:r>
        <w:rPr>
          <w:rFonts w:eastAsia="宋体" w:cs="Calibri"/>
          <w:sz w:val="22"/>
          <w:szCs w:val="22"/>
          <w:lang w:eastAsia="zh-CN"/>
        </w:rPr>
        <w:t xml:space="preserve"> products support systems across the air, sea and ground-based radar and aerospace markets.</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 Photo courtesy of U.S. Navy</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3667760" cy="2432685"/>
                  <wp:effectExtent l="0" t="0" r="8890" b="5715"/>
                  <wp:docPr id="322111593" name="图片 7" descr="Austal-Littoral-Combat-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1593" name="图片 7" descr="Austal-Littoral-Combat-Ship"/>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675007" cy="243767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 xml:space="preserve">Howmet website, </w:t>
            </w:r>
            <w:r>
              <w:rPr>
                <w:rFonts w:hint="eastAsia" w:eastAsia="楷体_GB2312" w:cs="Calibri"/>
              </w:rPr>
              <w:t>HFI</w:t>
            </w:r>
          </w:p>
        </w:tc>
      </w:tr>
    </w:tbl>
    <w:p>
      <w:pPr>
        <w:jc w:val="both"/>
        <w:rPr>
          <w:rFonts w:eastAsia="宋体" w:cs="Calibri"/>
          <w:sz w:val="22"/>
          <w:szCs w:val="22"/>
          <w:lang w:eastAsia="zh-CN"/>
        </w:rPr>
      </w:pPr>
    </w:p>
    <w:p>
      <w:pPr>
        <w:jc w:val="both"/>
        <w:rPr>
          <w:rFonts w:eastAsia="宋体" w:cs="Calibri"/>
          <w:sz w:val="22"/>
          <w:szCs w:val="22"/>
          <w:lang w:eastAsia="zh-CN"/>
        </w:rPr>
      </w:pPr>
      <w:r>
        <w:rPr>
          <w:rFonts w:hint="eastAsia" w:eastAsia="宋体" w:cs="Calibri"/>
          <w:sz w:val="22"/>
          <w:szCs w:val="22"/>
          <w:lang w:eastAsia="zh-CN"/>
        </w:rPr>
        <w:t>I</w:t>
      </w:r>
      <w:r>
        <w:rPr>
          <w:rFonts w:eastAsia="宋体" w:cs="Calibri"/>
          <w:sz w:val="22"/>
          <w:szCs w:val="22"/>
          <w:lang w:eastAsia="zh-CN"/>
        </w:rPr>
        <w:t>n July 2025, the House of Representatives passed the fiscal year 2026 Defense Appropriations Act, providing a strong budgetary allocation for defense.</w:t>
      </w:r>
      <w:r>
        <w:rPr>
          <w:rFonts w:hint="eastAsia" w:eastAsia="宋体" w:cs="Calibri"/>
          <w:sz w:val="22"/>
          <w:szCs w:val="22"/>
          <w:lang w:eastAsia="zh-CN"/>
        </w:rPr>
        <w:t xml:space="preserve"> </w:t>
      </w:r>
      <w:r>
        <w:rPr>
          <w:rFonts w:eastAsia="宋体" w:cs="Calibri"/>
          <w:sz w:val="22"/>
          <w:szCs w:val="22"/>
          <w:lang w:eastAsia="zh-CN"/>
        </w:rPr>
        <w:t>Defense aerospace again outperformed, posting 21 % top-line growth in Q2 on spare-engine demand for the F-35 and legacy fighter fleets. Washington’s newly approved $831.5 bn FY-26 defense appropriation gives HWM a clear runway to win follow-on orders and push its defense sales—today 17 % of the total—even higher.</w:t>
      </w:r>
    </w:p>
    <w:p>
      <w:pPr>
        <w:jc w:val="both"/>
        <w:rPr>
          <w:rFonts w:eastAsia="宋体" w:cs="Calibri"/>
          <w:sz w:val="22"/>
          <w:szCs w:val="22"/>
          <w:lang w:eastAsia="zh-CN"/>
        </w:rPr>
      </w:pPr>
    </w:p>
    <w:p>
      <w:pPr>
        <w:jc w:val="both"/>
        <w:rPr>
          <w:rFonts w:eastAsia="宋体" w:cs="Calibri"/>
          <w:sz w:val="22"/>
          <w:szCs w:val="22"/>
          <w:lang w:eastAsia="zh-CN"/>
        </w:rPr>
      </w:pPr>
      <w:r>
        <w:rPr>
          <w:rFonts w:eastAsia="宋体" w:cs="Calibri"/>
          <w:sz w:val="22"/>
          <w:szCs w:val="22"/>
          <w:lang w:eastAsia="zh-CN"/>
        </w:rPr>
        <w:t>European Union defense spending is experiencing an unprecedented surge, with expenditures estimated to reach €381 billion in 2025, a 62.8% increase since 2020, representing 2.1% of EU GDP. Driven by the need for strategic autonomy and support for Ukraine, the EU aims to mobilize €800 billion for defense, pushing for 55% of military purchases to be made in Europe by 2030.</w:t>
      </w:r>
    </w:p>
    <w:p>
      <w:pPr>
        <w:jc w:val="both"/>
        <w:rPr>
          <w:rFonts w:eastAsia="宋体" w:cs="Calibri"/>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lang w:eastAsia="zh-CN"/>
              </w:rPr>
            </w:pPr>
            <w:r>
              <w:rPr>
                <w:rFonts w:eastAsia="楷体_GB2312" w:cs="Calibri"/>
                <w:b/>
                <w:sz w:val="20"/>
                <w:szCs w:val="20"/>
              </w:rPr>
              <w:t>Figure: E</w:t>
            </w:r>
            <w:r>
              <w:rPr>
                <w:rFonts w:hint="eastAsia" w:eastAsia="楷体_GB2312" w:cs="Calibri"/>
                <w:b/>
                <w:sz w:val="20"/>
                <w:szCs w:val="20"/>
                <w:lang w:eastAsia="zh-CN"/>
              </w:rPr>
              <w:t>uropean</w:t>
            </w:r>
            <w:r>
              <w:rPr>
                <w:rFonts w:eastAsia="楷体_GB2312" w:cs="Calibri"/>
                <w:b/>
                <w:sz w:val="20"/>
                <w:szCs w:val="20"/>
              </w:rPr>
              <w:t xml:space="preserve"> D</w:t>
            </w:r>
            <w:r>
              <w:rPr>
                <w:rFonts w:hint="eastAsia" w:eastAsia="楷体_GB2312" w:cs="Calibri"/>
                <w:b/>
                <w:sz w:val="20"/>
                <w:szCs w:val="20"/>
                <w:lang w:eastAsia="zh-CN"/>
              </w:rPr>
              <w:t>efence</w:t>
            </w:r>
            <w:r>
              <w:rPr>
                <w:rFonts w:eastAsia="楷体_GB2312" w:cs="Calibri"/>
                <w:b/>
                <w:sz w:val="20"/>
                <w:szCs w:val="20"/>
              </w:rPr>
              <w:t xml:space="preserve"> S</w:t>
            </w:r>
            <w:r>
              <w:rPr>
                <w:rFonts w:hint="eastAsia" w:eastAsia="楷体_GB2312" w:cs="Calibri"/>
                <w:b/>
                <w:sz w:val="20"/>
                <w:szCs w:val="20"/>
                <w:lang w:eastAsia="zh-CN"/>
              </w:rPr>
              <w:t>pending</w:t>
            </w:r>
            <w:r>
              <w:rPr>
                <w:rFonts w:eastAsia="楷体_GB2312" w:cs="Calibri"/>
                <w:b/>
                <w:sz w:val="20"/>
                <w:szCs w:val="20"/>
              </w:rPr>
              <w:t xml:space="preserve"> </w:t>
            </w:r>
            <w:r>
              <w:rPr>
                <w:rFonts w:hint="eastAsia" w:eastAsia="楷体_GB2312" w:cs="Calibri"/>
                <w:b/>
                <w:sz w:val="20"/>
                <w:szCs w:val="20"/>
                <w:lang w:eastAsia="zh-CN"/>
              </w:rPr>
              <w:t>on</w:t>
            </w:r>
            <w:r>
              <w:rPr>
                <w:rFonts w:eastAsia="楷体_GB2312" w:cs="Calibri"/>
                <w:b/>
                <w:sz w:val="20"/>
                <w:szCs w:val="20"/>
              </w:rPr>
              <w:t xml:space="preserve"> </w:t>
            </w:r>
            <w:r>
              <w:rPr>
                <w:rFonts w:hint="eastAsia" w:eastAsia="楷体_GB2312" w:cs="Calibri"/>
                <w:b/>
                <w:sz w:val="20"/>
                <w:szCs w:val="20"/>
                <w:lang w:eastAsia="zh-CN"/>
              </w:rPr>
              <w:t>the</w:t>
            </w:r>
            <w:r>
              <w:rPr>
                <w:rFonts w:eastAsia="楷体_GB2312" w:cs="Calibri"/>
                <w:b/>
                <w:sz w:val="20"/>
                <w:szCs w:val="20"/>
              </w:rPr>
              <w:t xml:space="preserve"> </w:t>
            </w:r>
            <w:r>
              <w:rPr>
                <w:rFonts w:hint="eastAsia" w:eastAsia="楷体_GB2312" w:cs="Calibri"/>
                <w:b/>
                <w:sz w:val="20"/>
                <w:szCs w:val="20"/>
                <w:lang w:eastAsia="zh-CN"/>
              </w:rPr>
              <w:t>rise</w:t>
            </w:r>
          </w:p>
        </w:tc>
      </w:tr>
      <w:tr>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307590"/>
                  <wp:effectExtent l="0" t="0" r="6350" b="0"/>
                  <wp:docPr id="4966129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12937" name="图片 4"/>
                          <pic:cNvPicPr>
                            <a:picLocks noChangeAspect="1"/>
                          </pic:cNvPicPr>
                        </pic:nvPicPr>
                        <pic:blipFill>
                          <a:blip r:embed="rId52"/>
                          <a:stretch>
                            <a:fillRect/>
                          </a:stretch>
                        </pic:blipFill>
                        <pic:spPr>
                          <a:xfrm>
                            <a:off x="0" y="0"/>
                            <a:ext cx="4603750" cy="230759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rPr>
            </w:pPr>
            <w:r>
              <w:rPr>
                <w:rFonts w:eastAsia="楷体_GB2312" w:cs="Calibri"/>
                <w:b/>
                <w:bCs/>
              </w:rPr>
              <w:t>Source:</w:t>
            </w:r>
            <w:r>
              <w:rPr>
                <w:rFonts w:hint="eastAsia" w:eastAsia="楷体_GB2312" w:cs="Calibri"/>
                <w:b/>
                <w:bCs/>
                <w:lang w:eastAsia="zh-CN"/>
              </w:rPr>
              <w:t xml:space="preserve"> </w:t>
            </w:r>
            <w:r>
              <w:rPr>
                <w:rFonts w:hint="eastAsia" w:eastAsia="楷体_GB2312" w:cs="Calibri"/>
                <w:lang w:eastAsia="zh-CN"/>
              </w:rPr>
              <w:t xml:space="preserve">LSEG Workspace, </w:t>
            </w:r>
            <w:r>
              <w:rPr>
                <w:rFonts w:hint="eastAsia" w:eastAsia="楷体_GB2312" w:cs="Calibri"/>
              </w:rPr>
              <w:t>HFI</w:t>
            </w:r>
          </w:p>
        </w:tc>
      </w:tr>
    </w:tbl>
    <w:p>
      <w:pPr>
        <w:pStyle w:val="88"/>
        <w:spacing w:line="216" w:lineRule="auto"/>
        <w:jc w:val="both"/>
        <w:rPr>
          <w:rFonts w:eastAsia="宋体" w:cs="Times New Roman"/>
          <w:b/>
          <w:bCs/>
          <w:color w:val="23558C"/>
          <w:kern w:val="28"/>
          <w:sz w:val="28"/>
          <w:szCs w:val="28"/>
          <w:lang w:eastAsia="zh-CN"/>
        </w:rPr>
      </w:pPr>
    </w:p>
    <w:p>
      <w:pPr>
        <w:pStyle w:val="148"/>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15" w:name="_Toc13262"/>
      <w:bookmarkStart w:id="16" w:name="_Hlk220012676"/>
      <w:r>
        <w:rPr>
          <w:rFonts w:hint="eastAsia" w:ascii="Calibri" w:hAnsi="Calibri" w:cs="Times New Roman"/>
          <w:iCs w:val="0"/>
          <w:color w:val="23558C"/>
          <w:kern w:val="28"/>
          <w:sz w:val="24"/>
          <w:szCs w:val="24"/>
        </w:rPr>
        <w:t>3</w:t>
      </w:r>
      <w:r>
        <w:rPr>
          <w:rFonts w:ascii="Calibri" w:hAnsi="Calibri" w:cs="Times New Roman"/>
          <w:iCs w:val="0"/>
          <w:color w:val="23558C"/>
          <w:kern w:val="28"/>
          <w:sz w:val="24"/>
          <w:szCs w:val="24"/>
        </w:rPr>
        <w:t>.</w:t>
      </w:r>
      <w:r>
        <w:rPr>
          <w:rFonts w:hint="eastAsia" w:ascii="Calibri" w:hAnsi="Calibri" w:cs="Times New Roman"/>
          <w:iCs w:val="0"/>
          <w:color w:val="23558C"/>
          <w:kern w:val="28"/>
          <w:sz w:val="24"/>
          <w:szCs w:val="24"/>
        </w:rPr>
        <w:t>2</w:t>
      </w:r>
      <w:r>
        <w:rPr>
          <w:rFonts w:ascii="Calibri" w:hAnsi="Calibri" w:cs="Times New Roman"/>
          <w:iCs w:val="0"/>
          <w:color w:val="23558C"/>
          <w:kern w:val="28"/>
          <w:sz w:val="24"/>
          <w:szCs w:val="24"/>
        </w:rPr>
        <w:t xml:space="preserve"> Advanced Manufacturing &amp; Powering Deep Space exploration</w:t>
      </w:r>
      <w:bookmarkEnd w:id="15"/>
      <w:bookmarkEnd w:id="16"/>
    </w:p>
    <w:p>
      <w:pPr>
        <w:pStyle w:val="88"/>
        <w:spacing w:line="216" w:lineRule="auto"/>
        <w:jc w:val="both"/>
        <w:rPr>
          <w:rFonts w:eastAsia="宋体" w:cs="Calibri"/>
          <w:snapToGrid w:val="0"/>
          <w:sz w:val="22"/>
          <w:szCs w:val="22"/>
          <w:lang w:eastAsia="zh-CN"/>
        </w:rPr>
      </w:pPr>
      <w:r>
        <w:rPr>
          <w:rFonts w:eastAsia="宋体" w:cs="Calibri"/>
          <w:snapToGrid w:val="0"/>
          <w:sz w:val="22"/>
          <w:szCs w:val="22"/>
          <w:lang w:eastAsia="zh-CN"/>
        </w:rPr>
        <w:t>Howmet isn’t a single widget; it’s an integrated toolbox of turbine parts, fastening systems, aero castings, forged wheels and high-temperature alloys that solve the nastiest stress, heat and load problems in modern transport. Its parts sit deep inside next-gen narrow-bodies, fighter jets, rocket motors, EVs, heavy trucks and industrial turbines.</w:t>
      </w:r>
    </w:p>
    <w:p>
      <w:pPr>
        <w:pStyle w:val="88"/>
        <w:spacing w:line="216" w:lineRule="auto"/>
        <w:jc w:val="both"/>
        <w:rPr>
          <w:rFonts w:eastAsia="宋体" w:cs="Calibri"/>
          <w:snapToGrid w:val="0"/>
          <w:sz w:val="22"/>
          <w:szCs w:val="22"/>
          <w:lang w:eastAsia="zh-CN"/>
        </w:rPr>
      </w:pPr>
      <w:r>
        <w:rPr>
          <w:rFonts w:eastAsia="宋体" w:cs="Calibri"/>
          <w:snapToGrid w:val="0"/>
          <w:sz w:val="22"/>
          <w:szCs w:val="22"/>
          <w:lang w:eastAsia="zh-CN"/>
        </w:rPr>
        <w:t>The portfolio is planted squarely at the intersection of three long-wave drivers:</w:t>
      </w:r>
    </w:p>
    <w:p>
      <w:pPr>
        <w:pStyle w:val="88"/>
        <w:spacing w:line="216" w:lineRule="auto"/>
        <w:jc w:val="both"/>
        <w:rPr>
          <w:rFonts w:eastAsia="宋体" w:cs="Calibri"/>
          <w:snapToGrid w:val="0"/>
          <w:sz w:val="22"/>
          <w:szCs w:val="22"/>
          <w:lang w:eastAsia="zh-CN"/>
        </w:rPr>
      </w:pPr>
      <w:r>
        <w:rPr>
          <w:rFonts w:eastAsia="宋体" w:cs="Calibri"/>
          <w:b/>
          <w:bCs/>
          <w:snapToGrid w:val="0"/>
          <w:sz w:val="22"/>
          <w:szCs w:val="22"/>
          <w:lang w:eastAsia="zh-CN"/>
        </w:rPr>
        <w:t xml:space="preserve">Aero refresh and up-gauging </w:t>
      </w:r>
      <w:r>
        <w:rPr>
          <w:rFonts w:eastAsia="宋体" w:cs="Calibri"/>
          <w:snapToGrid w:val="0"/>
          <w:sz w:val="22"/>
          <w:szCs w:val="22"/>
          <w:lang w:eastAsia="zh-CN"/>
        </w:rPr>
        <w:t>– airlines are dumping older airframes for lighter, more efficient models stuffed with composites and advanced powerplants that need precisely what Howmet makes.</w:t>
      </w:r>
    </w:p>
    <w:p>
      <w:pPr>
        <w:pStyle w:val="88"/>
        <w:spacing w:line="216" w:lineRule="auto"/>
        <w:jc w:val="both"/>
        <w:rPr>
          <w:rFonts w:eastAsia="宋体" w:cs="Calibri"/>
          <w:snapToGrid w:val="0"/>
          <w:sz w:val="22"/>
          <w:szCs w:val="22"/>
          <w:lang w:eastAsia="zh-CN"/>
        </w:rPr>
      </w:pPr>
      <w:r>
        <w:rPr>
          <w:rFonts w:eastAsia="宋体" w:cs="Calibri"/>
          <w:b/>
          <w:bCs/>
          <w:snapToGrid w:val="0"/>
          <w:sz w:val="22"/>
          <w:szCs w:val="22"/>
          <w:lang w:eastAsia="zh-CN"/>
        </w:rPr>
        <w:t>Decarbonization and fuel thrift</w:t>
      </w:r>
      <w:r>
        <w:rPr>
          <w:rFonts w:eastAsia="宋体" w:cs="Calibri"/>
          <w:snapToGrid w:val="0"/>
          <w:sz w:val="22"/>
          <w:szCs w:val="22"/>
          <w:lang w:eastAsia="zh-CN"/>
        </w:rPr>
        <w:t xml:space="preserve"> – every kilo and every 0.1 % of engine efficiency counts; the company sells the metal-working blocks that deliver those savings.</w:t>
      </w:r>
    </w:p>
    <w:p>
      <w:pPr>
        <w:pStyle w:val="88"/>
        <w:spacing w:line="216" w:lineRule="auto"/>
        <w:jc w:val="both"/>
        <w:rPr>
          <w:rFonts w:eastAsia="宋体" w:cs="Calibri"/>
          <w:snapToGrid w:val="0"/>
          <w:sz w:val="22"/>
          <w:szCs w:val="22"/>
          <w:lang w:eastAsia="zh-CN"/>
        </w:rPr>
      </w:pPr>
      <w:r>
        <w:rPr>
          <w:rFonts w:eastAsia="宋体" w:cs="Calibri"/>
          <w:b/>
          <w:bCs/>
          <w:snapToGrid w:val="0"/>
          <w:sz w:val="22"/>
          <w:szCs w:val="22"/>
          <w:lang w:eastAsia="zh-CN"/>
        </w:rPr>
        <w:t>Surging defense and space budgets</w:t>
      </w:r>
      <w:r>
        <w:rPr>
          <w:rFonts w:eastAsia="宋体" w:cs="Calibri"/>
          <w:snapToGrid w:val="0"/>
          <w:sz w:val="22"/>
          <w:szCs w:val="22"/>
          <w:lang w:eastAsia="zh-CN"/>
        </w:rPr>
        <w:t xml:space="preserve"> – missiles, hypersonic and reusable launchers demand exotic alloys and zero-fail precision parts, a sweet spot Howmet already supplies.</w:t>
      </w: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eastAsia="宋体" w:cs="Calibri"/>
          <w:snapToGrid w:val="0"/>
          <w:sz w:val="22"/>
          <w:szCs w:val="22"/>
          <w:lang w:eastAsia="zh-CN"/>
        </w:rPr>
      </w:pPr>
    </w:p>
    <w:p>
      <w:pPr>
        <w:pStyle w:val="88"/>
        <w:spacing w:line="216" w:lineRule="auto"/>
        <w:jc w:val="both"/>
        <w:rPr>
          <w:rFonts w:hint="eastAsia" w:eastAsia="宋体" w:cs="Times New Roman"/>
          <w:b/>
          <w:bCs/>
          <w:color w:val="23558C"/>
          <w:kern w:val="28"/>
          <w:sz w:val="28"/>
          <w:szCs w:val="28"/>
          <w:lang w:eastAsia="zh-CN"/>
        </w:rPr>
      </w:pPr>
    </w:p>
    <w:p>
      <w:pPr>
        <w:pStyle w:val="2"/>
        <w:spacing w:beforeLines="100" w:after="240" w:afterLines="100"/>
        <w:jc w:val="both"/>
        <w:rPr>
          <w:rFonts w:hint="eastAsia" w:eastAsia="宋体" w:cs="Times New Roman"/>
          <w:snapToGrid/>
          <w:color w:val="23558C"/>
          <w:kern w:val="28"/>
          <w:sz w:val="28"/>
          <w:szCs w:val="28"/>
          <w:lang w:eastAsia="zh-CN"/>
        </w:rPr>
      </w:pPr>
      <w:bookmarkStart w:id="17" w:name="_Toc23243"/>
      <w:r>
        <w:rPr>
          <w:rFonts w:hint="eastAsia" w:eastAsia="宋体" w:cs="Times New Roman"/>
          <w:snapToGrid/>
          <w:color w:val="23558C"/>
          <w:kern w:val="28"/>
          <w:sz w:val="28"/>
          <w:szCs w:val="28"/>
          <w:lang w:eastAsia="zh-CN"/>
        </w:rPr>
        <w:t>4</w:t>
      </w:r>
      <w:r>
        <w:rPr>
          <w:rFonts w:eastAsia="宋体" w:cs="Times New Roman"/>
          <w:snapToGrid/>
          <w:color w:val="23558C"/>
          <w:kern w:val="28"/>
          <w:sz w:val="28"/>
          <w:szCs w:val="28"/>
          <w:lang w:eastAsia="zh-CN"/>
        </w:rPr>
        <w:t>. Valuation&amp; recommendation</w:t>
      </w:r>
      <w:bookmarkEnd w:id="17"/>
    </w:p>
    <w:bookmarkEnd w:id="13"/>
    <w:p>
      <w:pPr>
        <w:jc w:val="both"/>
        <w:rPr>
          <w:rFonts w:eastAsia="楷体" w:cs="Calibri"/>
          <w:sz w:val="22"/>
          <w:szCs w:val="22"/>
          <w:lang w:eastAsia="zh-CN"/>
        </w:rPr>
      </w:pPr>
      <w:r>
        <w:rPr>
          <w:rFonts w:eastAsia="楷体" w:cs="Calibri"/>
          <w:sz w:val="22"/>
          <w:szCs w:val="22"/>
          <w:lang w:eastAsia="zh-CN"/>
        </w:rPr>
        <w:t>We estimate that revenue of HWM from year 2025 to 2028 will be $8,188/9,106 /10,077/11,139 million, with the net profit of $1,408/1,711/1,883/2,190million. Based on the DCF valuation model, our target price of HWM is $234.72, we initiate coverage on the stock with “Outperform”.</w:t>
      </w:r>
    </w:p>
    <w:p>
      <w:pPr>
        <w:rPr>
          <w:rFonts w:eastAsia="宋体" w:cs="Calibri"/>
          <w:lang w:eastAsia="zh-CN"/>
        </w:rPr>
      </w:pPr>
    </w:p>
    <w:tbl>
      <w:tblPr>
        <w:tblStyle w:val="12"/>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8"/>
      </w:tblGrid>
      <w:tr>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pPr>
              <w:jc w:val="both"/>
              <w:rPr>
                <w:rFonts w:eastAsia="楷体_GB2312" w:cs="Calibri"/>
                <w:b/>
                <w:sz w:val="17"/>
              </w:rPr>
            </w:pPr>
            <w:r>
              <w:rPr>
                <w:rFonts w:eastAsia="楷体_GB2312" w:cs="Calibri"/>
                <w:b/>
                <w:sz w:val="17"/>
              </w:rPr>
              <w:t>Table: DCF Model</w:t>
            </w:r>
          </w:p>
        </w:tc>
      </w:tr>
      <w:tr>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284" w:hRule="atLeast"/>
        </w:trPr>
        <w:tc>
          <w:tcPr>
            <w:tcW w:w="3604" w:type="dxa"/>
          </w:tcPr>
          <w:p>
            <w:pPr>
              <w:jc w:val="both"/>
              <w:rPr>
                <w:rFonts w:cs="等线" w:eastAsiaTheme="minorEastAsia"/>
                <w:lang w:eastAsia="zh-CN"/>
              </w:rPr>
            </w:pPr>
            <w:r>
              <w:drawing>
                <wp:inline distT="0" distB="0" distL="114300" distR="114300">
                  <wp:extent cx="4733290" cy="5672455"/>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3"/>
                          <a:stretch>
                            <a:fillRect/>
                          </a:stretch>
                        </pic:blipFill>
                        <pic:spPr>
                          <a:xfrm>
                            <a:off x="0" y="0"/>
                            <a:ext cx="4733290" cy="5672455"/>
                          </a:xfrm>
                          <a:prstGeom prst="rect">
                            <a:avLst/>
                          </a:prstGeom>
                          <a:noFill/>
                          <a:ln>
                            <a:noFill/>
                          </a:ln>
                        </pic:spPr>
                      </pic:pic>
                    </a:graphicData>
                  </a:graphic>
                </wp:inline>
              </w:drawing>
            </w:r>
          </w:p>
          <w:p>
            <w:pPr>
              <w:jc w:val="both"/>
              <w:rPr>
                <w:rFonts w:cs="Calibri" w:eastAsiaTheme="minorEastAsia"/>
                <w:sz w:val="1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w:t>
            </w:r>
            <w:r>
              <w:rPr>
                <w:rFonts w:hint="eastAsia" w:eastAsia="楷体_GB2312" w:cs="Calibri"/>
                <w:lang w:eastAsia="zh-CN"/>
              </w:rPr>
              <w:t>F</w:t>
            </w:r>
            <w:r>
              <w:rPr>
                <w:rFonts w:eastAsia="楷体_GB2312" w:cs="Calibri"/>
              </w:rPr>
              <w:t>I</w:t>
            </w:r>
            <w:r>
              <w:rPr>
                <w:rFonts w:cs="Calibri"/>
              </w:rPr>
              <w:t xml:space="preserve"> </w:t>
            </w:r>
          </w:p>
        </w:tc>
      </w:tr>
    </w:tbl>
    <w:p>
      <w:pPr>
        <w:rPr>
          <w:rFonts w:eastAsia="楷体_GB2312" w:cs="Calibri"/>
          <w:b/>
          <w:sz w:val="17"/>
        </w:rPr>
      </w:pPr>
      <w:r>
        <w:rPr>
          <w:rFonts w:eastAsia="楷体_GB2312" w:cs="Calibri"/>
          <w:b/>
          <w:sz w:val="17"/>
        </w:rPr>
        <w:br w:type="page"/>
      </w:r>
    </w:p>
    <w:p>
      <w:pPr>
        <w:jc w:val="both"/>
        <w:rPr>
          <w:rFonts w:eastAsia="楷体_GB2312" w:cs="Calibri"/>
          <w:b/>
          <w:sz w:val="17"/>
        </w:rPr>
      </w:pPr>
      <w:r>
        <w:rPr>
          <w:rFonts w:hint="eastAsia" w:eastAsia="楷体_GB2312" w:cs="Calibri"/>
          <w:b/>
          <w:sz w:val="17"/>
          <w:lang w:eastAsia="zh-CN"/>
        </w:rPr>
        <w:t>Ta</w:t>
      </w:r>
      <w:r>
        <w:rPr>
          <w:rFonts w:eastAsia="楷体_GB2312" w:cs="Calibri"/>
          <w:b/>
          <w:sz w:val="17"/>
        </w:rPr>
        <w:t>ble: Financial Summary</w:t>
      </w:r>
    </w:p>
    <w:p>
      <w:pPr>
        <w:pStyle w:val="88"/>
        <w:jc w:val="both"/>
        <w:rPr>
          <w:rFonts w:eastAsia="楷体_GB2312" w:cs="Calibri"/>
          <w:b/>
          <w:bCs/>
          <w:color w:val="23558C"/>
          <w:kern w:val="28"/>
          <w:sz w:val="22"/>
          <w:szCs w:val="22"/>
          <w:lang w:eastAsia="zh-CN"/>
        </w:rPr>
      </w:pPr>
      <w:r>
        <w:drawing>
          <wp:inline distT="0" distB="0" distL="114300" distR="114300">
            <wp:extent cx="4735195" cy="3118485"/>
            <wp:effectExtent l="0" t="0" r="190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4"/>
                    <a:stretch>
                      <a:fillRect/>
                    </a:stretch>
                  </pic:blipFill>
                  <pic:spPr>
                    <a:xfrm>
                      <a:off x="0" y="0"/>
                      <a:ext cx="4735195" cy="3118485"/>
                    </a:xfrm>
                    <a:prstGeom prst="rect">
                      <a:avLst/>
                    </a:prstGeom>
                    <a:noFill/>
                    <a:ln>
                      <a:noFill/>
                    </a:ln>
                  </pic:spPr>
                </pic:pic>
              </a:graphicData>
            </a:graphic>
          </wp:inline>
        </w:drawing>
      </w:r>
    </w:p>
    <w:p>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w:t>
      </w:r>
      <w:r>
        <w:rPr>
          <w:rFonts w:hint="eastAsia" w:eastAsia="楷体_GB2312" w:cs="Calibri"/>
          <w:lang w:val="en-US" w:eastAsia="zh-CN"/>
        </w:rPr>
        <w:t>F</w:t>
      </w:r>
      <w:r>
        <w:rPr>
          <w:rFonts w:eastAsia="楷体_GB2312" w:cs="Calibri"/>
        </w:rPr>
        <w:t>I</w:t>
      </w:r>
      <w:r>
        <w:rPr>
          <w:rFonts w:cs="Calibri"/>
        </w:rPr>
        <w:t xml:space="preserve"> </w:t>
      </w:r>
    </w:p>
    <w:p>
      <w:pPr>
        <w:pStyle w:val="88"/>
        <w:jc w:val="both"/>
        <w:rPr>
          <w:rFonts w:eastAsia="楷体_GB2312" w:cs="Calibri"/>
          <w:b/>
          <w:bCs/>
          <w:color w:val="23558C"/>
          <w:kern w:val="28"/>
          <w:sz w:val="22"/>
          <w:szCs w:val="22"/>
          <w:lang w:eastAsia="zh-CN"/>
        </w:rPr>
      </w:pPr>
    </w:p>
    <w:p>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pPr>
        <w:pStyle w:val="2"/>
        <w:spacing w:beforeLines="100" w:after="240" w:afterLines="100"/>
        <w:jc w:val="both"/>
        <w:rPr>
          <w:rFonts w:eastAsia="宋体" w:cs="Times New Roman"/>
          <w:snapToGrid/>
          <w:color w:val="23558C"/>
          <w:kern w:val="28"/>
          <w:sz w:val="28"/>
          <w:szCs w:val="28"/>
          <w:lang w:eastAsia="zh-CN"/>
        </w:rPr>
      </w:pPr>
      <w:bookmarkStart w:id="18" w:name="_Toc1562"/>
      <w:bookmarkStart w:id="19" w:name="_Toc186105501"/>
      <w:r>
        <w:rPr>
          <w:rFonts w:hint="eastAsia" w:eastAsia="宋体" w:cs="Times New Roman"/>
          <w:snapToGrid/>
          <w:color w:val="23558C"/>
          <w:kern w:val="28"/>
          <w:sz w:val="28"/>
          <w:szCs w:val="28"/>
          <w:lang w:eastAsia="zh-CN"/>
        </w:rPr>
        <w:t>5</w:t>
      </w:r>
      <w:r>
        <w:rPr>
          <w:rFonts w:eastAsia="宋体" w:cs="Times New Roman"/>
          <w:snapToGrid/>
          <w:color w:val="23558C"/>
          <w:kern w:val="28"/>
          <w:sz w:val="28"/>
          <w:szCs w:val="28"/>
          <w:lang w:eastAsia="zh-CN"/>
        </w:rPr>
        <w:t xml:space="preserve">. </w:t>
      </w:r>
      <w:r>
        <w:rPr>
          <w:rFonts w:hint="eastAsia" w:eastAsia="宋体" w:cs="Times New Roman"/>
          <w:snapToGrid/>
          <w:color w:val="23558C"/>
          <w:kern w:val="28"/>
          <w:sz w:val="28"/>
          <w:szCs w:val="28"/>
          <w:lang w:eastAsia="zh-CN"/>
        </w:rPr>
        <w:t>Risks</w:t>
      </w:r>
      <w:bookmarkEnd w:id="18"/>
    </w:p>
    <w:bookmarkEnd w:id="19"/>
    <w:p>
      <w:pPr>
        <w:rPr>
          <w:rFonts w:eastAsia="宋体"/>
          <w:lang w:eastAsia="zh-CN"/>
        </w:rPr>
      </w:pPr>
      <w:r>
        <w:rPr>
          <w:rFonts w:hint="eastAsia" w:eastAsia="楷体_GB2312" w:cs="Calibri"/>
          <w:snapToGrid/>
          <w:sz w:val="22"/>
          <w:szCs w:val="22"/>
        </w:rPr>
        <w:t>Market Demand &amp; Economic Sensitivity; Narrow and Wide-Body Aircraft Market Risks Constraints in the supply chain, including shortages of engine components and labor; The cost of acquiring and integrating CAM may exceed the budget, affecting EBITA; Labor Negotiations and Workforce Challenges</w:t>
      </w:r>
      <w:r>
        <w:rPr>
          <w:rFonts w:hint="eastAsia" w:eastAsia="楷体_GB2312" w:cs="Calibri"/>
          <w:snapToGrid/>
          <w:sz w:val="22"/>
          <w:szCs w:val="22"/>
          <w:lang w:eastAsia="zh-CN"/>
        </w:rPr>
        <w:t>.</w:t>
      </w:r>
    </w:p>
    <w:p>
      <w:pPr>
        <w:rPr>
          <w:rFonts w:eastAsia="宋体"/>
          <w:lang w:eastAsia="zh-CN"/>
        </w:rPr>
      </w:pPr>
    </w:p>
    <w:p>
      <w:pPr>
        <w:pStyle w:val="19"/>
        <w:rPr>
          <w:rFonts w:eastAsia="宋体"/>
          <w:sz w:val="4"/>
          <w:szCs w:val="4"/>
          <w:lang w:eastAsia="zh-CN"/>
        </w:rPr>
      </w:pPr>
    </w:p>
    <w:p>
      <w:pPr>
        <w:pStyle w:val="19"/>
        <w:rPr>
          <w:rFonts w:eastAsia="宋体"/>
          <w:lang w:eastAsia="zh-CN"/>
        </w:rPr>
        <w:sectPr>
          <w:headerReference r:id="rId5" w:type="default"/>
          <w:footerReference r:id="rId6" w:type="default"/>
          <w:pgSz w:w="11909" w:h="16834"/>
          <w:pgMar w:top="1599" w:right="851" w:bottom="1680" w:left="3600" w:header="720" w:footer="881" w:gutter="0"/>
          <w:cols w:space="720" w:num="1"/>
          <w:docGrid w:linePitch="360" w:charSpace="0"/>
        </w:sectPr>
      </w:pPr>
    </w:p>
    <w:tbl>
      <w:tblPr>
        <w:tblStyle w:val="12"/>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gridCol w:w="24"/>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pPr>
              <w:rPr>
                <w:rFonts w:eastAsia="宋体"/>
                <w:lang w:eastAsia="zh-CN"/>
              </w:rPr>
            </w:pPr>
            <w:r>
              <w:rPr>
                <w:rFonts w:hint="eastAsia" w:eastAsia="宋体"/>
                <w:lang w:eastAsia="zh-CN"/>
              </w:rPr>
              <w:t>[</w:t>
            </w:r>
            <w:r>
              <w:rPr>
                <w:rFonts w:eastAsia="宋体"/>
                <w:lang w:eastAsia="zh-CN"/>
              </w:rPr>
              <w:t>Table_APPENDIX]</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9" w:type="dxa"/>
            <w:gridSpan w:val="2"/>
          </w:tcPr>
          <w:tbl>
            <w:tblPr>
              <w:tblStyle w:val="12"/>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13" w:type="dxa"/>
                  <w:tcBorders>
                    <w:top w:val="nil"/>
                    <w:bottom w:val="single" w:color="C0C0C0" w:sz="4" w:space="0"/>
                  </w:tcBorders>
                </w:tcPr>
                <w:p>
                  <w:pPr>
                    <w:pStyle w:val="25"/>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pPr>
                    <w:pStyle w:val="25"/>
                    <w:spacing w:after="60"/>
                    <w:rPr>
                      <w:rFonts w:eastAsia="楷体_GB2312" w:cs="Calibri"/>
                      <w:b/>
                      <w:bCs/>
                      <w:w w:val="70"/>
                      <w:sz w:val="22"/>
                      <w:szCs w:val="22"/>
                      <w:lang w:eastAsia="zh-CN"/>
                    </w:rPr>
                  </w:pPr>
                  <w:r>
                    <w:rPr>
                      <w:rFonts w:eastAsia="楷体_GB2312" w:cs="Calibri"/>
                      <w:b/>
                      <w:bCs/>
                      <w:w w:val="70"/>
                      <w:sz w:val="22"/>
                      <w:szCs w:val="22"/>
                    </w:rPr>
                    <w:t>APPENDIX</w:t>
                  </w:r>
                </w:p>
                <w:p>
                  <w:pPr>
                    <w:pStyle w:val="25"/>
                    <w:rPr>
                      <w:rFonts w:eastAsia="楷体_GB2312" w:cs="Calibri"/>
                      <w:b/>
                      <w:bCs/>
                      <w:w w:val="70"/>
                      <w:sz w:val="20"/>
                      <w:szCs w:val="20"/>
                    </w:rPr>
                  </w:pPr>
                  <w:r>
                    <w:rPr>
                      <w:rFonts w:eastAsia="楷体_GB2312" w:cs="Calibri"/>
                      <w:b/>
                      <w:bCs/>
                      <w:w w:val="70"/>
                      <w:sz w:val="20"/>
                      <w:szCs w:val="20"/>
                    </w:rPr>
                    <w:t>IMPORTANT DISCLOSURES</w:t>
                  </w:r>
                </w:p>
                <w:p>
                  <w:pPr>
                    <w:pStyle w:val="25"/>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pPr>
                    <w:pStyle w:val="25"/>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pPr>
                    <w:jc w:val="both"/>
                    <w:rPr>
                      <w:rFonts w:eastAsia="楷体_GB2312" w:cs="Calibri"/>
                      <w:w w:val="70"/>
                      <w:sz w:val="20"/>
                      <w:szCs w:val="20"/>
                      <w:lang w:eastAsia="zh-CN"/>
                    </w:rPr>
                  </w:pPr>
                  <w:r>
                    <w:rPr>
                      <w:rFonts w:eastAsia="楷体_GB2312"/>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pPr>
                    <w:pStyle w:val="25"/>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pPr>
                    <w:pStyle w:val="25"/>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pPr>
                    <w:pStyle w:val="25"/>
                    <w:rPr>
                      <w:rFonts w:eastAsia="楷体_GB2312" w:cs="Calibri"/>
                      <w:w w:val="79"/>
                      <w:sz w:val="20"/>
                      <w:szCs w:val="20"/>
                    </w:rPr>
                  </w:pPr>
                  <w:r>
                    <w:rPr>
                      <w:rFonts w:eastAsia="楷体_GB2312" w:cs="Calibri"/>
                      <w:b/>
                      <w:w w:val="79"/>
                      <w:sz w:val="20"/>
                      <w:szCs w:val="20"/>
                    </w:rPr>
                    <w:t xml:space="preserve">Ratings Definitions (from 1 Jul 2020): </w:t>
                  </w:r>
                </w:p>
                <w:p>
                  <w:pPr>
                    <w:pStyle w:val="25"/>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25"/>
                    <w:rPr>
                      <w:rFonts w:eastAsia="楷体_GB2312" w:cs="Calibri"/>
                      <w:b/>
                      <w:w w:val="79"/>
                      <w:sz w:val="20"/>
                      <w:szCs w:val="20"/>
                    </w:rPr>
                  </w:pPr>
                  <w:r>
                    <w:rPr>
                      <w:rFonts w:eastAsia="楷体_GB2312" w:cs="Calibri"/>
                      <w:b/>
                      <w:w w:val="79"/>
                      <w:sz w:val="20"/>
                      <w:szCs w:val="20"/>
                    </w:rPr>
                    <w:t>Analyst Stock Ratings</w:t>
                  </w:r>
                </w:p>
                <w:p>
                  <w:pPr>
                    <w:pStyle w:val="25"/>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25"/>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25"/>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25"/>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spacing w:after="40"/>
                    <w:rPr>
                      <w:rFonts w:eastAsia="楷体_GB2312" w:cs="Calibri"/>
                      <w:b/>
                      <w:bCs/>
                      <w:w w:val="70"/>
                      <w:sz w:val="20"/>
                      <w:szCs w:val="20"/>
                    </w:rPr>
                  </w:pPr>
                  <w:r>
                    <w:rPr>
                      <w:rFonts w:eastAsia="楷体_GB2312" w:cs="Calibri"/>
                      <w:b/>
                      <w:bCs/>
                      <w:w w:val="70"/>
                      <w:sz w:val="20"/>
                      <w:szCs w:val="20"/>
                    </w:rPr>
                    <w:t>IMPORTANT DISCLAIMER</w:t>
                  </w:r>
                </w:p>
                <w:p>
                  <w:pPr>
                    <w:pStyle w:val="25"/>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25"/>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25"/>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25"/>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"http://www.equities.htisec.com" </w:instrText>
                  </w:r>
                  <w:r>
                    <w:fldChar w:fldCharType="separate"/>
                  </w:r>
                  <w:r>
                    <w:rPr>
                      <w:rStyle w:val="15"/>
                      <w:rFonts w:eastAsia="楷体_GB2312" w:cs="Calibri"/>
                      <w:w w:val="70"/>
                      <w:sz w:val="20"/>
                      <w:szCs w:val="20"/>
                    </w:rPr>
                    <w:t>www.</w:t>
                  </w:r>
                  <w:r>
                    <w:rPr>
                      <w:rStyle w:val="15"/>
                      <w:rFonts w:hint="eastAsia" w:eastAsia="楷体_GB2312" w:cs="Calibri"/>
                      <w:w w:val="70"/>
                      <w:sz w:val="20"/>
                      <w:szCs w:val="20"/>
                      <w:lang w:eastAsia="zh-CN"/>
                    </w:rPr>
                    <w:t>hfisec</w:t>
                  </w:r>
                  <w:r>
                    <w:rPr>
                      <w:rStyle w:val="15"/>
                      <w:rFonts w:eastAsia="楷体_GB2312" w:cs="Calibri"/>
                      <w:w w:val="70"/>
                      <w:sz w:val="20"/>
                      <w:szCs w:val="20"/>
                    </w:rPr>
                    <w:t>.com</w:t>
                  </w:r>
                  <w:r>
                    <w:rPr>
                      <w:rStyle w:val="15"/>
                      <w:rFonts w:eastAsia="楷体_GB2312" w:cs="Calibri"/>
                      <w:w w:val="70"/>
                      <w:sz w:val="20"/>
                      <w:szCs w:val="20"/>
                    </w:rPr>
                    <w:fldChar w:fldCharType="end"/>
                  </w:r>
                  <w:r>
                    <w:rPr>
                      <w:rStyle w:val="15"/>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25"/>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spacing w:after="40"/>
                    <w:rPr>
                      <w:rFonts w:eastAsia="楷体_GB2312" w:cs="Calibri"/>
                      <w:b/>
                      <w:bCs/>
                      <w:w w:val="70"/>
                      <w:sz w:val="20"/>
                      <w:szCs w:val="20"/>
                    </w:rPr>
                  </w:pPr>
                  <w:r>
                    <w:rPr>
                      <w:rFonts w:eastAsia="楷体_GB2312" w:cs="Calibri"/>
                      <w:b/>
                      <w:bCs/>
                      <w:w w:val="70"/>
                      <w:sz w:val="20"/>
                      <w:szCs w:val="20"/>
                    </w:rPr>
                    <w:t>DISTRIBUTION AND REGIONAL NOTICES</w:t>
                  </w:r>
                </w:p>
                <w:p>
                  <w:pPr>
                    <w:pStyle w:val="25"/>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25"/>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25"/>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25"/>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25"/>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pPr>
                    <w:pStyle w:val="25"/>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pPr>
                    <w:pStyle w:val="25"/>
                    <w:spacing w:after="60"/>
                    <w:rPr>
                      <w:rFonts w:eastAsia="楷体_GB2312" w:cs="Calibri"/>
                      <w:b/>
                      <w:w w:val="70"/>
                      <w:sz w:val="20"/>
                      <w:szCs w:val="20"/>
                      <w:lang w:eastAsia="zh-CN"/>
                    </w:rPr>
                  </w:pPr>
                </w:p>
              </w:tc>
            </w:tr>
          </w:tbl>
          <w:p>
            <w:pPr>
              <w:pStyle w:val="71"/>
              <w:rPr>
                <w:rFonts w:eastAsia="宋体"/>
                <w:sz w:val="16"/>
              </w:rPr>
            </w:pPr>
          </w:p>
          <w:p>
            <w:pPr>
              <w:rPr>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pPr>
              <w:pStyle w:val="25"/>
              <w:rPr>
                <w:rFonts w:eastAsia="楷体_GB2312"/>
                <w:b/>
                <w:w w:val="70"/>
                <w:sz w:val="20"/>
                <w:szCs w:val="20"/>
              </w:rPr>
            </w:pPr>
          </w:p>
          <w:tbl>
            <w:tblPr>
              <w:tblStyle w:val="12"/>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pPr>
                    <w:pStyle w:val="25"/>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pPr>
                    <w:pStyle w:val="25"/>
                    <w:rPr>
                      <w:rFonts w:eastAsia="楷体_GB2312"/>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9" w:type="dxa"/>
                </w:tcPr>
                <w:p>
                  <w:pPr>
                    <w:pStyle w:val="25"/>
                    <w:rPr>
                      <w:rFonts w:eastAsia="楷体_GB2312"/>
                      <w:b/>
                      <w:w w:val="70"/>
                      <w:sz w:val="20"/>
                      <w:szCs w:val="20"/>
                    </w:rPr>
                  </w:pPr>
                </w:p>
              </w:tc>
            </w:tr>
          </w:tbl>
          <w:p>
            <w:pPr>
              <w:pStyle w:val="71"/>
              <w:rPr>
                <w:rFonts w:eastAsia="宋体"/>
                <w:w w:val="70"/>
                <w:sz w:val="20"/>
                <w:szCs w:val="20"/>
              </w:rPr>
            </w:pPr>
          </w:p>
          <w:p>
            <w:pPr>
              <w:pStyle w:val="71"/>
              <w:rPr>
                <w:rFonts w:eastAsia="楷体_GB2312"/>
              </w:rPr>
            </w:pPr>
          </w:p>
        </w:tc>
      </w:tr>
    </w:tbl>
    <w:p>
      <w:pPr>
        <w:pStyle w:val="71"/>
        <w:rPr>
          <w:rFonts w:eastAsia="宋体"/>
          <w:sz w:val="20"/>
          <w:szCs w:val="20"/>
        </w:rPr>
      </w:pPr>
    </w:p>
    <w:sectPr>
      <w:headerReference r:id="rId8" w:type="first"/>
      <w:footerReference r:id="rId10" w:type="first"/>
      <w:headerReference r:id="rId7" w:type="default"/>
      <w:footerReference r:id="rId9"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汉仪大黑简">
    <w:altName w:val="微软雅黑"/>
    <w:panose1 w:val="00000000000000000000"/>
    <w:charset w:val="86"/>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142"/>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pPr>
                                  <w:pStyle w:val="142"/>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142"/>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142"/>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pPr>
                            <w:pStyle w:val="142"/>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142"/>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30"/>
            <w:framePr w:wrap="auto" w:vAnchor="margin" w:hAnchor="text" w:xAlign="left" w:yAlign="inline"/>
          </w:pPr>
          <w:r>
            <w:fldChar w:fldCharType="begin"/>
          </w:r>
          <w:r>
            <w:instrText xml:space="preserve"> DATE  \@ "d MMM yyyy"  \* MERGEFORMAT </w:instrText>
          </w:r>
          <w:r>
            <w:fldChar w:fldCharType="separate"/>
          </w:r>
          <w:r>
            <w:t>30 Jan 2026</w:t>
          </w:r>
          <w:r>
            <w:fldChar w:fldCharType="end"/>
          </w:r>
          <w:r>
            <w:tab/>
          </w:r>
          <w:r>
            <w:fldChar w:fldCharType="begin"/>
          </w:r>
          <w:r>
            <w:instrText xml:space="preserve"> PAGE </w:instrText>
          </w:r>
          <w:r>
            <w:fldChar w:fldCharType="separate"/>
          </w:r>
          <w:r>
            <w:t>2</w:t>
          </w:r>
          <w:r>
            <w:fldChar w:fldCharType="end"/>
          </w:r>
        </w:p>
      </w:tc>
    </w:tr>
  </w:tbl>
  <w:p>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pPr>
            <w:pStyle w:val="30"/>
            <w:framePr w:wrap="auto" w:vAnchor="margin" w:hAnchor="text" w:xAlign="left" w:yAlign="inline"/>
          </w:pPr>
          <w:r>
            <w:tab/>
          </w:r>
          <w:r>
            <w:fldChar w:fldCharType="begin"/>
          </w:r>
          <w:r>
            <w:instrText xml:space="preserve"> PAGE </w:instrText>
          </w:r>
          <w:r>
            <w:fldChar w:fldCharType="separate"/>
          </w:r>
          <w:r>
            <w:t>8</w:t>
          </w:r>
          <w:r>
            <w:fldChar w:fldCharType="end"/>
          </w:r>
        </w:p>
      </w:tc>
    </w:tr>
  </w:tbl>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98314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866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pPr>
                                  <w:rPr>
                                    <w:color w:val="23558C"/>
                                    <w:sz w:val="20"/>
                                    <w:szCs w:val="20"/>
                                  </w:rPr>
                                </w:pPr>
                                <w:r>
                                  <w:rPr>
                                    <w:rFonts w:hint="eastAsia" w:eastAsia="楷体_GB2312"/>
                                    <w:color w:val="23558C"/>
                                    <w:sz w:val="20"/>
                                    <w:szCs w:val="20"/>
                                    <w:lang w:eastAsia="zh-CN"/>
                                  </w:rPr>
                                  <w:t>Investment Focus</w:t>
                                </w:r>
                              </w:p>
                            </w:tc>
                          </w:tr>
                        </w:tbl>
                        <w:p>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pPr>
                            <w:rPr>
                              <w:color w:val="23558C"/>
                              <w:sz w:val="20"/>
                              <w:szCs w:val="20"/>
                            </w:rPr>
                          </w:pPr>
                          <w:r>
                            <w:rPr>
                              <w:rFonts w:hint="eastAsia" w:eastAsia="楷体_GB2312"/>
                              <w:color w:val="23558C"/>
                              <w:sz w:val="20"/>
                              <w:szCs w:val="20"/>
                              <w:lang w:eastAsia="zh-CN"/>
                            </w:rPr>
                            <w:t>Investment Focus</w:t>
                          </w:r>
                        </w:p>
                      </w:tc>
                    </w:tr>
                  </w:tbl>
                  <w:p>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1463425174" name="图片 146342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5174" name="图片 1463425174"/>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pPr>
                            <w:pStyle w:val="21"/>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pPr>
                      <w:pStyle w:val="21"/>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pPr>
            <w:pStyle w:val="21"/>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pPr>
            <w:pStyle w:val="21"/>
            <w:jc w:val="right"/>
            <w:rPr>
              <w:rStyle w:val="63"/>
              <w:rFonts w:eastAsia="楷体_GB2312"/>
              <w:color w:val="005BA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pPr>
            <w:pStyle w:val="21"/>
            <w:rPr>
              <w:rFonts w:eastAsia="楷体_GB2312" w:cs="Calibri"/>
              <w:color w:val="005BAC"/>
              <w:sz w:val="24"/>
              <w:szCs w:val="24"/>
              <w:lang w:eastAsia="zh-CN"/>
            </w:rPr>
          </w:pPr>
          <w:r>
            <w:rPr>
              <w:rFonts w:eastAsia="楷体_GB2312"/>
              <w:b/>
              <w:color w:val="215E99"/>
              <w:sz w:val="24"/>
            </w:rPr>
            <w:t xml:space="preserve"> </w:t>
          </w:r>
          <w:r>
            <w:rPr>
              <w:rFonts w:hint="eastAsia" w:eastAsia="楷体_GB2312"/>
              <w:b/>
              <w:color w:val="215E99"/>
              <w:sz w:val="24"/>
              <w:lang w:eastAsia="zh-CN"/>
            </w:rPr>
            <w:t xml:space="preserve">Howmet Aerospace </w:t>
          </w:r>
          <w:r>
            <w:rPr>
              <w:rFonts w:eastAsia="楷体_GB2312"/>
              <w:b/>
              <w:color w:val="215E99"/>
              <w:sz w:val="24"/>
            </w:rPr>
            <w:t>(</w:t>
          </w:r>
          <w:r>
            <w:rPr>
              <w:rFonts w:hint="eastAsia" w:eastAsia="楷体_GB2312"/>
              <w:b/>
              <w:color w:val="215E99"/>
              <w:sz w:val="24"/>
              <w:lang w:eastAsia="zh-CN"/>
            </w:rPr>
            <w:t>HWM US</w:t>
          </w:r>
          <w:r>
            <w:rPr>
              <w:rFonts w:eastAsia="楷体_GB2312"/>
              <w:b/>
              <w:color w:val="215E99"/>
              <w:sz w:val="24"/>
            </w:rPr>
            <w:t>)</w:t>
          </w:r>
        </w:p>
      </w:tc>
      <w:tc>
        <w:tcPr>
          <w:tcW w:w="4308" w:type="dxa"/>
          <w:tcBorders>
            <w:top w:val="nil"/>
          </w:tcBorders>
          <w:vAlign w:val="center"/>
        </w:tcPr>
        <w:p>
          <w:pPr>
            <w:pStyle w:val="21"/>
            <w:wordWrap w:val="0"/>
            <w:jc w:val="right"/>
            <w:rPr>
              <w:rStyle w:val="63"/>
              <w:rFonts w:eastAsia="楷体_GB2312" w:cs="Calibri"/>
              <w:color w:val="005BAC"/>
              <w:sz w:val="24"/>
              <w:lang w:eastAsia="zh-CN"/>
            </w:rPr>
          </w:pPr>
          <w:r>
            <w:rPr>
              <w:rFonts w:eastAsia="楷体_GB2312"/>
              <w:b/>
              <w:color w:val="215E99"/>
              <w:sz w:val="24"/>
            </w:rPr>
            <w:t>Initiate with OUTPERFORM</w:t>
          </w:r>
        </w:p>
      </w:tc>
    </w:tr>
  </w:tbl>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line="360" w:lineRule="auto"/>
    </w:pPr>
  </w:p>
  <w:p>
    <w:pPr>
      <w:pStyle w:val="2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7"/>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5C429E8"/>
    <w:multiLevelType w:val="multilevel"/>
    <w:tmpl w:val="15C429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461989"/>
    <w:multiLevelType w:val="multilevel"/>
    <w:tmpl w:val="29461989"/>
    <w:lvl w:ilvl="0" w:tentative="0">
      <w:start w:val="1"/>
      <w:numFmt w:val="bullet"/>
      <w:lvlText w:val="•"/>
      <w:lvlJc w:val="left"/>
      <w:pPr>
        <w:ind w:left="360" w:hanging="360"/>
      </w:pPr>
      <w:rPr>
        <w:rFonts w:hint="eastAsia" w:ascii="宋体" w:hAnsi="宋体" w:eastAsia="宋体" w:cs="Calibri"/>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331A2D25"/>
    <w:multiLevelType w:val="multilevel"/>
    <w:tmpl w:val="331A2D25"/>
    <w:lvl w:ilvl="0" w:tentative="0">
      <w:start w:val="1"/>
      <w:numFmt w:val="bullet"/>
      <w:pStyle w:val="56"/>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BBF48C1"/>
    <w:multiLevelType w:val="multilevel"/>
    <w:tmpl w:val="3BBF48C1"/>
    <w:lvl w:ilvl="0" w:tentative="0">
      <w:start w:val="1"/>
      <w:numFmt w:val="bullet"/>
      <w:pStyle w:val="10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1772804"/>
    <w:multiLevelType w:val="multilevel"/>
    <w:tmpl w:val="41772804"/>
    <w:lvl w:ilvl="0" w:tentative="0">
      <w:start w:val="1"/>
      <w:numFmt w:val="bullet"/>
      <w:pStyle w:val="55"/>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9321DC"/>
    <w:multiLevelType w:val="multilevel"/>
    <w:tmpl w:val="479321DC"/>
    <w:lvl w:ilvl="0" w:tentative="0">
      <w:start w:val="1"/>
      <w:numFmt w:val="bullet"/>
      <w:pStyle w:val="18"/>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4CF43BB"/>
    <w:multiLevelType w:val="multilevel"/>
    <w:tmpl w:val="54CF43BB"/>
    <w:lvl w:ilvl="0" w:tentative="0">
      <w:start w:val="1"/>
      <w:numFmt w:val="decimal"/>
      <w:pStyle w:val="149"/>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662B5102"/>
    <w:multiLevelType w:val="multilevel"/>
    <w:tmpl w:val="662B5102"/>
    <w:lvl w:ilvl="0" w:tentative="0">
      <w:start w:val="1"/>
      <w:numFmt w:val="bullet"/>
      <w:pStyle w:val="87"/>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C4E34EC"/>
    <w:multiLevelType w:val="multilevel"/>
    <w:tmpl w:val="6C4E34EC"/>
    <w:lvl w:ilvl="0" w:tentative="0">
      <w:start w:val="1"/>
      <w:numFmt w:val="bullet"/>
      <w:pStyle w:val="54"/>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0"/>
  </w:num>
  <w:num w:numId="3">
    <w:abstractNumId w:val="9"/>
  </w:num>
  <w:num w:numId="4">
    <w:abstractNumId w:val="5"/>
  </w:num>
  <w:num w:numId="5">
    <w:abstractNumId w:val="3"/>
  </w:num>
  <w:num w:numId="6">
    <w:abstractNumId w:val="8"/>
  </w:num>
  <w:num w:numId="7">
    <w:abstractNumId w:val="4"/>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07EDF"/>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C01"/>
    <w:rsid w:val="00026DCC"/>
    <w:rsid w:val="00027183"/>
    <w:rsid w:val="00027FEF"/>
    <w:rsid w:val="00030C21"/>
    <w:rsid w:val="00032B31"/>
    <w:rsid w:val="00033DF7"/>
    <w:rsid w:val="000347D5"/>
    <w:rsid w:val="00035535"/>
    <w:rsid w:val="00035E45"/>
    <w:rsid w:val="0003686B"/>
    <w:rsid w:val="00041A6F"/>
    <w:rsid w:val="0004268A"/>
    <w:rsid w:val="0004283E"/>
    <w:rsid w:val="00043062"/>
    <w:rsid w:val="000434F0"/>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90D"/>
    <w:rsid w:val="000A2C9D"/>
    <w:rsid w:val="000A30E9"/>
    <w:rsid w:val="000A461B"/>
    <w:rsid w:val="000A52C2"/>
    <w:rsid w:val="000A5615"/>
    <w:rsid w:val="000A6794"/>
    <w:rsid w:val="000A6EAE"/>
    <w:rsid w:val="000A6FBA"/>
    <w:rsid w:val="000A7E66"/>
    <w:rsid w:val="000A7FB2"/>
    <w:rsid w:val="000B13C1"/>
    <w:rsid w:val="000B18D6"/>
    <w:rsid w:val="000B2336"/>
    <w:rsid w:val="000B465C"/>
    <w:rsid w:val="000B5622"/>
    <w:rsid w:val="000B6286"/>
    <w:rsid w:val="000B7DE2"/>
    <w:rsid w:val="000C02F6"/>
    <w:rsid w:val="000C0B86"/>
    <w:rsid w:val="000C1F65"/>
    <w:rsid w:val="000C2E9E"/>
    <w:rsid w:val="000C3D03"/>
    <w:rsid w:val="000C627B"/>
    <w:rsid w:val="000C6614"/>
    <w:rsid w:val="000C7E1A"/>
    <w:rsid w:val="000C7F0A"/>
    <w:rsid w:val="000D158C"/>
    <w:rsid w:val="000D1903"/>
    <w:rsid w:val="000D19B0"/>
    <w:rsid w:val="000D1A3C"/>
    <w:rsid w:val="000D2D34"/>
    <w:rsid w:val="000D576C"/>
    <w:rsid w:val="000D61EA"/>
    <w:rsid w:val="000E023E"/>
    <w:rsid w:val="000E0F3D"/>
    <w:rsid w:val="000E1100"/>
    <w:rsid w:val="000E1524"/>
    <w:rsid w:val="000E1A93"/>
    <w:rsid w:val="000E1FB8"/>
    <w:rsid w:val="000E2815"/>
    <w:rsid w:val="000E35E3"/>
    <w:rsid w:val="000E38B5"/>
    <w:rsid w:val="000E3BD4"/>
    <w:rsid w:val="000E3E8B"/>
    <w:rsid w:val="000E4F8C"/>
    <w:rsid w:val="000E5287"/>
    <w:rsid w:val="000E5D6F"/>
    <w:rsid w:val="000E664D"/>
    <w:rsid w:val="000E6DD9"/>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5FAA"/>
    <w:rsid w:val="000F6139"/>
    <w:rsid w:val="000F626D"/>
    <w:rsid w:val="000F6300"/>
    <w:rsid w:val="000F6823"/>
    <w:rsid w:val="00103CDB"/>
    <w:rsid w:val="00105436"/>
    <w:rsid w:val="001059C9"/>
    <w:rsid w:val="0010656E"/>
    <w:rsid w:val="00106DF2"/>
    <w:rsid w:val="00110FF3"/>
    <w:rsid w:val="0011166A"/>
    <w:rsid w:val="00111A80"/>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005"/>
    <w:rsid w:val="00135A41"/>
    <w:rsid w:val="00136803"/>
    <w:rsid w:val="00137678"/>
    <w:rsid w:val="00140D27"/>
    <w:rsid w:val="00140E2E"/>
    <w:rsid w:val="00143223"/>
    <w:rsid w:val="001439C1"/>
    <w:rsid w:val="00144144"/>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6EE"/>
    <w:rsid w:val="00157949"/>
    <w:rsid w:val="00157B99"/>
    <w:rsid w:val="00160B12"/>
    <w:rsid w:val="00161F35"/>
    <w:rsid w:val="001629C1"/>
    <w:rsid w:val="00163CC3"/>
    <w:rsid w:val="00163E16"/>
    <w:rsid w:val="00164CA4"/>
    <w:rsid w:val="00165926"/>
    <w:rsid w:val="00165FE3"/>
    <w:rsid w:val="00166770"/>
    <w:rsid w:val="00166D8C"/>
    <w:rsid w:val="00166E15"/>
    <w:rsid w:val="00167695"/>
    <w:rsid w:val="00167C6C"/>
    <w:rsid w:val="0017020F"/>
    <w:rsid w:val="00170455"/>
    <w:rsid w:val="00170631"/>
    <w:rsid w:val="00170DCB"/>
    <w:rsid w:val="00171BCA"/>
    <w:rsid w:val="001721EC"/>
    <w:rsid w:val="00173824"/>
    <w:rsid w:val="00174667"/>
    <w:rsid w:val="00175F0D"/>
    <w:rsid w:val="001763B0"/>
    <w:rsid w:val="0017673B"/>
    <w:rsid w:val="0017675F"/>
    <w:rsid w:val="001771D0"/>
    <w:rsid w:val="00177FA4"/>
    <w:rsid w:val="00181893"/>
    <w:rsid w:val="00183D67"/>
    <w:rsid w:val="001851F4"/>
    <w:rsid w:val="0018583D"/>
    <w:rsid w:val="00185B06"/>
    <w:rsid w:val="00186D51"/>
    <w:rsid w:val="001872F4"/>
    <w:rsid w:val="001875FC"/>
    <w:rsid w:val="0019111C"/>
    <w:rsid w:val="001922CB"/>
    <w:rsid w:val="0019383A"/>
    <w:rsid w:val="00194662"/>
    <w:rsid w:val="00195043"/>
    <w:rsid w:val="00195A3F"/>
    <w:rsid w:val="00195C32"/>
    <w:rsid w:val="00196E74"/>
    <w:rsid w:val="00197CAF"/>
    <w:rsid w:val="001A0B14"/>
    <w:rsid w:val="001A3226"/>
    <w:rsid w:val="001A3692"/>
    <w:rsid w:val="001A4F63"/>
    <w:rsid w:val="001A563D"/>
    <w:rsid w:val="001A571E"/>
    <w:rsid w:val="001A6C17"/>
    <w:rsid w:val="001A6DCA"/>
    <w:rsid w:val="001A7AE5"/>
    <w:rsid w:val="001B02EC"/>
    <w:rsid w:val="001B0473"/>
    <w:rsid w:val="001B07E9"/>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3306"/>
    <w:rsid w:val="001E4A0A"/>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019"/>
    <w:rsid w:val="001F75AC"/>
    <w:rsid w:val="001F78F7"/>
    <w:rsid w:val="00200B71"/>
    <w:rsid w:val="00201113"/>
    <w:rsid w:val="00201316"/>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4D2"/>
    <w:rsid w:val="0023779B"/>
    <w:rsid w:val="00237F4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408"/>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28F4"/>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87D10"/>
    <w:rsid w:val="0029111D"/>
    <w:rsid w:val="00293C73"/>
    <w:rsid w:val="00293E45"/>
    <w:rsid w:val="0029503A"/>
    <w:rsid w:val="00295407"/>
    <w:rsid w:val="002964B0"/>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609"/>
    <w:rsid w:val="002B0BE1"/>
    <w:rsid w:val="002B15B5"/>
    <w:rsid w:val="002B1747"/>
    <w:rsid w:val="002B1CC9"/>
    <w:rsid w:val="002B2987"/>
    <w:rsid w:val="002B2C18"/>
    <w:rsid w:val="002B2C5C"/>
    <w:rsid w:val="002B4AC7"/>
    <w:rsid w:val="002B516B"/>
    <w:rsid w:val="002B6571"/>
    <w:rsid w:val="002B68AF"/>
    <w:rsid w:val="002B6F7F"/>
    <w:rsid w:val="002B7296"/>
    <w:rsid w:val="002B7E93"/>
    <w:rsid w:val="002C07D1"/>
    <w:rsid w:val="002C0CCE"/>
    <w:rsid w:val="002C1857"/>
    <w:rsid w:val="002C1C8D"/>
    <w:rsid w:val="002C2D27"/>
    <w:rsid w:val="002C3E56"/>
    <w:rsid w:val="002C51E2"/>
    <w:rsid w:val="002C5660"/>
    <w:rsid w:val="002C5BFC"/>
    <w:rsid w:val="002C609E"/>
    <w:rsid w:val="002C6476"/>
    <w:rsid w:val="002C68FB"/>
    <w:rsid w:val="002C6FAE"/>
    <w:rsid w:val="002C7902"/>
    <w:rsid w:val="002C7CC5"/>
    <w:rsid w:val="002D1C70"/>
    <w:rsid w:val="002D3512"/>
    <w:rsid w:val="002D3D8A"/>
    <w:rsid w:val="002D524C"/>
    <w:rsid w:val="002D72BF"/>
    <w:rsid w:val="002D7C1D"/>
    <w:rsid w:val="002D7CB8"/>
    <w:rsid w:val="002E3522"/>
    <w:rsid w:val="002E3842"/>
    <w:rsid w:val="002E400B"/>
    <w:rsid w:val="002E4281"/>
    <w:rsid w:val="002E5175"/>
    <w:rsid w:val="002E6900"/>
    <w:rsid w:val="002F00B0"/>
    <w:rsid w:val="002F00E8"/>
    <w:rsid w:val="002F09F8"/>
    <w:rsid w:val="002F0EEC"/>
    <w:rsid w:val="002F113C"/>
    <w:rsid w:val="002F1C9A"/>
    <w:rsid w:val="002F3F48"/>
    <w:rsid w:val="002F437F"/>
    <w:rsid w:val="002F445A"/>
    <w:rsid w:val="002F65E1"/>
    <w:rsid w:val="002F79B1"/>
    <w:rsid w:val="00301355"/>
    <w:rsid w:val="003015C5"/>
    <w:rsid w:val="00302D61"/>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40A"/>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698"/>
    <w:rsid w:val="00331A3F"/>
    <w:rsid w:val="00332B39"/>
    <w:rsid w:val="00333D24"/>
    <w:rsid w:val="003353E1"/>
    <w:rsid w:val="00336395"/>
    <w:rsid w:val="003366F9"/>
    <w:rsid w:val="0033757D"/>
    <w:rsid w:val="0033776A"/>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1736"/>
    <w:rsid w:val="003620E0"/>
    <w:rsid w:val="00363BD9"/>
    <w:rsid w:val="00364464"/>
    <w:rsid w:val="00364B54"/>
    <w:rsid w:val="00365E9C"/>
    <w:rsid w:val="00366310"/>
    <w:rsid w:val="00366ED6"/>
    <w:rsid w:val="0036739C"/>
    <w:rsid w:val="003677DE"/>
    <w:rsid w:val="003722C0"/>
    <w:rsid w:val="0037232D"/>
    <w:rsid w:val="003729F7"/>
    <w:rsid w:val="00372B4C"/>
    <w:rsid w:val="00373938"/>
    <w:rsid w:val="00373BBC"/>
    <w:rsid w:val="00374255"/>
    <w:rsid w:val="003742A7"/>
    <w:rsid w:val="003747D4"/>
    <w:rsid w:val="003756C1"/>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422"/>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A7F29"/>
    <w:rsid w:val="003B2E59"/>
    <w:rsid w:val="003B3DFE"/>
    <w:rsid w:val="003B3E37"/>
    <w:rsid w:val="003B3E41"/>
    <w:rsid w:val="003B411E"/>
    <w:rsid w:val="003B509D"/>
    <w:rsid w:val="003B53AD"/>
    <w:rsid w:val="003B5E82"/>
    <w:rsid w:val="003B69AF"/>
    <w:rsid w:val="003B7A01"/>
    <w:rsid w:val="003C0B2E"/>
    <w:rsid w:val="003C0CEC"/>
    <w:rsid w:val="003C272F"/>
    <w:rsid w:val="003C29FA"/>
    <w:rsid w:val="003C2B67"/>
    <w:rsid w:val="003C3701"/>
    <w:rsid w:val="003C3ED1"/>
    <w:rsid w:val="003C630B"/>
    <w:rsid w:val="003C635C"/>
    <w:rsid w:val="003D0442"/>
    <w:rsid w:val="003D2049"/>
    <w:rsid w:val="003D220D"/>
    <w:rsid w:val="003D2FBC"/>
    <w:rsid w:val="003D4C53"/>
    <w:rsid w:val="003D52C0"/>
    <w:rsid w:val="003D5B68"/>
    <w:rsid w:val="003D60E8"/>
    <w:rsid w:val="003D745E"/>
    <w:rsid w:val="003D7604"/>
    <w:rsid w:val="003E0642"/>
    <w:rsid w:val="003E095A"/>
    <w:rsid w:val="003E1544"/>
    <w:rsid w:val="003E1742"/>
    <w:rsid w:val="003E1947"/>
    <w:rsid w:val="003E20CC"/>
    <w:rsid w:val="003E20CF"/>
    <w:rsid w:val="003E36AF"/>
    <w:rsid w:val="003E4225"/>
    <w:rsid w:val="003E46AE"/>
    <w:rsid w:val="003E6A30"/>
    <w:rsid w:val="003F0B9B"/>
    <w:rsid w:val="003F1C5D"/>
    <w:rsid w:val="003F1D67"/>
    <w:rsid w:val="003F3133"/>
    <w:rsid w:val="003F3890"/>
    <w:rsid w:val="003F3B50"/>
    <w:rsid w:val="003F3D61"/>
    <w:rsid w:val="003F471A"/>
    <w:rsid w:val="003F53D2"/>
    <w:rsid w:val="003F56D5"/>
    <w:rsid w:val="003F6324"/>
    <w:rsid w:val="003F6BA1"/>
    <w:rsid w:val="003F7730"/>
    <w:rsid w:val="00401985"/>
    <w:rsid w:val="00401B4F"/>
    <w:rsid w:val="00402599"/>
    <w:rsid w:val="00402B6F"/>
    <w:rsid w:val="00402DAC"/>
    <w:rsid w:val="00403664"/>
    <w:rsid w:val="004040BC"/>
    <w:rsid w:val="00406080"/>
    <w:rsid w:val="00406E4E"/>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1C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57B74"/>
    <w:rsid w:val="004614F7"/>
    <w:rsid w:val="004625C9"/>
    <w:rsid w:val="00463078"/>
    <w:rsid w:val="0046407C"/>
    <w:rsid w:val="0046476B"/>
    <w:rsid w:val="00466070"/>
    <w:rsid w:val="00466A33"/>
    <w:rsid w:val="00467369"/>
    <w:rsid w:val="004675DB"/>
    <w:rsid w:val="00471878"/>
    <w:rsid w:val="00471D17"/>
    <w:rsid w:val="00473208"/>
    <w:rsid w:val="00473674"/>
    <w:rsid w:val="00473EEA"/>
    <w:rsid w:val="00475951"/>
    <w:rsid w:val="00477B76"/>
    <w:rsid w:val="0048066D"/>
    <w:rsid w:val="00480CEB"/>
    <w:rsid w:val="00480F4A"/>
    <w:rsid w:val="00482A55"/>
    <w:rsid w:val="00482B8A"/>
    <w:rsid w:val="004852CC"/>
    <w:rsid w:val="004858DE"/>
    <w:rsid w:val="0048645A"/>
    <w:rsid w:val="00486709"/>
    <w:rsid w:val="004868B3"/>
    <w:rsid w:val="00487835"/>
    <w:rsid w:val="00487D32"/>
    <w:rsid w:val="00490C1E"/>
    <w:rsid w:val="00490D07"/>
    <w:rsid w:val="004917E9"/>
    <w:rsid w:val="00491C58"/>
    <w:rsid w:val="004921D5"/>
    <w:rsid w:val="00492629"/>
    <w:rsid w:val="004926F7"/>
    <w:rsid w:val="00492B91"/>
    <w:rsid w:val="00493114"/>
    <w:rsid w:val="00493140"/>
    <w:rsid w:val="00493228"/>
    <w:rsid w:val="00493ED4"/>
    <w:rsid w:val="00494369"/>
    <w:rsid w:val="0049470D"/>
    <w:rsid w:val="004957E9"/>
    <w:rsid w:val="00495A6D"/>
    <w:rsid w:val="00495C80"/>
    <w:rsid w:val="00496684"/>
    <w:rsid w:val="00496F1D"/>
    <w:rsid w:val="004A0B3E"/>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3448"/>
    <w:rsid w:val="004B3FC5"/>
    <w:rsid w:val="004B4042"/>
    <w:rsid w:val="004B4238"/>
    <w:rsid w:val="004B7511"/>
    <w:rsid w:val="004C086D"/>
    <w:rsid w:val="004C0B5E"/>
    <w:rsid w:val="004C349E"/>
    <w:rsid w:val="004C3FF4"/>
    <w:rsid w:val="004C4436"/>
    <w:rsid w:val="004C4A9C"/>
    <w:rsid w:val="004C557F"/>
    <w:rsid w:val="004C581E"/>
    <w:rsid w:val="004C58D9"/>
    <w:rsid w:val="004C6485"/>
    <w:rsid w:val="004C6B74"/>
    <w:rsid w:val="004C6ECB"/>
    <w:rsid w:val="004C719C"/>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BC8"/>
    <w:rsid w:val="004E6DFD"/>
    <w:rsid w:val="004E75C0"/>
    <w:rsid w:val="004F01A1"/>
    <w:rsid w:val="004F045F"/>
    <w:rsid w:val="004F0C7B"/>
    <w:rsid w:val="004F10EF"/>
    <w:rsid w:val="004F1FD5"/>
    <w:rsid w:val="004F240C"/>
    <w:rsid w:val="004F2A14"/>
    <w:rsid w:val="004F2C3F"/>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07E3C"/>
    <w:rsid w:val="00510770"/>
    <w:rsid w:val="005121D1"/>
    <w:rsid w:val="00512B60"/>
    <w:rsid w:val="00514459"/>
    <w:rsid w:val="005162B9"/>
    <w:rsid w:val="00516335"/>
    <w:rsid w:val="00516B61"/>
    <w:rsid w:val="0051783A"/>
    <w:rsid w:val="00520C2A"/>
    <w:rsid w:val="0052229B"/>
    <w:rsid w:val="0052242F"/>
    <w:rsid w:val="005232E3"/>
    <w:rsid w:val="00526CF6"/>
    <w:rsid w:val="005278BB"/>
    <w:rsid w:val="00530EA3"/>
    <w:rsid w:val="005322A6"/>
    <w:rsid w:val="0053303A"/>
    <w:rsid w:val="00533A32"/>
    <w:rsid w:val="005345BE"/>
    <w:rsid w:val="00534B5F"/>
    <w:rsid w:val="00535196"/>
    <w:rsid w:val="005353F3"/>
    <w:rsid w:val="00535833"/>
    <w:rsid w:val="00535B57"/>
    <w:rsid w:val="00535FC6"/>
    <w:rsid w:val="00536353"/>
    <w:rsid w:val="005368CB"/>
    <w:rsid w:val="00537C21"/>
    <w:rsid w:val="00540A1F"/>
    <w:rsid w:val="00540E1E"/>
    <w:rsid w:val="00541053"/>
    <w:rsid w:val="005411C7"/>
    <w:rsid w:val="00541FF6"/>
    <w:rsid w:val="005422D2"/>
    <w:rsid w:val="005423EE"/>
    <w:rsid w:val="00543926"/>
    <w:rsid w:val="00543C68"/>
    <w:rsid w:val="00543D0D"/>
    <w:rsid w:val="00544B2A"/>
    <w:rsid w:val="00545CAF"/>
    <w:rsid w:val="00546EDD"/>
    <w:rsid w:val="00547212"/>
    <w:rsid w:val="00550FBD"/>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6970"/>
    <w:rsid w:val="0055727A"/>
    <w:rsid w:val="0055730F"/>
    <w:rsid w:val="00557459"/>
    <w:rsid w:val="00560063"/>
    <w:rsid w:val="005600C6"/>
    <w:rsid w:val="00560847"/>
    <w:rsid w:val="00560D70"/>
    <w:rsid w:val="00561FC9"/>
    <w:rsid w:val="005625E4"/>
    <w:rsid w:val="00562E67"/>
    <w:rsid w:val="005631DD"/>
    <w:rsid w:val="0056356D"/>
    <w:rsid w:val="00564933"/>
    <w:rsid w:val="005654CF"/>
    <w:rsid w:val="00565B41"/>
    <w:rsid w:val="005702AC"/>
    <w:rsid w:val="005706CD"/>
    <w:rsid w:val="00570B4D"/>
    <w:rsid w:val="00570D9C"/>
    <w:rsid w:val="00570E72"/>
    <w:rsid w:val="00570EC0"/>
    <w:rsid w:val="00571987"/>
    <w:rsid w:val="0057574C"/>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87F8E"/>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A7B14"/>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92"/>
    <w:rsid w:val="005C18C3"/>
    <w:rsid w:val="005C1CF1"/>
    <w:rsid w:val="005C274F"/>
    <w:rsid w:val="005C31A9"/>
    <w:rsid w:val="005C61D7"/>
    <w:rsid w:val="005C6F27"/>
    <w:rsid w:val="005D03EA"/>
    <w:rsid w:val="005D1D7B"/>
    <w:rsid w:val="005D222E"/>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5F51"/>
    <w:rsid w:val="005E665B"/>
    <w:rsid w:val="005E699B"/>
    <w:rsid w:val="005F07C7"/>
    <w:rsid w:val="005F115F"/>
    <w:rsid w:val="005F1C13"/>
    <w:rsid w:val="005F1EE6"/>
    <w:rsid w:val="005F2D24"/>
    <w:rsid w:val="005F2F76"/>
    <w:rsid w:val="005F388B"/>
    <w:rsid w:val="005F39C6"/>
    <w:rsid w:val="005F3BA0"/>
    <w:rsid w:val="005F3D02"/>
    <w:rsid w:val="005F4C10"/>
    <w:rsid w:val="005F4F7D"/>
    <w:rsid w:val="005F5414"/>
    <w:rsid w:val="005F59A7"/>
    <w:rsid w:val="005F5CBE"/>
    <w:rsid w:val="005F6E18"/>
    <w:rsid w:val="005F6E38"/>
    <w:rsid w:val="005F772D"/>
    <w:rsid w:val="005F7FAB"/>
    <w:rsid w:val="0060090A"/>
    <w:rsid w:val="00600D92"/>
    <w:rsid w:val="00600DB7"/>
    <w:rsid w:val="00601AF0"/>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17F3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34A1"/>
    <w:rsid w:val="00634861"/>
    <w:rsid w:val="00634A29"/>
    <w:rsid w:val="00634D33"/>
    <w:rsid w:val="00635858"/>
    <w:rsid w:val="00635C8B"/>
    <w:rsid w:val="00636FAA"/>
    <w:rsid w:val="0063744B"/>
    <w:rsid w:val="00637601"/>
    <w:rsid w:val="00637824"/>
    <w:rsid w:val="00637B27"/>
    <w:rsid w:val="00640134"/>
    <w:rsid w:val="006407E5"/>
    <w:rsid w:val="00640F23"/>
    <w:rsid w:val="006418CC"/>
    <w:rsid w:val="00641930"/>
    <w:rsid w:val="00641D04"/>
    <w:rsid w:val="00643363"/>
    <w:rsid w:val="00643514"/>
    <w:rsid w:val="006459A5"/>
    <w:rsid w:val="00646BA7"/>
    <w:rsid w:val="00647178"/>
    <w:rsid w:val="00647698"/>
    <w:rsid w:val="0065015C"/>
    <w:rsid w:val="006510CB"/>
    <w:rsid w:val="00651357"/>
    <w:rsid w:val="006525C9"/>
    <w:rsid w:val="0065371E"/>
    <w:rsid w:val="0065456B"/>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0986"/>
    <w:rsid w:val="00671B9B"/>
    <w:rsid w:val="006726FB"/>
    <w:rsid w:val="00672D5A"/>
    <w:rsid w:val="00673EA7"/>
    <w:rsid w:val="00674CFB"/>
    <w:rsid w:val="006752CF"/>
    <w:rsid w:val="00675993"/>
    <w:rsid w:val="00675C8D"/>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1018"/>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774"/>
    <w:rsid w:val="006B59B3"/>
    <w:rsid w:val="006B5B89"/>
    <w:rsid w:val="006B5F1F"/>
    <w:rsid w:val="006B62B1"/>
    <w:rsid w:val="006B72FC"/>
    <w:rsid w:val="006B797F"/>
    <w:rsid w:val="006C09B8"/>
    <w:rsid w:val="006C0D83"/>
    <w:rsid w:val="006C1052"/>
    <w:rsid w:val="006C2CCC"/>
    <w:rsid w:val="006C319B"/>
    <w:rsid w:val="006C34CB"/>
    <w:rsid w:val="006C3670"/>
    <w:rsid w:val="006C4687"/>
    <w:rsid w:val="006C478B"/>
    <w:rsid w:val="006C5B59"/>
    <w:rsid w:val="006C5C78"/>
    <w:rsid w:val="006C61E6"/>
    <w:rsid w:val="006C7548"/>
    <w:rsid w:val="006C7F7F"/>
    <w:rsid w:val="006D14C1"/>
    <w:rsid w:val="006D14EC"/>
    <w:rsid w:val="006D1E8A"/>
    <w:rsid w:val="006D2A1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1440"/>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D93"/>
    <w:rsid w:val="006F7F16"/>
    <w:rsid w:val="00700C42"/>
    <w:rsid w:val="00700FC4"/>
    <w:rsid w:val="00700FFC"/>
    <w:rsid w:val="00701493"/>
    <w:rsid w:val="00701859"/>
    <w:rsid w:val="0070263D"/>
    <w:rsid w:val="00702F23"/>
    <w:rsid w:val="0070326F"/>
    <w:rsid w:val="007033D2"/>
    <w:rsid w:val="00703F83"/>
    <w:rsid w:val="00704BC9"/>
    <w:rsid w:val="007056D7"/>
    <w:rsid w:val="007059DF"/>
    <w:rsid w:val="00706C26"/>
    <w:rsid w:val="00706EC1"/>
    <w:rsid w:val="00707768"/>
    <w:rsid w:val="00710759"/>
    <w:rsid w:val="00711654"/>
    <w:rsid w:val="00711A2C"/>
    <w:rsid w:val="0071239E"/>
    <w:rsid w:val="007133D1"/>
    <w:rsid w:val="00714ABF"/>
    <w:rsid w:val="00717115"/>
    <w:rsid w:val="0072046F"/>
    <w:rsid w:val="007207EC"/>
    <w:rsid w:val="00721B7C"/>
    <w:rsid w:val="00722375"/>
    <w:rsid w:val="007224DE"/>
    <w:rsid w:val="00722AAD"/>
    <w:rsid w:val="007234E6"/>
    <w:rsid w:val="0072445F"/>
    <w:rsid w:val="007269BB"/>
    <w:rsid w:val="00730168"/>
    <w:rsid w:val="00730428"/>
    <w:rsid w:val="007307FE"/>
    <w:rsid w:val="00731D6D"/>
    <w:rsid w:val="00733A7D"/>
    <w:rsid w:val="00733B2D"/>
    <w:rsid w:val="00733E27"/>
    <w:rsid w:val="007345FF"/>
    <w:rsid w:val="00735B26"/>
    <w:rsid w:val="0073669C"/>
    <w:rsid w:val="0073677A"/>
    <w:rsid w:val="0073771D"/>
    <w:rsid w:val="007402BF"/>
    <w:rsid w:val="007405CD"/>
    <w:rsid w:val="00740C68"/>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65F"/>
    <w:rsid w:val="00754DC7"/>
    <w:rsid w:val="007569CD"/>
    <w:rsid w:val="00756CCA"/>
    <w:rsid w:val="00757EA2"/>
    <w:rsid w:val="0076098B"/>
    <w:rsid w:val="0076152D"/>
    <w:rsid w:val="00761FB9"/>
    <w:rsid w:val="0076241B"/>
    <w:rsid w:val="007626AD"/>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59E3"/>
    <w:rsid w:val="007769BE"/>
    <w:rsid w:val="00776FDA"/>
    <w:rsid w:val="00781411"/>
    <w:rsid w:val="007815F1"/>
    <w:rsid w:val="0078218B"/>
    <w:rsid w:val="00783043"/>
    <w:rsid w:val="0078393B"/>
    <w:rsid w:val="00784684"/>
    <w:rsid w:val="007849F9"/>
    <w:rsid w:val="00784ACD"/>
    <w:rsid w:val="00784C5B"/>
    <w:rsid w:val="0078589A"/>
    <w:rsid w:val="00785D74"/>
    <w:rsid w:val="00786B39"/>
    <w:rsid w:val="00787311"/>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1C66"/>
    <w:rsid w:val="007A3114"/>
    <w:rsid w:val="007A385B"/>
    <w:rsid w:val="007A3FB9"/>
    <w:rsid w:val="007A41F0"/>
    <w:rsid w:val="007A42AA"/>
    <w:rsid w:val="007A4335"/>
    <w:rsid w:val="007B213E"/>
    <w:rsid w:val="007B26C7"/>
    <w:rsid w:val="007B3CA5"/>
    <w:rsid w:val="007B4750"/>
    <w:rsid w:val="007B49B6"/>
    <w:rsid w:val="007B6782"/>
    <w:rsid w:val="007B6957"/>
    <w:rsid w:val="007B7581"/>
    <w:rsid w:val="007C06C1"/>
    <w:rsid w:val="007C1AF4"/>
    <w:rsid w:val="007C2643"/>
    <w:rsid w:val="007C29E7"/>
    <w:rsid w:val="007C40E0"/>
    <w:rsid w:val="007C42D0"/>
    <w:rsid w:val="007C4AA0"/>
    <w:rsid w:val="007C4B87"/>
    <w:rsid w:val="007C56ED"/>
    <w:rsid w:val="007C5CF4"/>
    <w:rsid w:val="007C60BE"/>
    <w:rsid w:val="007C60F0"/>
    <w:rsid w:val="007C6FEA"/>
    <w:rsid w:val="007C7F1D"/>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B8A"/>
    <w:rsid w:val="007E3C27"/>
    <w:rsid w:val="007E429C"/>
    <w:rsid w:val="007E5484"/>
    <w:rsid w:val="007E5DB9"/>
    <w:rsid w:val="007E6A26"/>
    <w:rsid w:val="007E744F"/>
    <w:rsid w:val="007E789B"/>
    <w:rsid w:val="007E7F70"/>
    <w:rsid w:val="007F0B02"/>
    <w:rsid w:val="007F1586"/>
    <w:rsid w:val="007F17DD"/>
    <w:rsid w:val="007F25B0"/>
    <w:rsid w:val="007F276A"/>
    <w:rsid w:val="007F5BDA"/>
    <w:rsid w:val="007F706B"/>
    <w:rsid w:val="007F776D"/>
    <w:rsid w:val="008003F4"/>
    <w:rsid w:val="00800DE2"/>
    <w:rsid w:val="00801423"/>
    <w:rsid w:val="00802793"/>
    <w:rsid w:val="008029D0"/>
    <w:rsid w:val="008033AA"/>
    <w:rsid w:val="0080360A"/>
    <w:rsid w:val="00803B22"/>
    <w:rsid w:val="008040D6"/>
    <w:rsid w:val="00804BE0"/>
    <w:rsid w:val="0080519A"/>
    <w:rsid w:val="0080534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5D45"/>
    <w:rsid w:val="0081608B"/>
    <w:rsid w:val="00816811"/>
    <w:rsid w:val="00816BF5"/>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1B73"/>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59BC"/>
    <w:rsid w:val="008472D0"/>
    <w:rsid w:val="0085010E"/>
    <w:rsid w:val="00850BF8"/>
    <w:rsid w:val="00851C99"/>
    <w:rsid w:val="00851FD3"/>
    <w:rsid w:val="00852341"/>
    <w:rsid w:val="00852D66"/>
    <w:rsid w:val="00855943"/>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4960"/>
    <w:rsid w:val="00886B9B"/>
    <w:rsid w:val="00887955"/>
    <w:rsid w:val="00890CDB"/>
    <w:rsid w:val="00891AFC"/>
    <w:rsid w:val="00891D6D"/>
    <w:rsid w:val="00891FDB"/>
    <w:rsid w:val="008920E3"/>
    <w:rsid w:val="008929A5"/>
    <w:rsid w:val="00893041"/>
    <w:rsid w:val="00893669"/>
    <w:rsid w:val="00895031"/>
    <w:rsid w:val="008975E7"/>
    <w:rsid w:val="00897D5C"/>
    <w:rsid w:val="008A053A"/>
    <w:rsid w:val="008A1623"/>
    <w:rsid w:val="008A269D"/>
    <w:rsid w:val="008A35E2"/>
    <w:rsid w:val="008A3ED4"/>
    <w:rsid w:val="008A436D"/>
    <w:rsid w:val="008A5986"/>
    <w:rsid w:val="008A5B6E"/>
    <w:rsid w:val="008A6029"/>
    <w:rsid w:val="008A638A"/>
    <w:rsid w:val="008B09B3"/>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4EE"/>
    <w:rsid w:val="008D1558"/>
    <w:rsid w:val="008D1C72"/>
    <w:rsid w:val="008D3A2B"/>
    <w:rsid w:val="008D4565"/>
    <w:rsid w:val="008D476D"/>
    <w:rsid w:val="008D479D"/>
    <w:rsid w:val="008D4A46"/>
    <w:rsid w:val="008D5313"/>
    <w:rsid w:val="008D5817"/>
    <w:rsid w:val="008D5CBB"/>
    <w:rsid w:val="008D6ABE"/>
    <w:rsid w:val="008D79D6"/>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66AF"/>
    <w:rsid w:val="008E7944"/>
    <w:rsid w:val="008F0B3A"/>
    <w:rsid w:val="008F0D41"/>
    <w:rsid w:val="008F13E3"/>
    <w:rsid w:val="008F1FAF"/>
    <w:rsid w:val="008F3387"/>
    <w:rsid w:val="008F37C6"/>
    <w:rsid w:val="008F52E0"/>
    <w:rsid w:val="008F5C57"/>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217"/>
    <w:rsid w:val="00912305"/>
    <w:rsid w:val="009123BE"/>
    <w:rsid w:val="00912B3D"/>
    <w:rsid w:val="00912C52"/>
    <w:rsid w:val="0091317C"/>
    <w:rsid w:val="00913F76"/>
    <w:rsid w:val="0091421D"/>
    <w:rsid w:val="009157EA"/>
    <w:rsid w:val="00915DDC"/>
    <w:rsid w:val="00920242"/>
    <w:rsid w:val="00920744"/>
    <w:rsid w:val="0092208A"/>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2358"/>
    <w:rsid w:val="00933975"/>
    <w:rsid w:val="009340C4"/>
    <w:rsid w:val="00934232"/>
    <w:rsid w:val="00934EB1"/>
    <w:rsid w:val="00934FDB"/>
    <w:rsid w:val="009352A6"/>
    <w:rsid w:val="009352C4"/>
    <w:rsid w:val="00935923"/>
    <w:rsid w:val="00935CAD"/>
    <w:rsid w:val="00935F05"/>
    <w:rsid w:val="00936F06"/>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0C96"/>
    <w:rsid w:val="00961AAC"/>
    <w:rsid w:val="00962ADE"/>
    <w:rsid w:val="00963062"/>
    <w:rsid w:val="00963396"/>
    <w:rsid w:val="00963506"/>
    <w:rsid w:val="00963963"/>
    <w:rsid w:val="00963F76"/>
    <w:rsid w:val="009641ED"/>
    <w:rsid w:val="009642A3"/>
    <w:rsid w:val="009656C9"/>
    <w:rsid w:val="00965CDA"/>
    <w:rsid w:val="009661D3"/>
    <w:rsid w:val="00966B3F"/>
    <w:rsid w:val="00967118"/>
    <w:rsid w:val="0096727C"/>
    <w:rsid w:val="00967931"/>
    <w:rsid w:val="0097068C"/>
    <w:rsid w:val="009708EE"/>
    <w:rsid w:val="0097094C"/>
    <w:rsid w:val="009713BB"/>
    <w:rsid w:val="00972CE0"/>
    <w:rsid w:val="0097356D"/>
    <w:rsid w:val="009736D7"/>
    <w:rsid w:val="00974333"/>
    <w:rsid w:val="009743DE"/>
    <w:rsid w:val="00974D40"/>
    <w:rsid w:val="00975B46"/>
    <w:rsid w:val="0097633E"/>
    <w:rsid w:val="0097686A"/>
    <w:rsid w:val="009772F1"/>
    <w:rsid w:val="009801CE"/>
    <w:rsid w:val="00980E77"/>
    <w:rsid w:val="00981726"/>
    <w:rsid w:val="00981943"/>
    <w:rsid w:val="009820F7"/>
    <w:rsid w:val="00982BA2"/>
    <w:rsid w:val="0098383D"/>
    <w:rsid w:val="00984EDD"/>
    <w:rsid w:val="0098612C"/>
    <w:rsid w:val="009864DF"/>
    <w:rsid w:val="009864FA"/>
    <w:rsid w:val="0098686E"/>
    <w:rsid w:val="00986CDA"/>
    <w:rsid w:val="00987596"/>
    <w:rsid w:val="009904CD"/>
    <w:rsid w:val="00990575"/>
    <w:rsid w:val="00990938"/>
    <w:rsid w:val="00990FFE"/>
    <w:rsid w:val="00991BC3"/>
    <w:rsid w:val="009922E0"/>
    <w:rsid w:val="00992714"/>
    <w:rsid w:val="00992B2F"/>
    <w:rsid w:val="00994446"/>
    <w:rsid w:val="00994A9A"/>
    <w:rsid w:val="009957DE"/>
    <w:rsid w:val="00995D4D"/>
    <w:rsid w:val="00995E92"/>
    <w:rsid w:val="00996AAC"/>
    <w:rsid w:val="009970F9"/>
    <w:rsid w:val="009A03A3"/>
    <w:rsid w:val="009A1350"/>
    <w:rsid w:val="009A1AD0"/>
    <w:rsid w:val="009A22C8"/>
    <w:rsid w:val="009A2C3B"/>
    <w:rsid w:val="009A4935"/>
    <w:rsid w:val="009A4E27"/>
    <w:rsid w:val="009A5625"/>
    <w:rsid w:val="009A63EF"/>
    <w:rsid w:val="009A6A61"/>
    <w:rsid w:val="009A73FC"/>
    <w:rsid w:val="009B0AA1"/>
    <w:rsid w:val="009B102B"/>
    <w:rsid w:val="009B19B4"/>
    <w:rsid w:val="009B1E6D"/>
    <w:rsid w:val="009B29A2"/>
    <w:rsid w:val="009B30B8"/>
    <w:rsid w:val="009B344B"/>
    <w:rsid w:val="009B43F6"/>
    <w:rsid w:val="009B4D3E"/>
    <w:rsid w:val="009B5D93"/>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6F2"/>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5BC7"/>
    <w:rsid w:val="00A0603A"/>
    <w:rsid w:val="00A065E3"/>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37C"/>
    <w:rsid w:val="00A27C46"/>
    <w:rsid w:val="00A30D22"/>
    <w:rsid w:val="00A32571"/>
    <w:rsid w:val="00A35778"/>
    <w:rsid w:val="00A35C44"/>
    <w:rsid w:val="00A3682A"/>
    <w:rsid w:val="00A36AC4"/>
    <w:rsid w:val="00A3741D"/>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568"/>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1607"/>
    <w:rsid w:val="00A7204F"/>
    <w:rsid w:val="00A736F1"/>
    <w:rsid w:val="00A748D2"/>
    <w:rsid w:val="00A766C3"/>
    <w:rsid w:val="00A769FE"/>
    <w:rsid w:val="00A7717F"/>
    <w:rsid w:val="00A777F3"/>
    <w:rsid w:val="00A77D50"/>
    <w:rsid w:val="00A77FDC"/>
    <w:rsid w:val="00A80990"/>
    <w:rsid w:val="00A80C68"/>
    <w:rsid w:val="00A80E75"/>
    <w:rsid w:val="00A80FB5"/>
    <w:rsid w:val="00A816FA"/>
    <w:rsid w:val="00A81739"/>
    <w:rsid w:val="00A81DF9"/>
    <w:rsid w:val="00A829DD"/>
    <w:rsid w:val="00A83BC7"/>
    <w:rsid w:val="00A8479A"/>
    <w:rsid w:val="00A8485C"/>
    <w:rsid w:val="00A861EE"/>
    <w:rsid w:val="00A867FC"/>
    <w:rsid w:val="00A8751B"/>
    <w:rsid w:val="00A879EC"/>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4E39"/>
    <w:rsid w:val="00AB6B96"/>
    <w:rsid w:val="00AB7470"/>
    <w:rsid w:val="00AC047E"/>
    <w:rsid w:val="00AC133B"/>
    <w:rsid w:val="00AC1564"/>
    <w:rsid w:val="00AC1D9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2E54"/>
    <w:rsid w:val="00AD3520"/>
    <w:rsid w:val="00AD3BBC"/>
    <w:rsid w:val="00AD3D89"/>
    <w:rsid w:val="00AD425E"/>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535C"/>
    <w:rsid w:val="00B060DC"/>
    <w:rsid w:val="00B063A2"/>
    <w:rsid w:val="00B0667C"/>
    <w:rsid w:val="00B06B06"/>
    <w:rsid w:val="00B06FA5"/>
    <w:rsid w:val="00B107CE"/>
    <w:rsid w:val="00B11029"/>
    <w:rsid w:val="00B11D91"/>
    <w:rsid w:val="00B13458"/>
    <w:rsid w:val="00B13DF4"/>
    <w:rsid w:val="00B15A48"/>
    <w:rsid w:val="00B17430"/>
    <w:rsid w:val="00B17B0D"/>
    <w:rsid w:val="00B20715"/>
    <w:rsid w:val="00B210F2"/>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4FEE"/>
    <w:rsid w:val="00B45751"/>
    <w:rsid w:val="00B4661E"/>
    <w:rsid w:val="00B46C01"/>
    <w:rsid w:val="00B5001E"/>
    <w:rsid w:val="00B5065C"/>
    <w:rsid w:val="00B516D4"/>
    <w:rsid w:val="00B51B91"/>
    <w:rsid w:val="00B52274"/>
    <w:rsid w:val="00B525C0"/>
    <w:rsid w:val="00B541B3"/>
    <w:rsid w:val="00B54342"/>
    <w:rsid w:val="00B5469B"/>
    <w:rsid w:val="00B554CA"/>
    <w:rsid w:val="00B55526"/>
    <w:rsid w:val="00B561AB"/>
    <w:rsid w:val="00B5639B"/>
    <w:rsid w:val="00B56B85"/>
    <w:rsid w:val="00B56E8B"/>
    <w:rsid w:val="00B57698"/>
    <w:rsid w:val="00B57A82"/>
    <w:rsid w:val="00B60541"/>
    <w:rsid w:val="00B6066B"/>
    <w:rsid w:val="00B60AC1"/>
    <w:rsid w:val="00B617CB"/>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2A1"/>
    <w:rsid w:val="00B8775E"/>
    <w:rsid w:val="00B8791D"/>
    <w:rsid w:val="00B87DC9"/>
    <w:rsid w:val="00B917BE"/>
    <w:rsid w:val="00B91D4D"/>
    <w:rsid w:val="00B92922"/>
    <w:rsid w:val="00B92D2E"/>
    <w:rsid w:val="00B93174"/>
    <w:rsid w:val="00B939FD"/>
    <w:rsid w:val="00B947A1"/>
    <w:rsid w:val="00B94FE3"/>
    <w:rsid w:val="00B9593D"/>
    <w:rsid w:val="00B96024"/>
    <w:rsid w:val="00B96C6D"/>
    <w:rsid w:val="00B96CE6"/>
    <w:rsid w:val="00B96E45"/>
    <w:rsid w:val="00B96E77"/>
    <w:rsid w:val="00B9729F"/>
    <w:rsid w:val="00BA006E"/>
    <w:rsid w:val="00BA0283"/>
    <w:rsid w:val="00BA0CBF"/>
    <w:rsid w:val="00BA25F6"/>
    <w:rsid w:val="00BA2822"/>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5AA"/>
    <w:rsid w:val="00BC0901"/>
    <w:rsid w:val="00BC0BE9"/>
    <w:rsid w:val="00BC278D"/>
    <w:rsid w:val="00BC2F60"/>
    <w:rsid w:val="00BC3C0C"/>
    <w:rsid w:val="00BC3DF7"/>
    <w:rsid w:val="00BC3FF0"/>
    <w:rsid w:val="00BC446F"/>
    <w:rsid w:val="00BC4E3A"/>
    <w:rsid w:val="00BC55E1"/>
    <w:rsid w:val="00BC5879"/>
    <w:rsid w:val="00BC5A0A"/>
    <w:rsid w:val="00BC5E68"/>
    <w:rsid w:val="00BC658B"/>
    <w:rsid w:val="00BC6C84"/>
    <w:rsid w:val="00BC726E"/>
    <w:rsid w:val="00BD0140"/>
    <w:rsid w:val="00BD0472"/>
    <w:rsid w:val="00BD09B9"/>
    <w:rsid w:val="00BD19BF"/>
    <w:rsid w:val="00BD3E93"/>
    <w:rsid w:val="00BD444B"/>
    <w:rsid w:val="00BD45A1"/>
    <w:rsid w:val="00BD47EC"/>
    <w:rsid w:val="00BD4933"/>
    <w:rsid w:val="00BD5EE3"/>
    <w:rsid w:val="00BD743D"/>
    <w:rsid w:val="00BE0F66"/>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4DD"/>
    <w:rsid w:val="00C0086C"/>
    <w:rsid w:val="00C00C0A"/>
    <w:rsid w:val="00C0229C"/>
    <w:rsid w:val="00C023E0"/>
    <w:rsid w:val="00C03C87"/>
    <w:rsid w:val="00C044ED"/>
    <w:rsid w:val="00C05571"/>
    <w:rsid w:val="00C0573A"/>
    <w:rsid w:val="00C06C88"/>
    <w:rsid w:val="00C06D0A"/>
    <w:rsid w:val="00C07480"/>
    <w:rsid w:val="00C07E3A"/>
    <w:rsid w:val="00C10195"/>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2A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7C7"/>
    <w:rsid w:val="00C32A43"/>
    <w:rsid w:val="00C337A2"/>
    <w:rsid w:val="00C372EC"/>
    <w:rsid w:val="00C4087E"/>
    <w:rsid w:val="00C40D0D"/>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2A5"/>
    <w:rsid w:val="00C715BF"/>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72F"/>
    <w:rsid w:val="00C8383F"/>
    <w:rsid w:val="00C842FE"/>
    <w:rsid w:val="00C8641D"/>
    <w:rsid w:val="00C866C6"/>
    <w:rsid w:val="00C86A89"/>
    <w:rsid w:val="00C86B25"/>
    <w:rsid w:val="00C86DEF"/>
    <w:rsid w:val="00C86F65"/>
    <w:rsid w:val="00C86FA3"/>
    <w:rsid w:val="00C87974"/>
    <w:rsid w:val="00C91A8A"/>
    <w:rsid w:val="00C91DCB"/>
    <w:rsid w:val="00C91F21"/>
    <w:rsid w:val="00C93A4E"/>
    <w:rsid w:val="00C94A7B"/>
    <w:rsid w:val="00C94FA8"/>
    <w:rsid w:val="00C9501D"/>
    <w:rsid w:val="00C95A9C"/>
    <w:rsid w:val="00C969A9"/>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A69"/>
    <w:rsid w:val="00CC5EDE"/>
    <w:rsid w:val="00CC60D1"/>
    <w:rsid w:val="00CC6182"/>
    <w:rsid w:val="00CC6310"/>
    <w:rsid w:val="00CC64E8"/>
    <w:rsid w:val="00CC6DD5"/>
    <w:rsid w:val="00CC7BBA"/>
    <w:rsid w:val="00CD0F83"/>
    <w:rsid w:val="00CD1452"/>
    <w:rsid w:val="00CD16B2"/>
    <w:rsid w:val="00CD186A"/>
    <w:rsid w:val="00CD24E9"/>
    <w:rsid w:val="00CD24EB"/>
    <w:rsid w:val="00CD3563"/>
    <w:rsid w:val="00CD451A"/>
    <w:rsid w:val="00CD52B2"/>
    <w:rsid w:val="00CD54C1"/>
    <w:rsid w:val="00CD554B"/>
    <w:rsid w:val="00CD57AF"/>
    <w:rsid w:val="00CD5933"/>
    <w:rsid w:val="00CD6E99"/>
    <w:rsid w:val="00CD7C37"/>
    <w:rsid w:val="00CD7E5E"/>
    <w:rsid w:val="00CE05C9"/>
    <w:rsid w:val="00CE078D"/>
    <w:rsid w:val="00CE0E7D"/>
    <w:rsid w:val="00CE0ED0"/>
    <w:rsid w:val="00CE1894"/>
    <w:rsid w:val="00CE1DA5"/>
    <w:rsid w:val="00CE2063"/>
    <w:rsid w:val="00CE2AB9"/>
    <w:rsid w:val="00CE2C2E"/>
    <w:rsid w:val="00CE3183"/>
    <w:rsid w:val="00CE55D8"/>
    <w:rsid w:val="00CE5783"/>
    <w:rsid w:val="00CE5E93"/>
    <w:rsid w:val="00CE61F4"/>
    <w:rsid w:val="00CE700F"/>
    <w:rsid w:val="00CE7E64"/>
    <w:rsid w:val="00CF0EC1"/>
    <w:rsid w:val="00CF15BC"/>
    <w:rsid w:val="00CF16D6"/>
    <w:rsid w:val="00CF199B"/>
    <w:rsid w:val="00CF19FE"/>
    <w:rsid w:val="00CF26EA"/>
    <w:rsid w:val="00CF277D"/>
    <w:rsid w:val="00CF3565"/>
    <w:rsid w:val="00CF3BC6"/>
    <w:rsid w:val="00CF3F04"/>
    <w:rsid w:val="00CF40B8"/>
    <w:rsid w:val="00CF5528"/>
    <w:rsid w:val="00CF59C9"/>
    <w:rsid w:val="00CF5E5C"/>
    <w:rsid w:val="00D00447"/>
    <w:rsid w:val="00D01930"/>
    <w:rsid w:val="00D01DC4"/>
    <w:rsid w:val="00D02025"/>
    <w:rsid w:val="00D02120"/>
    <w:rsid w:val="00D03123"/>
    <w:rsid w:val="00D037DA"/>
    <w:rsid w:val="00D03987"/>
    <w:rsid w:val="00D03DA8"/>
    <w:rsid w:val="00D04B94"/>
    <w:rsid w:val="00D04CB7"/>
    <w:rsid w:val="00D05ED4"/>
    <w:rsid w:val="00D05EF8"/>
    <w:rsid w:val="00D06043"/>
    <w:rsid w:val="00D07CD9"/>
    <w:rsid w:val="00D12D05"/>
    <w:rsid w:val="00D136E5"/>
    <w:rsid w:val="00D14130"/>
    <w:rsid w:val="00D148F1"/>
    <w:rsid w:val="00D149E0"/>
    <w:rsid w:val="00D14AC9"/>
    <w:rsid w:val="00D14C3C"/>
    <w:rsid w:val="00D15962"/>
    <w:rsid w:val="00D15F89"/>
    <w:rsid w:val="00D16375"/>
    <w:rsid w:val="00D16CE9"/>
    <w:rsid w:val="00D16F8F"/>
    <w:rsid w:val="00D172DA"/>
    <w:rsid w:val="00D1781A"/>
    <w:rsid w:val="00D17D04"/>
    <w:rsid w:val="00D206E9"/>
    <w:rsid w:val="00D20C38"/>
    <w:rsid w:val="00D21943"/>
    <w:rsid w:val="00D226DA"/>
    <w:rsid w:val="00D22904"/>
    <w:rsid w:val="00D22DFE"/>
    <w:rsid w:val="00D22F72"/>
    <w:rsid w:val="00D242B5"/>
    <w:rsid w:val="00D2493A"/>
    <w:rsid w:val="00D24A86"/>
    <w:rsid w:val="00D24E76"/>
    <w:rsid w:val="00D24F4A"/>
    <w:rsid w:val="00D25DAF"/>
    <w:rsid w:val="00D272C3"/>
    <w:rsid w:val="00D27520"/>
    <w:rsid w:val="00D306DB"/>
    <w:rsid w:val="00D31565"/>
    <w:rsid w:val="00D31645"/>
    <w:rsid w:val="00D34687"/>
    <w:rsid w:val="00D34F19"/>
    <w:rsid w:val="00D353C6"/>
    <w:rsid w:val="00D361F8"/>
    <w:rsid w:val="00D36541"/>
    <w:rsid w:val="00D366F4"/>
    <w:rsid w:val="00D3709E"/>
    <w:rsid w:val="00D40097"/>
    <w:rsid w:val="00D40D11"/>
    <w:rsid w:val="00D40EDC"/>
    <w:rsid w:val="00D410EF"/>
    <w:rsid w:val="00D41A7E"/>
    <w:rsid w:val="00D42C02"/>
    <w:rsid w:val="00D442A0"/>
    <w:rsid w:val="00D44724"/>
    <w:rsid w:val="00D44AC4"/>
    <w:rsid w:val="00D45610"/>
    <w:rsid w:val="00D45E85"/>
    <w:rsid w:val="00D46012"/>
    <w:rsid w:val="00D46451"/>
    <w:rsid w:val="00D46484"/>
    <w:rsid w:val="00D507B7"/>
    <w:rsid w:val="00D50C69"/>
    <w:rsid w:val="00D51E30"/>
    <w:rsid w:val="00D5265A"/>
    <w:rsid w:val="00D52894"/>
    <w:rsid w:val="00D53298"/>
    <w:rsid w:val="00D54C4A"/>
    <w:rsid w:val="00D54D44"/>
    <w:rsid w:val="00D563AE"/>
    <w:rsid w:val="00D57A66"/>
    <w:rsid w:val="00D57DB7"/>
    <w:rsid w:val="00D60484"/>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778A5"/>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4AA"/>
    <w:rsid w:val="00D90ADC"/>
    <w:rsid w:val="00D90C06"/>
    <w:rsid w:val="00D90C60"/>
    <w:rsid w:val="00D91250"/>
    <w:rsid w:val="00D91A22"/>
    <w:rsid w:val="00D92E24"/>
    <w:rsid w:val="00D93FAE"/>
    <w:rsid w:val="00D94043"/>
    <w:rsid w:val="00D95AA6"/>
    <w:rsid w:val="00D95BBB"/>
    <w:rsid w:val="00D9634B"/>
    <w:rsid w:val="00D96D32"/>
    <w:rsid w:val="00D974BE"/>
    <w:rsid w:val="00D97CD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573"/>
    <w:rsid w:val="00DC26F3"/>
    <w:rsid w:val="00DC2833"/>
    <w:rsid w:val="00DC2EAD"/>
    <w:rsid w:val="00DC3031"/>
    <w:rsid w:val="00DC3550"/>
    <w:rsid w:val="00DC46C3"/>
    <w:rsid w:val="00DC5172"/>
    <w:rsid w:val="00DC53B9"/>
    <w:rsid w:val="00DC54D4"/>
    <w:rsid w:val="00DC5EAB"/>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1E31"/>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5D1"/>
    <w:rsid w:val="00E34981"/>
    <w:rsid w:val="00E3525D"/>
    <w:rsid w:val="00E35490"/>
    <w:rsid w:val="00E35604"/>
    <w:rsid w:val="00E36A82"/>
    <w:rsid w:val="00E36E68"/>
    <w:rsid w:val="00E37B9D"/>
    <w:rsid w:val="00E400C5"/>
    <w:rsid w:val="00E41EDB"/>
    <w:rsid w:val="00E43AD4"/>
    <w:rsid w:val="00E44F02"/>
    <w:rsid w:val="00E46546"/>
    <w:rsid w:val="00E46E2E"/>
    <w:rsid w:val="00E50765"/>
    <w:rsid w:val="00E51172"/>
    <w:rsid w:val="00E51E14"/>
    <w:rsid w:val="00E528A5"/>
    <w:rsid w:val="00E532CB"/>
    <w:rsid w:val="00E5354D"/>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4BC4"/>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217"/>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07D6"/>
    <w:rsid w:val="00ED12D7"/>
    <w:rsid w:val="00ED18FE"/>
    <w:rsid w:val="00ED224C"/>
    <w:rsid w:val="00ED2B5D"/>
    <w:rsid w:val="00ED3CF0"/>
    <w:rsid w:val="00ED48C9"/>
    <w:rsid w:val="00ED5DC3"/>
    <w:rsid w:val="00ED6998"/>
    <w:rsid w:val="00ED7950"/>
    <w:rsid w:val="00ED7F3C"/>
    <w:rsid w:val="00EE1978"/>
    <w:rsid w:val="00EE2014"/>
    <w:rsid w:val="00EE2CDE"/>
    <w:rsid w:val="00EE30DA"/>
    <w:rsid w:val="00EE3795"/>
    <w:rsid w:val="00EE398E"/>
    <w:rsid w:val="00EE3A25"/>
    <w:rsid w:val="00EE3DD7"/>
    <w:rsid w:val="00EE72DF"/>
    <w:rsid w:val="00EE74E3"/>
    <w:rsid w:val="00EE7B1A"/>
    <w:rsid w:val="00EF1256"/>
    <w:rsid w:val="00EF1360"/>
    <w:rsid w:val="00EF23AF"/>
    <w:rsid w:val="00EF2504"/>
    <w:rsid w:val="00EF2B6B"/>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22D5"/>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4B4F"/>
    <w:rsid w:val="00F169DB"/>
    <w:rsid w:val="00F170B0"/>
    <w:rsid w:val="00F1772A"/>
    <w:rsid w:val="00F218A0"/>
    <w:rsid w:val="00F218F9"/>
    <w:rsid w:val="00F21EBF"/>
    <w:rsid w:val="00F2219A"/>
    <w:rsid w:val="00F225DE"/>
    <w:rsid w:val="00F229D3"/>
    <w:rsid w:val="00F238C3"/>
    <w:rsid w:val="00F2529E"/>
    <w:rsid w:val="00F252D3"/>
    <w:rsid w:val="00F256D1"/>
    <w:rsid w:val="00F25A22"/>
    <w:rsid w:val="00F2600B"/>
    <w:rsid w:val="00F27459"/>
    <w:rsid w:val="00F27705"/>
    <w:rsid w:val="00F305B3"/>
    <w:rsid w:val="00F3067D"/>
    <w:rsid w:val="00F30F81"/>
    <w:rsid w:val="00F3170B"/>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31F"/>
    <w:rsid w:val="00F52C34"/>
    <w:rsid w:val="00F53547"/>
    <w:rsid w:val="00F54B1C"/>
    <w:rsid w:val="00F55DEA"/>
    <w:rsid w:val="00F55EF6"/>
    <w:rsid w:val="00F56C7C"/>
    <w:rsid w:val="00F56C9E"/>
    <w:rsid w:val="00F60267"/>
    <w:rsid w:val="00F60304"/>
    <w:rsid w:val="00F604A0"/>
    <w:rsid w:val="00F60C61"/>
    <w:rsid w:val="00F61248"/>
    <w:rsid w:val="00F61C83"/>
    <w:rsid w:val="00F64195"/>
    <w:rsid w:val="00F64550"/>
    <w:rsid w:val="00F64C1B"/>
    <w:rsid w:val="00F64CD8"/>
    <w:rsid w:val="00F652E7"/>
    <w:rsid w:val="00F65B89"/>
    <w:rsid w:val="00F65C6C"/>
    <w:rsid w:val="00F6604B"/>
    <w:rsid w:val="00F66B4E"/>
    <w:rsid w:val="00F66EF2"/>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076"/>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0CF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125"/>
    <w:rsid w:val="00FC628B"/>
    <w:rsid w:val="00FC6339"/>
    <w:rsid w:val="00FC6A51"/>
    <w:rsid w:val="00FC7DA5"/>
    <w:rsid w:val="00FC7E91"/>
    <w:rsid w:val="00FD29A4"/>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E71E3"/>
    <w:rsid w:val="00FF01C2"/>
    <w:rsid w:val="00FF0288"/>
    <w:rsid w:val="00FF0DB4"/>
    <w:rsid w:val="00FF1124"/>
    <w:rsid w:val="00FF11FF"/>
    <w:rsid w:val="00FF22EF"/>
    <w:rsid w:val="00FF557C"/>
    <w:rsid w:val="00FF68BE"/>
    <w:rsid w:val="00FF6BF5"/>
    <w:rsid w:val="00FF7280"/>
    <w:rsid w:val="00FF7DAE"/>
    <w:rsid w:val="00FF7E89"/>
    <w:rsid w:val="01B446F6"/>
    <w:rsid w:val="0531450E"/>
    <w:rsid w:val="08930031"/>
    <w:rsid w:val="0A297A5A"/>
    <w:rsid w:val="0C5117CE"/>
    <w:rsid w:val="0D5A544D"/>
    <w:rsid w:val="0D967E5A"/>
    <w:rsid w:val="11AE6F8F"/>
    <w:rsid w:val="15C013A1"/>
    <w:rsid w:val="191915B7"/>
    <w:rsid w:val="1C961170"/>
    <w:rsid w:val="1E4A35C1"/>
    <w:rsid w:val="27696E92"/>
    <w:rsid w:val="278E3373"/>
    <w:rsid w:val="2BE636C2"/>
    <w:rsid w:val="2C3869F3"/>
    <w:rsid w:val="2C6733BA"/>
    <w:rsid w:val="329A79DE"/>
    <w:rsid w:val="3A896114"/>
    <w:rsid w:val="3F79532B"/>
    <w:rsid w:val="47D04FE5"/>
    <w:rsid w:val="4B991EE7"/>
    <w:rsid w:val="4C5A37E2"/>
    <w:rsid w:val="4CA07CE3"/>
    <w:rsid w:val="4E66112F"/>
    <w:rsid w:val="53770E49"/>
    <w:rsid w:val="55D447DE"/>
    <w:rsid w:val="560A70A4"/>
    <w:rsid w:val="5AB47FF0"/>
    <w:rsid w:val="5B7D2205"/>
    <w:rsid w:val="64821589"/>
    <w:rsid w:val="65D34831"/>
    <w:rsid w:val="69F753E9"/>
    <w:rsid w:val="6C2C0569"/>
    <w:rsid w:val="6E670AC0"/>
    <w:rsid w:val="6E7C0C46"/>
    <w:rsid w:val="72F560CD"/>
    <w:rsid w:val="767336E4"/>
    <w:rsid w:val="7B93404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6"/>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0">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basedOn w:val="13"/>
    <w:semiHidden/>
    <w:unhideWhenUsed/>
    <w:uiPriority w:val="0"/>
    <w:rPr>
      <w:color w:val="800080" w:themeColor="followedHyperlink"/>
      <w:u w:val="single"/>
      <w14:textFill>
        <w14:solidFill>
          <w14:schemeClr w14:val="folHlink"/>
        </w14:solidFill>
      </w14:textFill>
    </w:rPr>
  </w:style>
  <w:style w:type="character" w:styleId="15">
    <w:name w:val="Hyperlink"/>
    <w:basedOn w:val="13"/>
    <w:qFormat/>
    <w:uiPriority w:val="99"/>
    <w:rPr>
      <w:color w:val="0000FF"/>
      <w:u w:val="single"/>
    </w:rPr>
  </w:style>
  <w:style w:type="character" w:customStyle="1" w:styleId="16">
    <w:name w:val="批注框文本 字符"/>
    <w:basedOn w:val="13"/>
    <w:link w:val="6"/>
    <w:qFormat/>
    <w:uiPriority w:val="0"/>
    <w:rPr>
      <w:rFonts w:ascii="Tahoma" w:hAnsi="Tahoma" w:cs="Tahoma"/>
      <w:lang w:eastAsia="ja-JP"/>
    </w:rPr>
  </w:style>
  <w:style w:type="paragraph" w:customStyle="1" w:styleId="17">
    <w:name w:val="EFAFPReportType"/>
    <w:link w:val="81"/>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8">
    <w:name w:val="EFABullet"/>
    <w:basedOn w:val="19"/>
    <w:qFormat/>
    <w:uiPriority w:val="99"/>
    <w:pPr>
      <w:numPr>
        <w:ilvl w:val="0"/>
        <w:numId w:val="1"/>
      </w:numPr>
      <w:tabs>
        <w:tab w:val="left" w:pos="480"/>
      </w:tabs>
      <w:ind w:left="192" w:firstLine="0"/>
    </w:pPr>
    <w:rPr>
      <w:szCs w:val="22"/>
    </w:rPr>
  </w:style>
  <w:style w:type="paragraph" w:customStyle="1" w:styleId="19">
    <w:name w:val="EFABodyText"/>
    <w:link w:val="3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0">
    <w:name w:val="EFAButton"/>
    <w:basedOn w:val="21"/>
    <w:qFormat/>
    <w:uiPriority w:val="0"/>
    <w:rPr>
      <w:b/>
    </w:rPr>
  </w:style>
  <w:style w:type="paragraph" w:customStyle="1" w:styleId="21">
    <w:name w:val="EFANormal"/>
    <w:link w:val="3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2">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3">
    <w:name w:val="EFAFPFrameText_11.5pt_Right"/>
    <w:basedOn w:val="24"/>
    <w:link w:val="112"/>
    <w:qFormat/>
    <w:uiPriority w:val="0"/>
    <w:pPr>
      <w:framePr w:wrap="around" w:xAlign="right" w:y="1"/>
      <w:suppressOverlap/>
      <w:jc w:val="right"/>
    </w:pPr>
    <w:rPr>
      <w:bCs/>
      <w:szCs w:val="32"/>
    </w:rPr>
  </w:style>
  <w:style w:type="paragraph" w:customStyle="1" w:styleId="24">
    <w:name w:val="EFAFPFrameText_11.5pt"/>
    <w:link w:val="110"/>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5">
    <w:name w:val="EFADisclaimerText"/>
    <w:basedOn w:val="21"/>
    <w:link w:val="140"/>
    <w:qFormat/>
    <w:uiPriority w:val="99"/>
    <w:pPr>
      <w:jc w:val="both"/>
    </w:pPr>
  </w:style>
  <w:style w:type="paragraph" w:styleId="26">
    <w:name w:val="List Paragraph"/>
    <w:basedOn w:val="1"/>
    <w:qFormat/>
    <w:uiPriority w:val="34"/>
    <w:pPr>
      <w:ind w:left="720"/>
      <w:contextualSpacing/>
    </w:pPr>
  </w:style>
  <w:style w:type="paragraph" w:customStyle="1" w:styleId="27">
    <w:name w:val="EFABullet_Red"/>
    <w:basedOn w:val="28"/>
    <w:qFormat/>
    <w:uiPriority w:val="99"/>
    <w:pPr>
      <w:numPr>
        <w:ilvl w:val="0"/>
        <w:numId w:val="2"/>
      </w:numPr>
      <w:tabs>
        <w:tab w:val="left" w:pos="481"/>
      </w:tabs>
      <w:ind w:left="0" w:firstLine="0"/>
    </w:pPr>
  </w:style>
  <w:style w:type="paragraph" w:customStyle="1" w:styleId="28">
    <w:name w:val="EFAFP_BodyText"/>
    <w:link w:val="38"/>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9">
    <w:name w:val="EFA2ndPageHeader"/>
    <w:basedOn w:val="21"/>
    <w:qFormat/>
    <w:uiPriority w:val="0"/>
    <w:pPr>
      <w:spacing w:before="40" w:after="40"/>
      <w:jc w:val="right"/>
    </w:pPr>
    <w:rPr>
      <w:color w:val="FF0000"/>
      <w:sz w:val="24"/>
    </w:rPr>
  </w:style>
  <w:style w:type="paragraph" w:customStyle="1" w:styleId="30">
    <w:name w:val="EFAPageFooter"/>
    <w:basedOn w:val="21"/>
    <w:qFormat/>
    <w:uiPriority w:val="0"/>
    <w:pPr>
      <w:framePr w:wrap="around" w:vAnchor="page" w:hAnchor="page" w:x="347" w:y="15481"/>
      <w:suppressOverlap/>
      <w:tabs>
        <w:tab w:val="center" w:pos="5165"/>
      </w:tabs>
    </w:pPr>
    <w:rPr>
      <w:b/>
      <w:sz w:val="20"/>
      <w:szCs w:val="20"/>
    </w:rPr>
  </w:style>
  <w:style w:type="paragraph" w:customStyle="1" w:styleId="31">
    <w:name w:val="EFAPageHeader"/>
    <w:basedOn w:val="21"/>
    <w:qFormat/>
    <w:uiPriority w:val="0"/>
    <w:pPr>
      <w:tabs>
        <w:tab w:val="right" w:pos="10692"/>
      </w:tabs>
      <w:spacing w:before="40" w:after="40"/>
    </w:pPr>
    <w:rPr>
      <w:color w:val="005BAC"/>
      <w:sz w:val="24"/>
    </w:rPr>
  </w:style>
  <w:style w:type="paragraph" w:customStyle="1" w:styleId="32">
    <w:name w:val="EFAHiddenBookmark"/>
    <w:basedOn w:val="1"/>
    <w:link w:val="33"/>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3">
    <w:name w:val="EFAHiddenBookmark Char"/>
    <w:link w:val="32"/>
    <w:qFormat/>
    <w:uiPriority w:val="99"/>
    <w:rPr>
      <w:rFonts w:ascii="Arial" w:hAnsi="Arial" w:eastAsia="Times New Roman"/>
      <w:vanish/>
      <w:kern w:val="2"/>
      <w:sz w:val="14"/>
      <w:szCs w:val="19"/>
      <w:lang w:val="en-GB" w:eastAsia="en-US"/>
    </w:rPr>
  </w:style>
  <w:style w:type="paragraph" w:customStyle="1" w:styleId="34">
    <w:name w:val="EFAPoweredByEFA"/>
    <w:link w:val="35"/>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5">
    <w:name w:val="EFAPoweredByEFA Char"/>
    <w:link w:val="34"/>
    <w:qFormat/>
    <w:uiPriority w:val="0"/>
    <w:rPr>
      <w:rFonts w:ascii="Arial" w:hAnsi="Arial" w:eastAsia="PMingLiU"/>
      <w:color w:val="5A5A5A"/>
      <w:sz w:val="9"/>
      <w:szCs w:val="9"/>
      <w:lang w:eastAsia="zh-TW"/>
    </w:rPr>
  </w:style>
  <w:style w:type="character" w:customStyle="1" w:styleId="36">
    <w:name w:val="EFANormal Char"/>
    <w:basedOn w:val="13"/>
    <w:link w:val="21"/>
    <w:qFormat/>
    <w:uiPriority w:val="0"/>
    <w:rPr>
      <w:lang w:eastAsia="ja-JP"/>
    </w:rPr>
  </w:style>
  <w:style w:type="character" w:customStyle="1" w:styleId="37">
    <w:name w:val="EFABodyText Char"/>
    <w:basedOn w:val="13"/>
    <w:link w:val="19"/>
    <w:qFormat/>
    <w:uiPriority w:val="0"/>
    <w:rPr>
      <w:sz w:val="20"/>
      <w:lang w:eastAsia="ja-JP"/>
    </w:rPr>
  </w:style>
  <w:style w:type="character" w:customStyle="1" w:styleId="38">
    <w:name w:val="EFAFP_BodyText Char"/>
    <w:basedOn w:val="13"/>
    <w:link w:val="28"/>
    <w:qFormat/>
    <w:uiPriority w:val="0"/>
    <w:rPr>
      <w:sz w:val="20"/>
      <w:lang w:eastAsia="ja-JP"/>
    </w:rPr>
  </w:style>
  <w:style w:type="paragraph" w:customStyle="1" w:styleId="39">
    <w:name w:val="EFAFPTag"/>
    <w:basedOn w:val="21"/>
    <w:qFormat/>
    <w:uiPriority w:val="0"/>
    <w:pPr>
      <w:jc w:val="center"/>
    </w:pPr>
    <w:rPr>
      <w:b/>
    </w:rPr>
  </w:style>
  <w:style w:type="paragraph" w:customStyle="1" w:styleId="40">
    <w:name w:val="EFAFPFooter2"/>
    <w:link w:val="126"/>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1">
    <w:name w:val="EFACharGrey"/>
    <w:qFormat/>
    <w:uiPriority w:val="1"/>
    <w:rPr>
      <w:color w:val="808080"/>
    </w:rPr>
  </w:style>
  <w:style w:type="paragraph" w:customStyle="1" w:styleId="42">
    <w:name w:val="EFAFPTitle"/>
    <w:link w:val="111"/>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3">
    <w:name w:val="EFAFPColFrameText"/>
    <w:link w:val="45"/>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4">
    <w:name w:val="EFAFPColFrameText_Right"/>
    <w:basedOn w:val="43"/>
    <w:qFormat/>
    <w:uiPriority w:val="0"/>
    <w:pPr>
      <w:framePr w:wrap="around"/>
      <w:jc w:val="right"/>
    </w:pPr>
  </w:style>
  <w:style w:type="character" w:customStyle="1" w:styleId="45">
    <w:name w:val="EFAFPColFrameText Char"/>
    <w:basedOn w:val="13"/>
    <w:link w:val="43"/>
    <w:qFormat/>
    <w:uiPriority w:val="0"/>
    <w:rPr>
      <w:sz w:val="14"/>
      <w:szCs w:val="14"/>
    </w:rPr>
  </w:style>
  <w:style w:type="paragraph" w:customStyle="1" w:styleId="46">
    <w:name w:val="EFAFPColFrameHeading"/>
    <w:basedOn w:val="43"/>
    <w:qFormat/>
    <w:uiPriority w:val="0"/>
    <w:pPr>
      <w:framePr w:wrap="around"/>
    </w:pPr>
    <w:rPr>
      <w:b/>
      <w:color w:val="23558C"/>
      <w:sz w:val="16"/>
    </w:rPr>
  </w:style>
  <w:style w:type="paragraph" w:customStyle="1" w:styleId="47">
    <w:name w:val="EFAFPColFrameText_Left"/>
    <w:basedOn w:val="43"/>
    <w:link w:val="69"/>
    <w:qFormat/>
    <w:uiPriority w:val="0"/>
    <w:pPr>
      <w:framePr w:wrap="around"/>
    </w:pPr>
  </w:style>
  <w:style w:type="paragraph" w:customStyle="1" w:styleId="48">
    <w:name w:val="EFAFPColFrame_Source"/>
    <w:basedOn w:val="47"/>
    <w:qFormat/>
    <w:uiPriority w:val="0"/>
    <w:pPr>
      <w:framePr w:wrap="around"/>
    </w:pPr>
    <w:rPr>
      <w:sz w:val="12"/>
      <w:szCs w:val="12"/>
    </w:rPr>
  </w:style>
  <w:style w:type="character" w:customStyle="1" w:styleId="49">
    <w:name w:val="EFACharBold"/>
    <w:basedOn w:val="13"/>
    <w:qFormat/>
    <w:uiPriority w:val="1"/>
    <w:rPr>
      <w:b/>
    </w:rPr>
  </w:style>
  <w:style w:type="paragraph" w:customStyle="1" w:styleId="50">
    <w:name w:val="EFAFPColFrame_AnalystName"/>
    <w:basedOn w:val="47"/>
    <w:qFormat/>
    <w:uiPriority w:val="0"/>
    <w:pPr>
      <w:framePr w:wrap="around"/>
    </w:pPr>
    <w:rPr>
      <w:b/>
      <w:sz w:val="16"/>
    </w:rPr>
  </w:style>
  <w:style w:type="paragraph" w:customStyle="1" w:styleId="51">
    <w:name w:val="EFAFPColFrameText_8pt"/>
    <w:basedOn w:val="47"/>
    <w:qFormat/>
    <w:uiPriority w:val="0"/>
    <w:pPr>
      <w:framePr w:wrap="around"/>
    </w:pPr>
    <w:rPr>
      <w:sz w:val="16"/>
    </w:rPr>
  </w:style>
  <w:style w:type="paragraph" w:customStyle="1" w:styleId="52">
    <w:name w:val="EFAFP_Source"/>
    <w:basedOn w:val="21"/>
    <w:qFormat/>
    <w:uiPriority w:val="0"/>
    <w:rPr>
      <w:sz w:val="12"/>
      <w:szCs w:val="12"/>
    </w:rPr>
  </w:style>
  <w:style w:type="paragraph" w:customStyle="1" w:styleId="53">
    <w:name w:val="EFAFP_Abstract"/>
    <w:qFormat/>
    <w:uiPriority w:val="0"/>
    <w:rPr>
      <w:rFonts w:ascii="Calibri" w:hAnsi="Calibri" w:eastAsia="MS Mincho" w:cs="Times New Roman"/>
      <w:snapToGrid w:val="0"/>
      <w:sz w:val="18"/>
      <w:szCs w:val="16"/>
      <w:lang w:val="en-US" w:eastAsia="ja-JP" w:bidi="ar-SA"/>
    </w:rPr>
  </w:style>
  <w:style w:type="paragraph" w:customStyle="1" w:styleId="54">
    <w:name w:val="EFABullet_Green"/>
    <w:basedOn w:val="28"/>
    <w:qFormat/>
    <w:uiPriority w:val="0"/>
    <w:pPr>
      <w:numPr>
        <w:ilvl w:val="0"/>
        <w:numId w:val="3"/>
      </w:numPr>
      <w:tabs>
        <w:tab w:val="left" w:pos="468"/>
      </w:tabs>
      <w:ind w:left="0" w:firstLine="0"/>
    </w:pPr>
  </w:style>
  <w:style w:type="paragraph" w:customStyle="1" w:styleId="55">
    <w:name w:val="EFABullet_Blue"/>
    <w:basedOn w:val="28"/>
    <w:qFormat/>
    <w:uiPriority w:val="0"/>
    <w:pPr>
      <w:numPr>
        <w:ilvl w:val="0"/>
        <w:numId w:val="4"/>
      </w:numPr>
      <w:tabs>
        <w:tab w:val="left" w:pos="468"/>
      </w:tabs>
      <w:ind w:left="0" w:firstLine="0"/>
    </w:pPr>
  </w:style>
  <w:style w:type="paragraph" w:customStyle="1" w:styleId="56">
    <w:name w:val="EFABullet_Yellow"/>
    <w:basedOn w:val="28"/>
    <w:qFormat/>
    <w:uiPriority w:val="0"/>
    <w:pPr>
      <w:numPr>
        <w:ilvl w:val="0"/>
        <w:numId w:val="5"/>
      </w:numPr>
      <w:tabs>
        <w:tab w:val="left" w:pos="468"/>
      </w:tabs>
      <w:ind w:left="0" w:firstLine="0"/>
    </w:pPr>
  </w:style>
  <w:style w:type="paragraph" w:customStyle="1" w:styleId="57">
    <w:name w:val="EFASource"/>
    <w:basedOn w:val="19"/>
    <w:qFormat/>
    <w:uiPriority w:val="0"/>
    <w:rPr>
      <w:sz w:val="12"/>
      <w:szCs w:val="14"/>
    </w:rPr>
  </w:style>
  <w:style w:type="paragraph" w:customStyle="1" w:styleId="58">
    <w:name w:val="EFASubHeader"/>
    <w:basedOn w:val="19"/>
    <w:next w:val="19"/>
    <w:link w:val="109"/>
    <w:qFormat/>
    <w:uiPriority w:val="0"/>
    <w:rPr>
      <w:b/>
      <w:bCs/>
    </w:rPr>
  </w:style>
  <w:style w:type="paragraph" w:customStyle="1" w:styleId="59">
    <w:name w:val="EFADisclaimerHeading"/>
    <w:basedOn w:val="25"/>
    <w:next w:val="25"/>
    <w:qFormat/>
    <w:uiPriority w:val="99"/>
    <w:rPr>
      <w:b/>
    </w:rPr>
  </w:style>
  <w:style w:type="paragraph" w:customStyle="1" w:styleId="60">
    <w:name w:val="EFADisclaimerHeading2"/>
    <w:basedOn w:val="25"/>
    <w:next w:val="25"/>
    <w:qFormat/>
    <w:uiPriority w:val="0"/>
    <w:rPr>
      <w:b/>
      <w:sz w:val="20"/>
      <w:szCs w:val="20"/>
    </w:rPr>
  </w:style>
  <w:style w:type="paragraph" w:customStyle="1" w:styleId="61">
    <w:name w:val="EFADisclaimerHeading3"/>
    <w:basedOn w:val="25"/>
    <w:qFormat/>
    <w:uiPriority w:val="0"/>
    <w:rPr>
      <w:b/>
      <w:sz w:val="18"/>
      <w:szCs w:val="18"/>
    </w:rPr>
  </w:style>
  <w:style w:type="paragraph" w:customStyle="1" w:styleId="62">
    <w:name w:val="EFASideComment"/>
    <w:basedOn w:val="19"/>
    <w:qFormat/>
    <w:uiPriority w:val="0"/>
    <w:pPr>
      <w:framePr w:w="2980" w:hSpace="180" w:wrap="around" w:vAnchor="text" w:hAnchor="text" w:x="-3250" w:y="160"/>
    </w:pPr>
  </w:style>
  <w:style w:type="character" w:customStyle="1" w:styleId="63">
    <w:name w:val="EFACharBold_and_AllCap"/>
    <w:qFormat/>
    <w:uiPriority w:val="1"/>
    <w:rPr>
      <w:b/>
      <w:caps/>
    </w:rPr>
  </w:style>
  <w:style w:type="paragraph" w:customStyle="1" w:styleId="64">
    <w:name w:val="__Table_Normal"/>
    <w:basedOn w:val="1"/>
    <w:link w:val="65"/>
    <w:qFormat/>
    <w:uiPriority w:val="0"/>
    <w:rPr>
      <w:snapToGrid/>
      <w:color w:val="000000"/>
      <w:kern w:val="28"/>
    </w:rPr>
  </w:style>
  <w:style w:type="character" w:customStyle="1" w:styleId="65">
    <w:name w:val="__Table_Normal Char"/>
    <w:basedOn w:val="13"/>
    <w:link w:val="64"/>
    <w:qFormat/>
    <w:uiPriority w:val="0"/>
    <w:rPr>
      <w:snapToGrid/>
      <w:color w:val="000000"/>
      <w:kern w:val="28"/>
      <w:lang w:eastAsia="ja-JP"/>
    </w:rPr>
  </w:style>
  <w:style w:type="paragraph" w:customStyle="1" w:styleId="66">
    <w:name w:val="Front pg Tbl left just 7 pt"/>
    <w:basedOn w:val="1"/>
    <w:link w:val="67"/>
    <w:qFormat/>
    <w:uiPriority w:val="0"/>
    <w:rPr>
      <w:snapToGrid/>
      <w:sz w:val="14"/>
      <w:szCs w:val="24"/>
    </w:rPr>
  </w:style>
  <w:style w:type="character" w:customStyle="1" w:styleId="67">
    <w:name w:val="Front pg Tbl left just 7 pt Char Char"/>
    <w:basedOn w:val="13"/>
    <w:link w:val="66"/>
    <w:qFormat/>
    <w:uiPriority w:val="0"/>
    <w:rPr>
      <w:snapToGrid/>
      <w:sz w:val="14"/>
      <w:szCs w:val="24"/>
      <w:lang w:eastAsia="ja-JP"/>
    </w:rPr>
  </w:style>
  <w:style w:type="paragraph" w:customStyle="1" w:styleId="68">
    <w:name w:val="EFAFPColFrameText_Center"/>
    <w:basedOn w:val="47"/>
    <w:link w:val="70"/>
    <w:qFormat/>
    <w:uiPriority w:val="0"/>
    <w:pPr>
      <w:framePr w:wrap="around"/>
    </w:pPr>
  </w:style>
  <w:style w:type="character" w:customStyle="1" w:styleId="69">
    <w:name w:val="EFAFPColFrameText_Left Char"/>
    <w:basedOn w:val="45"/>
    <w:link w:val="47"/>
    <w:qFormat/>
    <w:uiPriority w:val="0"/>
    <w:rPr>
      <w:sz w:val="14"/>
      <w:szCs w:val="14"/>
    </w:rPr>
  </w:style>
  <w:style w:type="character" w:customStyle="1" w:styleId="70">
    <w:name w:val="EFAFPColFrameText_Center Char"/>
    <w:basedOn w:val="69"/>
    <w:link w:val="68"/>
    <w:qFormat/>
    <w:uiPriority w:val="0"/>
    <w:rPr>
      <w:sz w:val="14"/>
      <w:szCs w:val="14"/>
    </w:rPr>
  </w:style>
  <w:style w:type="paragraph" w:customStyle="1" w:styleId="71">
    <w:name w:val="EFAAnchor"/>
    <w:basedOn w:val="21"/>
    <w:qFormat/>
    <w:uiPriority w:val="0"/>
    <w:rPr>
      <w:sz w:val="4"/>
      <w:lang w:eastAsia="zh-CN"/>
    </w:rPr>
  </w:style>
  <w:style w:type="paragraph" w:customStyle="1" w:styleId="72">
    <w:name w:val="EFAFPColFrameAnchor"/>
    <w:basedOn w:val="43"/>
    <w:qFormat/>
    <w:uiPriority w:val="0"/>
    <w:pPr>
      <w:framePr w:wrap="around"/>
    </w:pPr>
    <w:rPr>
      <w:sz w:val="4"/>
      <w:szCs w:val="4"/>
    </w:rPr>
  </w:style>
  <w:style w:type="paragraph" w:customStyle="1" w:styleId="73">
    <w:name w:val="EFAFigureTitle_SC"/>
    <w:basedOn w:val="19"/>
    <w:next w:val="19"/>
    <w:link w:val="75"/>
    <w:qFormat/>
    <w:uiPriority w:val="0"/>
    <w:pPr>
      <w:spacing w:before="40" w:after="40"/>
    </w:pPr>
    <w:rPr>
      <w:rFonts w:cs="Calibri"/>
      <w:b/>
      <w:sz w:val="17"/>
    </w:rPr>
  </w:style>
  <w:style w:type="paragraph" w:customStyle="1" w:styleId="74">
    <w:name w:val="EFASource_SC"/>
    <w:basedOn w:val="19"/>
    <w:next w:val="19"/>
    <w:qFormat/>
    <w:uiPriority w:val="0"/>
    <w:rPr>
      <w:sz w:val="12"/>
    </w:rPr>
  </w:style>
  <w:style w:type="character" w:customStyle="1" w:styleId="75">
    <w:name w:val="EFAFigureTitle_SC Char"/>
    <w:basedOn w:val="37"/>
    <w:link w:val="73"/>
    <w:qFormat/>
    <w:uiPriority w:val="0"/>
    <w:rPr>
      <w:rFonts w:cs="Calibri"/>
      <w:b/>
      <w:sz w:val="17"/>
      <w:lang w:eastAsia="ja-JP"/>
    </w:rPr>
  </w:style>
  <w:style w:type="paragraph" w:customStyle="1" w:styleId="76">
    <w:name w:val="EFAFPCol_Hdr2"/>
    <w:basedOn w:val="43"/>
    <w:link w:val="78"/>
    <w:qFormat/>
    <w:uiPriority w:val="0"/>
    <w:pPr>
      <w:framePr w:wrap="around"/>
      <w:jc w:val="both"/>
    </w:pPr>
    <w:rPr>
      <w:b/>
      <w:color w:val="808080"/>
      <w:sz w:val="24"/>
      <w:szCs w:val="24"/>
    </w:rPr>
  </w:style>
  <w:style w:type="paragraph" w:customStyle="1" w:styleId="77">
    <w:name w:val="EFAFP_CustomRec"/>
    <w:link w:val="80"/>
    <w:qFormat/>
    <w:uiPriority w:val="0"/>
    <w:rPr>
      <w:rFonts w:ascii="Calibri" w:hAnsi="Calibri" w:eastAsia="MS Mincho" w:cs="Times New Roman"/>
      <w:b/>
      <w:bCs/>
      <w:snapToGrid w:val="0"/>
      <w:color w:val="23558C"/>
      <w:sz w:val="40"/>
      <w:szCs w:val="24"/>
      <w:lang w:val="en-US" w:eastAsia="zh-CN" w:bidi="ar-SA"/>
    </w:rPr>
  </w:style>
  <w:style w:type="character" w:customStyle="1" w:styleId="78">
    <w:name w:val="EFAFPCol_Hdr2 Char"/>
    <w:basedOn w:val="45"/>
    <w:link w:val="76"/>
    <w:qFormat/>
    <w:uiPriority w:val="0"/>
    <w:rPr>
      <w:b/>
      <w:color w:val="808080"/>
      <w:sz w:val="24"/>
      <w:szCs w:val="24"/>
    </w:rPr>
  </w:style>
  <w:style w:type="paragraph" w:customStyle="1" w:styleId="79">
    <w:name w:val="EFAFP_Rec"/>
    <w:basedOn w:val="43"/>
    <w:link w:val="82"/>
    <w:qFormat/>
    <w:uiPriority w:val="0"/>
    <w:pPr>
      <w:framePr w:wrap="around"/>
    </w:pPr>
    <w:rPr>
      <w:b/>
      <w:bCs/>
      <w:color w:val="23558C"/>
      <w:sz w:val="36"/>
    </w:rPr>
  </w:style>
  <w:style w:type="character" w:customStyle="1" w:styleId="80">
    <w:name w:val="EFAFP_CustomRec Char"/>
    <w:basedOn w:val="13"/>
    <w:link w:val="77"/>
    <w:qFormat/>
    <w:uiPriority w:val="0"/>
    <w:rPr>
      <w:b/>
      <w:bCs/>
      <w:color w:val="23558C"/>
      <w:sz w:val="40"/>
      <w:szCs w:val="24"/>
    </w:rPr>
  </w:style>
  <w:style w:type="character" w:customStyle="1" w:styleId="81">
    <w:name w:val="EFAFPReportType Char"/>
    <w:basedOn w:val="13"/>
    <w:link w:val="17"/>
    <w:qFormat/>
    <w:uiPriority w:val="0"/>
    <w:rPr>
      <w:color w:val="23558C"/>
      <w:sz w:val="44"/>
      <w:szCs w:val="44"/>
      <w:lang w:eastAsia="ja-JP"/>
    </w:rPr>
  </w:style>
  <w:style w:type="character" w:customStyle="1" w:styleId="82">
    <w:name w:val="EFAFP_Rec Char"/>
    <w:basedOn w:val="78"/>
    <w:link w:val="79"/>
    <w:qFormat/>
    <w:uiPriority w:val="0"/>
    <w:rPr>
      <w:bCs/>
      <w:color w:val="23558C"/>
      <w:sz w:val="36"/>
      <w:szCs w:val="14"/>
    </w:rPr>
  </w:style>
  <w:style w:type="paragraph" w:customStyle="1" w:styleId="83">
    <w:name w:val="EFAFPHdrInfo"/>
    <w:link w:val="84"/>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4">
    <w:name w:val="EFAFPHdrInfo Char"/>
    <w:basedOn w:val="81"/>
    <w:link w:val="83"/>
    <w:qFormat/>
    <w:uiPriority w:val="0"/>
    <w:rPr>
      <w:b/>
      <w:bCs/>
      <w:color w:val="000000"/>
      <w:sz w:val="32"/>
      <w:szCs w:val="32"/>
      <w:lang w:eastAsia="ja-JP"/>
    </w:rPr>
  </w:style>
  <w:style w:type="paragraph" w:customStyle="1" w:styleId="85">
    <w:name w:val="Style EFAFP_BodyText + After:  6 pt"/>
    <w:basedOn w:val="28"/>
    <w:qFormat/>
    <w:uiPriority w:val="0"/>
    <w:pPr>
      <w:spacing w:after="120"/>
    </w:pPr>
    <w:rPr>
      <w:rFonts w:eastAsia="Times New Roman"/>
      <w:snapToGrid/>
      <w:sz w:val="22"/>
      <w:szCs w:val="20"/>
    </w:rPr>
  </w:style>
  <w:style w:type="paragraph" w:customStyle="1" w:styleId="86">
    <w:name w:val="Style EFAFP_BodyText + 12 pt Bold Black After:  6 pt Kern at 14..."/>
    <w:basedOn w:val="28"/>
    <w:qFormat/>
    <w:uiPriority w:val="0"/>
    <w:pPr>
      <w:spacing w:after="120"/>
    </w:pPr>
    <w:rPr>
      <w:rFonts w:eastAsia="Times New Roman"/>
      <w:b/>
      <w:bCs/>
      <w:snapToGrid/>
      <w:color w:val="000000"/>
      <w:kern w:val="28"/>
      <w:sz w:val="26"/>
      <w:szCs w:val="20"/>
    </w:rPr>
  </w:style>
  <w:style w:type="paragraph" w:customStyle="1" w:styleId="87">
    <w:name w:val="EFAFP_Headline"/>
    <w:next w:val="88"/>
    <w:link w:val="89"/>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8">
    <w:name w:val="EFAFP_BodyText2"/>
    <w:link w:val="91"/>
    <w:qFormat/>
    <w:uiPriority w:val="0"/>
    <w:pPr>
      <w:adjustRightInd w:val="0"/>
      <w:snapToGrid w:val="0"/>
      <w:spacing w:after="120"/>
    </w:pPr>
    <w:rPr>
      <w:rFonts w:ascii="Calibri" w:hAnsi="Calibri" w:eastAsia="Times New Roman" w:cs="PMingLiU"/>
      <w:lang w:val="en-US" w:eastAsia="ja-JP" w:bidi="ar-SA"/>
    </w:rPr>
  </w:style>
  <w:style w:type="character" w:customStyle="1" w:styleId="89">
    <w:name w:val="EFAFP_Headline Char"/>
    <w:basedOn w:val="13"/>
    <w:link w:val="87"/>
    <w:qFormat/>
    <w:uiPriority w:val="0"/>
    <w:rPr>
      <w:rFonts w:eastAsia="Times New Roman"/>
      <w:b/>
      <w:bCs/>
      <w:snapToGrid/>
      <w:color w:val="23558C"/>
      <w:kern w:val="28"/>
      <w:sz w:val="28"/>
      <w:szCs w:val="20"/>
      <w:lang w:eastAsia="ja-JP"/>
    </w:rPr>
  </w:style>
  <w:style w:type="character" w:customStyle="1" w:styleId="90">
    <w:name w:val="EFABlueChar"/>
    <w:qFormat/>
    <w:uiPriority w:val="1"/>
    <w:rPr>
      <w:b/>
      <w:color w:val="23508C"/>
    </w:rPr>
  </w:style>
  <w:style w:type="character" w:customStyle="1" w:styleId="91">
    <w:name w:val="EFAFP_BodyText2 Char"/>
    <w:basedOn w:val="13"/>
    <w:link w:val="88"/>
    <w:qFormat/>
    <w:uiPriority w:val="0"/>
    <w:rPr>
      <w:rFonts w:eastAsia="Times New Roman" w:cs="PMingLiU"/>
      <w:snapToGrid/>
      <w:sz w:val="20"/>
      <w:szCs w:val="20"/>
      <w:lang w:eastAsia="ja-JP"/>
    </w:rPr>
  </w:style>
  <w:style w:type="paragraph" w:customStyle="1" w:styleId="92">
    <w:name w:val="EFAHeading2"/>
    <w:basedOn w:val="1"/>
    <w:link w:val="94"/>
    <w:qFormat/>
    <w:uiPriority w:val="0"/>
    <w:pPr>
      <w:widowControl w:val="0"/>
      <w:adjustRightInd w:val="0"/>
      <w:snapToGrid w:val="0"/>
      <w:spacing w:before="160"/>
    </w:pPr>
    <w:rPr>
      <w:color w:val="23558C"/>
      <w:kern w:val="28"/>
      <w:sz w:val="28"/>
    </w:rPr>
  </w:style>
  <w:style w:type="paragraph" w:customStyle="1" w:styleId="93">
    <w:name w:val="EFABodyText2"/>
    <w:basedOn w:val="19"/>
    <w:link w:val="96"/>
    <w:qFormat/>
    <w:uiPriority w:val="0"/>
    <w:rPr>
      <w:szCs w:val="22"/>
    </w:rPr>
  </w:style>
  <w:style w:type="character" w:customStyle="1" w:styleId="94">
    <w:name w:val="EFAHeading2 Char"/>
    <w:basedOn w:val="13"/>
    <w:link w:val="92"/>
    <w:qFormat/>
    <w:uiPriority w:val="0"/>
    <w:rPr>
      <w:color w:val="23558C"/>
      <w:kern w:val="28"/>
      <w:sz w:val="28"/>
      <w:lang w:eastAsia="ja-JP"/>
    </w:rPr>
  </w:style>
  <w:style w:type="paragraph" w:customStyle="1" w:styleId="95">
    <w:name w:val="EFAHeading_with_bullet"/>
    <w:basedOn w:val="1"/>
    <w:next w:val="93"/>
    <w:link w:val="97"/>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6">
    <w:name w:val="EFABodyText2 Char"/>
    <w:basedOn w:val="37"/>
    <w:link w:val="93"/>
    <w:qFormat/>
    <w:uiPriority w:val="0"/>
    <w:rPr>
      <w:sz w:val="20"/>
      <w:szCs w:val="22"/>
      <w:lang w:eastAsia="ja-JP"/>
    </w:rPr>
  </w:style>
  <w:style w:type="character" w:customStyle="1" w:styleId="97">
    <w:name w:val="EFAHeading_with_bullet Char"/>
    <w:basedOn w:val="13"/>
    <w:link w:val="95"/>
    <w:qFormat/>
    <w:uiPriority w:val="0"/>
    <w:rPr>
      <w:b/>
      <w:color w:val="23558C"/>
      <w:kern w:val="28"/>
      <w:sz w:val="28"/>
      <w:lang w:eastAsia="ja-JP"/>
    </w:rPr>
  </w:style>
  <w:style w:type="paragraph" w:customStyle="1" w:styleId="98">
    <w:name w:val="EFARiskText"/>
    <w:link w:val="100"/>
    <w:qFormat/>
    <w:uiPriority w:val="0"/>
    <w:pPr>
      <w:jc w:val="center"/>
    </w:pPr>
    <w:rPr>
      <w:rFonts w:ascii="Calibri" w:hAnsi="Calibri" w:eastAsia="MS Mincho" w:cs="Times New Roman"/>
      <w:color w:val="23508C"/>
      <w:sz w:val="16"/>
      <w:szCs w:val="16"/>
      <w:lang w:val="en-US" w:eastAsia="ja-JP" w:bidi="ar-SA"/>
    </w:rPr>
  </w:style>
  <w:style w:type="paragraph" w:customStyle="1" w:styleId="99">
    <w:name w:val="EFARiskText_Inv"/>
    <w:basedOn w:val="98"/>
    <w:link w:val="101"/>
    <w:qFormat/>
    <w:uiPriority w:val="0"/>
    <w:rPr>
      <w:b/>
      <w:color w:val="FFFFFF"/>
    </w:rPr>
  </w:style>
  <w:style w:type="character" w:customStyle="1" w:styleId="100">
    <w:name w:val="EFARiskText Char"/>
    <w:basedOn w:val="13"/>
    <w:link w:val="98"/>
    <w:qFormat/>
    <w:uiPriority w:val="0"/>
    <w:rPr>
      <w:snapToGrid/>
      <w:color w:val="23508C"/>
      <w:lang w:eastAsia="ja-JP"/>
    </w:rPr>
  </w:style>
  <w:style w:type="character" w:customStyle="1" w:styleId="101">
    <w:name w:val="EFARiskText_Inv Char"/>
    <w:basedOn w:val="100"/>
    <w:link w:val="99"/>
    <w:qFormat/>
    <w:uiPriority w:val="0"/>
    <w:rPr>
      <w:b/>
      <w:snapToGrid/>
      <w:color w:val="FFFFFF"/>
      <w:lang w:eastAsia="ja-JP"/>
    </w:rPr>
  </w:style>
  <w:style w:type="paragraph" w:customStyle="1" w:styleId="102">
    <w:name w:val="EFAHeading3"/>
    <w:basedOn w:val="1"/>
    <w:link w:val="107"/>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3">
    <w:name w:val="EFATextInBullet"/>
    <w:link w:val="105"/>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4">
    <w:name w:val="EFATextInBullet_Inv"/>
    <w:basedOn w:val="103"/>
    <w:qFormat/>
    <w:uiPriority w:val="0"/>
    <w:rPr>
      <w:color w:val="FFFFFF" w:themeColor="background1"/>
      <w14:textFill>
        <w14:solidFill>
          <w14:schemeClr w14:val="bg1"/>
        </w14:solidFill>
      </w14:textFill>
    </w:rPr>
  </w:style>
  <w:style w:type="character" w:customStyle="1" w:styleId="105">
    <w:name w:val="EFATextInBullet Char"/>
    <w:basedOn w:val="13"/>
    <w:link w:val="103"/>
    <w:qFormat/>
    <w:uiPriority w:val="0"/>
    <w:rPr>
      <w:b/>
      <w:bCs/>
      <w:lang w:eastAsia="ja-JP"/>
    </w:rPr>
  </w:style>
  <w:style w:type="paragraph" w:customStyle="1" w:styleId="106">
    <w:name w:val="EFAHeading"/>
    <w:link w:val="108"/>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7">
    <w:name w:val="EFAHeading3 Char"/>
    <w:basedOn w:val="13"/>
    <w:link w:val="102"/>
    <w:qFormat/>
    <w:uiPriority w:val="0"/>
    <w:rPr>
      <w:b/>
      <w:color w:val="23558C"/>
      <w:kern w:val="28"/>
      <w:sz w:val="28"/>
      <w:lang w:eastAsia="ja-JP"/>
    </w:rPr>
  </w:style>
  <w:style w:type="character" w:customStyle="1" w:styleId="108">
    <w:name w:val="EFAHeading Char"/>
    <w:basedOn w:val="13"/>
    <w:link w:val="106"/>
    <w:qFormat/>
    <w:uiPriority w:val="0"/>
    <w:rPr>
      <w:b/>
      <w:color w:val="000000"/>
      <w:kern w:val="28"/>
      <w:sz w:val="24"/>
      <w:szCs w:val="14"/>
      <w:lang w:eastAsia="ja-JP"/>
    </w:rPr>
  </w:style>
  <w:style w:type="character" w:customStyle="1" w:styleId="109">
    <w:name w:val="EFASubHeader Char"/>
    <w:basedOn w:val="37"/>
    <w:link w:val="58"/>
    <w:qFormat/>
    <w:uiPriority w:val="0"/>
    <w:rPr>
      <w:b/>
      <w:bCs/>
      <w:sz w:val="20"/>
      <w:lang w:eastAsia="ja-JP"/>
    </w:rPr>
  </w:style>
  <w:style w:type="character" w:customStyle="1" w:styleId="110">
    <w:name w:val="EFAFPFrameText_11.5pt Char"/>
    <w:basedOn w:val="13"/>
    <w:link w:val="24"/>
    <w:qFormat/>
    <w:uiPriority w:val="0"/>
    <w:rPr>
      <w:b/>
      <w:color w:val="23558C"/>
      <w:sz w:val="24"/>
      <w:lang w:eastAsia="ja-JP"/>
    </w:rPr>
  </w:style>
  <w:style w:type="character" w:customStyle="1" w:styleId="111">
    <w:name w:val="EFAFPTitle Char"/>
    <w:basedOn w:val="13"/>
    <w:link w:val="42"/>
    <w:qFormat/>
    <w:uiPriority w:val="0"/>
    <w:rPr>
      <w:b/>
      <w:color w:val="FFFFFF"/>
      <w:sz w:val="32"/>
      <w:szCs w:val="32"/>
      <w:lang w:eastAsia="ja-JP"/>
    </w:rPr>
  </w:style>
  <w:style w:type="character" w:customStyle="1" w:styleId="112">
    <w:name w:val="EFAFPFrameText_11.5pt_Right Char"/>
    <w:basedOn w:val="110"/>
    <w:link w:val="23"/>
    <w:qFormat/>
    <w:uiPriority w:val="0"/>
    <w:rPr>
      <w:bCs/>
      <w:color w:val="23558C"/>
      <w:sz w:val="24"/>
      <w:szCs w:val="32"/>
      <w:lang w:eastAsia="ja-JP"/>
    </w:rPr>
  </w:style>
  <w:style w:type="paragraph" w:customStyle="1" w:styleId="113">
    <w:name w:val="EFADisclaimerHiddenText"/>
    <w:link w:val="114"/>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4">
    <w:name w:val="EFADisclaimerHiddenText Char"/>
    <w:basedOn w:val="13"/>
    <w:link w:val="113"/>
    <w:qFormat/>
    <w:uiPriority w:val="0"/>
    <w:rPr>
      <w:vanish/>
      <w:color w:val="FFFFFF"/>
      <w:sz w:val="2"/>
      <w:lang w:eastAsia="ja-JP"/>
    </w:rPr>
  </w:style>
  <w:style w:type="paragraph" w:customStyle="1" w:styleId="115">
    <w:name w:val="EFATagging"/>
    <w:link w:val="116"/>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6">
    <w:name w:val="EFATagging Char"/>
    <w:basedOn w:val="13"/>
    <w:link w:val="115"/>
    <w:qFormat/>
    <w:uiPriority w:val="0"/>
    <w:rPr>
      <w:bCs/>
      <w:color w:val="0066CC" w:themeColor="accent1" w:themeShade="80"/>
      <w:lang w:eastAsia="ja-JP"/>
    </w:rPr>
  </w:style>
  <w:style w:type="paragraph" w:customStyle="1" w:styleId="117">
    <w:name w:val="EFAFP_Tagging"/>
    <w:link w:val="118"/>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8">
    <w:name w:val="EFAFP_Tagging Char"/>
    <w:basedOn w:val="13"/>
    <w:link w:val="117"/>
    <w:qFormat/>
    <w:uiPriority w:val="0"/>
    <w:rPr>
      <w:color w:val="0066CC" w:themeColor="accent1" w:themeShade="80"/>
      <w:szCs w:val="20"/>
      <w:lang w:eastAsia="ja-JP"/>
    </w:rPr>
  </w:style>
  <w:style w:type="paragraph" w:customStyle="1" w:styleId="119">
    <w:name w:val="EFAFPHdrInfo3"/>
    <w:link w:val="120"/>
    <w:qFormat/>
    <w:uiPriority w:val="0"/>
    <w:rPr>
      <w:rFonts w:ascii="Calibri" w:hAnsi="Calibri" w:eastAsia="MS Mincho" w:cs="Times New Roman"/>
      <w:b/>
      <w:bCs/>
      <w:snapToGrid w:val="0"/>
      <w:color w:val="000000"/>
      <w:sz w:val="32"/>
      <w:lang w:val="en-US" w:eastAsia="ja-JP" w:bidi="ar-SA"/>
    </w:rPr>
  </w:style>
  <w:style w:type="character" w:customStyle="1" w:styleId="120">
    <w:name w:val="EFAFPHdrInfo3 Char"/>
    <w:basedOn w:val="13"/>
    <w:link w:val="119"/>
    <w:qFormat/>
    <w:uiPriority w:val="0"/>
    <w:rPr>
      <w:b/>
      <w:bCs/>
      <w:color w:val="000000"/>
      <w:sz w:val="32"/>
      <w:szCs w:val="20"/>
      <w:lang w:eastAsia="ja-JP"/>
    </w:rPr>
  </w:style>
  <w:style w:type="paragraph" w:customStyle="1" w:styleId="121">
    <w:name w:val="EFAFP_HTI_Link"/>
    <w:basedOn w:val="43"/>
    <w:qFormat/>
    <w:uiPriority w:val="0"/>
    <w:pPr>
      <w:framePr w:wrap="around"/>
      <w:jc w:val="center"/>
    </w:pPr>
    <w:rPr>
      <w:sz w:val="20"/>
      <w:szCs w:val="20"/>
    </w:rPr>
  </w:style>
  <w:style w:type="paragraph" w:customStyle="1" w:styleId="122">
    <w:name w:val="EFAFPTitle6"/>
    <w:link w:val="123"/>
    <w:qFormat/>
    <w:uiPriority w:val="0"/>
    <w:rPr>
      <w:rFonts w:ascii="Calibri" w:hAnsi="Calibri" w:eastAsia="MS Mincho" w:cs="Times New Roman"/>
      <w:b/>
      <w:bCs/>
      <w:snapToGrid w:val="0"/>
      <w:color w:val="FFFFFF"/>
      <w:sz w:val="32"/>
      <w:lang w:val="en-US" w:eastAsia="ja-JP" w:bidi="ar-SA"/>
    </w:rPr>
  </w:style>
  <w:style w:type="character" w:customStyle="1" w:styleId="123">
    <w:name w:val="EFAFPTitle6 Char"/>
    <w:basedOn w:val="13"/>
    <w:link w:val="122"/>
    <w:qFormat/>
    <w:uiPriority w:val="0"/>
    <w:rPr>
      <w:b/>
      <w:bCs/>
      <w:color w:val="FFFFFF"/>
      <w:sz w:val="32"/>
      <w:szCs w:val="20"/>
      <w:lang w:eastAsia="ja-JP"/>
    </w:rPr>
  </w:style>
  <w:style w:type="paragraph" w:customStyle="1" w:styleId="124">
    <w:name w:val="EFAHiddenText"/>
    <w:link w:val="125"/>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5">
    <w:name w:val="EFAHiddenText Char"/>
    <w:basedOn w:val="13"/>
    <w:link w:val="124"/>
    <w:qFormat/>
    <w:uiPriority w:val="0"/>
    <w:rPr>
      <w:vanish/>
      <w:sz w:val="2"/>
      <w:lang w:eastAsia="ja-JP"/>
    </w:rPr>
  </w:style>
  <w:style w:type="character" w:customStyle="1" w:styleId="126">
    <w:name w:val="EFAFPFooter2 Char"/>
    <w:basedOn w:val="13"/>
    <w:link w:val="40"/>
    <w:qFormat/>
    <w:uiPriority w:val="0"/>
    <w:rPr>
      <w:rFonts w:cs="Arial"/>
      <w:sz w:val="21"/>
      <w:lang w:eastAsia="ja-JP"/>
    </w:rPr>
  </w:style>
  <w:style w:type="table" w:customStyle="1" w:styleId="127">
    <w:name w:val="Table Grid1"/>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8">
    <w:name w:val="EFAFP_HTI_Link2"/>
    <w:link w:val="129"/>
    <w:qFormat/>
    <w:uiPriority w:val="0"/>
    <w:rPr>
      <w:rFonts w:ascii="Calibri" w:hAnsi="Calibri" w:eastAsia="MS Mincho" w:cs="Times New Roman"/>
      <w:snapToGrid w:val="0"/>
      <w:sz w:val="16"/>
      <w:szCs w:val="16"/>
      <w:lang w:val="en-US" w:eastAsia="zh-CN" w:bidi="ar-SA"/>
    </w:rPr>
  </w:style>
  <w:style w:type="character" w:customStyle="1" w:styleId="129">
    <w:name w:val="EFAFP_HTI_Link2 Char"/>
    <w:basedOn w:val="13"/>
    <w:link w:val="128"/>
    <w:qFormat/>
    <w:uiPriority w:val="0"/>
  </w:style>
  <w:style w:type="paragraph" w:customStyle="1" w:styleId="130">
    <w:name w:val="EFAFP_HeadLine_SE"/>
    <w:link w:val="132"/>
    <w:qFormat/>
    <w:uiPriority w:val="0"/>
    <w:rPr>
      <w:rFonts w:ascii="Calibri" w:hAnsi="Calibri" w:eastAsia="Times New Roman" w:cs="Times New Roman"/>
      <w:b/>
      <w:bCs/>
      <w:color w:val="23558C"/>
      <w:kern w:val="28"/>
      <w:sz w:val="22"/>
      <w:lang w:val="en-US" w:eastAsia="ja-JP" w:bidi="ar-SA"/>
    </w:rPr>
  </w:style>
  <w:style w:type="paragraph" w:customStyle="1" w:styleId="131">
    <w:name w:val="EFAFPBodyText_SE"/>
    <w:link w:val="133"/>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2">
    <w:name w:val="EFAFP_HeadLine_SE Char"/>
    <w:basedOn w:val="13"/>
    <w:link w:val="130"/>
    <w:qFormat/>
    <w:uiPriority w:val="0"/>
    <w:rPr>
      <w:rFonts w:eastAsia="Times New Roman"/>
      <w:b/>
      <w:bCs/>
      <w:snapToGrid/>
      <w:color w:val="23558C"/>
      <w:kern w:val="28"/>
      <w:sz w:val="22"/>
      <w:szCs w:val="20"/>
      <w:lang w:eastAsia="ja-JP"/>
    </w:rPr>
  </w:style>
  <w:style w:type="character" w:customStyle="1" w:styleId="133">
    <w:name w:val="EFAFPBodyText_SE Char"/>
    <w:basedOn w:val="13"/>
    <w:link w:val="131"/>
    <w:qFormat/>
    <w:uiPriority w:val="0"/>
    <w:rPr>
      <w:rFonts w:eastAsia="Times New Roman" w:cs="PMingLiU"/>
      <w:snapToGrid/>
      <w:sz w:val="20"/>
      <w:szCs w:val="20"/>
      <w:lang w:eastAsia="ja-JP"/>
    </w:rPr>
  </w:style>
  <w:style w:type="paragraph" w:customStyle="1" w:styleId="134">
    <w:name w:val="EFAHeader_SE"/>
    <w:link w:val="136"/>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5">
    <w:name w:val="EFABodyText_SE"/>
    <w:link w:val="138"/>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6">
    <w:name w:val="EFAHeader_SE Char"/>
    <w:basedOn w:val="13"/>
    <w:link w:val="134"/>
    <w:qFormat/>
    <w:uiPriority w:val="0"/>
    <w:rPr>
      <w:b/>
      <w:bCs/>
      <w:snapToGrid/>
      <w:color w:val="23558C"/>
      <w:kern w:val="28"/>
      <w:sz w:val="22"/>
      <w:lang w:eastAsia="ja-JP"/>
    </w:rPr>
  </w:style>
  <w:style w:type="paragraph" w:customStyle="1" w:styleId="137">
    <w:name w:val="EFABodyText_SE2"/>
    <w:link w:val="139"/>
    <w:qFormat/>
    <w:uiPriority w:val="0"/>
    <w:rPr>
      <w:rFonts w:ascii="Calibri" w:hAnsi="Calibri" w:eastAsia="Times New Roman" w:cs="PMingLiU"/>
      <w:lang w:val="en-US" w:eastAsia="ja-JP" w:bidi="ar-SA"/>
    </w:rPr>
  </w:style>
  <w:style w:type="character" w:customStyle="1" w:styleId="138">
    <w:name w:val="EFABodyText_SE Char"/>
    <w:basedOn w:val="13"/>
    <w:link w:val="135"/>
    <w:qFormat/>
    <w:uiPriority w:val="0"/>
    <w:rPr>
      <w:rFonts w:eastAsia="Times New Roman" w:cs="PMingLiU"/>
      <w:snapToGrid/>
      <w:sz w:val="20"/>
      <w:szCs w:val="20"/>
      <w:lang w:eastAsia="ja-JP"/>
    </w:rPr>
  </w:style>
  <w:style w:type="character" w:customStyle="1" w:styleId="139">
    <w:name w:val="EFABodyText_SE2 Char"/>
    <w:basedOn w:val="13"/>
    <w:link w:val="137"/>
    <w:qFormat/>
    <w:uiPriority w:val="0"/>
    <w:rPr>
      <w:rFonts w:eastAsia="Times New Roman" w:cs="PMingLiU"/>
      <w:snapToGrid/>
      <w:sz w:val="20"/>
      <w:szCs w:val="20"/>
      <w:lang w:eastAsia="ja-JP"/>
    </w:rPr>
  </w:style>
  <w:style w:type="character" w:customStyle="1" w:styleId="140">
    <w:name w:val="EFADisclaimerText Char"/>
    <w:basedOn w:val="13"/>
    <w:link w:val="25"/>
    <w:qFormat/>
    <w:locked/>
    <w:uiPriority w:val="99"/>
    <w:rPr>
      <w:lang w:eastAsia="ja-JP"/>
    </w:rPr>
  </w:style>
  <w:style w:type="paragraph" w:customStyle="1" w:styleId="141">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2">
    <w:name w:val="EFAFPFooter"/>
    <w:basedOn w:val="21"/>
    <w:qFormat/>
    <w:uiPriority w:val="0"/>
    <w:pPr>
      <w:tabs>
        <w:tab w:val="right" w:pos="10679"/>
      </w:tabs>
      <w:autoSpaceDE w:val="0"/>
      <w:autoSpaceDN w:val="0"/>
      <w:jc w:val="both"/>
    </w:pPr>
    <w:rPr>
      <w:rFonts w:eastAsia="宋体" w:cs="Arial"/>
      <w:b/>
    </w:rPr>
  </w:style>
  <w:style w:type="paragraph" w:customStyle="1" w:styleId="143">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4">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5">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6">
    <w:name w:val="Common"/>
    <w:basedOn w:val="12"/>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47">
    <w:name w:val="TOC 标题1"/>
    <w:basedOn w:val="2"/>
    <w:next w:val="1"/>
    <w:unhideWhenUsed/>
    <w:qFormat/>
    <w:uiPriority w:val="39"/>
    <w:pPr>
      <w:spacing w:after="0" w:line="259" w:lineRule="auto"/>
      <w:outlineLvl w:val="9"/>
    </w:pPr>
    <w:rPr>
      <w:snapToGrid/>
      <w:sz w:val="32"/>
      <w:lang w:eastAsia="zh-CN"/>
    </w:rPr>
  </w:style>
  <w:style w:type="paragraph" w:customStyle="1" w:styleId="148">
    <w:name w:val="样式 标题 2 + 段前: 1 行 段后: 1 行"/>
    <w:basedOn w:val="3"/>
    <w:qFormat/>
    <w:uiPriority w:val="0"/>
    <w:pPr>
      <w:spacing w:before="240" w:after="240"/>
    </w:pPr>
    <w:rPr>
      <w:rFonts w:ascii="宋体" w:hAnsi="宋体" w:eastAsia="宋体" w:cs="宋体"/>
      <w:snapToGrid/>
      <w:szCs w:val="20"/>
      <w:lang w:eastAsia="zh-CN"/>
    </w:rPr>
  </w:style>
  <w:style w:type="paragraph" w:customStyle="1" w:styleId="149">
    <w:name w:val="【正文】图表标题"/>
    <w:basedOn w:val="150"/>
    <w:qFormat/>
    <w:uiPriority w:val="6"/>
    <w:pPr>
      <w:numPr>
        <w:ilvl w:val="0"/>
        <w:numId w:val="8"/>
      </w:numPr>
      <w:jc w:val="left"/>
    </w:pPr>
    <w:rPr>
      <w:b/>
      <w:bCs/>
    </w:rPr>
  </w:style>
  <w:style w:type="paragraph" w:customStyle="1" w:styleId="150">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151">
    <w:name w:val="【资料来源】"/>
    <w:basedOn w:val="150"/>
    <w:qFormat/>
    <w:uiPriority w:val="7"/>
    <w:rPr>
      <w:sz w:val="15"/>
      <w:szCs w:val="15"/>
    </w:rPr>
  </w:style>
  <w:style w:type="character" w:customStyle="1" w:styleId="152">
    <w:name w:val="未处理的提及1"/>
    <w:basedOn w:val="13"/>
    <w:semiHidden/>
    <w:unhideWhenUsed/>
    <w:uiPriority w:val="99"/>
    <w:rPr>
      <w:color w:val="605E5C"/>
      <w:shd w:val="clear" w:color="auto" w:fill="E1DFDD"/>
    </w:rPr>
  </w:style>
  <w:style w:type="character" w:customStyle="1" w:styleId="153">
    <w:name w:val="Unresolved Mention"/>
    <w:basedOn w:val="1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2.xml"/><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jpeg"/><Relationship Id="rId37" Type="http://schemas.openxmlformats.org/officeDocument/2006/relationships/chart" Target="charts/chart2.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chart" Target="charts/chart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1326;&#31119;&#22269;&#38469;\&#33322;&#31354;&#33322;&#22825;+&#22269;&#38450;\HWM_HTI-New%20Industrials2026\HWM2026.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21326;&#31119;&#22269;&#38469;\&#33322;&#31354;&#33322;&#22825;+&#22269;&#38450;\HWM_HTI-New%20Industrials2026\HWM+Howmet%20Aerospace202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'Guidance&amp;free cf'!$R$3</c:f>
              <c:strCache>
                <c:ptCount val="1"/>
                <c:pt idx="0">
                  <c:v>Adjusted free cash flow </c:v>
                </c:pt>
              </c:strCache>
            </c:strRef>
          </c:tx>
          <c:spPr>
            <a:solidFill>
              <a:schemeClr val="accent5">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'Guidance&amp;free cf'!$Q$4:$Q$10</c:f>
              <c:strCache>
                <c:ptCount val="7"/>
                <c:pt idx="0">
                  <c:v>2021</c:v>
                </c:pt>
                <c:pt idx="1">
                  <c:v>2022</c:v>
                </c:pt>
                <c:pt idx="2">
                  <c:v>2023</c:v>
                </c:pt>
                <c:pt idx="3">
                  <c:v>2024</c:v>
                </c:pt>
                <c:pt idx="5">
                  <c:v>2024Q1-Q3</c:v>
                </c:pt>
                <c:pt idx="6">
                  <c:v>2025Q1-Q3</c:v>
                </c:pt>
              </c:strCache>
            </c:strRef>
          </c:cat>
          <c:val>
            <c:numRef>
              <c:f>'Guidance&amp;free cf'!$R$4:$R$10</c:f>
              <c:numCache>
                <c:formatCode>General</c:formatCode>
                <c:ptCount val="7"/>
                <c:pt idx="0">
                  <c:v>517</c:v>
                </c:pt>
                <c:pt idx="1">
                  <c:v>540</c:v>
                </c:pt>
                <c:pt idx="2">
                  <c:v>682</c:v>
                </c:pt>
                <c:pt idx="3">
                  <c:v>977</c:v>
                </c:pt>
                <c:pt idx="5">
                  <c:v>599</c:v>
                </c:pt>
                <c:pt idx="6">
                  <c:v>901</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'f35delivery&amp;orders'!$B$4</c:f>
              <c:strCache>
                <c:ptCount val="1"/>
                <c:pt idx="0">
                  <c:v>Total Deliveries</c:v>
                </c:pt>
              </c:strCache>
            </c:strRef>
          </c:tx>
          <c:spPr>
            <a:solidFill>
              <a:schemeClr val="accent5">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numRef>
              <c:f>'f35delivery&amp;orders'!$C$3:$H$3</c:f>
              <c:numCache>
                <c:formatCode>General</c:formatCode>
                <c:ptCount val="6"/>
                <c:pt idx="0">
                  <c:v>2020</c:v>
                </c:pt>
                <c:pt idx="1">
                  <c:v>2021</c:v>
                </c:pt>
                <c:pt idx="2">
                  <c:v>2022</c:v>
                </c:pt>
                <c:pt idx="3">
                  <c:v>2023</c:v>
                </c:pt>
                <c:pt idx="4">
                  <c:v>2024</c:v>
                </c:pt>
                <c:pt idx="5">
                  <c:v>2025</c:v>
                </c:pt>
              </c:numCache>
            </c:numRef>
          </c:cat>
          <c:val>
            <c:numRef>
              <c:f>'f35delivery&amp;orders'!$C$4:$H$4</c:f>
              <c:numCache>
                <c:formatCode>General</c:formatCode>
                <c:ptCount val="6"/>
                <c:pt idx="0">
                  <c:v>120</c:v>
                </c:pt>
                <c:pt idx="1">
                  <c:v>142</c:v>
                </c:pt>
                <c:pt idx="2">
                  <c:v>141</c:v>
                </c:pt>
                <c:pt idx="3">
                  <c:v>98</c:v>
                </c:pt>
                <c:pt idx="4">
                  <c:v>110</c:v>
                </c:pt>
                <c:pt idx="5">
                  <c:v>191</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Template>
  <Company>Japaninvest</Company>
  <Pages>37</Pages>
  <Words>8033</Words>
  <Characters>47478</Characters>
  <Lines>1186</Lines>
  <Paragraphs>544</Paragraphs>
  <TotalTime>34</TotalTime>
  <ScaleCrop>false</ScaleCrop>
  <LinksUpToDate>false</LinksUpToDate>
  <CharactersWithSpaces>54967</CharactersWithSpaces>
  <Application>WPS Office_11.8.2.12118_F1E327BC-269C-435d-A152-05C5408002CA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HUAWEI</cp:lastModifiedBy>
  <cp:lastPrinted>2020-02-08T07:07:00Z</cp:lastPrinted>
  <dcterms:modified xsi:type="dcterms:W3CDTF">2026-01-30T10:29:31Z</dcterms:modified>
  <dc:title>Corp note</dc:title>
  <cp:revision>259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2052-11.8.2.12118</vt:lpwstr>
  </property>
  <property fmtid="{D5CDD505-2E9C-101B-9397-08002B2CF9AE}" pid="66" name="ICV">
    <vt:lpwstr>3F2776178FA3479C8FC386CCAE7E4AB4_13</vt:lpwstr>
  </property>
</Properties>
</file>