
<file path=[Content_Types].xml><?xml version="1.0" encoding="utf-8"?>
<Types xmlns="http://schemas.openxmlformats.org/package/2006/content-types">
  <Default Extension="xml" ContentType="application/xml"/>
  <Default Extension="xlsx" ContentType="application/vnd.openxmlformats-officedocument.spreadsheetml.sheet"/>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olors1.xml" ContentType="application/vnd.ms-office.chartcolorstyle+xml"/>
  <Override PartName="/word/charts/colors10.xml" ContentType="application/vnd.ms-office.chartcolorstyle+xml"/>
  <Override PartName="/word/charts/colors11.xml" ContentType="application/vnd.ms-office.chartcolorstyle+xml"/>
  <Override PartName="/word/charts/colors12.xml" ContentType="application/vnd.ms-office.chartcolorstyle+xml"/>
  <Override PartName="/word/charts/colors13.xml" ContentType="application/vnd.ms-office.chartcolorstyle+xml"/>
  <Override PartName="/word/charts/colors14.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colors9.xml" ContentType="application/vnd.ms-office.chartcolorstyle+xml"/>
  <Override PartName="/word/charts/style1.xml" ContentType="application/vnd.ms-office.chartstyle+xml"/>
  <Override PartName="/word/charts/style10.xml" ContentType="application/vnd.ms-office.chartstyle+xml"/>
  <Override PartName="/word/charts/style11.xml" ContentType="application/vnd.ms-office.chartstyle+xml"/>
  <Override PartName="/word/charts/style12.xml" ContentType="application/vnd.ms-office.chartstyle+xml"/>
  <Override PartName="/word/charts/style13.xml" ContentType="application/vnd.ms-office.chartstyle+xml"/>
  <Override PartName="/word/charts/style14.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harts/style9.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2.xml" ContentType="application/vnd.openxmlformats-officedocument.themeOverride+xml"/>
  <Override PartName="/word/theme/themeOverride3.xml" ContentType="application/vnd.openxmlformats-officedocument.themeOverride+xml"/>
  <Override PartName="/word/theme/themeOverride4.xml" ContentType="application/vnd.openxmlformats-officedocument.themeOverride+xml"/>
  <Override PartName="/word/theme/themeOverride5.xml" ContentType="application/vnd.openxmlformats-officedocument.themeOverride+xml"/>
  <Override PartName="/word/theme/themeOverride6.xml" ContentType="application/vnd.openxmlformats-officedocument.themeOverride+xml"/>
  <Override PartName="/word/theme/themeOverride7.xml" ContentType="application/vnd.openxmlformats-officedocument.themeOverride+xml"/>
  <Override PartName="/word/theme/themeOverride8.xml" ContentType="application/vnd.openxmlformats-officedocument.themeOverride+xml"/>
  <Override PartName="/word/theme/themeOverride9.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7"/>
        <w:tblpPr w:bottomFromText="360" w:tblpXSpec="right" w:tblpY="-239"/>
        <w:tblOverlap w:val="never"/>
        <w:tblW w:w="10376" w:type="dxa"/>
        <w:tblCaption w:val="[Table_Title]"/>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40" w:type="dxa"/>
          <w:bottom w:w="0" w:type="dxa"/>
          <w:right w:w="40" w:type="dxa"/>
        </w:tblCellMar>
      </w:tblPr>
      <w:tblGrid>
        <w:gridCol w:w="7643"/>
        <w:gridCol w:w="2733"/>
      </w:tblGrid>
      <w:tr w14:paraId="4F7C46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23" w:hRule="exact"/>
        </w:trPr>
        <w:tc>
          <w:tcPr>
            <w:tcW w:w="10376" w:type="dxa"/>
            <w:gridSpan w:val="2"/>
          </w:tcPr>
          <w:p w14:paraId="1EA588C2">
            <w:pPr>
              <w:pStyle w:val="37"/>
              <w:framePr w:hRule="auto" w:wrap="auto" w:vAnchor="margin" w:hAnchor="text" w:xAlign="left" w:yAlign="inline"/>
              <w:rPr>
                <w:rFonts w:hint="default" w:ascii="Calibri" w:hAnsi="Calibri" w:eastAsia="楷体_GB2312" w:cs="Calibri"/>
              </w:rPr>
            </w:pPr>
            <w:r>
              <w:rPr>
                <w:rFonts w:hint="default" w:ascii="Calibri" w:hAnsi="Calibri" w:eastAsia="楷体_GB2312" w:cs="Calibri"/>
                <w:b w:val="0"/>
                <w:color w:val="FFFFFF" w:themeColor="background1"/>
                <w:sz w:val="16"/>
                <w:lang w:eastAsia="zh-CN"/>
                <w14:textFill>
                  <w14:solidFill>
                    <w14:schemeClr w14:val="bg1"/>
                  </w14:solidFill>
                </w14:textFill>
              </w:rPr>
              <w:t>[Table_Title]</w:t>
            </w:r>
          </w:p>
        </w:tc>
      </w:tr>
      <w:tr w14:paraId="6ACAE3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318" w:hRule="exact"/>
        </w:trPr>
        <w:tc>
          <w:tcPr>
            <w:tcW w:w="7643" w:type="dxa"/>
            <w:vAlign w:val="center"/>
          </w:tcPr>
          <w:p w14:paraId="6DA4D126">
            <w:pPr>
              <w:pStyle w:val="37"/>
              <w:framePr w:hRule="auto" w:wrap="auto" w:vAnchor="margin" w:hAnchor="text" w:xAlign="left" w:yAlign="inline"/>
              <w:rPr>
                <w:rFonts w:hint="default" w:ascii="Calibri" w:hAnsi="Calibri" w:eastAsia="楷体_GB2312" w:cs="Calibri"/>
                <w:b w:val="0"/>
                <w:sz w:val="16"/>
                <w:lang w:eastAsia="zh-CN"/>
              </w:rPr>
            </w:pPr>
            <w:r>
              <w:rPr>
                <w:rFonts w:hint="default" w:ascii="Calibri" w:hAnsi="Calibri" w:eastAsia="楷体_GB2312" w:cs="Calibri"/>
                <w:b w:val="0"/>
                <w:sz w:val="16"/>
                <w:lang w:eastAsia="zh-CN"/>
              </w:rPr>
              <w:t>研究报告Research Report</w:t>
            </w:r>
          </w:p>
        </w:tc>
        <w:tc>
          <w:tcPr>
            <w:tcW w:w="2733" w:type="dxa"/>
            <w:vAlign w:val="center"/>
          </w:tcPr>
          <w:p w14:paraId="66F89DCE">
            <w:pPr>
              <w:pStyle w:val="37"/>
              <w:framePr w:hRule="auto" w:wrap="auto" w:vAnchor="margin" w:hAnchor="text" w:xAlign="left" w:yAlign="inline"/>
              <w:rPr>
                <w:rFonts w:hint="default" w:ascii="Calibri" w:hAnsi="Calibri" w:eastAsia="楷体_GB2312" w:cs="Calibri"/>
              </w:rPr>
            </w:pPr>
          </w:p>
        </w:tc>
      </w:tr>
      <w:tr w14:paraId="63CC87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320" w:hRule="atLeast"/>
        </w:trPr>
        <w:tc>
          <w:tcPr>
            <w:tcW w:w="7643" w:type="dxa"/>
            <w:vAlign w:val="center"/>
          </w:tcPr>
          <w:p w14:paraId="04882111">
            <w:pPr>
              <w:pStyle w:val="37"/>
              <w:framePr w:hRule="auto" w:wrap="auto" w:vAnchor="margin" w:hAnchor="text" w:xAlign="left" w:yAlign="inline"/>
              <w:rPr>
                <w:rFonts w:hint="default" w:ascii="Calibri" w:hAnsi="Calibri" w:eastAsia="楷体_GB2312" w:cs="Calibri"/>
                <w:b w:val="0"/>
                <w:sz w:val="20"/>
                <w:szCs w:val="20"/>
              </w:rPr>
            </w:pPr>
            <w:r>
              <w:rPr>
                <w:rFonts w:ascii="Calibri" w:eastAsia="楷体_GB2312"/>
                <w:b w:val="0"/>
                <w:i w:val="0"/>
                <w:color w:val="215E99"/>
                <w:sz w:val="16"/>
              </w:rPr>
              <w:t>27 Feb 2026</w:t>
            </w:r>
          </w:p>
        </w:tc>
        <w:tc>
          <w:tcPr>
            <w:tcW w:w="2733" w:type="dxa"/>
            <w:vAlign w:val="center"/>
          </w:tcPr>
          <w:p w14:paraId="75694D6F">
            <w:pPr>
              <w:pStyle w:val="37"/>
              <w:framePr w:hRule="auto" w:wrap="auto" w:vAnchor="margin" w:hAnchor="text" w:xAlign="left" w:yAlign="inline"/>
              <w:wordWrap w:val="0"/>
              <w:jc w:val="right"/>
              <w:rPr>
                <w:rFonts w:hint="default" w:ascii="Calibri" w:hAnsi="Calibri" w:eastAsia="楷体_GB2312" w:cs="Calibri"/>
                <w:lang w:eastAsia="zh-CN"/>
              </w:rPr>
            </w:pPr>
          </w:p>
        </w:tc>
      </w:tr>
      <w:tr w14:paraId="0C4F4A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147" w:hRule="exact"/>
        </w:trPr>
        <w:tc>
          <w:tcPr>
            <w:tcW w:w="7643" w:type="dxa"/>
          </w:tcPr>
          <w:p w14:paraId="38721EA7">
            <w:pPr>
              <w:pStyle w:val="104"/>
              <w:framePr w:w="0" w:hRule="auto" w:wrap="auto" w:vAnchor="margin" w:hAnchor="text" w:xAlign="left" w:yAlign="inline"/>
              <w:rPr>
                <w:rFonts w:hint="default" w:ascii="Calibri" w:hAnsi="Calibri" w:eastAsia="楷体_GB2312" w:cs="Calibri"/>
                <w:sz w:val="16"/>
                <w:szCs w:val="16"/>
                <w:lang w:val="en-GB" w:eastAsia="zh-CN"/>
              </w:rPr>
            </w:pPr>
          </w:p>
        </w:tc>
        <w:tc>
          <w:tcPr>
            <w:tcW w:w="2733" w:type="dxa"/>
            <w:vAlign w:val="center"/>
          </w:tcPr>
          <w:p w14:paraId="0D0ED007">
            <w:pPr>
              <w:pStyle w:val="37"/>
              <w:framePr w:hRule="auto" w:wrap="auto" w:vAnchor="margin" w:hAnchor="text" w:xAlign="left" w:yAlign="inline"/>
              <w:jc w:val="right"/>
              <w:rPr>
                <w:rFonts w:hint="default" w:ascii="Calibri" w:hAnsi="Calibri" w:eastAsia="楷体_GB2312" w:cs="Calibri"/>
              </w:rPr>
            </w:pPr>
          </w:p>
        </w:tc>
      </w:tr>
      <w:tr w14:paraId="464D84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601" w:hRule="exact"/>
        </w:trPr>
        <w:tc>
          <w:tcPr>
            <w:tcW w:w="10376" w:type="dxa"/>
            <w:gridSpan w:val="2"/>
          </w:tcPr>
          <w:p w14:paraId="58E8EB0F">
            <w:pPr>
              <w:pStyle w:val="37"/>
              <w:framePr w:hRule="auto" w:wrap="auto" w:vAnchor="margin" w:hAnchor="text" w:xAlign="left" w:yAlign="inline"/>
              <w:rPr>
                <w:rFonts w:hint="default" w:ascii="Calibri" w:eastAsia="楷体_GB2312"/>
                <w:b/>
                <w:i w:val="0"/>
                <w:color w:val="215E99"/>
                <w:sz w:val="32"/>
                <w:szCs w:val="13"/>
                <w:lang w:eastAsia="zh-CN"/>
              </w:rPr>
            </w:pPr>
            <w:r>
              <w:rPr>
                <w:rFonts w:hint="default" w:ascii="Calibri" w:eastAsia="楷体_GB2312"/>
                <w:b/>
                <w:i w:val="0"/>
                <w:color w:val="215E99"/>
                <w:sz w:val="32"/>
                <w:szCs w:val="13"/>
                <w:lang w:eastAsia="zh-CN"/>
              </w:rPr>
              <w:t>全球先进制造与能源Global Advanced Manufacturing and Energy</w:t>
            </w:r>
          </w:p>
          <w:p w14:paraId="7A8E75E3">
            <w:pPr>
              <w:pStyle w:val="37"/>
              <w:framePr w:hRule="auto" w:wrap="auto" w:vAnchor="margin" w:hAnchor="text" w:xAlign="left" w:yAlign="inline"/>
              <w:rPr>
                <w:rFonts w:hint="default" w:ascii="Calibri" w:hAnsi="Calibri" w:eastAsia="楷体_GB2312" w:cs="Calibri"/>
                <w:sz w:val="30"/>
                <w:szCs w:val="30"/>
                <w:lang w:eastAsia="zh-CN"/>
              </w:rPr>
            </w:pPr>
          </w:p>
        </w:tc>
      </w:tr>
      <w:tr w14:paraId="27BC31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1343" w:hRule="exact"/>
        </w:trPr>
        <w:tc>
          <w:tcPr>
            <w:tcW w:w="10376" w:type="dxa"/>
            <w:gridSpan w:val="2"/>
            <w:vAlign w:val="center"/>
          </w:tcPr>
          <w:p w14:paraId="26E864A0">
            <w:pPr>
              <w:pStyle w:val="153"/>
              <w:spacing w:line="216" w:lineRule="auto"/>
              <w:rPr>
                <w:rFonts w:hint="default" w:ascii="Calibri" w:hAnsi="Calibri" w:eastAsia="楷体_GB2312" w:cs="Calibri"/>
                <w:b w:val="0"/>
                <w:color w:val="23558C"/>
                <w:sz w:val="24"/>
                <w:szCs w:val="24"/>
                <w:lang w:eastAsia="zh-CN"/>
              </w:rPr>
            </w:pPr>
            <w:r>
              <w:rPr>
                <w:rFonts w:ascii="Calibri" w:eastAsia="楷体_GB2312"/>
                <w:b w:val="0"/>
                <w:i w:val="0"/>
                <w:color w:val="215E99"/>
                <w:sz w:val="28"/>
                <w:szCs w:val="18"/>
              </w:rPr>
              <w:t>全球先进制造与能源周报(02/14-02/27): 白宫提出“费率支付者保护承诺”，2025年喷气机价值量创新高，商业航天快速迭代叠加防务支出持续上行</w:t>
            </w:r>
          </w:p>
          <w:p w14:paraId="3C691E4C">
            <w:pPr>
              <w:pStyle w:val="102"/>
              <w:framePr w:wrap="auto" w:vAnchor="margin" w:hAnchor="text" w:xAlign="left" w:yAlign="inline"/>
              <w:spacing w:line="216" w:lineRule="auto"/>
              <w:ind w:left="0" w:right="0"/>
              <w:rPr>
                <w:rFonts w:hint="default" w:ascii="Calibri" w:hAnsi="Calibri" w:eastAsia="楷体_GB2312" w:cs="Calibri"/>
                <w:lang w:eastAsia="zh-CN"/>
              </w:rPr>
            </w:pPr>
            <w:r>
              <w:rPr>
                <w:rFonts w:ascii="Calibri" w:eastAsia="楷体_GB2312"/>
                <w:b w:val="0"/>
                <w:i w:val="0"/>
                <w:color w:val="215E99"/>
                <w:sz w:val="28"/>
                <w:szCs w:val="28"/>
              </w:rPr>
              <w:t>White House proposes "Ratepayer Protection Pledge"; 2025 jet value hits record high; commercial aerospace iterates rapidly with rising defense spending</w:t>
            </w:r>
          </w:p>
        </w:tc>
      </w:tr>
      <w:tr w14:paraId="22D113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620" w:hRule="atLeast"/>
        </w:trPr>
        <w:tc>
          <w:tcPr>
            <w:tcW w:w="10376" w:type="dxa"/>
            <w:gridSpan w:val="2"/>
          </w:tcPr>
          <w:tbl>
            <w:tblPr>
              <w:tblStyle w:val="27"/>
              <w:tblW w:w="10632" w:type="dxa"/>
              <w:tblCaption w:val="[Table_Author]"/>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694"/>
              <w:gridCol w:w="2551"/>
              <w:gridCol w:w="2693"/>
              <w:gridCol w:w="2694"/>
            </w:tblGrid>
            <w:tr w14:paraId="02B535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90" w:hRule="exact"/>
              </w:trPr>
              <w:tc>
                <w:tcPr>
                  <w:tcW w:w="2694" w:type="dxa"/>
                  <w:tcMar>
                    <w:right w:w="60" w:type="dxa"/>
                  </w:tcMar>
                </w:tcPr>
                <w:p w14:paraId="79B3ECE9">
                  <w:pPr>
                    <w:pStyle w:val="115"/>
                    <w:framePr w:wrap="auto" w:vAnchor="margin" w:hAnchor="text" w:yAlign="inline"/>
                    <w:rPr>
                      <w:rFonts w:hint="default" w:ascii="Calibri" w:hAnsi="Calibri" w:eastAsia="楷体_GB2312" w:cs="Calibri"/>
                      <w:color w:val="FFFFFF" w:themeColor="background1"/>
                      <w14:textFill>
                        <w14:solidFill>
                          <w14:schemeClr w14:val="bg1"/>
                        </w14:solidFill>
                      </w14:textFill>
                    </w:rPr>
                  </w:pPr>
                  <w:r>
                    <w:rPr>
                      <w:rFonts w:hint="default" w:ascii="Calibri" w:hAnsi="Calibri" w:eastAsia="楷体_GB2312" w:cs="Calibri"/>
                      <w:color w:val="FFFFFF" w:themeColor="background1"/>
                      <w14:textFill>
                        <w14:solidFill>
                          <w14:schemeClr w14:val="bg1"/>
                        </w14:solidFill>
                      </w14:textFill>
                    </w:rPr>
                    <w:t>[Table_Author]</w:t>
                  </w:r>
                </w:p>
              </w:tc>
              <w:tc>
                <w:tcPr>
                  <w:tcW w:w="2551" w:type="dxa"/>
                </w:tcPr>
                <w:p w14:paraId="06949145">
                  <w:pPr>
                    <w:pStyle w:val="115"/>
                    <w:framePr w:wrap="auto" w:vAnchor="margin" w:hAnchor="text" w:yAlign="inline"/>
                    <w:rPr>
                      <w:rFonts w:hint="default" w:ascii="Calibri" w:hAnsi="Calibri" w:eastAsia="楷体_GB2312" w:cs="Calibri"/>
                      <w:color w:val="FFFFFF" w:themeColor="background1"/>
                      <w14:textFill>
                        <w14:solidFill>
                          <w14:schemeClr w14:val="bg1"/>
                        </w14:solidFill>
                      </w14:textFill>
                    </w:rPr>
                  </w:pPr>
                </w:p>
              </w:tc>
              <w:tc>
                <w:tcPr>
                  <w:tcW w:w="2693" w:type="dxa"/>
                </w:tcPr>
                <w:p w14:paraId="0C95C9D4">
                  <w:pPr>
                    <w:pStyle w:val="115"/>
                    <w:framePr w:wrap="auto" w:vAnchor="margin" w:hAnchor="text" w:yAlign="inline"/>
                    <w:rPr>
                      <w:rFonts w:hint="default" w:ascii="Calibri" w:hAnsi="Calibri" w:eastAsia="楷体_GB2312" w:cs="Calibri"/>
                      <w:color w:val="FFFFFF" w:themeColor="background1"/>
                      <w14:textFill>
                        <w14:solidFill>
                          <w14:schemeClr w14:val="bg1"/>
                        </w14:solidFill>
                      </w14:textFill>
                    </w:rPr>
                  </w:pPr>
                </w:p>
              </w:tc>
              <w:tc>
                <w:tcPr>
                  <w:tcW w:w="2694" w:type="dxa"/>
                </w:tcPr>
                <w:p w14:paraId="696C819C">
                  <w:pPr>
                    <w:pStyle w:val="115"/>
                    <w:framePr w:wrap="auto" w:vAnchor="margin" w:hAnchor="text" w:yAlign="inline"/>
                    <w:rPr>
                      <w:rFonts w:hint="default" w:ascii="Calibri" w:hAnsi="Calibri" w:eastAsia="楷体_GB2312" w:cs="Calibri"/>
                      <w:color w:val="FFFFFF" w:themeColor="background1"/>
                      <w14:textFill>
                        <w14:solidFill>
                          <w14:schemeClr w14:val="bg1"/>
                        </w14:solidFill>
                      </w14:textFill>
                    </w:rPr>
                  </w:pPr>
                </w:p>
              </w:tc>
            </w:tr>
            <w:tr w14:paraId="67BDEE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7CCBDAC9">
                  <w:pPr>
                    <w:pStyle w:val="114"/>
                    <w:framePr w:wrap="auto" w:vAnchor="margin" w:hAnchor="text" w:yAlign="inline"/>
                    <w:rPr>
                      <w:rFonts w:hint="default" w:ascii="Calibri" w:hAnsi="Calibri" w:eastAsia="楷体_GB2312" w:cs="Calibri"/>
                    </w:rPr>
                  </w:pPr>
                  <w:r>
                    <w:rPr>
                      <w:rFonts w:ascii="Calibri" w:eastAsia="楷体_GB2312"/>
                      <w:b/>
                      <w:i w:val="0"/>
                      <w:color w:val="000000"/>
                      <w:sz w:val="16"/>
                    </w:rPr>
                    <w:t>杨斌Bin Yang, SFC:BSQ313</w:t>
                  </w:r>
                </w:p>
              </w:tc>
              <w:tc>
                <w:tcPr>
                  <w:tcW w:w="2551" w:type="dxa"/>
                </w:tcPr>
                <w:p w14:paraId="33955A37">
                  <w:pPr>
                    <w:pStyle w:val="114"/>
                    <w:framePr w:wrap="auto" w:vAnchor="margin" w:hAnchor="text" w:yAlign="inline"/>
                    <w:rPr>
                      <w:rFonts w:hint="default" w:ascii="Calibri" w:hAnsi="Calibri" w:eastAsia="楷体_GB2312" w:cs="Calibri"/>
                    </w:rPr>
                  </w:pPr>
                </w:p>
              </w:tc>
              <w:tc>
                <w:tcPr>
                  <w:tcW w:w="2693" w:type="dxa"/>
                </w:tcPr>
                <w:p w14:paraId="03B2D0DE">
                  <w:pPr>
                    <w:pStyle w:val="114"/>
                    <w:framePr w:wrap="auto" w:vAnchor="margin" w:hAnchor="text" w:yAlign="inline"/>
                    <w:rPr>
                      <w:rFonts w:hint="default" w:ascii="Calibri" w:hAnsi="Calibri" w:eastAsia="楷体_GB2312" w:cs="Calibri"/>
                    </w:rPr>
                  </w:pPr>
                </w:p>
              </w:tc>
              <w:tc>
                <w:tcPr>
                  <w:tcW w:w="2694" w:type="dxa"/>
                </w:tcPr>
                <w:p w14:paraId="7E0382CD">
                  <w:pPr>
                    <w:pStyle w:val="114"/>
                    <w:framePr w:wrap="auto" w:vAnchor="margin" w:hAnchor="text" w:yAlign="inline"/>
                    <w:rPr>
                      <w:rFonts w:hint="default" w:ascii="Calibri" w:hAnsi="Calibri" w:eastAsia="楷体_GB2312" w:cs="Calibri"/>
                    </w:rPr>
                  </w:pPr>
                </w:p>
              </w:tc>
            </w:tr>
            <w:tr w14:paraId="51D1B3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14:paraId="7C72AFD5">
                  <w:pPr>
                    <w:pStyle w:val="114"/>
                    <w:framePr w:wrap="auto" w:vAnchor="margin" w:hAnchor="text" w:yAlign="inline"/>
                    <w:rPr>
                      <w:rFonts w:hint="default" w:ascii="Calibri" w:hAnsi="Calibri" w:eastAsia="楷体_GB2312" w:cs="Calibri"/>
                      <w:b w:val="0"/>
                    </w:rPr>
                  </w:pPr>
                  <w:r>
                    <w:rPr>
                      <w:rFonts w:ascii="Calibri" w:eastAsia="楷体_GB2312"/>
                      <w:b w:val="0"/>
                      <w:i w:val="0"/>
                      <w:color w:val="000000"/>
                      <w:sz w:val="16"/>
                    </w:rPr>
                    <w:t>harryyang@hfisec.com.hk</w:t>
                  </w:r>
                </w:p>
              </w:tc>
              <w:tc>
                <w:tcPr>
                  <w:tcW w:w="2551" w:type="dxa"/>
                </w:tcPr>
                <w:p w14:paraId="56D085B3">
                  <w:pPr>
                    <w:pStyle w:val="114"/>
                    <w:framePr w:wrap="auto" w:vAnchor="margin" w:hAnchor="text" w:yAlign="inline"/>
                    <w:rPr>
                      <w:rFonts w:hint="default" w:ascii="Calibri" w:hAnsi="Calibri" w:eastAsia="楷体_GB2312" w:cs="Calibri"/>
                      <w:b w:val="0"/>
                    </w:rPr>
                  </w:pPr>
                </w:p>
              </w:tc>
              <w:tc>
                <w:tcPr>
                  <w:tcW w:w="2693" w:type="dxa"/>
                </w:tcPr>
                <w:p w14:paraId="18A5FFAB">
                  <w:pPr>
                    <w:pStyle w:val="114"/>
                    <w:framePr w:wrap="auto" w:vAnchor="margin" w:hAnchor="text" w:yAlign="inline"/>
                    <w:rPr>
                      <w:rFonts w:hint="default" w:ascii="Calibri" w:hAnsi="Calibri" w:eastAsia="楷体_GB2312" w:cs="Calibri"/>
                      <w:b w:val="0"/>
                    </w:rPr>
                  </w:pPr>
                </w:p>
              </w:tc>
              <w:tc>
                <w:tcPr>
                  <w:tcW w:w="2694" w:type="dxa"/>
                </w:tcPr>
                <w:p w14:paraId="334DFC38">
                  <w:pPr>
                    <w:pStyle w:val="114"/>
                    <w:framePr w:wrap="auto" w:vAnchor="margin" w:hAnchor="text" w:yAlign="inline"/>
                    <w:rPr>
                      <w:rFonts w:hint="default" w:ascii="Calibri" w:hAnsi="Calibri" w:eastAsia="楷体_GB2312" w:cs="Calibri"/>
                      <w:b w:val="0"/>
                    </w:rPr>
                  </w:pPr>
                </w:p>
              </w:tc>
            </w:tr>
          </w:tbl>
          <w:p w14:paraId="74E225CD">
            <w:pPr>
              <w:pStyle w:val="114"/>
              <w:framePr w:wrap="auto" w:vAnchor="margin" w:hAnchor="text" w:yAlign="inline"/>
              <w:rPr>
                <w:rFonts w:hint="default" w:ascii="Calibri" w:hAnsi="Calibri" w:eastAsia="楷体_GB2312" w:cs="Calibri"/>
                <w:sz w:val="18"/>
                <w:szCs w:val="18"/>
                <w:lang w:val="en-GB"/>
              </w:rPr>
            </w:pPr>
          </w:p>
        </w:tc>
      </w:tr>
      <w:tr w14:paraId="489816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40" w:type="dxa"/>
            <w:bottom w:w="0" w:type="dxa"/>
            <w:right w:w="40" w:type="dxa"/>
          </w:tblCellMar>
        </w:tblPrEx>
        <w:trPr>
          <w:trHeight w:val="170" w:hRule="exact"/>
        </w:trPr>
        <w:tc>
          <w:tcPr>
            <w:tcW w:w="10376" w:type="dxa"/>
            <w:gridSpan w:val="2"/>
          </w:tcPr>
          <w:p w14:paraId="49F1495B">
            <w:pPr>
              <w:pStyle w:val="114"/>
              <w:framePr w:wrap="auto" w:vAnchor="margin" w:hAnchor="text" w:yAlign="inline"/>
              <w:rPr>
                <w:rFonts w:hint="default" w:ascii="Calibri" w:hAnsi="Calibri" w:eastAsia="楷体_GB2312" w:cs="Calibri"/>
                <w:b w:val="0"/>
              </w:rPr>
            </w:pPr>
          </w:p>
        </w:tc>
      </w:tr>
    </w:tbl>
    <w:p w14:paraId="0DA422AA">
      <w:pPr>
        <w:overflowPunct w:val="0"/>
        <w:spacing w:after="120" w:afterLines="50"/>
        <w:jc w:val="both"/>
        <w:rPr>
          <w:rFonts w:hint="default" w:ascii="Calibri" w:hAnsi="Calibri" w:eastAsia="楷体_GB2312" w:cs="Calibri"/>
          <w:color w:val="1F497D" w:themeColor="text2"/>
          <w:sz w:val="28"/>
          <w:szCs w:val="28"/>
          <w:lang w:val="en-US" w:eastAsia="zh-CN"/>
          <w14:textFill>
            <w14:solidFill>
              <w14:schemeClr w14:val="tx2"/>
            </w14:solidFill>
          </w14:textFill>
        </w:rPr>
      </w:pPr>
      <w:r>
        <w:rPr>
          <w:rFonts w:hint="default" w:ascii="Calibri" w:hAnsi="Calibri" w:eastAsia="楷体_GB2312" w:cs="Calibri"/>
          <w:sz w:val="20"/>
          <w:szCs w:val="20"/>
          <w:lang w:val="en-US" w:eastAsia="zh-CN"/>
        </w:rPr>
        <w:t>(Please see APPENDIX 1 for English summary)</w:t>
      </w:r>
    </w:p>
    <w:p w14:paraId="6CD29864">
      <w:pPr>
        <w:keepNext w:val="0"/>
        <w:keepLines w:val="0"/>
        <w:pageBreakBefore w:val="0"/>
        <w:widowControl/>
        <w:kinsoku/>
        <w:wordWrap/>
        <w:overflowPunct w:val="0"/>
        <w:topLinePunct w:val="0"/>
        <w:autoSpaceDE/>
        <w:autoSpaceDN/>
        <w:bidi w:val="0"/>
        <w:adjustRightInd/>
        <w:snapToGrid/>
        <w:spacing w:after="181" w:afterLines="50" w:line="228" w:lineRule="auto"/>
        <w:jc w:val="both"/>
        <w:textAlignment w:val="auto"/>
        <w:rPr>
          <w:rFonts w:hint="default" w:ascii="Calibri" w:hAnsi="Calibri" w:eastAsia="楷体_GB2312" w:cs="Calibri"/>
          <w:b/>
          <w:bCs/>
          <w:color w:val="1F497D" w:themeColor="text2"/>
          <w:sz w:val="22"/>
          <w:szCs w:val="22"/>
          <w:lang w:val="en-US" w:eastAsia="zh-CN"/>
          <w14:textFill>
            <w14:solidFill>
              <w14:schemeClr w14:val="tx2"/>
            </w14:solidFill>
          </w14:textFill>
        </w:rPr>
      </w:pPr>
      <w:r>
        <w:rPr>
          <w:rFonts w:hint="default" w:ascii="Calibri" w:hAnsi="Calibri" w:eastAsia="楷体_GB2312" w:cs="Calibri"/>
          <w:b/>
          <w:bCs/>
          <w:color w:val="1F497D" w:themeColor="text2"/>
          <w:sz w:val="22"/>
          <w:szCs w:val="22"/>
          <w:lang w:val="en-US" w:eastAsia="zh-CN"/>
          <w14:textFill>
            <w14:solidFill>
              <w14:schemeClr w14:val="tx2"/>
            </w14:solidFill>
          </w14:textFill>
        </w:rPr>
        <w:t>核心观点：</w:t>
      </w:r>
      <w:bookmarkStart w:id="0" w:name="OLE_LINK16"/>
    </w:p>
    <w:p w14:paraId="662D1CDA">
      <w:pPr>
        <w:keepNext w:val="0"/>
        <w:keepLines w:val="0"/>
        <w:pageBreakBefore w:val="0"/>
        <w:widowControl/>
        <w:kinsoku/>
        <w:wordWrap/>
        <w:overflowPunct w:val="0"/>
        <w:topLinePunct w:val="0"/>
        <w:autoSpaceDE/>
        <w:autoSpaceDN/>
        <w:bidi w:val="0"/>
        <w:adjustRightInd/>
        <w:snapToGrid/>
        <w:spacing w:after="181" w:afterLines="50" w:line="228" w:lineRule="auto"/>
        <w:jc w:val="both"/>
        <w:textAlignment w:val="auto"/>
        <w:rPr>
          <w:rFonts w:hint="default" w:ascii="Calibri" w:hAnsi="Calibri" w:eastAsia="楷体_GB2312" w:cs="Calibri"/>
          <w:b/>
          <w:bCs/>
          <w:sz w:val="20"/>
          <w:szCs w:val="20"/>
          <w:lang w:val="en-US" w:eastAsia="zh-CN"/>
        </w:rPr>
      </w:pPr>
      <w:r>
        <w:rPr>
          <w:rFonts w:hint="default" w:ascii="Calibri" w:hAnsi="Calibri" w:eastAsia="楷体_GB2312" w:cs="Calibri"/>
          <w:b/>
          <w:bCs/>
          <w:sz w:val="20"/>
          <w:szCs w:val="20"/>
          <w:lang w:val="en-US" w:eastAsia="zh-CN"/>
        </w:rPr>
        <w:t xml:space="preserve">1)全球基建与建筑：数据中心: </w:t>
      </w:r>
      <w:r>
        <w:rPr>
          <w:rFonts w:hint="default" w:ascii="Calibri" w:hAnsi="Calibri" w:eastAsia="楷体_GB2312" w:cs="Calibri"/>
          <w:sz w:val="20"/>
          <w:szCs w:val="20"/>
          <w:lang w:val="en-US" w:eastAsia="zh-CN"/>
        </w:rPr>
        <w:t>美国白宫发布“费率支付者保护承诺”要求科技巨头全额承担AI数据中心扩容带来的电力基础设施费用。亚马逊宣布在路易斯安那州投资120亿美元建设新一代AI数据中心并承诺自付基建成本。</w:t>
      </w:r>
      <w:r>
        <w:rPr>
          <w:rFonts w:hint="default" w:ascii="Calibri" w:hAnsi="Calibri" w:eastAsia="楷体_GB2312" w:cs="Calibri"/>
          <w:b/>
          <w:bCs/>
          <w:sz w:val="20"/>
          <w:szCs w:val="20"/>
          <w:lang w:val="en-US" w:eastAsia="zh-CN"/>
        </w:rPr>
        <w:t>能源建设：</w:t>
      </w:r>
      <w:r>
        <w:rPr>
          <w:rFonts w:hint="default" w:ascii="Calibri" w:hAnsi="Calibri" w:eastAsia="楷体_GB2312" w:cs="Calibri"/>
          <w:sz w:val="20"/>
          <w:szCs w:val="20"/>
          <w:lang w:val="en-US" w:eastAsia="zh-CN"/>
        </w:rPr>
        <w:t>美国能源信息署预测2026年美国将新增至创纪录的86 GW电力装机量。谷歌与Xcel Energy达成1.9GW清洁能源协议，通过部署全球最大铁流电池项目加速实现24/7无碳能源目标。Meta与三家核能供应商达成6.6 GW长期采购协议，推动小型模块化反应堆大规模建设。</w:t>
      </w:r>
    </w:p>
    <w:p w14:paraId="6BB8C005">
      <w:pPr>
        <w:keepNext w:val="0"/>
        <w:keepLines w:val="0"/>
        <w:pageBreakBefore w:val="0"/>
        <w:widowControl/>
        <w:kinsoku/>
        <w:wordWrap/>
        <w:overflowPunct w:val="0"/>
        <w:topLinePunct w:val="0"/>
        <w:autoSpaceDE/>
        <w:autoSpaceDN/>
        <w:bidi w:val="0"/>
        <w:adjustRightInd/>
        <w:snapToGrid/>
        <w:spacing w:after="181" w:afterLines="50" w:line="228" w:lineRule="auto"/>
        <w:jc w:val="both"/>
        <w:textAlignment w:val="auto"/>
        <w:rPr>
          <w:rFonts w:hint="default" w:ascii="Calibri" w:hAnsi="Calibri" w:eastAsia="楷体_GB2312" w:cs="Calibri"/>
          <w:b/>
          <w:bCs/>
          <w:color w:val="1F497D" w:themeColor="text2"/>
          <w:sz w:val="22"/>
          <w:szCs w:val="22"/>
          <w:lang w:val="en-US" w:eastAsia="zh-CN"/>
          <w14:textFill>
            <w14:solidFill>
              <w14:schemeClr w14:val="tx2"/>
            </w14:solidFill>
          </w14:textFill>
        </w:rPr>
      </w:pPr>
      <w:r>
        <w:rPr>
          <w:rFonts w:hint="default" w:ascii="Calibri" w:hAnsi="Calibri" w:eastAsia="楷体_GB2312" w:cs="Calibri"/>
          <w:b/>
          <w:bCs/>
          <w:sz w:val="20"/>
          <w:szCs w:val="20"/>
          <w:lang w:val="en-US" w:eastAsia="zh-CN"/>
        </w:rPr>
        <w:t>2）全球电气与智能装备：</w:t>
      </w:r>
      <w:r>
        <w:rPr>
          <w:rFonts w:hint="default" w:ascii="Calibri" w:hAnsi="Calibri" w:eastAsia="楷体_GB2312" w:cs="Calibri"/>
        </w:rPr>
        <w:fldChar w:fldCharType="begin"/>
      </w:r>
      <w:r>
        <w:rPr>
          <w:rFonts w:hint="default" w:ascii="Calibri" w:hAnsi="Calibri" w:eastAsia="楷体_GB2312" w:cs="Calibri"/>
        </w:rPr>
        <w:instrText xml:space="preserve">HYPERLINK \l "_Toc192787052"</w:instrText>
      </w:r>
      <w:r>
        <w:rPr>
          <w:rFonts w:hint="default" w:ascii="Calibri" w:hAnsi="Calibri" w:eastAsia="楷体_GB2312" w:cs="Calibri"/>
        </w:rPr>
        <w:fldChar w:fldCharType="separate"/>
      </w:r>
      <w:r>
        <w:rPr>
          <w:rFonts w:hint="default" w:ascii="Calibri" w:hAnsi="Calibri" w:eastAsia="楷体_GB2312" w:cs="Calibri"/>
          <w:b/>
          <w:bCs/>
          <w:sz w:val="20"/>
          <w:szCs w:val="20"/>
          <w:lang w:val="en-US" w:eastAsia="zh-CN"/>
        </w:rPr>
        <w:t>工业设备价格指数</w:t>
      </w:r>
      <w:r>
        <w:rPr>
          <w:rFonts w:hint="default" w:ascii="Calibri" w:hAnsi="Calibri" w:eastAsia="楷体_GB2312" w:cs="Calibri"/>
        </w:rPr>
        <w:fldChar w:fldCharType="end"/>
      </w:r>
      <w:r>
        <w:rPr>
          <w:rFonts w:hint="default" w:ascii="Calibri" w:hAnsi="Calibri" w:eastAsia="楷体_GB2312" w:cs="Calibri"/>
          <w:b/>
          <w:bCs/>
          <w:sz w:val="20"/>
          <w:szCs w:val="20"/>
          <w:lang w:val="en-US" w:eastAsia="zh-CN"/>
        </w:rPr>
        <w:t>：</w:t>
      </w:r>
      <w:r>
        <w:rPr>
          <w:rFonts w:hint="default" w:ascii="Calibri" w:hAnsi="Calibri" w:eastAsia="楷体_GB2312" w:cs="Calibri"/>
          <w:sz w:val="20"/>
          <w:szCs w:val="20"/>
          <w:lang w:val="en-US" w:eastAsia="zh-CN"/>
        </w:rPr>
        <w:t>供需关系持续偏紧、行业竞争格局稳定，共同推动燃气轮机价格指数延续上行趋势。</w:t>
      </w:r>
      <w:r>
        <w:rPr>
          <w:rFonts w:hint="default" w:ascii="Calibri" w:hAnsi="Calibri" w:eastAsia="楷体_GB2312" w:cs="Calibri"/>
        </w:rPr>
        <w:fldChar w:fldCharType="begin"/>
      </w:r>
      <w:r>
        <w:rPr>
          <w:rFonts w:hint="default" w:ascii="Calibri" w:hAnsi="Calibri" w:eastAsia="楷体_GB2312" w:cs="Calibri"/>
        </w:rPr>
        <w:instrText xml:space="preserve"> HYPERLINK \l "_Toc192787053" </w:instrText>
      </w:r>
      <w:r>
        <w:rPr>
          <w:rFonts w:hint="default" w:ascii="Calibri" w:hAnsi="Calibri" w:eastAsia="楷体_GB2312" w:cs="Calibri"/>
        </w:rPr>
        <w:fldChar w:fldCharType="separate"/>
      </w:r>
      <w:r>
        <w:rPr>
          <w:rFonts w:hint="default" w:ascii="Calibri" w:hAnsi="Calibri" w:eastAsia="楷体_GB2312" w:cs="Calibri"/>
          <w:b/>
          <w:bCs/>
          <w:sz w:val="20"/>
          <w:szCs w:val="20"/>
          <w:lang w:val="en-US" w:eastAsia="zh-CN"/>
        </w:rPr>
        <w:t>工业设备出口指数</w:t>
      </w:r>
      <w:r>
        <w:rPr>
          <w:rFonts w:hint="default" w:ascii="Calibri" w:hAnsi="Calibri" w:eastAsia="楷体_GB2312" w:cs="Calibri"/>
          <w:b/>
          <w:bCs/>
          <w:sz w:val="20"/>
          <w:szCs w:val="20"/>
          <w:lang w:val="en-US" w:eastAsia="zh-CN"/>
        </w:rPr>
        <w:fldChar w:fldCharType="end"/>
      </w:r>
      <w:r>
        <w:rPr>
          <w:rFonts w:hint="default" w:ascii="Calibri" w:hAnsi="Calibri" w:eastAsia="楷体_GB2312" w:cs="Calibri"/>
          <w:b/>
          <w:bCs/>
          <w:sz w:val="20"/>
          <w:szCs w:val="20"/>
          <w:lang w:val="en-US" w:eastAsia="zh-CN"/>
        </w:rPr>
        <w:t>：</w:t>
      </w:r>
      <w:r>
        <w:rPr>
          <w:rFonts w:hint="default" w:ascii="Calibri" w:hAnsi="Calibri" w:eastAsia="楷体_GB2312" w:cs="Calibri"/>
          <w:sz w:val="20"/>
          <w:szCs w:val="20"/>
          <w:lang w:val="en-US" w:eastAsia="zh-CN"/>
        </w:rPr>
        <w:t>中国2025年变压器出口保持高增。2025年出口额狂飙至646亿元，同比激增36%，稳居全球第一大变压器出口国。</w:t>
      </w:r>
    </w:p>
    <w:p w14:paraId="29AB5E14">
      <w:pPr>
        <w:keepNext w:val="0"/>
        <w:keepLines w:val="0"/>
        <w:pageBreakBefore w:val="0"/>
        <w:widowControl/>
        <w:numPr>
          <w:ilvl w:val="0"/>
          <w:numId w:val="13"/>
        </w:numPr>
        <w:kinsoku/>
        <w:wordWrap/>
        <w:overflowPunct w:val="0"/>
        <w:topLinePunct w:val="0"/>
        <w:autoSpaceDE/>
        <w:autoSpaceDN/>
        <w:bidi w:val="0"/>
        <w:adjustRightInd/>
        <w:snapToGrid/>
        <w:spacing w:after="181" w:afterLines="50" w:line="228" w:lineRule="auto"/>
        <w:jc w:val="both"/>
        <w:textAlignment w:val="auto"/>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全球能源工业：美国电力</w:t>
      </w:r>
      <w:r>
        <w:rPr>
          <w:rFonts w:hint="default" w:ascii="Calibri" w:hAnsi="Calibri" w:eastAsia="楷体_GB2312" w:cs="Calibri"/>
          <w:sz w:val="20"/>
          <w:szCs w:val="20"/>
          <w:lang w:val="en-US" w:eastAsia="zh-CN"/>
        </w:rPr>
        <w:t>：2月25日，美国主要地区电力平均现货价格为$34.16/MWh；</w:t>
      </w:r>
      <w:r>
        <w:rPr>
          <w:rFonts w:hint="default" w:ascii="Calibri" w:hAnsi="Calibri" w:eastAsia="楷体_GB2312" w:cs="Calibri"/>
          <w:b/>
          <w:bCs/>
          <w:sz w:val="20"/>
          <w:szCs w:val="20"/>
          <w:lang w:val="en-US" w:eastAsia="zh-CN"/>
        </w:rPr>
        <w:t>欧洲电力：</w:t>
      </w:r>
      <w:r>
        <w:rPr>
          <w:rFonts w:hint="default" w:ascii="Calibri" w:hAnsi="Calibri" w:eastAsia="楷体_GB2312" w:cs="Calibri"/>
          <w:sz w:val="20"/>
          <w:szCs w:val="20"/>
          <w:lang w:val="en-US" w:eastAsia="zh-CN"/>
        </w:rPr>
        <w:t>本周电力市场日前交易价格整体走势上升。美国天然气期现价格周环比上行，持仓数下降。截至2026年2月26日，亨利枢纽现货价格报2.95美元/百万英热，周环比下降4.5%；截至2026年2月26日，NYMEX HH期货价格报2.87美元/百万英热，周环比下降5.2%。</w:t>
      </w:r>
    </w:p>
    <w:p w14:paraId="2E44EC39">
      <w:pPr>
        <w:keepNext w:val="0"/>
        <w:keepLines w:val="0"/>
        <w:pageBreakBefore w:val="0"/>
        <w:widowControl/>
        <w:numPr>
          <w:ilvl w:val="0"/>
          <w:numId w:val="13"/>
        </w:numPr>
        <w:kinsoku/>
        <w:wordWrap/>
        <w:overflowPunct w:val="0"/>
        <w:topLinePunct w:val="0"/>
        <w:autoSpaceDE/>
        <w:autoSpaceDN/>
        <w:bidi w:val="0"/>
        <w:adjustRightInd/>
        <w:snapToGrid/>
        <w:spacing w:after="181" w:afterLines="50" w:line="228" w:lineRule="auto"/>
        <w:jc w:val="both"/>
        <w:textAlignment w:val="auto"/>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全球新材料：天然铀：</w:t>
      </w:r>
      <w:r>
        <w:rPr>
          <w:rFonts w:hint="default" w:ascii="Calibri" w:hAnsi="Calibri" w:eastAsia="楷体_GB2312" w:cs="Calibri"/>
          <w:sz w:val="20"/>
          <w:szCs w:val="20"/>
          <w:lang w:val="en-US" w:eastAsia="zh-CN"/>
        </w:rPr>
        <w:t>2025年12月全球铀实际市场价格为63.51美元/磅，环比+2.0%，同比+5.5%。</w:t>
      </w:r>
      <w:r>
        <w:rPr>
          <w:rFonts w:hint="default" w:ascii="Calibri" w:hAnsi="Calibri" w:eastAsia="楷体_GB2312" w:cs="Calibri"/>
          <w:b/>
          <w:bCs/>
          <w:sz w:val="20"/>
          <w:szCs w:val="20"/>
          <w:lang w:val="en-US" w:eastAsia="zh-CN"/>
        </w:rPr>
        <w:t>稀土：</w:t>
      </w:r>
      <w:r>
        <w:rPr>
          <w:rFonts w:hint="default" w:ascii="Calibri" w:hAnsi="Calibri" w:eastAsia="楷体_GB2312" w:cs="Calibri"/>
          <w:sz w:val="20"/>
          <w:szCs w:val="20"/>
          <w:lang w:val="en-US" w:eastAsia="zh-CN"/>
        </w:rPr>
        <w:t>本周氧化镨钕（850,000元/吨）涨幅领先，周度环比+13.8%，月度环比+33.4%，其余品种周度环比涨幅在2-5%区间。</w:t>
      </w:r>
    </w:p>
    <w:p w14:paraId="25272113">
      <w:pPr>
        <w:keepNext w:val="0"/>
        <w:keepLines w:val="0"/>
        <w:pageBreakBefore w:val="0"/>
        <w:widowControl/>
        <w:kinsoku/>
        <w:wordWrap/>
        <w:overflowPunct w:val="0"/>
        <w:topLinePunct w:val="0"/>
        <w:autoSpaceDE/>
        <w:autoSpaceDN/>
        <w:bidi w:val="0"/>
        <w:adjustRightInd/>
        <w:snapToGrid/>
        <w:spacing w:after="181" w:afterLines="50" w:line="228" w:lineRule="auto"/>
        <w:jc w:val="both"/>
        <w:textAlignment w:val="auto"/>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5）全球国防与航空航天：美国：</w:t>
      </w:r>
      <w:r>
        <w:rPr>
          <w:rFonts w:hint="default" w:ascii="Calibri" w:hAnsi="Calibri" w:eastAsia="楷体_GB2312" w:cs="Calibri"/>
          <w:sz w:val="20"/>
          <w:szCs w:val="20"/>
          <w:lang w:val="en-US" w:eastAsia="zh-CN"/>
        </w:rPr>
        <w:t>飞机发动机和发动机部件制造价格指数2025年12月为275.942，环比+0.35%，同比增长1.44%。飞机发动机和发动机零部件制造： 飞机发动机零部件价格指数2025年12月为292.545，环比+0.7%，同比增长3.7%。美国政府支出国防价格指数2025年Q4为120.187，环比+0.9%，同比增长2.95%。</w:t>
      </w:r>
    </w:p>
    <w:bookmarkEnd w:id="0"/>
    <w:p w14:paraId="692C8BA0">
      <w:pPr>
        <w:keepNext w:val="0"/>
        <w:keepLines w:val="0"/>
        <w:pageBreakBefore w:val="0"/>
        <w:widowControl/>
        <w:kinsoku/>
        <w:wordWrap/>
        <w:overflowPunct w:val="0"/>
        <w:topLinePunct w:val="0"/>
        <w:autoSpaceDE/>
        <w:autoSpaceDN/>
        <w:bidi w:val="0"/>
        <w:adjustRightInd/>
        <w:snapToGrid/>
        <w:spacing w:after="181" w:afterLines="50" w:line="228" w:lineRule="auto"/>
        <w:jc w:val="both"/>
        <w:textAlignment w:val="auto"/>
        <w:rPr>
          <w:rFonts w:hint="default" w:ascii="Calibri" w:hAnsi="Calibri" w:eastAsia="楷体_GB2312" w:cs="Calibri"/>
          <w:sz w:val="22"/>
          <w:szCs w:val="22"/>
          <w:lang w:val="en-US" w:eastAsia="zh-CN"/>
        </w:rPr>
      </w:pPr>
      <w:r>
        <w:rPr>
          <w:rFonts w:hint="default" w:ascii="Calibri" w:hAnsi="Calibri" w:eastAsia="楷体_GB2312" w:cs="Calibri"/>
          <w:b/>
          <w:bCs/>
          <w:color w:val="1F497D" w:themeColor="text2"/>
          <w:sz w:val="22"/>
          <w:szCs w:val="22"/>
          <w:lang w:val="en-US" w:eastAsia="zh-CN"/>
          <w14:textFill>
            <w14:solidFill>
              <w14:schemeClr w14:val="tx2"/>
            </w14:solidFill>
          </w14:textFill>
        </w:rPr>
        <w:t>投资建议：</w:t>
      </w:r>
    </w:p>
    <w:p w14:paraId="6CF55C07">
      <w:pPr>
        <w:keepNext w:val="0"/>
        <w:keepLines w:val="0"/>
        <w:pageBreakBefore w:val="0"/>
        <w:widowControl/>
        <w:kinsoku/>
        <w:wordWrap/>
        <w:topLinePunct w:val="0"/>
        <w:autoSpaceDE/>
        <w:autoSpaceDN/>
        <w:bidi w:val="0"/>
        <w:adjustRightInd/>
        <w:snapToGrid/>
        <w:spacing w:after="181" w:afterLines="50"/>
        <w:jc w:val="both"/>
        <w:textAlignment w:val="auto"/>
        <w:rPr>
          <w:rFonts w:hint="default" w:ascii="Calibri" w:hAnsi="Calibri" w:eastAsia="楷体_GB2312" w:cs="Calibri"/>
          <w:sz w:val="20"/>
          <w:szCs w:val="20"/>
          <w:lang w:val="en-US" w:eastAsia="zh-CN" w:bidi="ar"/>
        </w:rPr>
      </w:pPr>
      <w:r>
        <w:rPr>
          <w:rFonts w:hint="default" w:ascii="Calibri" w:hAnsi="Calibri" w:eastAsia="楷体_GB2312" w:cs="Calibri"/>
          <w:sz w:val="20"/>
          <w:szCs w:val="20"/>
          <w:lang w:val="en-US" w:eastAsia="zh-CN" w:bidi="ar"/>
        </w:rPr>
        <w:t>输电网建设受益标的: Bloom Energy，GE Vernova，西门子能源，日立集团，现代电气，广达服务，哈尔滨电器，潍柴动力，东岳集团；智能化电网提供商：施耐德电气、重庆机电；电力方案解决商：伊顿。AI数据中心电力需求爆发，叠加美国核电政策松绑与产业链重建，我们建议关注 ：NuScale Power，Oklo，Centrus Energy，中广核矿业，Cameco。建议关注高股息稳定回报的天然气管网公司：Targa Resources，Kinder Morgan，Williams。</w:t>
      </w:r>
    </w:p>
    <w:p w14:paraId="1BD86FC2">
      <w:pPr>
        <w:keepNext w:val="0"/>
        <w:keepLines w:val="0"/>
        <w:pageBreakBefore w:val="0"/>
        <w:widowControl/>
        <w:kinsoku/>
        <w:wordWrap/>
        <w:topLinePunct w:val="0"/>
        <w:autoSpaceDE/>
        <w:autoSpaceDN/>
        <w:bidi w:val="0"/>
        <w:adjustRightInd/>
        <w:snapToGrid/>
        <w:spacing w:after="181" w:afterLines="50"/>
        <w:jc w:val="both"/>
        <w:textAlignment w:val="auto"/>
        <w:rPr>
          <w:rFonts w:hint="default" w:ascii="Calibri" w:hAnsi="Calibri" w:eastAsia="楷体_GB2312" w:cs="Calibri"/>
          <w:sz w:val="20"/>
          <w:szCs w:val="20"/>
        </w:rPr>
      </w:pPr>
      <w:r>
        <w:rPr>
          <w:rFonts w:hint="default" w:ascii="Calibri" w:hAnsi="Calibri" w:eastAsia="楷体_GB2312" w:cs="Calibri"/>
          <w:sz w:val="20"/>
          <w:szCs w:val="20"/>
          <w:lang w:val="en-US" w:eastAsia="zh-CN" w:bidi="ar"/>
        </w:rPr>
        <w:t>随着航空航天业的稳健复苏、国防支出增加及军事现代化需求，我们建议关注高性能结构部件制造商Howmet Aerospace、航空航天零部件专业制造商Loar Holdings、法国航空发动机巨头赛峰(SAFRY)以及领先国防承包商雷神技术(RTX)以及鹰普精密。随着民用航空器维护需求增加，我们建议关注VSE技术服务公司。</w:t>
      </w:r>
    </w:p>
    <w:p w14:paraId="248802EE">
      <w:pPr>
        <w:keepNext w:val="0"/>
        <w:keepLines w:val="0"/>
        <w:pageBreakBefore w:val="0"/>
        <w:widowControl/>
        <w:kinsoku/>
        <w:wordWrap/>
        <w:overflowPunct w:val="0"/>
        <w:topLinePunct w:val="0"/>
        <w:autoSpaceDE/>
        <w:autoSpaceDN/>
        <w:bidi w:val="0"/>
        <w:adjustRightInd/>
        <w:snapToGrid/>
        <w:spacing w:after="181" w:afterLines="50" w:line="228" w:lineRule="auto"/>
        <w:jc w:val="both"/>
        <w:textAlignment w:val="auto"/>
        <w:rPr>
          <w:rFonts w:hint="default" w:ascii="Calibri" w:hAnsi="Calibri" w:eastAsia="楷体_GB2312" w:cs="Calibri"/>
          <w:b/>
          <w:bCs/>
          <w:color w:val="1F497D" w:themeColor="text2"/>
          <w:sz w:val="22"/>
          <w:szCs w:val="22"/>
          <w:lang w:val="en-US" w:eastAsia="zh-CN"/>
          <w14:textFill>
            <w14:solidFill>
              <w14:schemeClr w14:val="tx2"/>
            </w14:solidFill>
          </w14:textFill>
        </w:rPr>
      </w:pPr>
      <w:r>
        <w:rPr>
          <w:rFonts w:hint="default" w:ascii="Calibri" w:hAnsi="Calibri" w:eastAsia="楷体_GB2312" w:cs="Calibri"/>
          <w:b/>
          <w:bCs/>
          <w:color w:val="1F497D" w:themeColor="text2"/>
          <w:sz w:val="22"/>
          <w:szCs w:val="22"/>
          <w:lang w:val="en-US" w:eastAsia="zh-CN"/>
          <w14:textFill>
            <w14:solidFill>
              <w14:schemeClr w14:val="tx2"/>
            </w14:solidFill>
          </w14:textFill>
        </w:rPr>
        <w:t>风险提示：</w:t>
      </w:r>
    </w:p>
    <w:p w14:paraId="594418A7">
      <w:pPr>
        <w:keepNext w:val="0"/>
        <w:keepLines w:val="0"/>
        <w:pageBreakBefore w:val="0"/>
        <w:widowControl/>
        <w:kinsoku/>
        <w:wordWrap/>
        <w:overflowPunct w:val="0"/>
        <w:topLinePunct w:val="0"/>
        <w:autoSpaceDE/>
        <w:autoSpaceDN/>
        <w:bidi w:val="0"/>
        <w:adjustRightInd/>
        <w:snapToGrid/>
        <w:spacing w:after="181" w:afterLines="50" w:line="228" w:lineRule="auto"/>
        <w:jc w:val="both"/>
        <w:textAlignment w:val="auto"/>
        <w:rPr>
          <w:rFonts w:hint="default" w:ascii="Calibri" w:hAnsi="Calibri" w:eastAsia="楷体_GB2312" w:cs="Calibri"/>
          <w:lang w:eastAsia="zh-CN"/>
        </w:rPr>
        <w:sectPr>
          <w:headerReference r:id="rId3" w:type="default"/>
          <w:footerReference r:id="rId4" w:type="default"/>
          <w:pgSz w:w="11909" w:h="16834"/>
          <w:pgMar w:top="1134" w:right="851" w:bottom="1321" w:left="851" w:header="284" w:footer="1157" w:gutter="0"/>
          <w:cols w:space="720" w:num="1"/>
          <w:docGrid w:linePitch="360" w:charSpace="0"/>
        </w:sectPr>
      </w:pPr>
      <w:r>
        <w:rPr>
          <w:rFonts w:hint="default" w:ascii="Calibri" w:hAnsi="Calibri" w:eastAsia="楷体_GB2312" w:cs="Calibri"/>
          <w:sz w:val="20"/>
          <w:szCs w:val="20"/>
          <w:lang w:val="en-US" w:eastAsia="zh-CN"/>
        </w:rPr>
        <w:t>欧美新能源政策推进不及预期；欧洲电力市场改革不及预期；地缘政治风险，导致传统能源品价格波动；核能政策推进不及预期，开发成本高于预期，商业化进展弱于预期；AIDC建设不及预期；AI用电量不及预期。</w:t>
      </w:r>
    </w:p>
    <w:p w14:paraId="24729AD5">
      <w:pPr>
        <w:overflowPunct w:val="0"/>
        <w:jc w:val="both"/>
        <w:rPr>
          <w:rFonts w:hint="default" w:ascii="Calibri" w:hAnsi="Calibri" w:eastAsia="楷体_GB2312" w:cs="Calibri"/>
          <w:sz w:val="20"/>
          <w:szCs w:val="20"/>
          <w:lang w:val="en-US" w:eastAsia="zh-CN"/>
        </w:rPr>
      </w:pPr>
      <w:bookmarkStart w:id="1" w:name="_Toc145691341"/>
      <w:bookmarkStart w:id="2" w:name="_Toc145713253"/>
      <w:bookmarkStart w:id="3" w:name="_Toc185497681"/>
      <w:bookmarkStart w:id="4" w:name="_Toc2091320906"/>
    </w:p>
    <w:sdt>
      <w:sdtPr>
        <w:rPr>
          <w:rFonts w:hint="default" w:ascii="Calibri" w:hAnsi="Calibri" w:eastAsia="楷体_GB2312" w:cs="Calibri"/>
          <w:sz w:val="21"/>
        </w:rPr>
        <w:id w:val="147451266"/>
        <w15:color w:val="DBDBDB"/>
        <w:docPartObj>
          <w:docPartGallery w:val="Table of Contents"/>
          <w:docPartUnique/>
        </w:docPartObj>
      </w:sdtPr>
      <w:sdtEndPr>
        <w:rPr>
          <w:rFonts w:hint="default" w:ascii="Calibri" w:hAnsi="Calibri" w:eastAsia="楷体_GB2312" w:cs="Calibri"/>
          <w:sz w:val="16"/>
          <w:lang w:eastAsia="zh-CN"/>
        </w:rPr>
      </w:sdtEndPr>
      <w:sdtContent>
        <w:p w14:paraId="5BAAA0E3">
          <w:pPr>
            <w:jc w:val="center"/>
            <w:rPr>
              <w:rFonts w:hint="default" w:ascii="Calibri" w:hAnsi="Calibri" w:eastAsia="楷体_GB2312" w:cs="Calibri"/>
              <w:b/>
              <w:bCs/>
              <w:color w:val="1F497D" w:themeColor="text2"/>
              <w:sz w:val="22"/>
              <w:szCs w:val="22"/>
              <w:lang w:val="en-US" w:eastAsia="zh-CN"/>
              <w14:textFill>
                <w14:solidFill>
                  <w14:schemeClr w14:val="tx2"/>
                </w14:solidFill>
              </w14:textFill>
            </w:rPr>
          </w:pPr>
          <w:r>
            <w:rPr>
              <w:rFonts w:hint="default" w:ascii="Calibri" w:hAnsi="Calibri" w:eastAsia="楷体_GB2312" w:cs="Calibri"/>
              <w:b/>
              <w:bCs/>
              <w:color w:val="1F497D" w:themeColor="text2"/>
              <w:sz w:val="22"/>
              <w:szCs w:val="22"/>
              <w:lang w:val="en-US" w:eastAsia="zh-CN"/>
              <w14:textFill>
                <w14:solidFill>
                  <w14:schemeClr w14:val="tx2"/>
                </w14:solidFill>
              </w14:textFill>
            </w:rPr>
            <w:t>目录</w:t>
          </w:r>
        </w:p>
        <w:p w14:paraId="3BEB178E">
          <w:pPr>
            <w:pStyle w:val="19"/>
            <w:spacing w:line="240" w:lineRule="auto"/>
            <w:ind w:left="2080"/>
            <w:rPr>
              <w:rFonts w:hint="default" w:ascii="Calibri" w:hAnsi="Calibri" w:eastAsia="楷体_GB2312" w:cs="Calibri"/>
              <w:sz w:val="22"/>
              <w14:ligatures w14:val="standardContextual"/>
            </w:rPr>
          </w:pPr>
          <w:r>
            <w:rPr>
              <w:rFonts w:hint="default" w:ascii="Calibri" w:hAnsi="Calibri" w:eastAsia="楷体_GB2312" w:cs="Calibri"/>
              <w:snapToGrid w:val="0"/>
              <w:sz w:val="16"/>
              <w:szCs w:val="16"/>
              <w:lang w:val="en-GB"/>
            </w:rPr>
            <w:fldChar w:fldCharType="begin"/>
          </w:r>
          <w:r>
            <w:rPr>
              <w:rFonts w:hint="default" w:ascii="Calibri" w:hAnsi="Calibri" w:eastAsia="楷体_GB2312" w:cs="Calibri"/>
              <w:snapToGrid w:val="0"/>
              <w:sz w:val="16"/>
              <w:szCs w:val="16"/>
              <w:lang w:val="en-GB"/>
            </w:rPr>
            <w:instrText xml:space="preserve">TOC \o "1-3" \h \u </w:instrText>
          </w:r>
          <w:r>
            <w:rPr>
              <w:rFonts w:hint="default" w:ascii="Calibri" w:hAnsi="Calibri" w:eastAsia="楷体_GB2312" w:cs="Calibri"/>
              <w:snapToGrid w:val="0"/>
              <w:sz w:val="16"/>
              <w:szCs w:val="16"/>
              <w:lang w:val="en-GB"/>
            </w:rPr>
            <w:fldChar w:fldCharType="separate"/>
          </w:r>
          <w:r>
            <w:rPr>
              <w:rFonts w:hint="default" w:ascii="Calibri" w:hAnsi="Calibri" w:eastAsia="楷体_GB2312" w:cs="Calibri"/>
            </w:rPr>
            <w:fldChar w:fldCharType="begin"/>
          </w:r>
          <w:r>
            <w:rPr>
              <w:rFonts w:hint="default" w:ascii="Calibri" w:hAnsi="Calibri" w:eastAsia="楷体_GB2312" w:cs="Calibri"/>
            </w:rPr>
            <w:instrText xml:space="preserve"> HYPERLINK \l "_Toc223082593" </w:instrText>
          </w:r>
          <w:r>
            <w:rPr>
              <w:rFonts w:hint="default" w:ascii="Calibri" w:hAnsi="Calibri" w:eastAsia="楷体_GB2312" w:cs="Calibri"/>
            </w:rPr>
            <w:fldChar w:fldCharType="separate"/>
          </w:r>
          <w:r>
            <w:rPr>
              <w:rStyle w:val="32"/>
              <w:rFonts w:hint="default" w:ascii="Calibri" w:hAnsi="Calibri" w:eastAsia="楷体_GB2312" w:cs="Calibri"/>
            </w:rPr>
            <w:t>一、全球市场回顾</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PAGEREF _Toc223082593 \h </w:instrText>
          </w:r>
          <w:r>
            <w:rPr>
              <w:rFonts w:hint="default" w:ascii="Calibri" w:hAnsi="Calibri" w:eastAsia="楷体_GB2312" w:cs="Calibri"/>
            </w:rPr>
            <w:fldChar w:fldCharType="separate"/>
          </w:r>
          <w:r>
            <w:rPr>
              <w:rFonts w:hint="default" w:ascii="Calibri" w:hAnsi="Calibri" w:eastAsia="楷体_GB2312" w:cs="Calibri"/>
            </w:rPr>
            <w:t>3</w:t>
          </w:r>
          <w:r>
            <w:rPr>
              <w:rFonts w:hint="default" w:ascii="Calibri" w:hAnsi="Calibri" w:eastAsia="楷体_GB2312" w:cs="Calibri"/>
            </w:rPr>
            <w:fldChar w:fldCharType="end"/>
          </w:r>
          <w:r>
            <w:rPr>
              <w:rFonts w:hint="default" w:ascii="Calibri" w:hAnsi="Calibri" w:eastAsia="楷体_GB2312" w:cs="Calibri"/>
            </w:rPr>
            <w:fldChar w:fldCharType="end"/>
          </w:r>
        </w:p>
        <w:p w14:paraId="44F37C6D">
          <w:pPr>
            <w:pStyle w:val="19"/>
            <w:spacing w:line="240" w:lineRule="auto"/>
            <w:ind w:left="2080"/>
            <w:rPr>
              <w:rFonts w:hint="default" w:ascii="Calibri" w:hAnsi="Calibri" w:eastAsia="楷体_GB2312" w:cs="Calibri"/>
              <w:sz w:val="22"/>
              <w14:ligatures w14:val="standardContextual"/>
            </w:rPr>
          </w:pPr>
          <w:r>
            <w:rPr>
              <w:rFonts w:hint="default" w:ascii="Calibri" w:hAnsi="Calibri" w:eastAsia="楷体_GB2312" w:cs="Calibri"/>
            </w:rPr>
            <w:fldChar w:fldCharType="begin"/>
          </w:r>
          <w:r>
            <w:rPr>
              <w:rFonts w:hint="default" w:ascii="Calibri" w:hAnsi="Calibri" w:eastAsia="楷体_GB2312" w:cs="Calibri"/>
            </w:rPr>
            <w:instrText xml:space="preserve"> HYPERLINK \l "_Toc223082594" </w:instrText>
          </w:r>
          <w:r>
            <w:rPr>
              <w:rFonts w:hint="default" w:ascii="Calibri" w:hAnsi="Calibri" w:eastAsia="楷体_GB2312" w:cs="Calibri"/>
            </w:rPr>
            <w:fldChar w:fldCharType="separate"/>
          </w:r>
          <w:r>
            <w:rPr>
              <w:rStyle w:val="32"/>
              <w:rFonts w:hint="default" w:ascii="Calibri" w:hAnsi="Calibri" w:eastAsia="楷体_GB2312" w:cs="Calibri"/>
            </w:rPr>
            <w:t>二、全球基建与建筑装备</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PAGEREF _Toc223082594 \h </w:instrText>
          </w:r>
          <w:r>
            <w:rPr>
              <w:rFonts w:hint="default" w:ascii="Calibri" w:hAnsi="Calibri" w:eastAsia="楷体_GB2312" w:cs="Calibri"/>
            </w:rPr>
            <w:fldChar w:fldCharType="separate"/>
          </w:r>
          <w:r>
            <w:rPr>
              <w:rFonts w:hint="default" w:ascii="Calibri" w:hAnsi="Calibri" w:eastAsia="楷体_GB2312" w:cs="Calibri"/>
            </w:rPr>
            <w:t>5</w:t>
          </w:r>
          <w:r>
            <w:rPr>
              <w:rFonts w:hint="default" w:ascii="Calibri" w:hAnsi="Calibri" w:eastAsia="楷体_GB2312" w:cs="Calibri"/>
            </w:rPr>
            <w:fldChar w:fldCharType="end"/>
          </w:r>
          <w:r>
            <w:rPr>
              <w:rFonts w:hint="default" w:ascii="Calibri" w:hAnsi="Calibri" w:eastAsia="楷体_GB2312" w:cs="Calibri"/>
            </w:rPr>
            <w:fldChar w:fldCharType="end"/>
          </w:r>
        </w:p>
        <w:p w14:paraId="4BF93345">
          <w:pPr>
            <w:pStyle w:val="22"/>
            <w:spacing w:line="240" w:lineRule="auto"/>
            <w:ind w:left="2400"/>
            <w:rPr>
              <w:rFonts w:hint="default" w:ascii="Calibri" w:hAnsi="Calibri" w:eastAsia="楷体_GB2312" w:cs="Calibri"/>
              <w:sz w:val="22"/>
              <w14:ligatures w14:val="standardContextual"/>
            </w:rPr>
          </w:pPr>
          <w:r>
            <w:rPr>
              <w:rFonts w:hint="default" w:ascii="Calibri" w:hAnsi="Calibri" w:eastAsia="楷体_GB2312" w:cs="Calibri"/>
            </w:rPr>
            <w:fldChar w:fldCharType="begin"/>
          </w:r>
          <w:r>
            <w:rPr>
              <w:rFonts w:hint="default" w:ascii="Calibri" w:hAnsi="Calibri" w:eastAsia="楷体_GB2312" w:cs="Calibri"/>
            </w:rPr>
            <w:instrText xml:space="preserve"> HYPERLINK \l "_Toc223082595" </w:instrText>
          </w:r>
          <w:r>
            <w:rPr>
              <w:rFonts w:hint="default" w:ascii="Calibri" w:hAnsi="Calibri" w:eastAsia="楷体_GB2312" w:cs="Calibri"/>
            </w:rPr>
            <w:fldChar w:fldCharType="separate"/>
          </w:r>
          <w:r>
            <w:rPr>
              <w:rStyle w:val="32"/>
              <w:rFonts w:hint="default" w:ascii="Calibri" w:hAnsi="Calibri" w:eastAsia="楷体_GB2312" w:cs="Calibri"/>
            </w:rPr>
            <w:t>（一）数据中心</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PAGEREF _Toc223082595 \h </w:instrText>
          </w:r>
          <w:r>
            <w:rPr>
              <w:rFonts w:hint="default" w:ascii="Calibri" w:hAnsi="Calibri" w:eastAsia="楷体_GB2312" w:cs="Calibri"/>
            </w:rPr>
            <w:fldChar w:fldCharType="separate"/>
          </w:r>
          <w:r>
            <w:rPr>
              <w:rFonts w:hint="default" w:ascii="Calibri" w:hAnsi="Calibri" w:eastAsia="楷体_GB2312" w:cs="Calibri"/>
            </w:rPr>
            <w:t>5</w:t>
          </w:r>
          <w:r>
            <w:rPr>
              <w:rFonts w:hint="default" w:ascii="Calibri" w:hAnsi="Calibri" w:eastAsia="楷体_GB2312" w:cs="Calibri"/>
            </w:rPr>
            <w:fldChar w:fldCharType="end"/>
          </w:r>
          <w:r>
            <w:rPr>
              <w:rFonts w:hint="default" w:ascii="Calibri" w:hAnsi="Calibri" w:eastAsia="楷体_GB2312" w:cs="Calibri"/>
            </w:rPr>
            <w:fldChar w:fldCharType="end"/>
          </w:r>
        </w:p>
        <w:p w14:paraId="3230B775">
          <w:pPr>
            <w:pStyle w:val="22"/>
            <w:spacing w:line="240" w:lineRule="auto"/>
            <w:ind w:left="2400"/>
            <w:rPr>
              <w:rFonts w:hint="default" w:ascii="Calibri" w:hAnsi="Calibri" w:eastAsia="楷体_GB2312" w:cs="Calibri"/>
              <w:sz w:val="22"/>
              <w14:ligatures w14:val="standardContextual"/>
            </w:rPr>
          </w:pPr>
          <w:r>
            <w:rPr>
              <w:rFonts w:hint="default" w:ascii="Calibri" w:hAnsi="Calibri" w:eastAsia="楷体_GB2312" w:cs="Calibri"/>
            </w:rPr>
            <w:fldChar w:fldCharType="begin"/>
          </w:r>
          <w:r>
            <w:rPr>
              <w:rFonts w:hint="default" w:ascii="Calibri" w:hAnsi="Calibri" w:eastAsia="楷体_GB2312" w:cs="Calibri"/>
            </w:rPr>
            <w:instrText xml:space="preserve"> HYPERLINK \l "_Toc223082596" </w:instrText>
          </w:r>
          <w:r>
            <w:rPr>
              <w:rFonts w:hint="default" w:ascii="Calibri" w:hAnsi="Calibri" w:eastAsia="楷体_GB2312" w:cs="Calibri"/>
            </w:rPr>
            <w:fldChar w:fldCharType="separate"/>
          </w:r>
          <w:r>
            <w:rPr>
              <w:rStyle w:val="32"/>
              <w:rFonts w:hint="default" w:ascii="Calibri" w:hAnsi="Calibri" w:eastAsia="楷体_GB2312" w:cs="Calibri"/>
            </w:rPr>
            <w:t>（二）能源建设</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PAGEREF _Toc223082596 \h </w:instrText>
          </w:r>
          <w:r>
            <w:rPr>
              <w:rFonts w:hint="default" w:ascii="Calibri" w:hAnsi="Calibri" w:eastAsia="楷体_GB2312" w:cs="Calibri"/>
            </w:rPr>
            <w:fldChar w:fldCharType="separate"/>
          </w:r>
          <w:r>
            <w:rPr>
              <w:rFonts w:hint="default" w:ascii="Calibri" w:hAnsi="Calibri" w:eastAsia="楷体_GB2312" w:cs="Calibri"/>
            </w:rPr>
            <w:t>5</w:t>
          </w:r>
          <w:r>
            <w:rPr>
              <w:rFonts w:hint="default" w:ascii="Calibri" w:hAnsi="Calibri" w:eastAsia="楷体_GB2312" w:cs="Calibri"/>
            </w:rPr>
            <w:fldChar w:fldCharType="end"/>
          </w:r>
          <w:r>
            <w:rPr>
              <w:rFonts w:hint="default" w:ascii="Calibri" w:hAnsi="Calibri" w:eastAsia="楷体_GB2312" w:cs="Calibri"/>
            </w:rPr>
            <w:fldChar w:fldCharType="end"/>
          </w:r>
        </w:p>
        <w:p w14:paraId="11FAD1BB">
          <w:pPr>
            <w:pStyle w:val="22"/>
            <w:spacing w:line="240" w:lineRule="auto"/>
            <w:ind w:left="2400"/>
            <w:rPr>
              <w:rFonts w:hint="default" w:ascii="Calibri" w:hAnsi="Calibri" w:eastAsia="楷体_GB2312" w:cs="Calibri"/>
              <w:sz w:val="22"/>
              <w14:ligatures w14:val="standardContextual"/>
            </w:rPr>
          </w:pPr>
          <w:r>
            <w:rPr>
              <w:rFonts w:hint="default" w:ascii="Calibri" w:hAnsi="Calibri" w:eastAsia="楷体_GB2312" w:cs="Calibri"/>
            </w:rPr>
            <w:fldChar w:fldCharType="begin"/>
          </w:r>
          <w:r>
            <w:rPr>
              <w:rFonts w:hint="default" w:ascii="Calibri" w:hAnsi="Calibri" w:eastAsia="楷体_GB2312" w:cs="Calibri"/>
            </w:rPr>
            <w:instrText xml:space="preserve"> HYPERLINK \l "_Toc223082597" </w:instrText>
          </w:r>
          <w:r>
            <w:rPr>
              <w:rFonts w:hint="default" w:ascii="Calibri" w:hAnsi="Calibri" w:eastAsia="楷体_GB2312" w:cs="Calibri"/>
            </w:rPr>
            <w:fldChar w:fldCharType="separate"/>
          </w:r>
          <w:r>
            <w:rPr>
              <w:rStyle w:val="32"/>
              <w:rFonts w:hint="default" w:ascii="Calibri" w:hAnsi="Calibri" w:eastAsia="楷体_GB2312" w:cs="Calibri"/>
            </w:rPr>
            <w:t>（三）SMR装备</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PAGEREF _Toc223082597 \h </w:instrText>
          </w:r>
          <w:r>
            <w:rPr>
              <w:rFonts w:hint="default" w:ascii="Calibri" w:hAnsi="Calibri" w:eastAsia="楷体_GB2312" w:cs="Calibri"/>
            </w:rPr>
            <w:fldChar w:fldCharType="separate"/>
          </w:r>
          <w:r>
            <w:rPr>
              <w:rFonts w:hint="default" w:ascii="Calibri" w:hAnsi="Calibri" w:eastAsia="楷体_GB2312" w:cs="Calibri"/>
            </w:rPr>
            <w:t>6</w:t>
          </w:r>
          <w:r>
            <w:rPr>
              <w:rFonts w:hint="default" w:ascii="Calibri" w:hAnsi="Calibri" w:eastAsia="楷体_GB2312" w:cs="Calibri"/>
            </w:rPr>
            <w:fldChar w:fldCharType="end"/>
          </w:r>
          <w:r>
            <w:rPr>
              <w:rFonts w:hint="default" w:ascii="Calibri" w:hAnsi="Calibri" w:eastAsia="楷体_GB2312" w:cs="Calibri"/>
            </w:rPr>
            <w:fldChar w:fldCharType="end"/>
          </w:r>
        </w:p>
        <w:p w14:paraId="5E4CBEAF">
          <w:pPr>
            <w:pStyle w:val="19"/>
            <w:spacing w:line="240" w:lineRule="auto"/>
            <w:ind w:left="2080"/>
            <w:rPr>
              <w:rFonts w:hint="default" w:ascii="Calibri" w:hAnsi="Calibri" w:eastAsia="楷体_GB2312" w:cs="Calibri"/>
              <w:sz w:val="22"/>
              <w14:ligatures w14:val="standardContextual"/>
            </w:rPr>
          </w:pPr>
          <w:r>
            <w:rPr>
              <w:rFonts w:hint="default" w:ascii="Calibri" w:hAnsi="Calibri" w:eastAsia="楷体_GB2312" w:cs="Calibri"/>
            </w:rPr>
            <w:fldChar w:fldCharType="begin"/>
          </w:r>
          <w:r>
            <w:rPr>
              <w:rFonts w:hint="default" w:ascii="Calibri" w:hAnsi="Calibri" w:eastAsia="楷体_GB2312" w:cs="Calibri"/>
            </w:rPr>
            <w:instrText xml:space="preserve"> HYPERLINK \l "_Toc223082598" </w:instrText>
          </w:r>
          <w:r>
            <w:rPr>
              <w:rFonts w:hint="default" w:ascii="Calibri" w:hAnsi="Calibri" w:eastAsia="楷体_GB2312" w:cs="Calibri"/>
            </w:rPr>
            <w:fldChar w:fldCharType="separate"/>
          </w:r>
          <w:r>
            <w:rPr>
              <w:rStyle w:val="32"/>
              <w:rFonts w:hint="default" w:ascii="Calibri" w:hAnsi="Calibri" w:eastAsia="楷体_GB2312" w:cs="Calibri"/>
            </w:rPr>
            <w:t>三、全球电气与智能装备</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PAGEREF _Toc223082598 \h </w:instrText>
          </w:r>
          <w:r>
            <w:rPr>
              <w:rFonts w:hint="default" w:ascii="Calibri" w:hAnsi="Calibri" w:eastAsia="楷体_GB2312" w:cs="Calibri"/>
            </w:rPr>
            <w:fldChar w:fldCharType="separate"/>
          </w:r>
          <w:r>
            <w:rPr>
              <w:rFonts w:hint="default" w:ascii="Calibri" w:hAnsi="Calibri" w:eastAsia="楷体_GB2312" w:cs="Calibri"/>
            </w:rPr>
            <w:t>7</w:t>
          </w:r>
          <w:r>
            <w:rPr>
              <w:rFonts w:hint="default" w:ascii="Calibri" w:hAnsi="Calibri" w:eastAsia="楷体_GB2312" w:cs="Calibri"/>
            </w:rPr>
            <w:fldChar w:fldCharType="end"/>
          </w:r>
          <w:r>
            <w:rPr>
              <w:rFonts w:hint="default" w:ascii="Calibri" w:hAnsi="Calibri" w:eastAsia="楷体_GB2312" w:cs="Calibri"/>
            </w:rPr>
            <w:fldChar w:fldCharType="end"/>
          </w:r>
        </w:p>
        <w:p w14:paraId="413C31EA">
          <w:pPr>
            <w:pStyle w:val="22"/>
            <w:spacing w:line="240" w:lineRule="auto"/>
            <w:ind w:left="2400"/>
            <w:rPr>
              <w:rFonts w:hint="default" w:ascii="Calibri" w:hAnsi="Calibri" w:eastAsia="楷体_GB2312" w:cs="Calibri"/>
              <w:sz w:val="22"/>
              <w14:ligatures w14:val="standardContextual"/>
            </w:rPr>
          </w:pPr>
          <w:r>
            <w:rPr>
              <w:rFonts w:hint="default" w:ascii="Calibri" w:hAnsi="Calibri" w:eastAsia="楷体_GB2312" w:cs="Calibri"/>
            </w:rPr>
            <w:fldChar w:fldCharType="begin"/>
          </w:r>
          <w:r>
            <w:rPr>
              <w:rFonts w:hint="default" w:ascii="Calibri" w:hAnsi="Calibri" w:eastAsia="楷体_GB2312" w:cs="Calibri"/>
            </w:rPr>
            <w:instrText xml:space="preserve"> HYPERLINK \l "_Toc223082599" </w:instrText>
          </w:r>
          <w:r>
            <w:rPr>
              <w:rFonts w:hint="default" w:ascii="Calibri" w:hAnsi="Calibri" w:eastAsia="楷体_GB2312" w:cs="Calibri"/>
            </w:rPr>
            <w:fldChar w:fldCharType="separate"/>
          </w:r>
          <w:r>
            <w:rPr>
              <w:rStyle w:val="32"/>
              <w:rFonts w:hint="default" w:ascii="Calibri" w:hAnsi="Calibri" w:eastAsia="楷体_GB2312" w:cs="Calibri"/>
            </w:rPr>
            <w:t>（一）工业设备价格指数</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PAGEREF _Toc223082599 \h </w:instrText>
          </w:r>
          <w:r>
            <w:rPr>
              <w:rFonts w:hint="default" w:ascii="Calibri" w:hAnsi="Calibri" w:eastAsia="楷体_GB2312" w:cs="Calibri"/>
            </w:rPr>
            <w:fldChar w:fldCharType="separate"/>
          </w:r>
          <w:r>
            <w:rPr>
              <w:rFonts w:hint="default" w:ascii="Calibri" w:hAnsi="Calibri" w:eastAsia="楷体_GB2312" w:cs="Calibri"/>
            </w:rPr>
            <w:t>7</w:t>
          </w:r>
          <w:r>
            <w:rPr>
              <w:rFonts w:hint="default" w:ascii="Calibri" w:hAnsi="Calibri" w:eastAsia="楷体_GB2312" w:cs="Calibri"/>
            </w:rPr>
            <w:fldChar w:fldCharType="end"/>
          </w:r>
          <w:r>
            <w:rPr>
              <w:rFonts w:hint="default" w:ascii="Calibri" w:hAnsi="Calibri" w:eastAsia="楷体_GB2312" w:cs="Calibri"/>
            </w:rPr>
            <w:fldChar w:fldCharType="end"/>
          </w:r>
        </w:p>
        <w:p w14:paraId="3D53BEE4">
          <w:pPr>
            <w:pStyle w:val="22"/>
            <w:spacing w:line="240" w:lineRule="auto"/>
            <w:ind w:left="2400"/>
            <w:rPr>
              <w:rFonts w:hint="default" w:ascii="Calibri" w:hAnsi="Calibri" w:eastAsia="楷体_GB2312" w:cs="Calibri"/>
              <w:sz w:val="22"/>
              <w14:ligatures w14:val="standardContextual"/>
            </w:rPr>
          </w:pPr>
          <w:r>
            <w:rPr>
              <w:rFonts w:hint="default" w:ascii="Calibri" w:hAnsi="Calibri" w:eastAsia="楷体_GB2312" w:cs="Calibri"/>
            </w:rPr>
            <w:fldChar w:fldCharType="begin"/>
          </w:r>
          <w:r>
            <w:rPr>
              <w:rFonts w:hint="default" w:ascii="Calibri" w:hAnsi="Calibri" w:eastAsia="楷体_GB2312" w:cs="Calibri"/>
            </w:rPr>
            <w:instrText xml:space="preserve"> HYPERLINK \l "_Toc223082600" </w:instrText>
          </w:r>
          <w:r>
            <w:rPr>
              <w:rFonts w:hint="default" w:ascii="Calibri" w:hAnsi="Calibri" w:eastAsia="楷体_GB2312" w:cs="Calibri"/>
            </w:rPr>
            <w:fldChar w:fldCharType="separate"/>
          </w:r>
          <w:r>
            <w:rPr>
              <w:rStyle w:val="32"/>
              <w:rFonts w:hint="default" w:ascii="Calibri" w:hAnsi="Calibri" w:eastAsia="楷体_GB2312" w:cs="Calibri"/>
            </w:rPr>
            <w:t>（二）工业设备出口指数</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PAGEREF _Toc223082600 \h </w:instrText>
          </w:r>
          <w:r>
            <w:rPr>
              <w:rFonts w:hint="default" w:ascii="Calibri" w:hAnsi="Calibri" w:eastAsia="楷体_GB2312" w:cs="Calibri"/>
            </w:rPr>
            <w:fldChar w:fldCharType="separate"/>
          </w:r>
          <w:r>
            <w:rPr>
              <w:rFonts w:hint="default" w:ascii="Calibri" w:hAnsi="Calibri" w:eastAsia="楷体_GB2312" w:cs="Calibri"/>
            </w:rPr>
            <w:t>11</w:t>
          </w:r>
          <w:r>
            <w:rPr>
              <w:rFonts w:hint="default" w:ascii="Calibri" w:hAnsi="Calibri" w:eastAsia="楷体_GB2312" w:cs="Calibri"/>
            </w:rPr>
            <w:fldChar w:fldCharType="end"/>
          </w:r>
          <w:r>
            <w:rPr>
              <w:rFonts w:hint="default" w:ascii="Calibri" w:hAnsi="Calibri" w:eastAsia="楷体_GB2312" w:cs="Calibri"/>
            </w:rPr>
            <w:fldChar w:fldCharType="end"/>
          </w:r>
        </w:p>
        <w:p w14:paraId="50CF0559">
          <w:pPr>
            <w:pStyle w:val="22"/>
            <w:spacing w:line="240" w:lineRule="auto"/>
            <w:ind w:left="2400"/>
            <w:rPr>
              <w:rFonts w:hint="default" w:ascii="Calibri" w:hAnsi="Calibri" w:eastAsia="楷体_GB2312" w:cs="Calibri"/>
              <w:sz w:val="22"/>
              <w14:ligatures w14:val="standardContextual"/>
            </w:rPr>
          </w:pPr>
          <w:r>
            <w:rPr>
              <w:rFonts w:hint="default" w:ascii="Calibri" w:hAnsi="Calibri" w:eastAsia="楷体_GB2312" w:cs="Calibri"/>
            </w:rPr>
            <w:fldChar w:fldCharType="begin"/>
          </w:r>
          <w:r>
            <w:rPr>
              <w:rFonts w:hint="default" w:ascii="Calibri" w:hAnsi="Calibri" w:eastAsia="楷体_GB2312" w:cs="Calibri"/>
            </w:rPr>
            <w:instrText xml:space="preserve"> HYPERLINK \l "_Toc223082601" </w:instrText>
          </w:r>
          <w:r>
            <w:rPr>
              <w:rFonts w:hint="default" w:ascii="Calibri" w:hAnsi="Calibri" w:eastAsia="楷体_GB2312" w:cs="Calibri"/>
            </w:rPr>
            <w:fldChar w:fldCharType="separate"/>
          </w:r>
          <w:r>
            <w:rPr>
              <w:rStyle w:val="32"/>
              <w:rFonts w:hint="default" w:ascii="Calibri" w:hAnsi="Calibri" w:eastAsia="楷体_GB2312" w:cs="Calibri"/>
            </w:rPr>
            <w:t>（三）机器人-工业机器人</w:t>
          </w:r>
          <w:r>
            <w:rPr>
              <w:rFonts w:hint="default" w:ascii="Calibri" w:hAnsi="Calibri" w:eastAsia="楷体_GB2312" w:cs="Calibri"/>
            </w:rPr>
            <w:tab/>
          </w:r>
          <w:bookmarkStart w:id="45" w:name="_GoBack"/>
          <w:bookmarkEnd w:id="45"/>
          <w:r>
            <w:rPr>
              <w:rFonts w:hint="default" w:ascii="Calibri" w:hAnsi="Calibri" w:eastAsia="楷体_GB2312" w:cs="Calibri"/>
            </w:rPr>
            <w:fldChar w:fldCharType="begin"/>
          </w:r>
          <w:r>
            <w:rPr>
              <w:rFonts w:hint="default" w:ascii="Calibri" w:hAnsi="Calibri" w:eastAsia="楷体_GB2312" w:cs="Calibri"/>
            </w:rPr>
            <w:instrText xml:space="preserve"> PAGEREF _Toc223082601 \h </w:instrText>
          </w:r>
          <w:r>
            <w:rPr>
              <w:rFonts w:hint="default" w:ascii="Calibri" w:hAnsi="Calibri" w:eastAsia="楷体_GB2312" w:cs="Calibri"/>
            </w:rPr>
            <w:fldChar w:fldCharType="separate"/>
          </w:r>
          <w:r>
            <w:rPr>
              <w:rFonts w:hint="default" w:ascii="Calibri" w:hAnsi="Calibri" w:eastAsia="楷体_GB2312" w:cs="Calibri"/>
            </w:rPr>
            <w:t>13</w:t>
          </w:r>
          <w:r>
            <w:rPr>
              <w:rFonts w:hint="default" w:ascii="Calibri" w:hAnsi="Calibri" w:eastAsia="楷体_GB2312" w:cs="Calibri"/>
            </w:rPr>
            <w:fldChar w:fldCharType="end"/>
          </w:r>
          <w:r>
            <w:rPr>
              <w:rFonts w:hint="default" w:ascii="Calibri" w:hAnsi="Calibri" w:eastAsia="楷体_GB2312" w:cs="Calibri"/>
            </w:rPr>
            <w:fldChar w:fldCharType="end"/>
          </w:r>
        </w:p>
        <w:p w14:paraId="310CFCFA">
          <w:pPr>
            <w:pStyle w:val="19"/>
            <w:spacing w:line="240" w:lineRule="auto"/>
            <w:ind w:left="2080"/>
            <w:rPr>
              <w:rFonts w:hint="default" w:ascii="Calibri" w:hAnsi="Calibri" w:eastAsia="楷体_GB2312" w:cs="Calibri"/>
              <w:sz w:val="22"/>
              <w14:ligatures w14:val="standardContextual"/>
            </w:rPr>
          </w:pPr>
          <w:r>
            <w:rPr>
              <w:rFonts w:hint="default" w:ascii="Calibri" w:hAnsi="Calibri" w:eastAsia="楷体_GB2312" w:cs="Calibri"/>
            </w:rPr>
            <w:fldChar w:fldCharType="begin"/>
          </w:r>
          <w:r>
            <w:rPr>
              <w:rFonts w:hint="default" w:ascii="Calibri" w:hAnsi="Calibri" w:eastAsia="楷体_GB2312" w:cs="Calibri"/>
            </w:rPr>
            <w:instrText xml:space="preserve"> HYPERLINK \l "_Toc223082602" </w:instrText>
          </w:r>
          <w:r>
            <w:rPr>
              <w:rFonts w:hint="default" w:ascii="Calibri" w:hAnsi="Calibri" w:eastAsia="楷体_GB2312" w:cs="Calibri"/>
            </w:rPr>
            <w:fldChar w:fldCharType="separate"/>
          </w:r>
          <w:r>
            <w:rPr>
              <w:rStyle w:val="32"/>
              <w:rFonts w:hint="default" w:ascii="Calibri" w:hAnsi="Calibri" w:eastAsia="楷体_GB2312" w:cs="Calibri"/>
            </w:rPr>
            <w:t>四、全球能源工业</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PAGEREF _Toc223082602 \h </w:instrText>
          </w:r>
          <w:r>
            <w:rPr>
              <w:rFonts w:hint="default" w:ascii="Calibri" w:hAnsi="Calibri" w:eastAsia="楷体_GB2312" w:cs="Calibri"/>
            </w:rPr>
            <w:fldChar w:fldCharType="separate"/>
          </w:r>
          <w:r>
            <w:rPr>
              <w:rFonts w:hint="default" w:ascii="Calibri" w:hAnsi="Calibri" w:eastAsia="楷体_GB2312" w:cs="Calibri"/>
            </w:rPr>
            <w:t>14</w:t>
          </w:r>
          <w:r>
            <w:rPr>
              <w:rFonts w:hint="default" w:ascii="Calibri" w:hAnsi="Calibri" w:eastAsia="楷体_GB2312" w:cs="Calibri"/>
            </w:rPr>
            <w:fldChar w:fldCharType="end"/>
          </w:r>
          <w:r>
            <w:rPr>
              <w:rFonts w:hint="default" w:ascii="Calibri" w:hAnsi="Calibri" w:eastAsia="楷体_GB2312" w:cs="Calibri"/>
            </w:rPr>
            <w:fldChar w:fldCharType="end"/>
          </w:r>
        </w:p>
        <w:p w14:paraId="5A51CDE6">
          <w:pPr>
            <w:pStyle w:val="22"/>
            <w:spacing w:line="240" w:lineRule="auto"/>
            <w:ind w:left="2400"/>
            <w:rPr>
              <w:rFonts w:hint="default" w:ascii="Calibri" w:hAnsi="Calibri" w:eastAsia="楷体_GB2312" w:cs="Calibri"/>
              <w:sz w:val="22"/>
              <w14:ligatures w14:val="standardContextual"/>
            </w:rPr>
          </w:pPr>
          <w:r>
            <w:rPr>
              <w:rFonts w:hint="default" w:ascii="Calibri" w:hAnsi="Calibri" w:eastAsia="楷体_GB2312" w:cs="Calibri"/>
            </w:rPr>
            <w:fldChar w:fldCharType="begin"/>
          </w:r>
          <w:r>
            <w:rPr>
              <w:rFonts w:hint="default" w:ascii="Calibri" w:hAnsi="Calibri" w:eastAsia="楷体_GB2312" w:cs="Calibri"/>
            </w:rPr>
            <w:instrText xml:space="preserve"> HYPERLINK \l "_Toc223082603" </w:instrText>
          </w:r>
          <w:r>
            <w:rPr>
              <w:rFonts w:hint="default" w:ascii="Calibri" w:hAnsi="Calibri" w:eastAsia="楷体_GB2312" w:cs="Calibri"/>
            </w:rPr>
            <w:fldChar w:fldCharType="separate"/>
          </w:r>
          <w:r>
            <w:rPr>
              <w:rStyle w:val="32"/>
              <w:rFonts w:hint="default" w:ascii="Calibri" w:hAnsi="Calibri" w:eastAsia="楷体_GB2312" w:cs="Calibri"/>
            </w:rPr>
            <w:t>（一）能源发展</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PAGEREF _Toc223082603 \h </w:instrText>
          </w:r>
          <w:r>
            <w:rPr>
              <w:rFonts w:hint="default" w:ascii="Calibri" w:hAnsi="Calibri" w:eastAsia="楷体_GB2312" w:cs="Calibri"/>
            </w:rPr>
            <w:fldChar w:fldCharType="separate"/>
          </w:r>
          <w:r>
            <w:rPr>
              <w:rFonts w:hint="default" w:ascii="Calibri" w:hAnsi="Calibri" w:eastAsia="楷体_GB2312" w:cs="Calibri"/>
            </w:rPr>
            <w:t>14</w:t>
          </w:r>
          <w:r>
            <w:rPr>
              <w:rFonts w:hint="default" w:ascii="Calibri" w:hAnsi="Calibri" w:eastAsia="楷体_GB2312" w:cs="Calibri"/>
            </w:rPr>
            <w:fldChar w:fldCharType="end"/>
          </w:r>
          <w:r>
            <w:rPr>
              <w:rFonts w:hint="default" w:ascii="Calibri" w:hAnsi="Calibri" w:eastAsia="楷体_GB2312" w:cs="Calibri"/>
            </w:rPr>
            <w:fldChar w:fldCharType="end"/>
          </w:r>
        </w:p>
        <w:p w14:paraId="0F54CA8C">
          <w:pPr>
            <w:pStyle w:val="13"/>
            <w:spacing w:line="240" w:lineRule="auto"/>
            <w:ind w:left="2720"/>
            <w:rPr>
              <w:rFonts w:hint="default" w:ascii="Calibri" w:hAnsi="Calibri" w:eastAsia="楷体_GB2312" w:cs="Calibri"/>
              <w:sz w:val="22"/>
              <w14:ligatures w14:val="standardContextual"/>
            </w:rPr>
          </w:pPr>
          <w:r>
            <w:rPr>
              <w:rFonts w:hint="default" w:ascii="Calibri" w:hAnsi="Calibri" w:eastAsia="楷体_GB2312" w:cs="Calibri"/>
            </w:rPr>
            <w:fldChar w:fldCharType="begin"/>
          </w:r>
          <w:r>
            <w:rPr>
              <w:rFonts w:hint="default" w:ascii="Calibri" w:hAnsi="Calibri" w:eastAsia="楷体_GB2312" w:cs="Calibri"/>
            </w:rPr>
            <w:instrText xml:space="preserve"> HYPERLINK \l "_Toc223082604" </w:instrText>
          </w:r>
          <w:r>
            <w:rPr>
              <w:rFonts w:hint="default" w:ascii="Calibri" w:hAnsi="Calibri" w:eastAsia="楷体_GB2312" w:cs="Calibri"/>
            </w:rPr>
            <w:fldChar w:fldCharType="separate"/>
          </w:r>
          <w:r>
            <w:rPr>
              <w:rStyle w:val="32"/>
              <w:rFonts w:hint="default" w:ascii="Calibri" w:hAnsi="Calibri" w:eastAsia="楷体_GB2312" w:cs="Calibri"/>
            </w:rPr>
            <w:t>（1）美国电力市场</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PAGEREF _Toc223082604 \h </w:instrText>
          </w:r>
          <w:r>
            <w:rPr>
              <w:rFonts w:hint="default" w:ascii="Calibri" w:hAnsi="Calibri" w:eastAsia="楷体_GB2312" w:cs="Calibri"/>
            </w:rPr>
            <w:fldChar w:fldCharType="separate"/>
          </w:r>
          <w:r>
            <w:rPr>
              <w:rFonts w:hint="default" w:ascii="Calibri" w:hAnsi="Calibri" w:eastAsia="楷体_GB2312" w:cs="Calibri"/>
            </w:rPr>
            <w:t>14</w:t>
          </w:r>
          <w:r>
            <w:rPr>
              <w:rFonts w:hint="default" w:ascii="Calibri" w:hAnsi="Calibri" w:eastAsia="楷体_GB2312" w:cs="Calibri"/>
            </w:rPr>
            <w:fldChar w:fldCharType="end"/>
          </w:r>
          <w:r>
            <w:rPr>
              <w:rFonts w:hint="default" w:ascii="Calibri" w:hAnsi="Calibri" w:eastAsia="楷体_GB2312" w:cs="Calibri"/>
            </w:rPr>
            <w:fldChar w:fldCharType="end"/>
          </w:r>
        </w:p>
        <w:p w14:paraId="42EB161B">
          <w:pPr>
            <w:pStyle w:val="13"/>
            <w:spacing w:line="240" w:lineRule="auto"/>
            <w:ind w:left="2720"/>
            <w:rPr>
              <w:rFonts w:hint="default" w:ascii="Calibri" w:hAnsi="Calibri" w:eastAsia="楷体_GB2312" w:cs="Calibri"/>
              <w:sz w:val="22"/>
              <w14:ligatures w14:val="standardContextual"/>
            </w:rPr>
          </w:pPr>
          <w:r>
            <w:rPr>
              <w:rFonts w:hint="default" w:ascii="Calibri" w:hAnsi="Calibri" w:eastAsia="楷体_GB2312" w:cs="Calibri"/>
            </w:rPr>
            <w:fldChar w:fldCharType="begin"/>
          </w:r>
          <w:r>
            <w:rPr>
              <w:rFonts w:hint="default" w:ascii="Calibri" w:hAnsi="Calibri" w:eastAsia="楷体_GB2312" w:cs="Calibri"/>
            </w:rPr>
            <w:instrText xml:space="preserve"> HYPERLINK \l "_Toc223082605" </w:instrText>
          </w:r>
          <w:r>
            <w:rPr>
              <w:rFonts w:hint="default" w:ascii="Calibri" w:hAnsi="Calibri" w:eastAsia="楷体_GB2312" w:cs="Calibri"/>
            </w:rPr>
            <w:fldChar w:fldCharType="separate"/>
          </w:r>
          <w:r>
            <w:rPr>
              <w:rStyle w:val="32"/>
              <w:rFonts w:hint="default" w:ascii="Calibri" w:hAnsi="Calibri" w:eastAsia="楷体_GB2312" w:cs="Calibri"/>
            </w:rPr>
            <w:t>（2）欧洲电力市场</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PAGEREF _Toc223082605 \h </w:instrText>
          </w:r>
          <w:r>
            <w:rPr>
              <w:rFonts w:hint="default" w:ascii="Calibri" w:hAnsi="Calibri" w:eastAsia="楷体_GB2312" w:cs="Calibri"/>
            </w:rPr>
            <w:fldChar w:fldCharType="separate"/>
          </w:r>
          <w:r>
            <w:rPr>
              <w:rFonts w:hint="default" w:ascii="Calibri" w:hAnsi="Calibri" w:eastAsia="楷体_GB2312" w:cs="Calibri"/>
            </w:rPr>
            <w:t>19</w:t>
          </w:r>
          <w:r>
            <w:rPr>
              <w:rFonts w:hint="default" w:ascii="Calibri" w:hAnsi="Calibri" w:eastAsia="楷体_GB2312" w:cs="Calibri"/>
            </w:rPr>
            <w:fldChar w:fldCharType="end"/>
          </w:r>
          <w:r>
            <w:rPr>
              <w:rFonts w:hint="default" w:ascii="Calibri" w:hAnsi="Calibri" w:eastAsia="楷体_GB2312" w:cs="Calibri"/>
            </w:rPr>
            <w:fldChar w:fldCharType="end"/>
          </w:r>
        </w:p>
        <w:p w14:paraId="4FBBDAF5">
          <w:pPr>
            <w:pStyle w:val="13"/>
            <w:spacing w:line="240" w:lineRule="auto"/>
            <w:ind w:left="2720"/>
            <w:rPr>
              <w:rFonts w:hint="default" w:ascii="Calibri" w:hAnsi="Calibri" w:eastAsia="楷体_GB2312" w:cs="Calibri"/>
              <w:sz w:val="22"/>
              <w14:ligatures w14:val="standardContextual"/>
            </w:rPr>
          </w:pPr>
          <w:r>
            <w:rPr>
              <w:rFonts w:hint="default" w:ascii="Calibri" w:hAnsi="Calibri" w:eastAsia="楷体_GB2312" w:cs="Calibri"/>
            </w:rPr>
            <w:fldChar w:fldCharType="begin"/>
          </w:r>
          <w:r>
            <w:rPr>
              <w:rFonts w:hint="default" w:ascii="Calibri" w:hAnsi="Calibri" w:eastAsia="楷体_GB2312" w:cs="Calibri"/>
            </w:rPr>
            <w:instrText xml:space="preserve"> HYPERLINK \l "_Toc223082606" </w:instrText>
          </w:r>
          <w:r>
            <w:rPr>
              <w:rFonts w:hint="default" w:ascii="Calibri" w:hAnsi="Calibri" w:eastAsia="楷体_GB2312" w:cs="Calibri"/>
            </w:rPr>
            <w:fldChar w:fldCharType="separate"/>
          </w:r>
          <w:r>
            <w:rPr>
              <w:rStyle w:val="32"/>
              <w:rFonts w:hint="default" w:ascii="Calibri" w:hAnsi="Calibri" w:eastAsia="楷体_GB2312" w:cs="Calibri"/>
            </w:rPr>
            <w:t>（3）石油天然气</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PAGEREF _Toc223082606 \h </w:instrText>
          </w:r>
          <w:r>
            <w:rPr>
              <w:rFonts w:hint="default" w:ascii="Calibri" w:hAnsi="Calibri" w:eastAsia="楷体_GB2312" w:cs="Calibri"/>
            </w:rPr>
            <w:fldChar w:fldCharType="separate"/>
          </w:r>
          <w:r>
            <w:rPr>
              <w:rFonts w:hint="default" w:ascii="Calibri" w:hAnsi="Calibri" w:eastAsia="楷体_GB2312" w:cs="Calibri"/>
            </w:rPr>
            <w:t>19</w:t>
          </w:r>
          <w:r>
            <w:rPr>
              <w:rFonts w:hint="default" w:ascii="Calibri" w:hAnsi="Calibri" w:eastAsia="楷体_GB2312" w:cs="Calibri"/>
            </w:rPr>
            <w:fldChar w:fldCharType="end"/>
          </w:r>
          <w:r>
            <w:rPr>
              <w:rFonts w:hint="default" w:ascii="Calibri" w:hAnsi="Calibri" w:eastAsia="楷体_GB2312" w:cs="Calibri"/>
            </w:rPr>
            <w:fldChar w:fldCharType="end"/>
          </w:r>
        </w:p>
        <w:p w14:paraId="74CBB7FA">
          <w:pPr>
            <w:pStyle w:val="19"/>
            <w:spacing w:line="240" w:lineRule="auto"/>
            <w:ind w:left="2080"/>
            <w:rPr>
              <w:rFonts w:hint="default" w:ascii="Calibri" w:hAnsi="Calibri" w:eastAsia="楷体_GB2312" w:cs="Calibri"/>
              <w:sz w:val="22"/>
              <w14:ligatures w14:val="standardContextual"/>
            </w:rPr>
          </w:pPr>
          <w:r>
            <w:rPr>
              <w:rFonts w:hint="default" w:ascii="Calibri" w:hAnsi="Calibri" w:eastAsia="楷体_GB2312" w:cs="Calibri"/>
            </w:rPr>
            <w:fldChar w:fldCharType="begin"/>
          </w:r>
          <w:r>
            <w:rPr>
              <w:rFonts w:hint="default" w:ascii="Calibri" w:hAnsi="Calibri" w:eastAsia="楷体_GB2312" w:cs="Calibri"/>
            </w:rPr>
            <w:instrText xml:space="preserve"> HYPERLINK \l "_Toc223082607" </w:instrText>
          </w:r>
          <w:r>
            <w:rPr>
              <w:rFonts w:hint="default" w:ascii="Calibri" w:hAnsi="Calibri" w:eastAsia="楷体_GB2312" w:cs="Calibri"/>
            </w:rPr>
            <w:fldChar w:fldCharType="separate"/>
          </w:r>
          <w:r>
            <w:rPr>
              <w:rStyle w:val="32"/>
              <w:rFonts w:hint="default" w:ascii="Calibri" w:hAnsi="Calibri" w:eastAsia="楷体_GB2312" w:cs="Calibri"/>
            </w:rPr>
            <w:t>五、 全球新材料</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PAGEREF _Toc223082607 \h </w:instrText>
          </w:r>
          <w:r>
            <w:rPr>
              <w:rFonts w:hint="default" w:ascii="Calibri" w:hAnsi="Calibri" w:eastAsia="楷体_GB2312" w:cs="Calibri"/>
            </w:rPr>
            <w:fldChar w:fldCharType="separate"/>
          </w:r>
          <w:r>
            <w:rPr>
              <w:rFonts w:hint="default" w:ascii="Calibri" w:hAnsi="Calibri" w:eastAsia="楷体_GB2312" w:cs="Calibri"/>
            </w:rPr>
            <w:t>21</w:t>
          </w:r>
          <w:r>
            <w:rPr>
              <w:rFonts w:hint="default" w:ascii="Calibri" w:hAnsi="Calibri" w:eastAsia="楷体_GB2312" w:cs="Calibri"/>
            </w:rPr>
            <w:fldChar w:fldCharType="end"/>
          </w:r>
          <w:r>
            <w:rPr>
              <w:rFonts w:hint="default" w:ascii="Calibri" w:hAnsi="Calibri" w:eastAsia="楷体_GB2312" w:cs="Calibri"/>
            </w:rPr>
            <w:fldChar w:fldCharType="end"/>
          </w:r>
        </w:p>
        <w:p w14:paraId="465DDCE5">
          <w:pPr>
            <w:pStyle w:val="22"/>
            <w:spacing w:line="240" w:lineRule="auto"/>
            <w:ind w:left="2400"/>
            <w:rPr>
              <w:rFonts w:hint="default" w:ascii="Calibri" w:hAnsi="Calibri" w:eastAsia="楷体_GB2312" w:cs="Calibri"/>
              <w:sz w:val="22"/>
              <w14:ligatures w14:val="standardContextual"/>
            </w:rPr>
          </w:pPr>
          <w:r>
            <w:rPr>
              <w:rFonts w:hint="default" w:ascii="Calibri" w:hAnsi="Calibri" w:eastAsia="楷体_GB2312" w:cs="Calibri"/>
            </w:rPr>
            <w:fldChar w:fldCharType="begin"/>
          </w:r>
          <w:r>
            <w:rPr>
              <w:rFonts w:hint="default" w:ascii="Calibri" w:hAnsi="Calibri" w:eastAsia="楷体_GB2312" w:cs="Calibri"/>
            </w:rPr>
            <w:instrText xml:space="preserve"> HYPERLINK \l "_Toc223082608" </w:instrText>
          </w:r>
          <w:r>
            <w:rPr>
              <w:rFonts w:hint="default" w:ascii="Calibri" w:hAnsi="Calibri" w:eastAsia="楷体_GB2312" w:cs="Calibri"/>
            </w:rPr>
            <w:fldChar w:fldCharType="separate"/>
          </w:r>
          <w:r>
            <w:rPr>
              <w:rStyle w:val="32"/>
              <w:rFonts w:hint="default" w:ascii="Calibri" w:hAnsi="Calibri" w:eastAsia="楷体_GB2312" w:cs="Calibri"/>
            </w:rPr>
            <w:t>（一）天然铀</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PAGEREF _Toc223082608 \h </w:instrText>
          </w:r>
          <w:r>
            <w:rPr>
              <w:rFonts w:hint="default" w:ascii="Calibri" w:hAnsi="Calibri" w:eastAsia="楷体_GB2312" w:cs="Calibri"/>
            </w:rPr>
            <w:fldChar w:fldCharType="separate"/>
          </w:r>
          <w:r>
            <w:rPr>
              <w:rFonts w:hint="default" w:ascii="Calibri" w:hAnsi="Calibri" w:eastAsia="楷体_GB2312" w:cs="Calibri"/>
            </w:rPr>
            <w:t>21</w:t>
          </w:r>
          <w:r>
            <w:rPr>
              <w:rFonts w:hint="default" w:ascii="Calibri" w:hAnsi="Calibri" w:eastAsia="楷体_GB2312" w:cs="Calibri"/>
            </w:rPr>
            <w:fldChar w:fldCharType="end"/>
          </w:r>
          <w:r>
            <w:rPr>
              <w:rFonts w:hint="default" w:ascii="Calibri" w:hAnsi="Calibri" w:eastAsia="楷体_GB2312" w:cs="Calibri"/>
            </w:rPr>
            <w:fldChar w:fldCharType="end"/>
          </w:r>
        </w:p>
        <w:p w14:paraId="19F00666">
          <w:pPr>
            <w:pStyle w:val="22"/>
            <w:spacing w:line="240" w:lineRule="auto"/>
            <w:ind w:left="2400"/>
            <w:rPr>
              <w:rFonts w:hint="default" w:ascii="Calibri" w:hAnsi="Calibri" w:eastAsia="楷体_GB2312" w:cs="Calibri"/>
              <w:sz w:val="22"/>
              <w14:ligatures w14:val="standardContextual"/>
            </w:rPr>
          </w:pPr>
          <w:r>
            <w:rPr>
              <w:rFonts w:hint="default" w:ascii="Calibri" w:hAnsi="Calibri" w:eastAsia="楷体_GB2312" w:cs="Calibri"/>
            </w:rPr>
            <w:fldChar w:fldCharType="begin"/>
          </w:r>
          <w:r>
            <w:rPr>
              <w:rFonts w:hint="default" w:ascii="Calibri" w:hAnsi="Calibri" w:eastAsia="楷体_GB2312" w:cs="Calibri"/>
            </w:rPr>
            <w:instrText xml:space="preserve"> HYPERLINK \l "_Toc223082609" </w:instrText>
          </w:r>
          <w:r>
            <w:rPr>
              <w:rFonts w:hint="default" w:ascii="Calibri" w:hAnsi="Calibri" w:eastAsia="楷体_GB2312" w:cs="Calibri"/>
            </w:rPr>
            <w:fldChar w:fldCharType="separate"/>
          </w:r>
          <w:r>
            <w:rPr>
              <w:rStyle w:val="32"/>
              <w:rFonts w:hint="default" w:ascii="Calibri" w:hAnsi="Calibri" w:eastAsia="楷体_GB2312" w:cs="Calibri"/>
            </w:rPr>
            <w:t>（二）全球稀土市场动态追踪</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PAGEREF _Toc223082609 \h </w:instrText>
          </w:r>
          <w:r>
            <w:rPr>
              <w:rFonts w:hint="default" w:ascii="Calibri" w:hAnsi="Calibri" w:eastAsia="楷体_GB2312" w:cs="Calibri"/>
            </w:rPr>
            <w:fldChar w:fldCharType="separate"/>
          </w:r>
          <w:r>
            <w:rPr>
              <w:rFonts w:hint="default" w:ascii="Calibri" w:hAnsi="Calibri" w:eastAsia="楷体_GB2312" w:cs="Calibri"/>
            </w:rPr>
            <w:t>21</w:t>
          </w:r>
          <w:r>
            <w:rPr>
              <w:rFonts w:hint="default" w:ascii="Calibri" w:hAnsi="Calibri" w:eastAsia="楷体_GB2312" w:cs="Calibri"/>
            </w:rPr>
            <w:fldChar w:fldCharType="end"/>
          </w:r>
          <w:r>
            <w:rPr>
              <w:rFonts w:hint="default" w:ascii="Calibri" w:hAnsi="Calibri" w:eastAsia="楷体_GB2312" w:cs="Calibri"/>
            </w:rPr>
            <w:fldChar w:fldCharType="end"/>
          </w:r>
        </w:p>
        <w:p w14:paraId="28323C4A">
          <w:pPr>
            <w:pStyle w:val="19"/>
            <w:spacing w:line="240" w:lineRule="auto"/>
            <w:ind w:left="2080"/>
            <w:rPr>
              <w:rFonts w:hint="default" w:ascii="Calibri" w:hAnsi="Calibri" w:eastAsia="楷体_GB2312" w:cs="Calibri"/>
              <w:sz w:val="22"/>
              <w14:ligatures w14:val="standardContextual"/>
            </w:rPr>
          </w:pPr>
          <w:r>
            <w:rPr>
              <w:rFonts w:hint="default" w:ascii="Calibri" w:hAnsi="Calibri" w:eastAsia="楷体_GB2312" w:cs="Calibri"/>
            </w:rPr>
            <w:fldChar w:fldCharType="begin"/>
          </w:r>
          <w:r>
            <w:rPr>
              <w:rFonts w:hint="default" w:ascii="Calibri" w:hAnsi="Calibri" w:eastAsia="楷体_GB2312" w:cs="Calibri"/>
            </w:rPr>
            <w:instrText xml:space="preserve"> HYPERLINK \l "_Toc223082610" </w:instrText>
          </w:r>
          <w:r>
            <w:rPr>
              <w:rFonts w:hint="default" w:ascii="Calibri" w:hAnsi="Calibri" w:eastAsia="楷体_GB2312" w:cs="Calibri"/>
            </w:rPr>
            <w:fldChar w:fldCharType="separate"/>
          </w:r>
          <w:r>
            <w:rPr>
              <w:rStyle w:val="32"/>
              <w:rFonts w:hint="default" w:ascii="Calibri" w:hAnsi="Calibri" w:eastAsia="楷体_GB2312" w:cs="Calibri"/>
            </w:rPr>
            <w:t>六、全球国防与航空航天</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PAGEREF _Toc223082610 \h </w:instrText>
          </w:r>
          <w:r>
            <w:rPr>
              <w:rFonts w:hint="default" w:ascii="Calibri" w:hAnsi="Calibri" w:eastAsia="楷体_GB2312" w:cs="Calibri"/>
            </w:rPr>
            <w:fldChar w:fldCharType="separate"/>
          </w:r>
          <w:r>
            <w:rPr>
              <w:rFonts w:hint="default" w:ascii="Calibri" w:hAnsi="Calibri" w:eastAsia="楷体_GB2312" w:cs="Calibri"/>
            </w:rPr>
            <w:t>22</w:t>
          </w:r>
          <w:r>
            <w:rPr>
              <w:rFonts w:hint="default" w:ascii="Calibri" w:hAnsi="Calibri" w:eastAsia="楷体_GB2312" w:cs="Calibri"/>
            </w:rPr>
            <w:fldChar w:fldCharType="end"/>
          </w:r>
          <w:r>
            <w:rPr>
              <w:rFonts w:hint="default" w:ascii="Calibri" w:hAnsi="Calibri" w:eastAsia="楷体_GB2312" w:cs="Calibri"/>
            </w:rPr>
            <w:fldChar w:fldCharType="end"/>
          </w:r>
        </w:p>
        <w:p w14:paraId="2A3FB66E">
          <w:pPr>
            <w:pStyle w:val="22"/>
            <w:spacing w:line="240" w:lineRule="auto"/>
            <w:ind w:left="2400"/>
            <w:rPr>
              <w:rFonts w:hint="default" w:ascii="Calibri" w:hAnsi="Calibri" w:eastAsia="楷体_GB2312" w:cs="Calibri"/>
              <w:sz w:val="22"/>
              <w14:ligatures w14:val="standardContextual"/>
            </w:rPr>
          </w:pPr>
          <w:r>
            <w:rPr>
              <w:rFonts w:hint="default" w:ascii="Calibri" w:hAnsi="Calibri" w:eastAsia="楷体_GB2312" w:cs="Calibri"/>
            </w:rPr>
            <w:fldChar w:fldCharType="begin"/>
          </w:r>
          <w:r>
            <w:rPr>
              <w:rFonts w:hint="default" w:ascii="Calibri" w:hAnsi="Calibri" w:eastAsia="楷体_GB2312" w:cs="Calibri"/>
            </w:rPr>
            <w:instrText xml:space="preserve"> HYPERLINK \l "_Toc223082611" </w:instrText>
          </w:r>
          <w:r>
            <w:rPr>
              <w:rFonts w:hint="default" w:ascii="Calibri" w:hAnsi="Calibri" w:eastAsia="楷体_GB2312" w:cs="Calibri"/>
            </w:rPr>
            <w:fldChar w:fldCharType="separate"/>
          </w:r>
          <w:r>
            <w:rPr>
              <w:rStyle w:val="32"/>
              <w:rFonts w:hint="default" w:ascii="Calibri" w:hAnsi="Calibri" w:eastAsia="楷体_GB2312" w:cs="Calibri"/>
            </w:rPr>
            <w:t>（一）航空航天</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PAGEREF _Toc223082611 \h </w:instrText>
          </w:r>
          <w:r>
            <w:rPr>
              <w:rFonts w:hint="default" w:ascii="Calibri" w:hAnsi="Calibri" w:eastAsia="楷体_GB2312" w:cs="Calibri"/>
            </w:rPr>
            <w:fldChar w:fldCharType="separate"/>
          </w:r>
          <w:r>
            <w:rPr>
              <w:rFonts w:hint="default" w:ascii="Calibri" w:hAnsi="Calibri" w:eastAsia="楷体_GB2312" w:cs="Calibri"/>
            </w:rPr>
            <w:t>22</w:t>
          </w:r>
          <w:r>
            <w:rPr>
              <w:rFonts w:hint="default" w:ascii="Calibri" w:hAnsi="Calibri" w:eastAsia="楷体_GB2312" w:cs="Calibri"/>
            </w:rPr>
            <w:fldChar w:fldCharType="end"/>
          </w:r>
          <w:r>
            <w:rPr>
              <w:rFonts w:hint="default" w:ascii="Calibri" w:hAnsi="Calibri" w:eastAsia="楷体_GB2312" w:cs="Calibri"/>
            </w:rPr>
            <w:fldChar w:fldCharType="end"/>
          </w:r>
        </w:p>
        <w:p w14:paraId="694661BD">
          <w:pPr>
            <w:pStyle w:val="13"/>
            <w:tabs>
              <w:tab w:val="left" w:pos="4471"/>
            </w:tabs>
            <w:spacing w:line="240" w:lineRule="auto"/>
            <w:ind w:left="2720"/>
            <w:rPr>
              <w:rFonts w:hint="default" w:ascii="Calibri" w:hAnsi="Calibri" w:eastAsia="楷体_GB2312" w:cs="Calibri"/>
              <w:sz w:val="22"/>
              <w14:ligatures w14:val="standardContextual"/>
            </w:rPr>
          </w:pPr>
          <w:r>
            <w:rPr>
              <w:rFonts w:hint="default" w:ascii="Calibri" w:hAnsi="Calibri" w:eastAsia="楷体_GB2312" w:cs="Calibri"/>
            </w:rPr>
            <w:fldChar w:fldCharType="begin"/>
          </w:r>
          <w:r>
            <w:rPr>
              <w:rFonts w:hint="default" w:ascii="Calibri" w:hAnsi="Calibri" w:eastAsia="楷体_GB2312" w:cs="Calibri"/>
            </w:rPr>
            <w:instrText xml:space="preserve"> HYPERLINK \l "_Toc223082612" </w:instrText>
          </w:r>
          <w:r>
            <w:rPr>
              <w:rFonts w:hint="default" w:ascii="Calibri" w:hAnsi="Calibri" w:eastAsia="楷体_GB2312" w:cs="Calibri"/>
            </w:rPr>
            <w:fldChar w:fldCharType="separate"/>
          </w:r>
          <w:r>
            <w:rPr>
              <w:rStyle w:val="32"/>
              <w:rFonts w:hint="default" w:ascii="Calibri" w:hAnsi="Calibri" w:eastAsia="楷体_GB2312" w:cs="Calibri"/>
            </w:rPr>
            <w:t>（1）航空航天行业动态</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PAGEREF _Toc223082612 \h </w:instrText>
          </w:r>
          <w:r>
            <w:rPr>
              <w:rFonts w:hint="default" w:ascii="Calibri" w:hAnsi="Calibri" w:eastAsia="楷体_GB2312" w:cs="Calibri"/>
            </w:rPr>
            <w:fldChar w:fldCharType="separate"/>
          </w:r>
          <w:r>
            <w:rPr>
              <w:rFonts w:hint="default" w:ascii="Calibri" w:hAnsi="Calibri" w:eastAsia="楷体_GB2312" w:cs="Calibri"/>
            </w:rPr>
            <w:t>22</w:t>
          </w:r>
          <w:r>
            <w:rPr>
              <w:rFonts w:hint="default" w:ascii="Calibri" w:hAnsi="Calibri" w:eastAsia="楷体_GB2312" w:cs="Calibri"/>
            </w:rPr>
            <w:fldChar w:fldCharType="end"/>
          </w:r>
          <w:r>
            <w:rPr>
              <w:rFonts w:hint="default" w:ascii="Calibri" w:hAnsi="Calibri" w:eastAsia="楷体_GB2312" w:cs="Calibri"/>
            </w:rPr>
            <w:fldChar w:fldCharType="end"/>
          </w:r>
        </w:p>
        <w:p w14:paraId="4C209050">
          <w:pPr>
            <w:pStyle w:val="13"/>
            <w:spacing w:line="240" w:lineRule="auto"/>
            <w:ind w:left="2720"/>
            <w:rPr>
              <w:rFonts w:hint="default" w:ascii="Calibri" w:hAnsi="Calibri" w:eastAsia="楷体_GB2312" w:cs="Calibri"/>
              <w:sz w:val="22"/>
              <w14:ligatures w14:val="standardContextual"/>
            </w:rPr>
          </w:pPr>
          <w:r>
            <w:rPr>
              <w:rFonts w:hint="default" w:ascii="Calibri" w:hAnsi="Calibri" w:eastAsia="楷体_GB2312" w:cs="Calibri"/>
            </w:rPr>
            <w:fldChar w:fldCharType="begin"/>
          </w:r>
          <w:r>
            <w:rPr>
              <w:rFonts w:hint="default" w:ascii="Calibri" w:hAnsi="Calibri" w:eastAsia="楷体_GB2312" w:cs="Calibri"/>
            </w:rPr>
            <w:instrText xml:space="preserve"> HYPERLINK \l "_Toc223082613" </w:instrText>
          </w:r>
          <w:r>
            <w:rPr>
              <w:rFonts w:hint="default" w:ascii="Calibri" w:hAnsi="Calibri" w:eastAsia="楷体_GB2312" w:cs="Calibri"/>
            </w:rPr>
            <w:fldChar w:fldCharType="separate"/>
          </w:r>
          <w:r>
            <w:rPr>
              <w:rStyle w:val="32"/>
              <w:rFonts w:hint="default" w:ascii="Calibri" w:hAnsi="Calibri" w:eastAsia="楷体_GB2312" w:cs="Calibri"/>
            </w:rPr>
            <w:t>（2）航空航天价格指数</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PAGEREF _Toc223082613 \h </w:instrText>
          </w:r>
          <w:r>
            <w:rPr>
              <w:rFonts w:hint="default" w:ascii="Calibri" w:hAnsi="Calibri" w:eastAsia="楷体_GB2312" w:cs="Calibri"/>
            </w:rPr>
            <w:fldChar w:fldCharType="separate"/>
          </w:r>
          <w:r>
            <w:rPr>
              <w:rFonts w:hint="default" w:ascii="Calibri" w:hAnsi="Calibri" w:eastAsia="楷体_GB2312" w:cs="Calibri"/>
            </w:rPr>
            <w:t>22</w:t>
          </w:r>
          <w:r>
            <w:rPr>
              <w:rFonts w:hint="default" w:ascii="Calibri" w:hAnsi="Calibri" w:eastAsia="楷体_GB2312" w:cs="Calibri"/>
            </w:rPr>
            <w:fldChar w:fldCharType="end"/>
          </w:r>
          <w:r>
            <w:rPr>
              <w:rFonts w:hint="default" w:ascii="Calibri" w:hAnsi="Calibri" w:eastAsia="楷体_GB2312" w:cs="Calibri"/>
            </w:rPr>
            <w:fldChar w:fldCharType="end"/>
          </w:r>
        </w:p>
        <w:p w14:paraId="184D222F">
          <w:pPr>
            <w:pStyle w:val="13"/>
            <w:spacing w:line="240" w:lineRule="auto"/>
            <w:ind w:left="2720"/>
            <w:rPr>
              <w:rFonts w:hint="default" w:ascii="Calibri" w:hAnsi="Calibri" w:eastAsia="楷体_GB2312" w:cs="Calibri"/>
              <w:sz w:val="22"/>
              <w14:ligatures w14:val="standardContextual"/>
            </w:rPr>
          </w:pPr>
          <w:r>
            <w:rPr>
              <w:rFonts w:hint="default" w:ascii="Calibri" w:hAnsi="Calibri" w:eastAsia="楷体_GB2312" w:cs="Calibri"/>
            </w:rPr>
            <w:fldChar w:fldCharType="begin"/>
          </w:r>
          <w:r>
            <w:rPr>
              <w:rFonts w:hint="default" w:ascii="Calibri" w:hAnsi="Calibri" w:eastAsia="楷体_GB2312" w:cs="Calibri"/>
            </w:rPr>
            <w:instrText xml:space="preserve"> HYPERLINK \l "_Toc223082614" </w:instrText>
          </w:r>
          <w:r>
            <w:rPr>
              <w:rFonts w:hint="default" w:ascii="Calibri" w:hAnsi="Calibri" w:eastAsia="楷体_GB2312" w:cs="Calibri"/>
            </w:rPr>
            <w:fldChar w:fldCharType="separate"/>
          </w:r>
          <w:r>
            <w:rPr>
              <w:rStyle w:val="32"/>
              <w:rFonts w:hint="default" w:ascii="Calibri" w:hAnsi="Calibri" w:eastAsia="楷体_GB2312" w:cs="Calibri"/>
            </w:rPr>
            <w:t>（3）航空航天空中流量</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PAGEREF _Toc223082614 \h </w:instrText>
          </w:r>
          <w:r>
            <w:rPr>
              <w:rFonts w:hint="default" w:ascii="Calibri" w:hAnsi="Calibri" w:eastAsia="楷体_GB2312" w:cs="Calibri"/>
            </w:rPr>
            <w:fldChar w:fldCharType="separate"/>
          </w:r>
          <w:r>
            <w:rPr>
              <w:rFonts w:hint="default" w:ascii="Calibri" w:hAnsi="Calibri" w:eastAsia="楷体_GB2312" w:cs="Calibri"/>
            </w:rPr>
            <w:t>23</w:t>
          </w:r>
          <w:r>
            <w:rPr>
              <w:rFonts w:hint="default" w:ascii="Calibri" w:hAnsi="Calibri" w:eastAsia="楷体_GB2312" w:cs="Calibri"/>
            </w:rPr>
            <w:fldChar w:fldCharType="end"/>
          </w:r>
          <w:r>
            <w:rPr>
              <w:rFonts w:hint="default" w:ascii="Calibri" w:hAnsi="Calibri" w:eastAsia="楷体_GB2312" w:cs="Calibri"/>
            </w:rPr>
            <w:fldChar w:fldCharType="end"/>
          </w:r>
        </w:p>
        <w:p w14:paraId="622525BC">
          <w:pPr>
            <w:pStyle w:val="22"/>
            <w:spacing w:line="240" w:lineRule="auto"/>
            <w:ind w:left="2400"/>
            <w:rPr>
              <w:rFonts w:hint="default" w:ascii="Calibri" w:hAnsi="Calibri" w:eastAsia="楷体_GB2312" w:cs="Calibri"/>
              <w:sz w:val="22"/>
              <w14:ligatures w14:val="standardContextual"/>
            </w:rPr>
          </w:pPr>
          <w:r>
            <w:rPr>
              <w:rFonts w:hint="default" w:ascii="Calibri" w:hAnsi="Calibri" w:eastAsia="楷体_GB2312" w:cs="Calibri"/>
            </w:rPr>
            <w:fldChar w:fldCharType="begin"/>
          </w:r>
          <w:r>
            <w:rPr>
              <w:rFonts w:hint="default" w:ascii="Calibri" w:hAnsi="Calibri" w:eastAsia="楷体_GB2312" w:cs="Calibri"/>
            </w:rPr>
            <w:instrText xml:space="preserve"> HYPERLINK \l "_Toc223082615" </w:instrText>
          </w:r>
          <w:r>
            <w:rPr>
              <w:rFonts w:hint="default" w:ascii="Calibri" w:hAnsi="Calibri" w:eastAsia="楷体_GB2312" w:cs="Calibri"/>
            </w:rPr>
            <w:fldChar w:fldCharType="separate"/>
          </w:r>
          <w:r>
            <w:rPr>
              <w:rStyle w:val="32"/>
              <w:rFonts w:hint="default" w:ascii="Calibri" w:hAnsi="Calibri" w:eastAsia="楷体_GB2312" w:cs="Calibri"/>
            </w:rPr>
            <w:t>（二）国防</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PAGEREF _Toc223082615 \h </w:instrText>
          </w:r>
          <w:r>
            <w:rPr>
              <w:rFonts w:hint="default" w:ascii="Calibri" w:hAnsi="Calibri" w:eastAsia="楷体_GB2312" w:cs="Calibri"/>
            </w:rPr>
            <w:fldChar w:fldCharType="separate"/>
          </w:r>
          <w:r>
            <w:rPr>
              <w:rFonts w:hint="default" w:ascii="Calibri" w:hAnsi="Calibri" w:eastAsia="楷体_GB2312" w:cs="Calibri"/>
            </w:rPr>
            <w:t>24</w:t>
          </w:r>
          <w:r>
            <w:rPr>
              <w:rFonts w:hint="default" w:ascii="Calibri" w:hAnsi="Calibri" w:eastAsia="楷体_GB2312" w:cs="Calibri"/>
            </w:rPr>
            <w:fldChar w:fldCharType="end"/>
          </w:r>
          <w:r>
            <w:rPr>
              <w:rFonts w:hint="default" w:ascii="Calibri" w:hAnsi="Calibri" w:eastAsia="楷体_GB2312" w:cs="Calibri"/>
            </w:rPr>
            <w:fldChar w:fldCharType="end"/>
          </w:r>
        </w:p>
        <w:p w14:paraId="46259422">
          <w:pPr>
            <w:pStyle w:val="22"/>
            <w:spacing w:line="240" w:lineRule="auto"/>
            <w:ind w:left="2400"/>
            <w:rPr>
              <w:rFonts w:hint="default" w:ascii="Calibri" w:hAnsi="Calibri" w:eastAsia="楷体_GB2312" w:cs="Calibri"/>
              <w:sz w:val="22"/>
              <w14:ligatures w14:val="standardContextual"/>
            </w:rPr>
          </w:pPr>
          <w:r>
            <w:rPr>
              <w:rFonts w:hint="default" w:ascii="Calibri" w:hAnsi="Calibri" w:eastAsia="楷体_GB2312" w:cs="Calibri"/>
            </w:rPr>
            <w:fldChar w:fldCharType="begin"/>
          </w:r>
          <w:r>
            <w:rPr>
              <w:rFonts w:hint="default" w:ascii="Calibri" w:hAnsi="Calibri" w:eastAsia="楷体_GB2312" w:cs="Calibri"/>
            </w:rPr>
            <w:instrText xml:space="preserve"> HYPERLINK \l "_Toc223082616" </w:instrText>
          </w:r>
          <w:r>
            <w:rPr>
              <w:rFonts w:hint="default" w:ascii="Calibri" w:hAnsi="Calibri" w:eastAsia="楷体_GB2312" w:cs="Calibri"/>
            </w:rPr>
            <w:fldChar w:fldCharType="separate"/>
          </w:r>
          <w:r>
            <w:rPr>
              <w:rStyle w:val="32"/>
              <w:rFonts w:hint="default" w:ascii="Calibri" w:hAnsi="Calibri" w:eastAsia="楷体_GB2312" w:cs="Calibri"/>
            </w:rPr>
            <w:t>（三）通用航空</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PAGEREF _Toc223082616 \h </w:instrText>
          </w:r>
          <w:r>
            <w:rPr>
              <w:rFonts w:hint="default" w:ascii="Calibri" w:hAnsi="Calibri" w:eastAsia="楷体_GB2312" w:cs="Calibri"/>
            </w:rPr>
            <w:fldChar w:fldCharType="separate"/>
          </w:r>
          <w:r>
            <w:rPr>
              <w:rFonts w:hint="default" w:ascii="Calibri" w:hAnsi="Calibri" w:eastAsia="楷体_GB2312" w:cs="Calibri"/>
            </w:rPr>
            <w:t>25</w:t>
          </w:r>
          <w:r>
            <w:rPr>
              <w:rFonts w:hint="default" w:ascii="Calibri" w:hAnsi="Calibri" w:eastAsia="楷体_GB2312" w:cs="Calibri"/>
            </w:rPr>
            <w:fldChar w:fldCharType="end"/>
          </w:r>
          <w:r>
            <w:rPr>
              <w:rFonts w:hint="default" w:ascii="Calibri" w:hAnsi="Calibri" w:eastAsia="楷体_GB2312" w:cs="Calibri"/>
            </w:rPr>
            <w:fldChar w:fldCharType="end"/>
          </w:r>
        </w:p>
        <w:p w14:paraId="2AB0B957">
          <w:pPr>
            <w:pStyle w:val="19"/>
            <w:spacing w:line="240" w:lineRule="auto"/>
            <w:ind w:left="2080"/>
            <w:rPr>
              <w:rFonts w:hint="default" w:ascii="Calibri" w:hAnsi="Calibri" w:eastAsia="楷体_GB2312" w:cs="Calibri"/>
              <w:sz w:val="22"/>
              <w14:ligatures w14:val="standardContextual"/>
            </w:rPr>
          </w:pPr>
          <w:r>
            <w:rPr>
              <w:rFonts w:hint="default" w:ascii="Calibri" w:hAnsi="Calibri" w:eastAsia="楷体_GB2312" w:cs="Calibri"/>
            </w:rPr>
            <w:fldChar w:fldCharType="begin"/>
          </w:r>
          <w:r>
            <w:rPr>
              <w:rFonts w:hint="default" w:ascii="Calibri" w:hAnsi="Calibri" w:eastAsia="楷体_GB2312" w:cs="Calibri"/>
            </w:rPr>
            <w:instrText xml:space="preserve"> HYPERLINK \l "_Toc223082617" </w:instrText>
          </w:r>
          <w:r>
            <w:rPr>
              <w:rFonts w:hint="default" w:ascii="Calibri" w:hAnsi="Calibri" w:eastAsia="楷体_GB2312" w:cs="Calibri"/>
            </w:rPr>
            <w:fldChar w:fldCharType="separate"/>
          </w:r>
          <w:r>
            <w:rPr>
              <w:rStyle w:val="32"/>
              <w:rFonts w:hint="default" w:ascii="Calibri" w:hAnsi="Calibri" w:eastAsia="楷体_GB2312" w:cs="Calibri"/>
            </w:rPr>
            <w:t>七、重点公司资讯与点评</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PAGEREF _Toc223082617 \h </w:instrText>
          </w:r>
          <w:r>
            <w:rPr>
              <w:rFonts w:hint="default" w:ascii="Calibri" w:hAnsi="Calibri" w:eastAsia="楷体_GB2312" w:cs="Calibri"/>
            </w:rPr>
            <w:fldChar w:fldCharType="separate"/>
          </w:r>
          <w:r>
            <w:rPr>
              <w:rFonts w:hint="default" w:ascii="Calibri" w:hAnsi="Calibri" w:eastAsia="楷体_GB2312" w:cs="Calibri"/>
            </w:rPr>
            <w:t>28</w:t>
          </w:r>
          <w:r>
            <w:rPr>
              <w:rFonts w:hint="default" w:ascii="Calibri" w:hAnsi="Calibri" w:eastAsia="楷体_GB2312" w:cs="Calibri"/>
            </w:rPr>
            <w:fldChar w:fldCharType="end"/>
          </w:r>
          <w:r>
            <w:rPr>
              <w:rFonts w:hint="default" w:ascii="Calibri" w:hAnsi="Calibri" w:eastAsia="楷体_GB2312" w:cs="Calibri"/>
            </w:rPr>
            <w:fldChar w:fldCharType="end"/>
          </w:r>
        </w:p>
        <w:p w14:paraId="58C3020A">
          <w:pPr>
            <w:pStyle w:val="19"/>
            <w:spacing w:line="240" w:lineRule="auto"/>
            <w:ind w:left="2080"/>
            <w:rPr>
              <w:rFonts w:hint="default" w:ascii="Calibri" w:hAnsi="Calibri" w:eastAsia="楷体_GB2312" w:cs="Calibri"/>
              <w:sz w:val="22"/>
              <w14:ligatures w14:val="standardContextual"/>
            </w:rPr>
          </w:pPr>
          <w:r>
            <w:rPr>
              <w:rFonts w:hint="default" w:ascii="Calibri" w:hAnsi="Calibri" w:eastAsia="楷体_GB2312" w:cs="Calibri"/>
            </w:rPr>
            <w:fldChar w:fldCharType="begin"/>
          </w:r>
          <w:r>
            <w:rPr>
              <w:rFonts w:hint="default" w:ascii="Calibri" w:hAnsi="Calibri" w:eastAsia="楷体_GB2312" w:cs="Calibri"/>
            </w:rPr>
            <w:instrText xml:space="preserve"> HYPERLINK \l "_Toc223082618" </w:instrText>
          </w:r>
          <w:r>
            <w:rPr>
              <w:rFonts w:hint="default" w:ascii="Calibri" w:hAnsi="Calibri" w:eastAsia="楷体_GB2312" w:cs="Calibri"/>
            </w:rPr>
            <w:fldChar w:fldCharType="separate"/>
          </w:r>
          <w:r>
            <w:rPr>
              <w:rStyle w:val="32"/>
              <w:rFonts w:hint="default" w:ascii="Calibri" w:hAnsi="Calibri" w:eastAsia="楷体_GB2312" w:cs="Calibri"/>
            </w:rPr>
            <w:t>八、报告精选</w:t>
          </w:r>
          <w:r>
            <w:rPr>
              <w:rFonts w:hint="default" w:ascii="Calibri" w:hAnsi="Calibri" w:eastAsia="楷体_GB2312" w:cs="Calibri"/>
            </w:rPr>
            <w:tab/>
          </w:r>
          <w:r>
            <w:rPr>
              <w:rFonts w:hint="default" w:ascii="Calibri" w:hAnsi="Calibri" w:eastAsia="楷体_GB2312" w:cs="Calibri"/>
            </w:rPr>
            <w:fldChar w:fldCharType="begin"/>
          </w:r>
          <w:r>
            <w:rPr>
              <w:rFonts w:hint="default" w:ascii="Calibri" w:hAnsi="Calibri" w:eastAsia="楷体_GB2312" w:cs="Calibri"/>
            </w:rPr>
            <w:instrText xml:space="preserve"> PAGEREF _Toc223082618 \h </w:instrText>
          </w:r>
          <w:r>
            <w:rPr>
              <w:rFonts w:hint="default" w:ascii="Calibri" w:hAnsi="Calibri" w:eastAsia="楷体_GB2312" w:cs="Calibri"/>
            </w:rPr>
            <w:fldChar w:fldCharType="separate"/>
          </w:r>
          <w:r>
            <w:rPr>
              <w:rFonts w:hint="default" w:ascii="Calibri" w:hAnsi="Calibri" w:eastAsia="楷体_GB2312" w:cs="Calibri"/>
            </w:rPr>
            <w:t>29</w:t>
          </w:r>
          <w:r>
            <w:rPr>
              <w:rFonts w:hint="default" w:ascii="Calibri" w:hAnsi="Calibri" w:eastAsia="楷体_GB2312" w:cs="Calibri"/>
            </w:rPr>
            <w:fldChar w:fldCharType="end"/>
          </w:r>
          <w:r>
            <w:rPr>
              <w:rFonts w:hint="default" w:ascii="Calibri" w:hAnsi="Calibri" w:eastAsia="楷体_GB2312" w:cs="Calibri"/>
            </w:rPr>
            <w:fldChar w:fldCharType="end"/>
          </w:r>
        </w:p>
        <w:p w14:paraId="4C3225C1">
          <w:pPr>
            <w:rPr>
              <w:rFonts w:hint="default" w:ascii="Calibri" w:hAnsi="Calibri" w:eastAsia="楷体_GB2312" w:cs="Calibri"/>
              <w:b/>
              <w:bCs/>
              <w:color w:val="1F497D" w:themeColor="text2"/>
              <w:sz w:val="28"/>
              <w:szCs w:val="28"/>
              <w:lang w:val="en-US" w:eastAsia="zh-CN"/>
              <w14:textFill>
                <w14:solidFill>
                  <w14:schemeClr w14:val="tx2"/>
                </w14:solidFill>
              </w14:textFill>
            </w:rPr>
          </w:pPr>
          <w:r>
            <w:rPr>
              <w:rFonts w:hint="default" w:ascii="Calibri" w:hAnsi="Calibri" w:eastAsia="楷体_GB2312" w:cs="Calibri"/>
              <w:lang w:eastAsia="zh-CN"/>
            </w:rPr>
            <w:fldChar w:fldCharType="end"/>
          </w:r>
        </w:p>
      </w:sdtContent>
    </w:sdt>
    <w:p w14:paraId="3ADF3B13">
      <w:pPr>
        <w:rPr>
          <w:rFonts w:hint="default" w:ascii="Calibri" w:hAnsi="Calibri" w:eastAsia="楷体_GB2312" w:cs="Calibri"/>
          <w:b/>
          <w:bCs/>
          <w:color w:val="1F497D" w:themeColor="text2"/>
          <w:sz w:val="28"/>
          <w:szCs w:val="28"/>
          <w:lang w:val="en-US" w:eastAsia="zh-CN"/>
          <w14:textFill>
            <w14:solidFill>
              <w14:schemeClr w14:val="tx2"/>
            </w14:solidFill>
          </w14:textFill>
        </w:rPr>
      </w:pPr>
      <w:r>
        <w:rPr>
          <w:rFonts w:hint="default" w:ascii="Calibri" w:hAnsi="Calibri" w:eastAsia="楷体_GB2312" w:cs="Calibri"/>
          <w:b/>
          <w:bCs/>
          <w:color w:val="1F497D" w:themeColor="text2"/>
          <w:sz w:val="28"/>
          <w:szCs w:val="28"/>
          <w:lang w:val="en-US" w:eastAsia="zh-CN"/>
          <w14:textFill>
            <w14:solidFill>
              <w14:schemeClr w14:val="tx2"/>
            </w14:solidFill>
          </w14:textFill>
        </w:rPr>
        <w:br w:type="page"/>
      </w:r>
    </w:p>
    <w:p w14:paraId="20EA1934">
      <w:pPr>
        <w:overflowPunct w:val="0"/>
        <w:ind w:left="3200" w:leftChars="2000"/>
        <w:jc w:val="both"/>
        <w:outlineLvl w:val="0"/>
        <w:rPr>
          <w:rFonts w:hint="default" w:ascii="Calibri" w:hAnsi="Calibri" w:eastAsia="楷体_GB2312" w:cs="Calibri"/>
          <w:b/>
          <w:bCs/>
          <w:color w:val="1F497D" w:themeColor="text2"/>
          <w:sz w:val="28"/>
          <w:szCs w:val="28"/>
          <w:lang w:val="en-US" w:eastAsia="zh-CN"/>
          <w14:textFill>
            <w14:solidFill>
              <w14:schemeClr w14:val="tx2"/>
            </w14:solidFill>
          </w14:textFill>
        </w:rPr>
      </w:pPr>
      <w:bookmarkStart w:id="5" w:name="_Toc223082593"/>
      <w:r>
        <w:rPr>
          <w:rFonts w:hint="default" w:ascii="Calibri" w:hAnsi="Calibri" w:eastAsia="楷体_GB2312" w:cs="Calibri"/>
          <w:b/>
          <w:bCs/>
          <w:color w:val="1F497D" w:themeColor="text2"/>
          <w:sz w:val="28"/>
          <w:szCs w:val="28"/>
          <w:lang w:val="en-US" w:eastAsia="zh-CN"/>
          <w14:textFill>
            <w14:solidFill>
              <w14:schemeClr w14:val="tx2"/>
            </w14:solidFill>
          </w14:textFill>
        </w:rPr>
        <w:t>一、</w:t>
      </w:r>
      <w:bookmarkEnd w:id="1"/>
      <w:bookmarkEnd w:id="2"/>
      <w:r>
        <w:rPr>
          <w:rFonts w:hint="default" w:ascii="Calibri" w:hAnsi="Calibri" w:eastAsia="楷体_GB2312" w:cs="Calibri"/>
          <w:b/>
          <w:bCs/>
          <w:color w:val="1F497D" w:themeColor="text2"/>
          <w:sz w:val="28"/>
          <w:szCs w:val="28"/>
          <w:lang w:val="en-US" w:eastAsia="zh-CN"/>
          <w14:textFill>
            <w14:solidFill>
              <w14:schemeClr w14:val="tx2"/>
            </w14:solidFill>
          </w14:textFill>
        </w:rPr>
        <w:t>全球市场回顾</w:t>
      </w:r>
      <w:bookmarkEnd w:id="3"/>
      <w:bookmarkEnd w:id="4"/>
      <w:bookmarkEnd w:id="5"/>
    </w:p>
    <w:p w14:paraId="4FD59670">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美股市场本周表现回顾</w:t>
      </w:r>
      <w:r>
        <w:rPr>
          <w:rFonts w:hint="default" w:ascii="Calibri" w:hAnsi="Calibri" w:eastAsia="楷体_GB2312" w:cs="Calibri"/>
          <w:sz w:val="20"/>
          <w:szCs w:val="20"/>
          <w:lang w:val="en-US" w:eastAsia="zh-CN"/>
        </w:rPr>
        <w:t>——近几个交易日，美股主要股票指数在经历月初的波动后，本周呈现出先抑后扬、高位震荡与重心逐步上移并存的格局。周初受人工智能相关担忧及部分政策不确定性影响，标普500指数与道琼斯工业指数一度显著回调；随后在坚韧的经济数据支撑及科技股反弹带动下快速收复失地，并在6900附近关键心理关口展开拉锯。市场整体情绪维持中性偏积极，投资者正在密切观察重要财报发布及新一轮宏观政策指引，多空双方在当前位置维持力量平衡，等待进一步的方向性突破。</w:t>
      </w:r>
    </w:p>
    <w:p w14:paraId="4FF92984">
      <w:pPr>
        <w:overflowPunct w:val="0"/>
        <w:ind w:left="3200" w:leftChars="2000"/>
        <w:jc w:val="both"/>
        <w:rPr>
          <w:rFonts w:hint="default" w:ascii="Calibri" w:hAnsi="Calibri" w:eastAsia="楷体_GB2312" w:cs="Calibri"/>
          <w:sz w:val="20"/>
          <w:szCs w:val="20"/>
          <w:lang w:val="en-US" w:eastAsia="zh-CN"/>
        </w:rPr>
      </w:pPr>
    </w:p>
    <w:tbl>
      <w:tblPr>
        <w:tblStyle w:val="26"/>
        <w:tblW w:w="10490" w:type="dxa"/>
        <w:jc w:val="right"/>
        <w:tblLayout w:type="fixed"/>
        <w:tblCellMar>
          <w:top w:w="0" w:type="dxa"/>
          <w:left w:w="108" w:type="dxa"/>
          <w:bottom w:w="0" w:type="dxa"/>
          <w:right w:w="108" w:type="dxa"/>
        </w:tblCellMar>
      </w:tblPr>
      <w:tblGrid>
        <w:gridCol w:w="5103"/>
        <w:gridCol w:w="238"/>
        <w:gridCol w:w="5149"/>
      </w:tblGrid>
      <w:tr w14:paraId="3E932231">
        <w:tblPrEx>
          <w:tblCellMar>
            <w:top w:w="0" w:type="dxa"/>
            <w:left w:w="108" w:type="dxa"/>
            <w:bottom w:w="0" w:type="dxa"/>
            <w:right w:w="108" w:type="dxa"/>
          </w:tblCellMar>
        </w:tblPrEx>
        <w:trPr>
          <w:trHeight w:val="202" w:hRule="atLeast"/>
          <w:jc w:val="right"/>
        </w:trPr>
        <w:tc>
          <w:tcPr>
            <w:tcW w:w="5103" w:type="dxa"/>
            <w:tcBorders>
              <w:top w:val="nil"/>
              <w:left w:val="nil"/>
              <w:bottom w:val="single" w:color="auto" w:sz="4" w:space="0"/>
              <w:right w:val="nil"/>
            </w:tcBorders>
            <w:tcMar>
              <w:top w:w="0" w:type="dxa"/>
              <w:left w:w="0" w:type="dxa"/>
              <w:bottom w:w="0" w:type="dxa"/>
              <w:right w:w="28" w:type="dxa"/>
            </w:tcMar>
          </w:tcPr>
          <w:p w14:paraId="24BA9D33">
            <w:pPr>
              <w:overflowPunct w:val="0"/>
              <w:rPr>
                <w:rFonts w:hint="default" w:ascii="Calibri" w:hAnsi="Calibri" w:eastAsia="楷体_GB2312" w:cs="Calibri"/>
                <w:b/>
                <w:color w:val="000000"/>
                <w:szCs w:val="20"/>
                <w:lang w:eastAsia="zh-CN"/>
              </w:rPr>
            </w:pPr>
            <w:r>
              <w:rPr>
                <w:rFonts w:hint="default" w:ascii="Calibri" w:hAnsi="Calibri" w:eastAsia="楷体_GB2312" w:cs="Calibri"/>
                <w:b/>
                <w:sz w:val="18"/>
                <w:szCs w:val="18"/>
                <w:lang w:eastAsia="zh-CN"/>
              </w:rPr>
              <w:t>图1：标普500指数今年以来表现（截止02/</w:t>
            </w:r>
            <w:r>
              <w:rPr>
                <w:rFonts w:hint="default" w:ascii="Calibri" w:hAnsi="Calibri" w:eastAsia="楷体_GB2312" w:cs="Calibri"/>
                <w:b/>
                <w:sz w:val="18"/>
                <w:szCs w:val="18"/>
                <w:lang w:val="en-US" w:eastAsia="zh-CN"/>
              </w:rPr>
              <w:t>25</w:t>
            </w:r>
            <w:r>
              <w:rPr>
                <w:rFonts w:hint="default" w:ascii="Calibri" w:hAnsi="Calibri" w:eastAsia="楷体_GB2312" w:cs="Calibri"/>
                <w:b/>
                <w:sz w:val="18"/>
                <w:szCs w:val="18"/>
                <w:lang w:eastAsia="zh-CN"/>
              </w:rPr>
              <w:t>/26）</w:t>
            </w:r>
          </w:p>
        </w:tc>
        <w:tc>
          <w:tcPr>
            <w:tcW w:w="238" w:type="dxa"/>
            <w:tcBorders>
              <w:top w:val="nil"/>
              <w:left w:val="nil"/>
              <w:bottom w:val="nil"/>
              <w:right w:val="nil"/>
            </w:tcBorders>
            <w:tcMar>
              <w:top w:w="0" w:type="dxa"/>
              <w:left w:w="0" w:type="dxa"/>
              <w:bottom w:w="0" w:type="dxa"/>
              <w:right w:w="28" w:type="dxa"/>
            </w:tcMar>
          </w:tcPr>
          <w:p w14:paraId="262D64C0">
            <w:pPr>
              <w:overflowPunct w:val="0"/>
              <w:spacing w:before="48" w:beforeLines="20" w:after="48" w:afterLines="20"/>
              <w:rPr>
                <w:rFonts w:hint="default" w:ascii="Calibri" w:hAnsi="Calibri" w:eastAsia="楷体_GB2312" w:cs="Calibri"/>
                <w:szCs w:val="20"/>
                <w:lang w:eastAsia="zh-CN"/>
              </w:rPr>
            </w:pPr>
            <w:r>
              <w:rPr>
                <w:rFonts w:hint="default" w:ascii="Calibri" w:hAnsi="Calibri" w:eastAsia="楷体_GB2312" w:cs="Calibri"/>
                <w:szCs w:val="20"/>
                <w:lang w:eastAsia="zh-CN"/>
              </w:rPr>
              <w:t xml:space="preserve">         </w:t>
            </w:r>
          </w:p>
        </w:tc>
        <w:tc>
          <w:tcPr>
            <w:tcW w:w="5149" w:type="dxa"/>
            <w:tcBorders>
              <w:top w:val="nil"/>
              <w:left w:val="nil"/>
              <w:bottom w:val="single" w:color="auto" w:sz="4" w:space="0"/>
              <w:right w:val="nil"/>
            </w:tcBorders>
            <w:tcMar>
              <w:top w:w="0" w:type="dxa"/>
              <w:left w:w="0" w:type="dxa"/>
              <w:bottom w:w="0" w:type="dxa"/>
              <w:right w:w="28" w:type="dxa"/>
            </w:tcMar>
          </w:tcPr>
          <w:p w14:paraId="367EEE92">
            <w:pPr>
              <w:overflowPunct w:val="0"/>
              <w:rPr>
                <w:rFonts w:hint="default" w:ascii="Calibri" w:hAnsi="Calibri" w:eastAsia="楷体_GB2312" w:cs="Calibri"/>
                <w:b/>
                <w:szCs w:val="20"/>
                <w:lang w:eastAsia="zh-CN"/>
              </w:rPr>
            </w:pPr>
            <w:r>
              <w:rPr>
                <w:rFonts w:hint="default" w:ascii="Calibri" w:hAnsi="Calibri" w:eastAsia="楷体_GB2312" w:cs="Calibri"/>
                <w:b/>
                <w:sz w:val="18"/>
                <w:szCs w:val="18"/>
                <w:lang w:eastAsia="zh-CN"/>
              </w:rPr>
              <w:t>图2：道琼斯指数今年以来表现（截止02/</w:t>
            </w:r>
            <w:r>
              <w:rPr>
                <w:rFonts w:hint="default" w:ascii="Calibri" w:hAnsi="Calibri" w:eastAsia="楷体_GB2312" w:cs="Calibri"/>
                <w:b/>
                <w:sz w:val="18"/>
                <w:szCs w:val="18"/>
                <w:lang w:val="en-US" w:eastAsia="zh-CN"/>
              </w:rPr>
              <w:t>25</w:t>
            </w:r>
            <w:r>
              <w:rPr>
                <w:rFonts w:hint="default" w:ascii="Calibri" w:hAnsi="Calibri" w:eastAsia="楷体_GB2312" w:cs="Calibri"/>
                <w:b/>
                <w:sz w:val="18"/>
                <w:szCs w:val="18"/>
                <w:lang w:eastAsia="zh-CN"/>
              </w:rPr>
              <w:t>/26）</w:t>
            </w:r>
          </w:p>
        </w:tc>
      </w:tr>
      <w:tr w14:paraId="00A4D912">
        <w:tblPrEx>
          <w:tblCellMar>
            <w:top w:w="0" w:type="dxa"/>
            <w:left w:w="108" w:type="dxa"/>
            <w:bottom w:w="0" w:type="dxa"/>
            <w:right w:w="108" w:type="dxa"/>
          </w:tblCellMar>
        </w:tblPrEx>
        <w:trPr>
          <w:trHeight w:val="3109" w:hRule="atLeast"/>
          <w:jc w:val="right"/>
        </w:trPr>
        <w:tc>
          <w:tcPr>
            <w:tcW w:w="5103" w:type="dxa"/>
            <w:tcBorders>
              <w:top w:val="single" w:color="auto" w:sz="4" w:space="0"/>
              <w:left w:val="nil"/>
              <w:bottom w:val="single" w:color="auto" w:sz="4" w:space="0"/>
              <w:right w:val="nil"/>
            </w:tcBorders>
            <w:vAlign w:val="center"/>
          </w:tcPr>
          <w:p w14:paraId="2D9392C2">
            <w:pPr>
              <w:overflowPunct w:val="0"/>
              <w:spacing w:before="48" w:beforeLines="20" w:after="48" w:afterLines="20"/>
              <w:jc w:val="center"/>
              <w:textAlignment w:val="center"/>
              <w:rPr>
                <w:rFonts w:hint="default" w:ascii="Calibri" w:hAnsi="Calibri" w:eastAsia="楷体_GB2312" w:cs="Calibri"/>
                <w:b/>
                <w:color w:val="000000"/>
                <w:sz w:val="15"/>
                <w:szCs w:val="15"/>
              </w:rPr>
            </w:pPr>
            <w:r>
              <w:rPr>
                <w:rFonts w:hint="default" w:ascii="Calibri" w:hAnsi="Calibri" w:eastAsia="楷体_GB2312" w:cs="Calibri"/>
              </w:rPr>
              <w:drawing>
                <wp:inline distT="0" distB="0" distL="114300" distR="114300">
                  <wp:extent cx="3107690" cy="2276475"/>
                  <wp:effectExtent l="0" t="0" r="0" b="0"/>
                  <wp:docPr id="9"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tc>
        <w:tc>
          <w:tcPr>
            <w:tcW w:w="238" w:type="dxa"/>
            <w:tcBorders>
              <w:top w:val="nil"/>
              <w:left w:val="nil"/>
              <w:bottom w:val="nil"/>
              <w:right w:val="nil"/>
            </w:tcBorders>
          </w:tcPr>
          <w:p w14:paraId="1171F7F8">
            <w:pPr>
              <w:overflowPunct w:val="0"/>
              <w:spacing w:before="48" w:beforeLines="20" w:after="48" w:afterLines="20"/>
              <w:rPr>
                <w:rFonts w:hint="default" w:ascii="Calibri" w:hAnsi="Calibri" w:eastAsia="楷体_GB2312" w:cs="Calibri"/>
                <w:sz w:val="15"/>
                <w:szCs w:val="15"/>
              </w:rPr>
            </w:pPr>
          </w:p>
        </w:tc>
        <w:tc>
          <w:tcPr>
            <w:tcW w:w="5149" w:type="dxa"/>
            <w:tcBorders>
              <w:top w:val="single" w:color="auto" w:sz="4" w:space="0"/>
              <w:left w:val="nil"/>
              <w:bottom w:val="single" w:color="auto" w:sz="4" w:space="0"/>
              <w:right w:val="nil"/>
            </w:tcBorders>
          </w:tcPr>
          <w:p w14:paraId="5C429040">
            <w:pPr>
              <w:overflowPunct w:val="0"/>
              <w:spacing w:before="48" w:beforeLines="20" w:after="48" w:afterLines="20"/>
              <w:jc w:val="center"/>
              <w:rPr>
                <w:rFonts w:hint="default" w:ascii="Calibri" w:hAnsi="Calibri" w:eastAsia="楷体_GB2312" w:cs="Calibri"/>
                <w:b/>
                <w:sz w:val="15"/>
                <w:szCs w:val="15"/>
              </w:rPr>
            </w:pPr>
            <w:r>
              <w:rPr>
                <w:rFonts w:hint="default" w:ascii="Calibri" w:hAnsi="Calibri" w:eastAsia="楷体_GB2312" w:cs="Calibri"/>
              </w:rPr>
              <w:drawing>
                <wp:inline distT="0" distB="0" distL="114300" distR="114300">
                  <wp:extent cx="3130550" cy="2296160"/>
                  <wp:effectExtent l="0" t="0" r="0" b="8890"/>
                  <wp:docPr id="19"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tc>
      </w:tr>
      <w:tr w14:paraId="11AB35C5">
        <w:tblPrEx>
          <w:tblCellMar>
            <w:top w:w="0" w:type="dxa"/>
            <w:left w:w="108" w:type="dxa"/>
            <w:bottom w:w="0" w:type="dxa"/>
            <w:right w:w="108" w:type="dxa"/>
          </w:tblCellMar>
        </w:tblPrEx>
        <w:trPr>
          <w:jc w:val="right"/>
        </w:trPr>
        <w:tc>
          <w:tcPr>
            <w:tcW w:w="5103" w:type="dxa"/>
            <w:tcBorders>
              <w:top w:val="single" w:color="auto" w:sz="4" w:space="0"/>
              <w:left w:val="nil"/>
              <w:bottom w:val="nil"/>
              <w:right w:val="nil"/>
            </w:tcBorders>
            <w:tcMar>
              <w:top w:w="0" w:type="dxa"/>
              <w:left w:w="0" w:type="dxa"/>
              <w:bottom w:w="0" w:type="dxa"/>
              <w:right w:w="28" w:type="dxa"/>
            </w:tcMar>
            <w:vAlign w:val="center"/>
          </w:tcPr>
          <w:p w14:paraId="4F2837A4">
            <w:pPr>
              <w:overflowPunct w:val="0"/>
              <w:spacing w:before="48" w:beforeLines="20" w:after="48" w:afterLines="20"/>
              <w:textAlignment w:val="center"/>
              <w:rPr>
                <w:rFonts w:hint="default" w:ascii="Calibri" w:hAnsi="Calibri" w:eastAsia="楷体_GB2312" w:cs="Calibri"/>
                <w:i/>
                <w:iCs/>
                <w:sz w:val="10"/>
                <w:szCs w:val="10"/>
              </w:rPr>
            </w:pPr>
            <w:r>
              <w:rPr>
                <w:rFonts w:hint="default" w:ascii="Calibri" w:hAnsi="Calibri" w:eastAsia="楷体_GB2312" w:cs="Calibri"/>
                <w:i/>
                <w:iCs/>
                <w:lang w:val="zh-CN"/>
              </w:rPr>
              <w:t>资料来源：iFind，HFI</w:t>
            </w:r>
          </w:p>
        </w:tc>
        <w:tc>
          <w:tcPr>
            <w:tcW w:w="238" w:type="dxa"/>
            <w:tcBorders>
              <w:top w:val="nil"/>
              <w:left w:val="nil"/>
              <w:bottom w:val="nil"/>
              <w:right w:val="nil"/>
            </w:tcBorders>
            <w:tcMar>
              <w:top w:w="0" w:type="dxa"/>
              <w:left w:w="0" w:type="dxa"/>
              <w:bottom w:w="0" w:type="dxa"/>
              <w:right w:w="28" w:type="dxa"/>
            </w:tcMar>
          </w:tcPr>
          <w:p w14:paraId="54EB7FF2">
            <w:pPr>
              <w:overflowPunct w:val="0"/>
              <w:spacing w:before="48" w:beforeLines="20" w:after="48" w:afterLines="20"/>
              <w:rPr>
                <w:rFonts w:hint="default" w:ascii="Calibri" w:hAnsi="Calibri" w:eastAsia="楷体_GB2312" w:cs="Calibri"/>
                <w:sz w:val="15"/>
                <w:szCs w:val="15"/>
              </w:rPr>
            </w:pPr>
          </w:p>
        </w:tc>
        <w:tc>
          <w:tcPr>
            <w:tcW w:w="5149" w:type="dxa"/>
            <w:tcBorders>
              <w:top w:val="single" w:color="auto" w:sz="4" w:space="0"/>
              <w:left w:val="nil"/>
              <w:bottom w:val="nil"/>
              <w:right w:val="nil"/>
            </w:tcBorders>
            <w:tcMar>
              <w:top w:w="0" w:type="dxa"/>
              <w:left w:w="0" w:type="dxa"/>
              <w:bottom w:w="0" w:type="dxa"/>
              <w:right w:w="28" w:type="dxa"/>
            </w:tcMar>
          </w:tcPr>
          <w:p w14:paraId="69984565">
            <w:pPr>
              <w:overflowPunct w:val="0"/>
              <w:spacing w:before="48" w:beforeLines="20" w:after="48" w:afterLines="20"/>
              <w:textAlignment w:val="center"/>
              <w:rPr>
                <w:rFonts w:hint="default" w:ascii="Calibri" w:hAnsi="Calibri" w:eastAsia="楷体_GB2312" w:cs="Calibri"/>
                <w:sz w:val="10"/>
                <w:szCs w:val="10"/>
              </w:rPr>
            </w:pPr>
            <w:r>
              <w:rPr>
                <w:rFonts w:hint="default" w:ascii="Calibri" w:hAnsi="Calibri" w:eastAsia="楷体_GB2312" w:cs="Calibri"/>
                <w:i/>
                <w:iCs/>
                <w:lang w:val="zh-CN"/>
              </w:rPr>
              <w:t>资料来源：iFind，HFI</w:t>
            </w:r>
          </w:p>
        </w:tc>
      </w:tr>
    </w:tbl>
    <w:p w14:paraId="703A86A1">
      <w:pPr>
        <w:overflowPunct w:val="0"/>
        <w:ind w:left="3200" w:leftChars="2000"/>
        <w:jc w:val="both"/>
        <w:rPr>
          <w:rFonts w:hint="default" w:ascii="Calibri" w:hAnsi="Calibri" w:eastAsia="楷体_GB2312" w:cs="Calibri"/>
          <w:sz w:val="20"/>
          <w:szCs w:val="20"/>
          <w:lang w:val="en-US" w:eastAsia="zh-CN"/>
        </w:rPr>
      </w:pPr>
    </w:p>
    <w:p w14:paraId="104BB3F2">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分行业来看——</w:t>
      </w:r>
      <w:r>
        <w:rPr>
          <w:rFonts w:hint="default" w:ascii="Calibri" w:hAnsi="Calibri" w:eastAsia="楷体_GB2312" w:cs="Calibri"/>
          <w:sz w:val="20"/>
          <w:szCs w:val="20"/>
          <w:lang w:val="en-US" w:eastAsia="zh-CN"/>
        </w:rPr>
        <w:t>从行业板块角度看，本周市场呈现出一定的结构性分化特征。受技术创新预期及市场风险偏好回暖带动，信息技术、通信服务及金融板块表现出较强的韧性，周初调整后迅速反弹，成为支撑大盘的核心力量。与此同时，随着市场风险偏好的波动，部分资金流向了工业与可选消费等顺周期领域。相比之下，公用事业、医疗保健及日常消费品等传统防御性板块则在期内经历了小幅下调，显示出在风险偏好提升环境下，避险资金出现一定程度的轮动流出。</w:t>
      </w:r>
    </w:p>
    <w:p w14:paraId="4342FC4B">
      <w:pPr>
        <w:overflowPunct w:val="0"/>
        <w:ind w:left="3200" w:leftChars="2000"/>
        <w:jc w:val="both"/>
        <w:rPr>
          <w:rFonts w:hint="default" w:ascii="Calibri" w:hAnsi="Calibri" w:eastAsia="楷体_GB2312" w:cs="Calibri"/>
          <w:sz w:val="20"/>
          <w:szCs w:val="20"/>
          <w:lang w:val="en-US" w:eastAsia="zh-CN"/>
        </w:rPr>
      </w:pPr>
    </w:p>
    <w:tbl>
      <w:tblPr>
        <w:tblStyle w:val="26"/>
        <w:tblpPr w:leftFromText="180" w:rightFromText="180" w:vertAnchor="text" w:horzAnchor="margin" w:tblpY="45"/>
        <w:tblW w:w="10738" w:type="dxa"/>
        <w:tblInd w:w="0" w:type="dxa"/>
        <w:tblLayout w:type="fixed"/>
        <w:tblCellMar>
          <w:top w:w="0" w:type="dxa"/>
          <w:left w:w="108" w:type="dxa"/>
          <w:bottom w:w="0" w:type="dxa"/>
          <w:right w:w="108" w:type="dxa"/>
        </w:tblCellMar>
      </w:tblPr>
      <w:tblGrid>
        <w:gridCol w:w="5457"/>
        <w:gridCol w:w="259"/>
        <w:gridCol w:w="5022"/>
      </w:tblGrid>
      <w:tr w14:paraId="234B8BE1">
        <w:tblPrEx>
          <w:tblCellMar>
            <w:top w:w="0" w:type="dxa"/>
            <w:left w:w="108" w:type="dxa"/>
            <w:bottom w:w="0" w:type="dxa"/>
            <w:right w:w="108" w:type="dxa"/>
          </w:tblCellMar>
        </w:tblPrEx>
        <w:trPr>
          <w:trHeight w:val="110" w:hRule="atLeast"/>
        </w:trPr>
        <w:tc>
          <w:tcPr>
            <w:tcW w:w="5457" w:type="dxa"/>
            <w:tcBorders>
              <w:top w:val="nil"/>
              <w:left w:val="nil"/>
              <w:bottom w:val="single" w:color="auto" w:sz="4" w:space="0"/>
              <w:right w:val="nil"/>
            </w:tcBorders>
            <w:tcMar>
              <w:top w:w="0" w:type="dxa"/>
              <w:left w:w="0" w:type="dxa"/>
              <w:bottom w:w="0" w:type="dxa"/>
              <w:right w:w="28" w:type="dxa"/>
            </w:tcMar>
          </w:tcPr>
          <w:p w14:paraId="7BD5979E">
            <w:pPr>
              <w:overflowPunct w:val="0"/>
              <w:rPr>
                <w:rFonts w:hint="default" w:ascii="Calibri" w:hAnsi="Calibri" w:eastAsia="楷体_GB2312" w:cs="Calibri"/>
                <w:b/>
                <w:sz w:val="18"/>
                <w:szCs w:val="18"/>
                <w:lang w:eastAsia="zh-CN"/>
              </w:rPr>
            </w:pPr>
            <w:r>
              <w:rPr>
                <w:rFonts w:hint="default" w:ascii="Calibri" w:hAnsi="Calibri" w:eastAsia="楷体_GB2312" w:cs="Calibri"/>
                <w:b/>
                <w:sz w:val="18"/>
                <w:szCs w:val="18"/>
                <w:lang w:eastAsia="zh-CN"/>
              </w:rPr>
              <w:t>图3：标普指数分行业今年以来表现（截止02/25/2026）</w:t>
            </w:r>
          </w:p>
        </w:tc>
        <w:tc>
          <w:tcPr>
            <w:tcW w:w="259" w:type="dxa"/>
            <w:tcBorders>
              <w:top w:val="nil"/>
              <w:left w:val="nil"/>
              <w:bottom w:val="nil"/>
              <w:right w:val="nil"/>
            </w:tcBorders>
            <w:tcMar>
              <w:top w:w="0" w:type="dxa"/>
              <w:left w:w="0" w:type="dxa"/>
              <w:bottom w:w="0" w:type="dxa"/>
              <w:right w:w="28" w:type="dxa"/>
            </w:tcMar>
          </w:tcPr>
          <w:p w14:paraId="4C268873">
            <w:pPr>
              <w:overflowPunct w:val="0"/>
              <w:rPr>
                <w:rFonts w:hint="default" w:ascii="Calibri" w:hAnsi="Calibri" w:eastAsia="楷体_GB2312" w:cs="Calibri"/>
                <w:b/>
                <w:sz w:val="18"/>
                <w:szCs w:val="18"/>
                <w:lang w:eastAsia="zh-CN"/>
              </w:rPr>
            </w:pPr>
            <w:r>
              <w:rPr>
                <w:rFonts w:hint="default" w:ascii="Calibri" w:hAnsi="Calibri" w:eastAsia="楷体_GB2312" w:cs="Calibri"/>
                <w:b/>
                <w:sz w:val="18"/>
                <w:szCs w:val="18"/>
                <w:lang w:eastAsia="zh-CN"/>
              </w:rPr>
              <w:t xml:space="preserve">         </w:t>
            </w:r>
          </w:p>
        </w:tc>
        <w:tc>
          <w:tcPr>
            <w:tcW w:w="5022" w:type="dxa"/>
            <w:tcBorders>
              <w:top w:val="nil"/>
              <w:left w:val="nil"/>
              <w:bottom w:val="single" w:color="auto" w:sz="4" w:space="0"/>
              <w:right w:val="nil"/>
            </w:tcBorders>
            <w:tcMar>
              <w:top w:w="0" w:type="dxa"/>
              <w:left w:w="0" w:type="dxa"/>
              <w:bottom w:w="0" w:type="dxa"/>
              <w:right w:w="28" w:type="dxa"/>
            </w:tcMar>
          </w:tcPr>
          <w:p w14:paraId="7D4D8DF3">
            <w:pPr>
              <w:overflowPunct w:val="0"/>
              <w:rPr>
                <w:rFonts w:hint="default" w:ascii="Calibri" w:hAnsi="Calibri" w:eastAsia="楷体_GB2312" w:cs="Calibri"/>
                <w:b/>
                <w:sz w:val="18"/>
                <w:szCs w:val="18"/>
                <w:lang w:eastAsia="zh-CN"/>
              </w:rPr>
            </w:pPr>
            <w:r>
              <w:rPr>
                <w:rFonts w:hint="default" w:ascii="Calibri" w:hAnsi="Calibri" w:eastAsia="楷体_GB2312" w:cs="Calibri"/>
                <w:b/>
                <w:sz w:val="18"/>
                <w:szCs w:val="18"/>
                <w:lang w:eastAsia="zh-CN"/>
              </w:rPr>
              <w:t>图4：全球市场表现（截止02/25/2026）</w:t>
            </w:r>
          </w:p>
        </w:tc>
      </w:tr>
      <w:tr w14:paraId="6CD241E1">
        <w:tblPrEx>
          <w:tblCellMar>
            <w:top w:w="0" w:type="dxa"/>
            <w:left w:w="108" w:type="dxa"/>
            <w:bottom w:w="0" w:type="dxa"/>
            <w:right w:w="108" w:type="dxa"/>
          </w:tblCellMar>
        </w:tblPrEx>
        <w:trPr>
          <w:trHeight w:val="1547" w:hRule="atLeast"/>
        </w:trPr>
        <w:tc>
          <w:tcPr>
            <w:tcW w:w="5457" w:type="dxa"/>
            <w:tcBorders>
              <w:top w:val="single" w:color="auto" w:sz="4" w:space="0"/>
              <w:left w:val="nil"/>
              <w:bottom w:val="single" w:color="auto" w:sz="4" w:space="0"/>
              <w:right w:val="nil"/>
            </w:tcBorders>
            <w:tcMar>
              <w:top w:w="0" w:type="dxa"/>
              <w:left w:w="0" w:type="dxa"/>
              <w:bottom w:w="0" w:type="dxa"/>
              <w:right w:w="28" w:type="dxa"/>
            </w:tcMar>
            <w:vAlign w:val="center"/>
          </w:tcPr>
          <w:p w14:paraId="24420018">
            <w:pPr>
              <w:overflowPunct w:val="0"/>
              <w:spacing w:before="48" w:beforeLines="20" w:after="48" w:afterLines="20"/>
              <w:textAlignment w:val="center"/>
              <w:rPr>
                <w:rFonts w:hint="default" w:ascii="Calibri" w:hAnsi="Calibri" w:eastAsia="楷体_GB2312" w:cs="Calibri"/>
                <w:b/>
                <w:color w:val="000000"/>
                <w:sz w:val="15"/>
                <w:szCs w:val="15"/>
                <w:lang w:eastAsia="zh-CN"/>
              </w:rPr>
            </w:pPr>
            <w:r>
              <w:rPr>
                <w:rFonts w:hint="default" w:ascii="Calibri" w:hAnsi="Calibri" w:eastAsia="楷体_GB2312" w:cs="Calibri"/>
                <w:b/>
                <w:color w:val="000000"/>
                <w:sz w:val="15"/>
                <w:szCs w:val="15"/>
                <w:lang w:eastAsia="zh-CN"/>
              </w:rPr>
              <w:drawing>
                <wp:inline distT="0" distB="0" distL="0" distR="0">
                  <wp:extent cx="3333115" cy="2030730"/>
                  <wp:effectExtent l="0" t="0" r="635" b="7620"/>
                  <wp:docPr id="821362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36273" name="图片 1"/>
                          <pic:cNvPicPr>
                            <a:picLocks noChangeAspect="1"/>
                          </pic:cNvPicPr>
                        </pic:nvPicPr>
                        <pic:blipFill>
                          <a:blip r:embed="rId14"/>
                          <a:stretch>
                            <a:fillRect/>
                          </a:stretch>
                        </pic:blipFill>
                        <pic:spPr>
                          <a:xfrm>
                            <a:off x="0" y="0"/>
                            <a:ext cx="3338032" cy="2033931"/>
                          </a:xfrm>
                          <a:prstGeom prst="rect">
                            <a:avLst/>
                          </a:prstGeom>
                        </pic:spPr>
                      </pic:pic>
                    </a:graphicData>
                  </a:graphic>
                </wp:inline>
              </w:drawing>
            </w:r>
          </w:p>
        </w:tc>
        <w:tc>
          <w:tcPr>
            <w:tcW w:w="259" w:type="dxa"/>
            <w:tcBorders>
              <w:top w:val="nil"/>
              <w:left w:val="nil"/>
              <w:bottom w:val="nil"/>
              <w:right w:val="nil"/>
            </w:tcBorders>
            <w:tcMar>
              <w:top w:w="0" w:type="dxa"/>
              <w:left w:w="0" w:type="dxa"/>
              <w:bottom w:w="0" w:type="dxa"/>
              <w:right w:w="28" w:type="dxa"/>
            </w:tcMar>
          </w:tcPr>
          <w:p w14:paraId="130A6BE4">
            <w:pPr>
              <w:overflowPunct w:val="0"/>
              <w:spacing w:before="48" w:beforeLines="20" w:after="48" w:afterLines="20"/>
              <w:rPr>
                <w:rFonts w:hint="default" w:ascii="Calibri" w:hAnsi="Calibri" w:eastAsia="楷体_GB2312" w:cs="Calibri"/>
                <w:sz w:val="15"/>
                <w:szCs w:val="15"/>
              </w:rPr>
            </w:pPr>
          </w:p>
        </w:tc>
        <w:tc>
          <w:tcPr>
            <w:tcW w:w="5022" w:type="dxa"/>
            <w:tcBorders>
              <w:top w:val="single" w:color="auto" w:sz="4" w:space="0"/>
              <w:left w:val="nil"/>
              <w:bottom w:val="single" w:color="auto" w:sz="4" w:space="0"/>
              <w:right w:val="nil"/>
            </w:tcBorders>
            <w:tcMar>
              <w:top w:w="0" w:type="dxa"/>
              <w:left w:w="0" w:type="dxa"/>
              <w:bottom w:w="0" w:type="dxa"/>
              <w:right w:w="28" w:type="dxa"/>
            </w:tcMar>
          </w:tcPr>
          <w:p w14:paraId="11D9D522">
            <w:pPr>
              <w:overflowPunct w:val="0"/>
              <w:spacing w:before="48" w:beforeLines="20" w:after="48" w:afterLines="20"/>
              <w:rPr>
                <w:rFonts w:hint="default" w:ascii="Calibri" w:hAnsi="Calibri" w:eastAsia="楷体_GB2312" w:cs="Calibri"/>
                <w:b/>
                <w:sz w:val="15"/>
                <w:szCs w:val="15"/>
                <w:lang w:eastAsia="zh-CN"/>
              </w:rPr>
            </w:pPr>
            <w:r>
              <w:rPr>
                <w:rFonts w:hint="default" w:ascii="Calibri" w:hAnsi="Calibri" w:eastAsia="楷体_GB2312" w:cs="Calibri"/>
                <w:b/>
                <w:sz w:val="15"/>
                <w:szCs w:val="15"/>
                <w:lang w:eastAsia="zh-CN"/>
              </w:rPr>
              <w:drawing>
                <wp:inline distT="0" distB="0" distL="0" distR="0">
                  <wp:extent cx="3166110" cy="2021840"/>
                  <wp:effectExtent l="0" t="0" r="0" b="0"/>
                  <wp:docPr id="31080730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807303" name="图片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3191092" cy="2037899"/>
                          </a:xfrm>
                          <a:prstGeom prst="rect">
                            <a:avLst/>
                          </a:prstGeom>
                          <a:noFill/>
                        </pic:spPr>
                      </pic:pic>
                    </a:graphicData>
                  </a:graphic>
                </wp:inline>
              </w:drawing>
            </w:r>
          </w:p>
        </w:tc>
      </w:tr>
      <w:tr w14:paraId="2147045B">
        <w:tblPrEx>
          <w:tblCellMar>
            <w:top w:w="0" w:type="dxa"/>
            <w:left w:w="108" w:type="dxa"/>
            <w:bottom w:w="0" w:type="dxa"/>
            <w:right w:w="108" w:type="dxa"/>
          </w:tblCellMar>
        </w:tblPrEx>
        <w:trPr>
          <w:trHeight w:val="184" w:hRule="atLeast"/>
        </w:trPr>
        <w:tc>
          <w:tcPr>
            <w:tcW w:w="5457" w:type="dxa"/>
            <w:tcBorders>
              <w:top w:val="single" w:color="auto" w:sz="4" w:space="0"/>
              <w:left w:val="nil"/>
              <w:bottom w:val="nil"/>
              <w:right w:val="nil"/>
            </w:tcBorders>
            <w:tcMar>
              <w:top w:w="0" w:type="dxa"/>
              <w:left w:w="0" w:type="dxa"/>
              <w:bottom w:w="0" w:type="dxa"/>
              <w:right w:w="28" w:type="dxa"/>
            </w:tcMar>
            <w:vAlign w:val="center"/>
          </w:tcPr>
          <w:p w14:paraId="59364E58">
            <w:pPr>
              <w:overflowPunct w:val="0"/>
              <w:spacing w:before="48" w:beforeLines="20" w:after="48" w:afterLines="20"/>
              <w:textAlignment w:val="center"/>
              <w:rPr>
                <w:rFonts w:hint="default" w:ascii="Calibri" w:hAnsi="Calibri" w:eastAsia="楷体_GB2312" w:cs="Calibri"/>
                <w:sz w:val="10"/>
                <w:szCs w:val="10"/>
              </w:rPr>
            </w:pPr>
            <w:r>
              <w:rPr>
                <w:rFonts w:hint="default" w:ascii="Calibri" w:hAnsi="Calibri" w:eastAsia="楷体_GB2312" w:cs="Calibri"/>
                <w:i/>
                <w:iCs/>
                <w:lang w:val="zh-CN"/>
              </w:rPr>
              <w:t>资料来源：iFind，HFI</w:t>
            </w:r>
          </w:p>
        </w:tc>
        <w:tc>
          <w:tcPr>
            <w:tcW w:w="259" w:type="dxa"/>
            <w:tcBorders>
              <w:top w:val="nil"/>
              <w:left w:val="nil"/>
              <w:bottom w:val="nil"/>
              <w:right w:val="nil"/>
            </w:tcBorders>
            <w:tcMar>
              <w:top w:w="0" w:type="dxa"/>
              <w:left w:w="0" w:type="dxa"/>
              <w:bottom w:w="0" w:type="dxa"/>
              <w:right w:w="28" w:type="dxa"/>
            </w:tcMar>
          </w:tcPr>
          <w:p w14:paraId="13687EAE">
            <w:pPr>
              <w:overflowPunct w:val="0"/>
              <w:spacing w:before="48" w:beforeLines="20" w:after="48" w:afterLines="20"/>
              <w:rPr>
                <w:rFonts w:hint="default" w:ascii="Calibri" w:hAnsi="Calibri" w:eastAsia="楷体_GB2312" w:cs="Calibri"/>
                <w:sz w:val="15"/>
                <w:szCs w:val="15"/>
              </w:rPr>
            </w:pPr>
          </w:p>
        </w:tc>
        <w:tc>
          <w:tcPr>
            <w:tcW w:w="5022" w:type="dxa"/>
            <w:tcBorders>
              <w:top w:val="single" w:color="auto" w:sz="4" w:space="0"/>
              <w:left w:val="nil"/>
              <w:bottom w:val="nil"/>
              <w:right w:val="nil"/>
            </w:tcBorders>
            <w:tcMar>
              <w:top w:w="0" w:type="dxa"/>
              <w:left w:w="0" w:type="dxa"/>
              <w:bottom w:w="0" w:type="dxa"/>
              <w:right w:w="28" w:type="dxa"/>
            </w:tcMar>
          </w:tcPr>
          <w:p w14:paraId="2AD0A497">
            <w:pPr>
              <w:overflowPunct w:val="0"/>
              <w:spacing w:before="48" w:beforeLines="20" w:after="48" w:afterLines="20"/>
              <w:rPr>
                <w:rFonts w:hint="default" w:ascii="Calibri" w:hAnsi="Calibri" w:eastAsia="楷体_GB2312" w:cs="Calibri"/>
                <w:sz w:val="10"/>
                <w:szCs w:val="10"/>
              </w:rPr>
            </w:pPr>
            <w:r>
              <w:rPr>
                <w:rFonts w:hint="default" w:ascii="Calibri" w:hAnsi="Calibri" w:eastAsia="楷体_GB2312" w:cs="Calibri"/>
                <w:i/>
                <w:iCs/>
                <w:lang w:val="zh-CN"/>
              </w:rPr>
              <w:t>资料来源：iFind, HFI</w:t>
            </w:r>
          </w:p>
        </w:tc>
      </w:tr>
    </w:tbl>
    <w:p w14:paraId="3C7EE62F">
      <w:pPr>
        <w:rPr>
          <w:rFonts w:hint="default" w:ascii="Calibri" w:hAnsi="Calibri" w:eastAsia="楷体_GB2312" w:cs="Calibri"/>
          <w:b/>
          <w:bCs/>
          <w:sz w:val="20"/>
          <w:szCs w:val="20"/>
          <w:lang w:val="en-US" w:eastAsia="zh-CN"/>
        </w:rPr>
      </w:pPr>
      <w:r>
        <w:rPr>
          <w:rFonts w:hint="default" w:ascii="Calibri" w:hAnsi="Calibri" w:eastAsia="楷体_GB2312" w:cs="Calibri"/>
          <w:b/>
          <w:bCs/>
          <w:sz w:val="20"/>
          <w:szCs w:val="20"/>
          <w:lang w:val="en-US" w:eastAsia="zh-CN"/>
        </w:rPr>
        <w:br w:type="page"/>
      </w:r>
    </w:p>
    <w:p w14:paraId="6B516BB8">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分市场来看</w:t>
      </w:r>
      <w:r>
        <w:rPr>
          <w:rFonts w:hint="default" w:ascii="Calibri" w:hAnsi="Calibri" w:eastAsia="楷体_GB2312" w:cs="Calibri"/>
          <w:sz w:val="20"/>
          <w:szCs w:val="20"/>
          <w:lang w:val="en-US" w:eastAsia="zh-CN"/>
        </w:rPr>
        <w:t>——近几个交易日，全球主要资本市场区域分化显著，亚洲市场持续强势领跑。韩国KOSPI指数屡创新高并延续年初以来的强势涨幅；日本日经225指数紧随其后，高位震荡中稳步上行，成为全球最亮眼板块。大中华区股指（恒生指数与上证综指）在政策积极信号持续提振下，展现出较强的内生修复动力，震荡回暖态势明显。欧洲主要股指（英国富时100、法国CAC40、德国DAX）表现相对稳健，在高位窄幅整理后逐步企稳回升，与美股走势形成良好联动。东南亚市场科技相关指数短期回调后有所企稳，但整体仍处于低位震荡蓄势阶段，等待更多增量资金流入。总体而言，全球多数市场年初以来“亚洲领跑、欧美稳健、新兴分化”的格局持续演绎，目前普遍进入高位轮动与蓄势阶段，市场信心正在稳步巩固。</w:t>
      </w:r>
    </w:p>
    <w:p w14:paraId="2D9E5919">
      <w:pPr>
        <w:overflowPunct w:val="0"/>
        <w:ind w:left="3200" w:leftChars="2000"/>
        <w:jc w:val="both"/>
        <w:rPr>
          <w:rFonts w:hint="default" w:ascii="Calibri" w:hAnsi="Calibri" w:eastAsia="楷体_GB2312" w:cs="Calibri"/>
          <w:b/>
          <w:bCs/>
          <w:sz w:val="20"/>
          <w:szCs w:val="20"/>
          <w:lang w:val="en-US" w:eastAsia="zh-CN"/>
        </w:rPr>
      </w:pPr>
    </w:p>
    <w:tbl>
      <w:tblPr>
        <w:tblStyle w:val="27"/>
        <w:tblW w:w="7459" w:type="dxa"/>
        <w:tblInd w:w="3247"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fixed"/>
        <w:tblCellMar>
          <w:top w:w="0" w:type="dxa"/>
          <w:left w:w="0" w:type="dxa"/>
          <w:bottom w:w="0" w:type="dxa"/>
          <w:right w:w="0" w:type="dxa"/>
        </w:tblCellMar>
      </w:tblPr>
      <w:tblGrid>
        <w:gridCol w:w="7459"/>
      </w:tblGrid>
      <w:tr w14:paraId="02D0F673">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7459" w:type="dxa"/>
            <w:tcBorders>
              <w:bottom w:val="single" w:color="auto" w:sz="4" w:space="0"/>
            </w:tcBorders>
          </w:tcPr>
          <w:p w14:paraId="2ECCD33F">
            <w:pPr>
              <w:overflowPunct w:val="0"/>
              <w:rPr>
                <w:rFonts w:hint="default" w:ascii="Calibri" w:hAnsi="Calibri" w:eastAsia="楷体_GB2312" w:cs="Calibri"/>
                <w:b/>
                <w:sz w:val="17"/>
                <w:lang w:eastAsia="zh-CN"/>
              </w:rPr>
            </w:pPr>
            <w:r>
              <w:rPr>
                <w:rFonts w:hint="default" w:ascii="Calibri" w:hAnsi="Calibri" w:eastAsia="楷体_GB2312" w:cs="Calibri"/>
                <w:b/>
                <w:sz w:val="18"/>
                <w:szCs w:val="18"/>
                <w:lang w:eastAsia="zh-CN"/>
              </w:rPr>
              <w:t>表1: 覆盖股票近1周涨跌幅（截至02/25/2026）</w:t>
            </w:r>
          </w:p>
        </w:tc>
      </w:tr>
      <w:tr w14:paraId="65311802">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4316" w:hRule="atLeast"/>
        </w:trPr>
        <w:tc>
          <w:tcPr>
            <w:tcW w:w="7459" w:type="dxa"/>
            <w:tcBorders>
              <w:top w:val="single" w:color="auto" w:sz="4" w:space="0"/>
              <w:bottom w:val="single" w:color="auto" w:sz="4" w:space="0"/>
            </w:tcBorders>
            <w:vAlign w:val="center"/>
          </w:tcPr>
          <w:p w14:paraId="258B5619">
            <w:pPr>
              <w:overflowPunct w:val="0"/>
              <w:jc w:val="center"/>
              <w:rPr>
                <w:rFonts w:hint="default" w:ascii="Calibri" w:hAnsi="Calibri" w:eastAsia="楷体_GB2312" w:cs="Calibri"/>
                <w:lang w:eastAsia="zh-CN"/>
              </w:rPr>
            </w:pPr>
            <w:r>
              <w:rPr>
                <w:rFonts w:hint="default" w:ascii="Calibri" w:hAnsi="Calibri" w:eastAsia="楷体_GB2312" w:cs="Calibri"/>
                <w:lang w:eastAsia="zh-CN"/>
              </w:rPr>
              <w:drawing>
                <wp:inline distT="0" distB="0" distL="0" distR="0">
                  <wp:extent cx="4592955" cy="4857750"/>
                  <wp:effectExtent l="0" t="0" r="0" b="0"/>
                  <wp:docPr id="62323678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236784" name="图片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4592955" cy="4857750"/>
                          </a:xfrm>
                          <a:prstGeom prst="rect">
                            <a:avLst/>
                          </a:prstGeom>
                          <a:noFill/>
                          <a:ln>
                            <a:noFill/>
                          </a:ln>
                        </pic:spPr>
                      </pic:pic>
                    </a:graphicData>
                  </a:graphic>
                </wp:inline>
              </w:drawing>
            </w:r>
          </w:p>
          <w:p w14:paraId="6D72B906">
            <w:pPr>
              <w:overflowPunct w:val="0"/>
              <w:rPr>
                <w:rFonts w:hint="default" w:ascii="Calibri" w:hAnsi="Calibri" w:eastAsia="楷体_GB2312" w:cs="Calibri"/>
                <w:sz w:val="10"/>
                <w:lang w:eastAsia="zh-CN"/>
              </w:rPr>
            </w:pPr>
            <w:r>
              <w:rPr>
                <w:rFonts w:hint="default" w:ascii="Calibri" w:hAnsi="Calibri" w:eastAsia="楷体_GB2312" w:cs="Calibri"/>
              </w:rPr>
              <w:fldChar w:fldCharType="begin"/>
            </w:r>
            <w:r>
              <w:rPr>
                <w:rFonts w:hint="default" w:ascii="Calibri" w:hAnsi="Calibri" w:eastAsia="楷体_GB2312" w:cs="Calibri"/>
                <w:lang w:eastAsia="zh-CN"/>
              </w:rPr>
              <w:instrText xml:space="preserve"> INCLUDEPICTURE "https://ir.eia.gov/ngs/ngs.gif" \* MERGEFORMATINET </w:instrText>
            </w:r>
            <w:r>
              <w:rPr>
                <w:rFonts w:hint="default" w:ascii="Calibri" w:hAnsi="Calibri" w:eastAsia="楷体_GB2312" w:cs="Calibri"/>
              </w:rPr>
              <w:fldChar w:fldCharType="end"/>
            </w:r>
          </w:p>
        </w:tc>
      </w:tr>
      <w:tr w14:paraId="005D897C">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7459" w:type="dxa"/>
            <w:tcBorders>
              <w:top w:val="single" w:color="auto" w:sz="4" w:space="0"/>
            </w:tcBorders>
          </w:tcPr>
          <w:p w14:paraId="2772F63F">
            <w:pPr>
              <w:rPr>
                <w:rFonts w:hint="default" w:ascii="Calibri" w:hAnsi="Calibri" w:eastAsia="楷体_GB2312" w:cs="Calibri"/>
                <w:i/>
                <w:iCs/>
              </w:rPr>
            </w:pPr>
            <w:r>
              <w:rPr>
                <w:rFonts w:hint="default" w:ascii="Calibri" w:hAnsi="Calibri" w:eastAsia="楷体_GB2312" w:cs="Calibri"/>
                <w:i/>
                <w:iCs/>
              </w:rPr>
              <w:t>资料来源：</w:t>
            </w:r>
            <w:r>
              <w:rPr>
                <w:rFonts w:hint="default" w:ascii="Calibri" w:hAnsi="Calibri" w:eastAsia="楷体_GB2312" w:cs="Calibri"/>
                <w:i/>
                <w:iCs/>
                <w:lang w:val="zh-CN"/>
              </w:rPr>
              <w:t>IFind, HFI</w:t>
            </w:r>
          </w:p>
        </w:tc>
      </w:tr>
    </w:tbl>
    <w:p w14:paraId="1F700F2C">
      <w:pPr>
        <w:overflowPunct w:val="0"/>
        <w:ind w:left="3200" w:leftChars="2000"/>
        <w:jc w:val="both"/>
        <w:rPr>
          <w:rFonts w:hint="default" w:ascii="Calibri" w:hAnsi="Calibri" w:eastAsia="楷体_GB2312" w:cs="Calibri"/>
          <w:b/>
          <w:bCs/>
          <w:sz w:val="20"/>
          <w:szCs w:val="20"/>
          <w:lang w:val="en-US" w:eastAsia="zh-CN"/>
        </w:rPr>
      </w:pPr>
    </w:p>
    <w:p w14:paraId="2902DC82">
      <w:pPr>
        <w:overflowPunct w:val="0"/>
        <w:ind w:left="3200" w:leftChars="2000"/>
        <w:jc w:val="both"/>
        <w:rPr>
          <w:rFonts w:hint="default" w:ascii="Calibri" w:hAnsi="Calibri" w:eastAsia="楷体_GB2312" w:cs="Calibri"/>
          <w:b/>
          <w:bCs/>
          <w:sz w:val="20"/>
          <w:szCs w:val="20"/>
          <w:lang w:val="en-US" w:eastAsia="zh-CN"/>
        </w:rPr>
      </w:pPr>
    </w:p>
    <w:p w14:paraId="6DD24110">
      <w:pPr>
        <w:overflowPunct w:val="0"/>
        <w:ind w:left="3200" w:leftChars="2000"/>
        <w:jc w:val="both"/>
        <w:rPr>
          <w:rFonts w:hint="default" w:ascii="Calibri" w:hAnsi="Calibri" w:eastAsia="楷体_GB2312" w:cs="Calibri"/>
          <w:b/>
          <w:bCs/>
          <w:sz w:val="20"/>
          <w:szCs w:val="20"/>
          <w:lang w:val="en-US" w:eastAsia="zh-CN"/>
        </w:rPr>
      </w:pPr>
    </w:p>
    <w:p w14:paraId="3616FAD9">
      <w:pPr>
        <w:overflowPunct w:val="0"/>
        <w:ind w:left="3200" w:leftChars="2000"/>
        <w:jc w:val="both"/>
        <w:rPr>
          <w:rFonts w:hint="default" w:ascii="Calibri" w:hAnsi="Calibri" w:eastAsia="楷体_GB2312" w:cs="Calibri"/>
          <w:b/>
          <w:bCs/>
          <w:sz w:val="20"/>
          <w:szCs w:val="20"/>
          <w:lang w:val="en-US" w:eastAsia="zh-CN"/>
        </w:rPr>
      </w:pPr>
    </w:p>
    <w:p w14:paraId="2AA2305F">
      <w:pPr>
        <w:overflowPunct w:val="0"/>
        <w:ind w:left="3200" w:leftChars="2000"/>
        <w:jc w:val="both"/>
        <w:rPr>
          <w:rFonts w:hint="default" w:ascii="Calibri" w:hAnsi="Calibri" w:eastAsia="楷体_GB2312" w:cs="Calibri"/>
          <w:b/>
          <w:bCs/>
          <w:sz w:val="20"/>
          <w:szCs w:val="20"/>
          <w:lang w:val="en-US" w:eastAsia="zh-CN"/>
        </w:rPr>
      </w:pPr>
    </w:p>
    <w:p w14:paraId="5289B61B">
      <w:pPr>
        <w:rPr>
          <w:rFonts w:hint="default" w:ascii="Calibri" w:hAnsi="Calibri" w:eastAsia="楷体_GB2312" w:cs="Calibri"/>
          <w:b/>
          <w:bCs/>
          <w:sz w:val="20"/>
          <w:szCs w:val="20"/>
          <w:lang w:val="en-US" w:eastAsia="zh-CN"/>
        </w:rPr>
      </w:pPr>
      <w:r>
        <w:rPr>
          <w:rFonts w:hint="default" w:ascii="Calibri" w:hAnsi="Calibri" w:eastAsia="楷体_GB2312" w:cs="Calibri"/>
          <w:b/>
          <w:bCs/>
          <w:sz w:val="20"/>
          <w:szCs w:val="20"/>
          <w:lang w:val="en-US" w:eastAsia="zh-CN"/>
        </w:rPr>
        <w:br w:type="page"/>
      </w:r>
    </w:p>
    <w:p w14:paraId="0056185D">
      <w:pPr>
        <w:overflowPunct w:val="0"/>
        <w:ind w:left="3200" w:leftChars="2000"/>
        <w:jc w:val="both"/>
        <w:outlineLvl w:val="0"/>
        <w:rPr>
          <w:rFonts w:hint="default" w:ascii="Calibri" w:hAnsi="Calibri" w:eastAsia="楷体_GB2312" w:cs="Calibri"/>
          <w:b/>
          <w:bCs/>
          <w:color w:val="1F497D" w:themeColor="text2"/>
          <w:sz w:val="24"/>
          <w:szCs w:val="24"/>
          <w:lang w:val="en-US" w:eastAsia="zh-CN"/>
          <w14:textFill>
            <w14:solidFill>
              <w14:schemeClr w14:val="tx2"/>
            </w14:solidFill>
          </w14:textFill>
        </w:rPr>
      </w:pPr>
      <w:bookmarkStart w:id="6" w:name="_Toc223082594"/>
      <w:bookmarkStart w:id="7" w:name="_Toc965616693"/>
      <w:r>
        <w:rPr>
          <w:rFonts w:hint="default" w:ascii="Calibri" w:hAnsi="Calibri" w:eastAsia="楷体_GB2312" w:cs="Calibri"/>
          <w:b/>
          <w:bCs/>
          <w:color w:val="1F497D" w:themeColor="text2"/>
          <w:sz w:val="24"/>
          <w:szCs w:val="24"/>
          <w:lang w:val="en-US" w:eastAsia="zh-CN"/>
          <w14:textFill>
            <w14:solidFill>
              <w14:schemeClr w14:val="tx2"/>
            </w14:solidFill>
          </w14:textFill>
        </w:rPr>
        <w:t>二、全球基建与建筑装备</w:t>
      </w:r>
      <w:bookmarkEnd w:id="6"/>
      <w:bookmarkEnd w:id="7"/>
      <w:bookmarkStart w:id="8" w:name="_Toc585838872"/>
    </w:p>
    <w:p w14:paraId="01F14E27">
      <w:pPr>
        <w:overflowPunct w:val="0"/>
        <w:ind w:left="3200" w:leftChars="2000"/>
        <w:jc w:val="both"/>
        <w:outlineLvl w:val="1"/>
        <w:rPr>
          <w:rFonts w:hint="default" w:ascii="Calibri" w:hAnsi="Calibri" w:eastAsia="楷体_GB2312" w:cs="Calibri"/>
          <w:b/>
          <w:bCs/>
          <w:color w:val="1F497D" w:themeColor="text2"/>
          <w:sz w:val="24"/>
          <w:szCs w:val="24"/>
          <w:lang w:val="en-US" w:eastAsia="zh-CN"/>
          <w14:textFill>
            <w14:solidFill>
              <w14:schemeClr w14:val="tx2"/>
            </w14:solidFill>
          </w14:textFill>
        </w:rPr>
      </w:pPr>
      <w:r>
        <w:rPr>
          <w:rFonts w:hint="default" w:ascii="Calibri" w:hAnsi="Calibri" w:eastAsia="楷体_GB2312" w:cs="Calibri"/>
        </w:rPr>
        <w:fldChar w:fldCharType="begin"/>
      </w:r>
      <w:r>
        <w:rPr>
          <w:rFonts w:hint="default" w:ascii="Calibri" w:hAnsi="Calibri" w:eastAsia="楷体_GB2312" w:cs="Calibri"/>
        </w:rPr>
        <w:instrText xml:space="preserve"> HYPERLINK \l "_Toc192787046" </w:instrText>
      </w:r>
      <w:r>
        <w:rPr>
          <w:rFonts w:hint="default" w:ascii="Calibri" w:hAnsi="Calibri" w:eastAsia="楷体_GB2312" w:cs="Calibri"/>
        </w:rPr>
        <w:fldChar w:fldCharType="separate"/>
      </w:r>
      <w:bookmarkStart w:id="9" w:name="_Toc223082595"/>
      <w:r>
        <w:rPr>
          <w:rFonts w:hint="default" w:ascii="Calibri" w:hAnsi="Calibri" w:eastAsia="楷体_GB2312" w:cs="Calibri"/>
          <w:b/>
          <w:bCs/>
          <w:color w:val="1F497D" w:themeColor="text2"/>
          <w:sz w:val="24"/>
          <w:szCs w:val="24"/>
          <w:lang w:val="en-US" w:eastAsia="zh-CN"/>
          <w14:textFill>
            <w14:solidFill>
              <w14:schemeClr w14:val="tx2"/>
            </w14:solidFill>
          </w14:textFill>
        </w:rPr>
        <w:t>（一）数据中心</w:t>
      </w:r>
      <w:bookmarkEnd w:id="9"/>
      <w:r>
        <w:rPr>
          <w:rFonts w:hint="default" w:ascii="Calibri" w:hAnsi="Calibri" w:eastAsia="楷体_GB2312" w:cs="Calibri"/>
          <w:b/>
          <w:bCs/>
          <w:color w:val="1F497D" w:themeColor="text2"/>
          <w:sz w:val="24"/>
          <w:szCs w:val="24"/>
          <w:lang w:val="en-US" w:eastAsia="zh-CN"/>
          <w14:textFill>
            <w14:solidFill>
              <w14:schemeClr w14:val="tx2"/>
            </w14:solidFill>
          </w14:textFill>
        </w:rPr>
        <w:fldChar w:fldCharType="end"/>
      </w:r>
      <w:bookmarkEnd w:id="8"/>
    </w:p>
    <w:p w14:paraId="214FE1A6">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美国白宫发布“费率支付者保护承诺”要求科技巨头全额承担AI数据中心扩容带来的电力基础设施费用。</w:t>
      </w:r>
      <w:r>
        <w:rPr>
          <w:rFonts w:hint="default" w:ascii="Calibri" w:hAnsi="Calibri" w:eastAsia="楷体_GB2312" w:cs="Calibri"/>
          <w:sz w:val="20"/>
          <w:szCs w:val="20"/>
          <w:lang w:val="en-US" w:eastAsia="zh-CN"/>
        </w:rPr>
        <w:t xml:space="preserve"> 在2026年2月24日的国情咨文演讲中，特朗普总统宣布已与亚马逊、谷歌、Meta、微软、xAI、Oracle和OpenAI等巨头达成协议，强制要求这些企业为新数据中心接入电网所需的升级费用“全额买单”。此举旨在防止AI算力需求激增导致普通居民电费上涨。白宫计划于3月4日正式签署该承诺，鼓励大厂通过自建电厂或微电网实现能源自给。</w:t>
      </w:r>
    </w:p>
    <w:p w14:paraId="07A3791D">
      <w:pPr>
        <w:overflowPunct w:val="0"/>
        <w:ind w:left="3200" w:leftChars="2000"/>
        <w:jc w:val="both"/>
        <w:rPr>
          <w:rFonts w:hint="default" w:ascii="Calibri" w:hAnsi="Calibri" w:eastAsia="楷体_GB2312" w:cs="Calibri"/>
          <w:sz w:val="20"/>
          <w:szCs w:val="20"/>
          <w:lang w:val="en-US" w:eastAsia="zh-CN"/>
        </w:rPr>
      </w:pPr>
    </w:p>
    <w:p w14:paraId="109056FE">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亚马逊宣布在路易斯安那州投资120亿美元建设新一代AI数据中心并承诺自付基建成本。</w:t>
      </w:r>
      <w:r>
        <w:rPr>
          <w:rFonts w:hint="default" w:ascii="Calibri" w:hAnsi="Calibri" w:eastAsia="楷体_GB2312" w:cs="Calibri"/>
          <w:sz w:val="20"/>
          <w:szCs w:val="20"/>
          <w:lang w:val="en-US" w:eastAsia="zh-CN"/>
        </w:rPr>
        <w:t xml:space="preserve"> 2026年2月23日，亚马逊网络服务（AWS）确认在该州西北部建设大规模算力园区。作为“费率支付者保护承诺”的早期实践，亚马逊与当地电力公司SWEPCO达成协议，将承担所有相关的电网升级费用，并投入4亿美元改善当地水利基建。这一模式标志着超大规模数据中心开发从依赖公共补贴向“开发者自给自足”模式的重大转变。</w:t>
      </w:r>
    </w:p>
    <w:p w14:paraId="0C65FC9F">
      <w:pPr>
        <w:overflowPunct w:val="0"/>
        <w:ind w:left="3200" w:leftChars="2000"/>
        <w:jc w:val="both"/>
        <w:rPr>
          <w:rFonts w:hint="default" w:ascii="Calibri" w:hAnsi="Calibri" w:eastAsia="楷体_GB2312" w:cs="Calibri"/>
          <w:sz w:val="20"/>
          <w:szCs w:val="20"/>
          <w:lang w:val="en-US" w:eastAsia="zh-CN"/>
        </w:rPr>
      </w:pPr>
    </w:p>
    <w:tbl>
      <w:tblPr>
        <w:tblStyle w:val="27"/>
        <w:tblW w:w="7454" w:type="dxa"/>
        <w:tblInd w:w="3247"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fixed"/>
        <w:tblCellMar>
          <w:top w:w="0" w:type="dxa"/>
          <w:left w:w="0" w:type="dxa"/>
          <w:bottom w:w="0" w:type="dxa"/>
          <w:right w:w="0" w:type="dxa"/>
        </w:tblCellMar>
      </w:tblPr>
      <w:tblGrid>
        <w:gridCol w:w="7454"/>
      </w:tblGrid>
      <w:tr w14:paraId="6D9F571C">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rPr>
          <w:trHeight w:val="3887" w:hRule="atLeast"/>
        </w:trPr>
        <w:tc>
          <w:tcPr>
            <w:tcW w:w="7454" w:type="dxa"/>
            <w:tcBorders>
              <w:bottom w:val="single" w:color="auto" w:sz="4" w:space="0"/>
            </w:tcBorders>
          </w:tcPr>
          <w:p w14:paraId="3F990D48">
            <w:pPr>
              <w:overflowPunct w:val="0"/>
              <w:rPr>
                <w:rFonts w:hint="default" w:ascii="Calibri" w:hAnsi="Calibri" w:eastAsia="楷体_GB2312" w:cs="Calibri"/>
                <w:b/>
                <w:sz w:val="17"/>
                <w:lang w:eastAsia="zh-CN"/>
              </w:rPr>
            </w:pPr>
            <w:r>
              <w:rPr>
                <w:rFonts w:hint="default" w:ascii="Calibri" w:hAnsi="Calibri" w:eastAsia="楷体_GB2312" w:cs="Calibri"/>
                <w:b/>
                <w:sz w:val="18"/>
                <w:szCs w:val="18"/>
                <w:lang w:eastAsia="zh-CN"/>
              </w:rPr>
              <w:t>表2： 美国本周数据中心建设项目情况</w:t>
            </w:r>
            <w:r>
              <w:rPr>
                <w:rFonts w:hint="default" w:ascii="Calibri" w:hAnsi="Calibri" w:eastAsia="楷体_GB2312" w:cs="Calibri"/>
                <w:b/>
                <w:snapToGrid/>
                <w:sz w:val="17"/>
              </w:rPr>
              <w:drawing>
                <wp:inline distT="0" distB="0" distL="0" distR="0">
                  <wp:extent cx="4733290" cy="2424430"/>
                  <wp:effectExtent l="0" t="0" r="16510" b="13970"/>
                  <wp:docPr id="1548614265" name="图片 6"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614265" name="图片 6" descr="表格&#10;&#10;AI 生成的内容可能不正确。"/>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733290" cy="2424430"/>
                          </a:xfrm>
                          <a:prstGeom prst="rect">
                            <a:avLst/>
                          </a:prstGeom>
                        </pic:spPr>
                      </pic:pic>
                    </a:graphicData>
                  </a:graphic>
                </wp:inline>
              </w:drawing>
            </w:r>
          </w:p>
        </w:tc>
      </w:tr>
      <w:tr w14:paraId="1C47CBC2">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309" w:hRule="atLeast"/>
        </w:trPr>
        <w:tc>
          <w:tcPr>
            <w:tcW w:w="7454" w:type="dxa"/>
            <w:tcBorders>
              <w:top w:val="single" w:color="auto" w:sz="4" w:space="0"/>
              <w:bottom w:val="nil"/>
            </w:tcBorders>
          </w:tcPr>
          <w:p w14:paraId="14DDCE80">
            <w:pPr>
              <w:overflowPunct w:val="0"/>
              <w:rPr>
                <w:rFonts w:hint="default" w:ascii="Calibri" w:hAnsi="Calibri" w:eastAsia="楷体_GB2312" w:cs="Calibri"/>
                <w:sz w:val="10"/>
              </w:rPr>
            </w:pPr>
            <w:r>
              <w:rPr>
                <w:rFonts w:hint="default" w:ascii="Calibri" w:hAnsi="Calibri" w:eastAsia="楷体_GB2312" w:cs="Calibri"/>
              </w:rPr>
              <w:t>资料来源：HFI</w:t>
            </w:r>
            <w:r>
              <w:rPr>
                <w:rFonts w:hint="default" w:ascii="Calibri" w:hAnsi="Calibri" w:eastAsia="楷体_GB2312" w:cs="Calibri"/>
              </w:rPr>
              <w:fldChar w:fldCharType="begin"/>
            </w:r>
            <w:r>
              <w:rPr>
                <w:rFonts w:hint="default" w:ascii="Calibri" w:hAnsi="Calibri" w:eastAsia="楷体_GB2312" w:cs="Calibri"/>
              </w:rPr>
              <w:instrText xml:space="preserve"> INCLUDEPICTURE "https://ir.eia.gov/ngs/ngs.gif" \* MERGEFORMATINET </w:instrText>
            </w:r>
            <w:r>
              <w:rPr>
                <w:rFonts w:hint="default" w:ascii="Calibri" w:hAnsi="Calibri" w:eastAsia="楷体_GB2312" w:cs="Calibri"/>
              </w:rPr>
              <w:fldChar w:fldCharType="end"/>
            </w:r>
          </w:p>
        </w:tc>
      </w:tr>
    </w:tbl>
    <w:p w14:paraId="0960A15B">
      <w:pPr>
        <w:overflowPunct w:val="0"/>
        <w:ind w:left="3200" w:leftChars="2000"/>
        <w:jc w:val="both"/>
        <w:outlineLvl w:val="1"/>
        <w:rPr>
          <w:rFonts w:hint="default" w:ascii="Calibri" w:hAnsi="Calibri" w:eastAsia="楷体_GB2312" w:cs="Calibri"/>
          <w:b/>
          <w:bCs/>
          <w:color w:val="1F497D" w:themeColor="text2"/>
          <w:sz w:val="24"/>
          <w:szCs w:val="24"/>
          <w:lang w:val="en-US" w:eastAsia="zh-CN"/>
          <w14:textFill>
            <w14:solidFill>
              <w14:schemeClr w14:val="tx2"/>
            </w14:solidFill>
          </w14:textFill>
        </w:rPr>
      </w:pPr>
      <w:bookmarkStart w:id="10" w:name="_Toc2128883856"/>
    </w:p>
    <w:p w14:paraId="5B1AC54C">
      <w:pPr>
        <w:overflowPunct w:val="0"/>
        <w:ind w:left="3200" w:leftChars="2000"/>
        <w:jc w:val="both"/>
        <w:outlineLvl w:val="1"/>
        <w:rPr>
          <w:rFonts w:hint="default" w:ascii="Calibri" w:hAnsi="Calibri" w:eastAsia="楷体_GB2312" w:cs="Calibri"/>
          <w:b/>
          <w:bCs/>
          <w:color w:val="1F497D" w:themeColor="text2"/>
          <w:sz w:val="24"/>
          <w:szCs w:val="24"/>
          <w:lang w:val="en-US" w:eastAsia="zh-CN"/>
          <w14:textFill>
            <w14:solidFill>
              <w14:schemeClr w14:val="tx2"/>
            </w14:solidFill>
          </w14:textFill>
        </w:rPr>
      </w:pPr>
      <w:r>
        <w:rPr>
          <w:rFonts w:hint="default" w:ascii="Calibri" w:hAnsi="Calibri" w:eastAsia="楷体_GB2312" w:cs="Calibri"/>
        </w:rPr>
        <w:fldChar w:fldCharType="begin"/>
      </w:r>
      <w:r>
        <w:rPr>
          <w:rFonts w:hint="default" w:ascii="Calibri" w:hAnsi="Calibri" w:eastAsia="楷体_GB2312" w:cs="Calibri"/>
        </w:rPr>
        <w:instrText xml:space="preserve"> HYPERLINK \l "_Toc192787047" </w:instrText>
      </w:r>
      <w:r>
        <w:rPr>
          <w:rFonts w:hint="default" w:ascii="Calibri" w:hAnsi="Calibri" w:eastAsia="楷体_GB2312" w:cs="Calibri"/>
        </w:rPr>
        <w:fldChar w:fldCharType="separate"/>
      </w:r>
      <w:bookmarkStart w:id="11" w:name="_Toc223082596"/>
      <w:r>
        <w:rPr>
          <w:rFonts w:hint="default" w:ascii="Calibri" w:hAnsi="Calibri" w:eastAsia="楷体_GB2312" w:cs="Calibri"/>
          <w:b/>
          <w:bCs/>
          <w:color w:val="1F497D" w:themeColor="text2"/>
          <w:sz w:val="24"/>
          <w:szCs w:val="24"/>
          <w:lang w:val="en-US" w:eastAsia="zh-CN"/>
          <w14:textFill>
            <w14:solidFill>
              <w14:schemeClr w14:val="tx2"/>
            </w14:solidFill>
          </w14:textFill>
        </w:rPr>
        <w:t>（二）能源建设</w:t>
      </w:r>
      <w:bookmarkEnd w:id="11"/>
      <w:r>
        <w:rPr>
          <w:rFonts w:hint="default" w:ascii="Calibri" w:hAnsi="Calibri" w:eastAsia="楷体_GB2312" w:cs="Calibri"/>
          <w:b/>
          <w:bCs/>
          <w:color w:val="1F497D" w:themeColor="text2"/>
          <w:sz w:val="24"/>
          <w:szCs w:val="24"/>
          <w:lang w:val="en-US" w:eastAsia="zh-CN"/>
          <w14:textFill>
            <w14:solidFill>
              <w14:schemeClr w14:val="tx2"/>
            </w14:solidFill>
          </w14:textFill>
        </w:rPr>
        <w:fldChar w:fldCharType="end"/>
      </w:r>
      <w:bookmarkEnd w:id="10"/>
    </w:p>
    <w:p w14:paraId="2D0FD904">
      <w:pPr>
        <w:overflowPunct w:val="0"/>
        <w:ind w:left="3200" w:firstLine="201" w:firstLineChars="1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美国能源信息署（EIA）预测2026年美国将新增86 GW电力装机量，创下公用事业级电力建设的历史纪录。</w:t>
      </w:r>
      <w:r>
        <w:rPr>
          <w:rFonts w:hint="default" w:ascii="Calibri" w:hAnsi="Calibri" w:eastAsia="楷体_GB2312" w:cs="Calibri"/>
          <w:sz w:val="20"/>
          <w:szCs w:val="20"/>
          <w:lang w:val="en-US" w:eastAsia="zh-CN"/>
        </w:rPr>
        <w:t xml:space="preserve"> 根据2月25日发布的《短期能源展望》，2026年的新增容量几乎是2025年的两倍。其中，太阳能占比最高（43.4 GW），其次是电池储能（24.3 GW）。EIA指出，这一前所未有的建设速度主要是为了满足AI数据中心和本土半导体制造业对全天候清洁电力的强劲需求，标志着美国电网从燃气基荷向“光伏+储能”支柱模式的转型。</w:t>
      </w:r>
    </w:p>
    <w:p w14:paraId="56738445">
      <w:pPr>
        <w:overflowPunct w:val="0"/>
        <w:ind w:left="3200" w:firstLine="200" w:firstLineChars="100"/>
        <w:jc w:val="both"/>
        <w:rPr>
          <w:rFonts w:hint="default" w:ascii="Calibri" w:hAnsi="Calibri" w:eastAsia="楷体_GB2312" w:cs="Calibri"/>
          <w:sz w:val="20"/>
          <w:szCs w:val="20"/>
          <w:lang w:val="en-US" w:eastAsia="zh-CN"/>
        </w:rPr>
      </w:pPr>
    </w:p>
    <w:p w14:paraId="54053137">
      <w:pPr>
        <w:overflowPunct w:val="0"/>
        <w:ind w:left="3200" w:firstLine="201" w:firstLineChars="1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谷歌与Xcel Energy达成1.9GW清洁能源协议，通过部署全球最大铁流电池项目加速实现24/7无碳能源目标。</w:t>
      </w:r>
      <w:r>
        <w:rPr>
          <w:rFonts w:hint="default" w:ascii="Calibri" w:hAnsi="Calibri" w:eastAsia="楷体_GB2312" w:cs="Calibri"/>
          <w:sz w:val="20"/>
          <w:szCs w:val="20"/>
          <w:lang w:val="en-US" w:eastAsia="zh-CN"/>
        </w:rPr>
        <w:t xml:space="preserve"> 2026年2月24日，谷歌宣布在明尼苏达州派恩岛（Pine Island）启动新数据中心建设，并签署了基于“清洁能源加速器”(CEAC）框架的供电合同。该协议包含1400MW风电、200MW太阳能，以及由Form Energy提供的300MW/30GWh铁流电池系统。此外，谷歌还将投入5000万美元支持电网可靠性计划，确保在支撑AI扩张的同时不增加当地居民的用电成本。</w:t>
      </w:r>
    </w:p>
    <w:p w14:paraId="7BA0980C">
      <w:pPr>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br w:type="page"/>
      </w:r>
    </w:p>
    <w:p w14:paraId="663DDEC0">
      <w:pPr>
        <w:overflowPunct w:val="0"/>
        <w:ind w:left="3200" w:firstLine="201" w:firstLineChars="1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 xml:space="preserve">Meta与三家核能供应商达成6.6 GW长期采购协议，推动小型模块化反应（SMR）大规模建设。 </w:t>
      </w:r>
      <w:r>
        <w:rPr>
          <w:rFonts w:hint="default" w:ascii="Calibri" w:hAnsi="Calibri" w:eastAsia="楷体_GB2312" w:cs="Calibri"/>
          <w:sz w:val="20"/>
          <w:szCs w:val="20"/>
          <w:lang w:val="en-US" w:eastAsia="zh-CN"/>
        </w:rPr>
        <w:t>2026年2月20日，Meta宣布与TerraPower、Oklo及Vistra签署框架协议。该交易不仅涵盖了现有核电站的电力输出，更重点支持了下一代SMR技术的商业化落地，以解决数据中心对稳定基荷电力的焦虑。这反映了科技巨头正从单纯的“绿电采购者”演变为能源基础设施的“联合开发者”，核能建设已成为解决AI功耗瓶颈的战略高地。</w:t>
      </w:r>
    </w:p>
    <w:p w14:paraId="6E97486F">
      <w:pPr>
        <w:overflowPunct w:val="0"/>
        <w:ind w:left="3200"/>
        <w:jc w:val="both"/>
        <w:rPr>
          <w:rFonts w:hint="default" w:ascii="Calibri" w:hAnsi="Calibri" w:eastAsia="楷体_GB2312" w:cs="Calibri"/>
          <w:lang w:eastAsia="zh-CN"/>
        </w:rPr>
      </w:pPr>
    </w:p>
    <w:p w14:paraId="3CC2BE9D">
      <w:pPr>
        <w:overflowPunct w:val="0"/>
        <w:ind w:left="3200" w:leftChars="2000"/>
        <w:jc w:val="both"/>
        <w:outlineLvl w:val="1"/>
        <w:rPr>
          <w:rFonts w:hint="default" w:ascii="Calibri" w:hAnsi="Calibri" w:eastAsia="楷体_GB2312" w:cs="Calibri"/>
          <w:b/>
          <w:bCs/>
          <w:color w:val="1F497D" w:themeColor="text2"/>
          <w:sz w:val="24"/>
          <w:szCs w:val="24"/>
          <w:lang w:val="en-US" w:eastAsia="zh-CN"/>
          <w14:textFill>
            <w14:solidFill>
              <w14:schemeClr w14:val="tx2"/>
            </w14:solidFill>
          </w14:textFill>
        </w:rPr>
      </w:pPr>
      <w:bookmarkStart w:id="12" w:name="_Toc223082597"/>
      <w:r>
        <w:rPr>
          <w:rFonts w:hint="default" w:ascii="Calibri" w:hAnsi="Calibri" w:eastAsia="楷体_GB2312" w:cs="Calibri"/>
          <w:b/>
          <w:bCs/>
          <w:color w:val="1F497D" w:themeColor="text2"/>
          <w:sz w:val="24"/>
          <w:szCs w:val="24"/>
          <w:lang w:val="en-US" w:eastAsia="zh-CN"/>
          <w14:textFill>
            <w14:solidFill>
              <w14:schemeClr w14:val="tx2"/>
            </w14:solidFill>
          </w14:textFill>
        </w:rPr>
        <w:t>（三）</w:t>
      </w:r>
      <w:r>
        <w:rPr>
          <w:rFonts w:hint="default" w:ascii="Calibri" w:hAnsi="Calibri" w:eastAsia="楷体_GB2312" w:cs="Calibri"/>
        </w:rPr>
        <w:fldChar w:fldCharType="begin"/>
      </w:r>
      <w:r>
        <w:rPr>
          <w:rFonts w:hint="default" w:ascii="Calibri" w:hAnsi="Calibri" w:eastAsia="楷体_GB2312" w:cs="Calibri"/>
        </w:rPr>
        <w:instrText xml:space="preserve"> HYPERLINK \l "_Toc192787046" </w:instrText>
      </w:r>
      <w:r>
        <w:rPr>
          <w:rFonts w:hint="default" w:ascii="Calibri" w:hAnsi="Calibri" w:eastAsia="楷体_GB2312" w:cs="Calibri"/>
        </w:rPr>
        <w:fldChar w:fldCharType="separate"/>
      </w:r>
      <w:r>
        <w:rPr>
          <w:rFonts w:hint="default" w:ascii="Calibri" w:hAnsi="Calibri" w:eastAsia="楷体_GB2312" w:cs="Calibri"/>
          <w:b/>
          <w:bCs/>
          <w:color w:val="1F497D" w:themeColor="text2"/>
          <w:sz w:val="24"/>
          <w:szCs w:val="24"/>
          <w:lang w:val="en-US" w:eastAsia="zh-CN"/>
          <w14:textFill>
            <w14:solidFill>
              <w14:schemeClr w14:val="tx2"/>
            </w14:solidFill>
          </w14:textFill>
        </w:rPr>
        <w:t>SMR</w:t>
      </w:r>
      <w:r>
        <w:rPr>
          <w:rFonts w:hint="default" w:ascii="Calibri" w:hAnsi="Calibri" w:eastAsia="楷体_GB2312" w:cs="Calibri"/>
          <w:b/>
          <w:bCs/>
          <w:color w:val="1F497D" w:themeColor="text2"/>
          <w:sz w:val="24"/>
          <w:szCs w:val="24"/>
          <w:lang w:val="en-US" w:eastAsia="zh-CN"/>
          <w14:textFill>
            <w14:solidFill>
              <w14:schemeClr w14:val="tx2"/>
            </w14:solidFill>
          </w14:textFill>
        </w:rPr>
        <w:fldChar w:fldCharType="end"/>
      </w:r>
      <w:r>
        <w:rPr>
          <w:rFonts w:hint="default" w:ascii="Calibri" w:hAnsi="Calibri" w:eastAsia="楷体_GB2312" w:cs="Calibri"/>
          <w:b/>
          <w:bCs/>
          <w:color w:val="1F497D" w:themeColor="text2"/>
          <w:sz w:val="24"/>
          <w:szCs w:val="24"/>
          <w:lang w:val="en-US" w:eastAsia="zh-CN"/>
          <w14:textFill>
            <w14:solidFill>
              <w14:schemeClr w14:val="tx2"/>
            </w14:solidFill>
          </w14:textFill>
        </w:rPr>
        <w:t>装备</w:t>
      </w:r>
      <w:bookmarkEnd w:id="12"/>
    </w:p>
    <w:p w14:paraId="16176348">
      <w:pPr>
        <w:overflowPunct w:val="0"/>
        <w:ind w:left="32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AI 数据中心能源需求爆发，SMR成为2030年后最佳供电选择。</w:t>
      </w:r>
      <w:r>
        <w:rPr>
          <w:rFonts w:hint="default" w:ascii="Calibri" w:hAnsi="Calibri" w:eastAsia="楷体_GB2312" w:cs="Calibri"/>
          <w:sz w:val="20"/>
          <w:szCs w:val="20"/>
          <w:lang w:val="en-US" w:eastAsia="zh-CN"/>
        </w:rPr>
        <w:t>核电因其环保、高稳定性的特点是目前AI数据中心最为追捧的电力选择，而SMR因其更加灵活、更高的安全性、更容易共址的特点将成为2030年大规模商用后AI数据中心的最佳供电选择。根据ResearchAndMarkerts的预测，全球SMR市场规模将从2024年的1.594亿美元跃升至2035年的51.7亿美元，年均复合增长率高达42.31%。这一爆发式增长的核心驱动力来自AI数据中心的能源需求激增。全球科技巨头正积极布局，谷歌、甲骨文、AWS、Switch等公司在过去12个月内与SMR签署了长期供电协议。2026年1月，OKLO与Meta签署协议，支持在俄亥俄州建设1.2 GW核电园区，主要为AI数据中心提供清洁电力。</w:t>
      </w:r>
    </w:p>
    <w:p w14:paraId="1A487742">
      <w:pPr>
        <w:overflowPunct w:val="0"/>
        <w:ind w:left="3200"/>
        <w:jc w:val="both"/>
        <w:rPr>
          <w:rFonts w:hint="default" w:ascii="Calibri" w:hAnsi="Calibri" w:eastAsia="楷体_GB2312" w:cs="Calibri"/>
          <w:b/>
          <w:bCs/>
          <w:sz w:val="28"/>
          <w:szCs w:val="28"/>
          <w:lang w:val="en-US" w:eastAsia="zh-CN"/>
        </w:rPr>
      </w:pPr>
    </w:p>
    <w:p w14:paraId="6913D7FF">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美国政府政策加速推动，核能监管体系优化决策体系，共同加速先进反应堆和小型模块化反应堆（SMR）等核能创新产业商业化的发展。</w:t>
      </w:r>
      <w:r>
        <w:rPr>
          <w:rFonts w:hint="default" w:ascii="Calibri" w:hAnsi="Calibri" w:eastAsia="楷体_GB2312" w:cs="Calibri"/>
          <w:sz w:val="20"/>
          <w:szCs w:val="20"/>
          <w:lang w:val="en-US" w:eastAsia="zh-CN"/>
        </w:rPr>
        <w:t>2026年1月，美国能源部拨款27亿美元支持国内铀浓缩，进一步完善核燃料供应链，为SMR项目落地提供关键支撑。2026年2月，美国核管理委员会（NRC）宣布了一项重大重组计划，旨在通过优化决策流程、整合职能部门，加快新型核技术的许可和部署速度，以更好地配合国家能源战略目标。NRC预计将在未来60天内公布新的组织架构图和变革管理方案，包括为反应堆安全项目任命关键负责人，并计划在2026年9月底前全面实施重组计划。此次重组是美国核能监管体系适应新技术发展、提升行政效能的重要一步，特别是在先进反应堆和小型模块化反应堆(SMR)加速发展的背景下，更高效的许可流程将有助于推动核能产业的创新与安全发展。</w:t>
      </w:r>
    </w:p>
    <w:p w14:paraId="3952343E">
      <w:pPr>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br w:type="page"/>
      </w:r>
    </w:p>
    <w:tbl>
      <w:tblPr>
        <w:tblStyle w:val="27"/>
        <w:tblW w:w="9914" w:type="dxa"/>
        <w:tblInd w:w="647"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fixed"/>
        <w:tblCellMar>
          <w:top w:w="0" w:type="dxa"/>
          <w:left w:w="0" w:type="dxa"/>
          <w:bottom w:w="0" w:type="dxa"/>
          <w:right w:w="0" w:type="dxa"/>
        </w:tblCellMar>
      </w:tblPr>
      <w:tblGrid>
        <w:gridCol w:w="9914"/>
      </w:tblGrid>
      <w:tr w14:paraId="39A626DF">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9914" w:type="dxa"/>
            <w:tcBorders>
              <w:bottom w:val="single" w:color="auto" w:sz="4" w:space="0"/>
            </w:tcBorders>
          </w:tcPr>
          <w:p w14:paraId="21AB09DD">
            <w:pPr>
              <w:overflowPunct w:val="0"/>
              <w:rPr>
                <w:rFonts w:hint="default" w:ascii="Calibri" w:hAnsi="Calibri" w:eastAsia="楷体_GB2312" w:cs="Calibri"/>
                <w:b/>
                <w:sz w:val="18"/>
                <w:szCs w:val="20"/>
                <w:lang w:eastAsia="zh-CN"/>
              </w:rPr>
            </w:pPr>
            <w:r>
              <w:rPr>
                <w:rFonts w:hint="default" w:ascii="Calibri" w:hAnsi="Calibri" w:eastAsia="楷体_GB2312" w:cs="Calibri"/>
                <w:b/>
                <w:sz w:val="18"/>
                <w:szCs w:val="18"/>
                <w:lang w:eastAsia="zh-CN"/>
              </w:rPr>
              <w:t>表</w:t>
            </w:r>
            <w:r>
              <w:rPr>
                <w:rFonts w:hint="default" w:ascii="Calibri" w:hAnsi="Calibri" w:eastAsia="楷体_GB2312" w:cs="Calibri"/>
                <w:b/>
                <w:sz w:val="18"/>
                <w:szCs w:val="18"/>
                <w:lang w:val="en-US" w:eastAsia="zh-CN"/>
              </w:rPr>
              <w:t>3</w:t>
            </w:r>
            <w:r>
              <w:rPr>
                <w:rFonts w:hint="default" w:ascii="Calibri" w:hAnsi="Calibri" w:eastAsia="楷体_GB2312" w:cs="Calibri"/>
                <w:b/>
                <w:sz w:val="18"/>
                <w:szCs w:val="18"/>
                <w:lang w:eastAsia="zh-CN"/>
              </w:rPr>
              <w:t>： SMR</w:t>
            </w:r>
            <w:r>
              <w:rPr>
                <w:rFonts w:hint="default" w:ascii="Calibri" w:hAnsi="Calibri" w:eastAsia="楷体_GB2312" w:cs="Calibri"/>
                <w:b/>
                <w:sz w:val="18"/>
                <w:szCs w:val="18"/>
                <w:lang w:val="en-US" w:eastAsia="zh-CN"/>
              </w:rPr>
              <w:t>投资情况及行业动态</w:t>
            </w:r>
          </w:p>
        </w:tc>
      </w:tr>
      <w:tr w14:paraId="6A19C02C">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1142" w:hRule="atLeast"/>
        </w:trPr>
        <w:tc>
          <w:tcPr>
            <w:tcW w:w="9914" w:type="dxa"/>
            <w:tcBorders>
              <w:top w:val="single" w:color="auto" w:sz="4" w:space="0"/>
              <w:bottom w:val="single" w:color="auto" w:sz="4" w:space="0"/>
            </w:tcBorders>
            <w:vAlign w:val="center"/>
          </w:tcPr>
          <w:tbl>
            <w:tblPr>
              <w:tblStyle w:val="26"/>
              <w:tblW w:w="9706" w:type="dxa"/>
              <w:tblInd w:w="0" w:type="dxa"/>
              <w:tblLayout w:type="fixed"/>
              <w:tblCellMar>
                <w:top w:w="0" w:type="dxa"/>
                <w:left w:w="108" w:type="dxa"/>
                <w:bottom w:w="0" w:type="dxa"/>
                <w:right w:w="108" w:type="dxa"/>
              </w:tblCellMar>
            </w:tblPr>
            <w:tblGrid>
              <w:gridCol w:w="1149"/>
              <w:gridCol w:w="8557"/>
            </w:tblGrid>
            <w:tr w14:paraId="64046100">
              <w:tblPrEx>
                <w:tblCellMar>
                  <w:top w:w="0" w:type="dxa"/>
                  <w:left w:w="108" w:type="dxa"/>
                  <w:bottom w:w="0" w:type="dxa"/>
                  <w:right w:w="108" w:type="dxa"/>
                </w:tblCellMar>
              </w:tblPrEx>
              <w:trPr>
                <w:trHeight w:val="248" w:hRule="atLeast"/>
              </w:trPr>
              <w:tc>
                <w:tcPr>
                  <w:tcW w:w="1149" w:type="dxa"/>
                  <w:tcBorders>
                    <w:top w:val="nil"/>
                    <w:left w:val="nil"/>
                    <w:bottom w:val="single" w:color="auto" w:sz="4" w:space="0"/>
                    <w:right w:val="nil"/>
                  </w:tcBorders>
                  <w:shd w:val="clear" w:color="000000" w:fill="002060"/>
                  <w:noWrap/>
                  <w:vAlign w:val="center"/>
                </w:tcPr>
                <w:p w14:paraId="362E0CB5">
                  <w:pPr>
                    <w:jc w:val="center"/>
                    <w:rPr>
                      <w:rFonts w:hint="default" w:ascii="Calibri" w:hAnsi="Calibri" w:eastAsia="楷体_GB2312" w:cs="Calibri"/>
                      <w:b/>
                      <w:bCs/>
                      <w:color w:val="FFFFFF"/>
                      <w:sz w:val="18"/>
                      <w:szCs w:val="18"/>
                    </w:rPr>
                  </w:pPr>
                  <w:r>
                    <w:rPr>
                      <w:rFonts w:hint="default" w:ascii="Calibri" w:hAnsi="Calibri" w:eastAsia="楷体_GB2312" w:cs="Calibri"/>
                      <w:b/>
                      <w:bCs/>
                      <w:color w:val="FFFFFF"/>
                      <w:sz w:val="18"/>
                      <w:szCs w:val="18"/>
                    </w:rPr>
                    <w:t>日期</w:t>
                  </w:r>
                </w:p>
              </w:tc>
              <w:tc>
                <w:tcPr>
                  <w:tcW w:w="8557" w:type="dxa"/>
                  <w:tcBorders>
                    <w:top w:val="nil"/>
                    <w:left w:val="nil"/>
                    <w:bottom w:val="single" w:color="auto" w:sz="4" w:space="0"/>
                    <w:right w:val="nil"/>
                  </w:tcBorders>
                  <w:shd w:val="clear" w:color="000000" w:fill="002060"/>
                  <w:noWrap/>
                  <w:vAlign w:val="center"/>
                </w:tcPr>
                <w:p w14:paraId="1FAA5179">
                  <w:pPr>
                    <w:jc w:val="center"/>
                    <w:rPr>
                      <w:rFonts w:hint="default" w:ascii="Calibri" w:hAnsi="Calibri" w:eastAsia="楷体_GB2312" w:cs="Calibri"/>
                      <w:b/>
                      <w:bCs/>
                      <w:color w:val="FFFFFF"/>
                      <w:sz w:val="18"/>
                      <w:szCs w:val="18"/>
                    </w:rPr>
                  </w:pPr>
                  <w:r>
                    <w:rPr>
                      <w:rFonts w:hint="default" w:ascii="Calibri" w:hAnsi="Calibri" w:eastAsia="楷体_GB2312" w:cs="Calibri"/>
                      <w:b/>
                      <w:bCs/>
                      <w:color w:val="FFFFFF"/>
                      <w:sz w:val="18"/>
                      <w:szCs w:val="18"/>
                    </w:rPr>
                    <w:t>简介</w:t>
                  </w:r>
                </w:p>
              </w:tc>
            </w:tr>
            <w:tr w14:paraId="5546127F">
              <w:tblPrEx>
                <w:tblCellMar>
                  <w:top w:w="0" w:type="dxa"/>
                  <w:left w:w="108" w:type="dxa"/>
                  <w:bottom w:w="0" w:type="dxa"/>
                  <w:right w:w="108" w:type="dxa"/>
                </w:tblCellMar>
              </w:tblPrEx>
              <w:trPr>
                <w:trHeight w:val="248" w:hRule="atLeast"/>
              </w:trPr>
              <w:tc>
                <w:tcPr>
                  <w:tcW w:w="1149" w:type="dxa"/>
                  <w:tcBorders>
                    <w:top w:val="single" w:color="auto" w:sz="4" w:space="0"/>
                    <w:left w:val="single" w:color="auto" w:sz="4" w:space="0"/>
                    <w:bottom w:val="single" w:color="auto" w:sz="4" w:space="0"/>
                    <w:right w:val="single" w:color="auto" w:sz="4" w:space="0"/>
                  </w:tcBorders>
                  <w:shd w:val="clear" w:color="000000" w:fill="auto"/>
                  <w:noWrap/>
                  <w:vAlign w:val="center"/>
                </w:tcPr>
                <w:p w14:paraId="170A393C">
                  <w:pPr>
                    <w:jc w:val="center"/>
                    <w:rPr>
                      <w:rFonts w:hint="default" w:ascii="Calibri" w:hAnsi="Calibri" w:eastAsia="楷体_GB2312" w:cs="Calibri"/>
                      <w:color w:val="000000"/>
                    </w:rPr>
                  </w:pPr>
                  <w:r>
                    <w:rPr>
                      <w:rFonts w:hint="default" w:ascii="Calibri" w:hAnsi="Calibri" w:eastAsia="楷体_GB2312" w:cs="Calibri"/>
                      <w:color w:val="000000"/>
                      <w:lang w:val="en-US" w:eastAsia="zh-CN"/>
                    </w:rPr>
                    <w:t>2026-02-02</w:t>
                  </w:r>
                </w:p>
              </w:tc>
              <w:tc>
                <w:tcPr>
                  <w:tcW w:w="8557" w:type="dxa"/>
                  <w:tcBorders>
                    <w:top w:val="single" w:color="auto" w:sz="4" w:space="0"/>
                    <w:left w:val="single" w:color="auto" w:sz="4" w:space="0"/>
                    <w:bottom w:val="single" w:color="auto" w:sz="4" w:space="0"/>
                    <w:right w:val="single" w:color="auto" w:sz="4" w:space="0"/>
                  </w:tcBorders>
                  <w:shd w:val="clear" w:color="000000" w:fill="auto"/>
                  <w:noWrap/>
                  <w:vAlign w:val="center"/>
                </w:tcPr>
                <w:p w14:paraId="7E426C6A">
                  <w:pPr>
                    <w:rPr>
                      <w:rFonts w:hint="default" w:ascii="Calibri" w:hAnsi="Calibri" w:eastAsia="楷体_GB2312" w:cs="Calibri"/>
                      <w:color w:val="000000"/>
                      <w:lang w:eastAsia="zh-CN"/>
                    </w:rPr>
                  </w:pPr>
                  <w:r>
                    <w:rPr>
                      <w:rFonts w:hint="default" w:ascii="Calibri" w:hAnsi="Calibri" w:eastAsia="楷体_GB2312" w:cs="Calibri"/>
                      <w:color w:val="000000"/>
                    </w:rPr>
                    <w:t>由罗马尼亚国家核电公司Nuclearelectrica与美国NuScale Power合资成立的项目公司RoPower Nuclear将在2月就小型模块化反应堆SMR项目做出投资决定，推进东欧地区核能发展。项目计划建设六座NuScale反应堆，总装机容量达462MW，将为罗马尼亚能源结构转型提供重要支撑。</w:t>
                  </w:r>
                  <w:r>
                    <w:rPr>
                      <w:rFonts w:hint="default" w:ascii="Calibri" w:hAnsi="Calibri" w:eastAsia="楷体_GB2312" w:cs="Calibri"/>
                      <w:color w:val="000000"/>
                      <w:lang w:eastAsia="zh-CN"/>
                    </w:rPr>
                    <w:t>根据项目规划，罗马尼亚有望成为欧洲首个实施小型模块化反应堆技术的国家，首个反应堆预计将于2027-2028年间投入商业运营。</w:t>
                  </w:r>
                </w:p>
              </w:tc>
            </w:tr>
            <w:tr w14:paraId="06F4F442">
              <w:tblPrEx>
                <w:tblCellMar>
                  <w:top w:w="0" w:type="dxa"/>
                  <w:left w:w="108" w:type="dxa"/>
                  <w:bottom w:w="0" w:type="dxa"/>
                  <w:right w:w="108" w:type="dxa"/>
                </w:tblCellMar>
              </w:tblPrEx>
              <w:trPr>
                <w:trHeight w:val="248" w:hRule="atLeast"/>
              </w:trPr>
              <w:tc>
                <w:tcPr>
                  <w:tcW w:w="1149" w:type="dxa"/>
                  <w:tcBorders>
                    <w:top w:val="single" w:color="auto" w:sz="4" w:space="0"/>
                    <w:left w:val="single" w:color="auto" w:sz="4" w:space="0"/>
                    <w:bottom w:val="single" w:color="auto" w:sz="4" w:space="0"/>
                    <w:right w:val="single" w:color="auto" w:sz="4" w:space="0"/>
                  </w:tcBorders>
                  <w:shd w:val="clear" w:color="000000" w:fill="auto"/>
                  <w:noWrap/>
                  <w:vAlign w:val="center"/>
                </w:tcPr>
                <w:p w14:paraId="7C4072DE">
                  <w:pPr>
                    <w:jc w:val="center"/>
                    <w:rPr>
                      <w:rFonts w:hint="default" w:ascii="Calibri" w:hAnsi="Calibri" w:eastAsia="楷体_GB2312" w:cs="Calibri"/>
                      <w:color w:val="000000"/>
                    </w:rPr>
                  </w:pPr>
                  <w:r>
                    <w:rPr>
                      <w:rFonts w:hint="default" w:ascii="Calibri" w:hAnsi="Calibri" w:eastAsia="楷体_GB2312" w:cs="Calibri"/>
                      <w:color w:val="000000"/>
                      <w:lang w:val="en-US" w:eastAsia="zh-CN"/>
                    </w:rPr>
                    <w:t>2026-01-09</w:t>
                  </w:r>
                </w:p>
              </w:tc>
              <w:tc>
                <w:tcPr>
                  <w:tcW w:w="8557" w:type="dxa"/>
                  <w:tcBorders>
                    <w:top w:val="single" w:color="auto" w:sz="4" w:space="0"/>
                    <w:left w:val="single" w:color="auto" w:sz="4" w:space="0"/>
                    <w:bottom w:val="single" w:color="auto" w:sz="4" w:space="0"/>
                    <w:right w:val="single" w:color="auto" w:sz="4" w:space="0"/>
                  </w:tcBorders>
                  <w:shd w:val="clear" w:color="000000" w:fill="auto"/>
                  <w:noWrap/>
                  <w:vAlign w:val="center"/>
                </w:tcPr>
                <w:p w14:paraId="4F839B98">
                  <w:pPr>
                    <w:rPr>
                      <w:rFonts w:hint="default" w:ascii="Calibri" w:hAnsi="Calibri" w:eastAsia="楷体_GB2312" w:cs="Calibri"/>
                      <w:color w:val="000000"/>
                      <w:lang w:eastAsia="zh-CN"/>
                    </w:rPr>
                  </w:pPr>
                  <w:r>
                    <w:rPr>
                      <w:rFonts w:hint="default" w:ascii="Calibri" w:hAnsi="Calibri" w:eastAsia="楷体_GB2312" w:cs="Calibri"/>
                      <w:color w:val="000000"/>
                    </w:rPr>
                    <w:t>Meta宣布与三家核电供应商达成协议，分别是Oklo、Vistra和TerraPower。Meta将从Vistra位于俄亥俄州的Perry核电站和Davis-Besse核电站，以及宾夕法尼亚州的Beaver Valley核电站购电。</w:t>
                  </w:r>
                  <w:r>
                    <w:rPr>
                      <w:rFonts w:hint="default" w:ascii="Calibri" w:hAnsi="Calibri" w:eastAsia="楷体_GB2312" w:cs="Calibri"/>
                      <w:color w:val="000000"/>
                      <w:lang w:eastAsia="zh-CN"/>
                    </w:rPr>
                    <w:t>此外，Meta还将协助开发Oklo和TerraPower计划建设的小型模块化反应堆（SMR）项目</w:t>
                  </w:r>
                </w:p>
              </w:tc>
            </w:tr>
            <w:tr w14:paraId="1D902F53">
              <w:tblPrEx>
                <w:tblCellMar>
                  <w:top w:w="0" w:type="dxa"/>
                  <w:left w:w="108" w:type="dxa"/>
                  <w:bottom w:w="0" w:type="dxa"/>
                  <w:right w:w="108" w:type="dxa"/>
                </w:tblCellMar>
              </w:tblPrEx>
              <w:trPr>
                <w:trHeight w:val="248" w:hRule="atLeast"/>
              </w:trPr>
              <w:tc>
                <w:tcPr>
                  <w:tcW w:w="1149" w:type="dxa"/>
                  <w:tcBorders>
                    <w:top w:val="single" w:color="auto" w:sz="4" w:space="0"/>
                    <w:left w:val="single" w:color="auto" w:sz="4" w:space="0"/>
                    <w:bottom w:val="single" w:color="auto" w:sz="4" w:space="0"/>
                    <w:right w:val="single" w:color="auto" w:sz="4" w:space="0"/>
                  </w:tcBorders>
                  <w:shd w:val="clear" w:color="000000" w:fill="auto"/>
                  <w:noWrap/>
                  <w:vAlign w:val="center"/>
                </w:tcPr>
                <w:p w14:paraId="7E4B39E0">
                  <w:pPr>
                    <w:jc w:val="center"/>
                    <w:rPr>
                      <w:rFonts w:hint="default" w:ascii="Calibri" w:hAnsi="Calibri" w:eastAsia="楷体_GB2312" w:cs="Calibri"/>
                      <w:color w:val="000000"/>
                    </w:rPr>
                  </w:pPr>
                  <w:r>
                    <w:rPr>
                      <w:rFonts w:hint="default" w:ascii="Calibri" w:hAnsi="Calibri" w:eastAsia="楷体_GB2312" w:cs="Calibri"/>
                      <w:color w:val="000000"/>
                      <w:lang w:val="en-US" w:eastAsia="zh-CN"/>
                    </w:rPr>
                    <w:t>2025-12-02</w:t>
                  </w:r>
                </w:p>
              </w:tc>
              <w:tc>
                <w:tcPr>
                  <w:tcW w:w="8557" w:type="dxa"/>
                  <w:tcBorders>
                    <w:top w:val="single" w:color="auto" w:sz="4" w:space="0"/>
                    <w:left w:val="single" w:color="auto" w:sz="4" w:space="0"/>
                    <w:bottom w:val="single" w:color="auto" w:sz="4" w:space="0"/>
                    <w:right w:val="single" w:color="auto" w:sz="4" w:space="0"/>
                  </w:tcBorders>
                  <w:shd w:val="clear" w:color="000000" w:fill="auto"/>
                  <w:noWrap/>
                  <w:vAlign w:val="center"/>
                </w:tcPr>
                <w:p w14:paraId="26F84588">
                  <w:pPr>
                    <w:rPr>
                      <w:rFonts w:hint="default" w:ascii="Calibri" w:hAnsi="Calibri" w:eastAsia="楷体_GB2312" w:cs="Calibri"/>
                      <w:color w:val="000000"/>
                      <w:lang w:eastAsia="zh-CN"/>
                    </w:rPr>
                  </w:pPr>
                  <w:r>
                    <w:rPr>
                      <w:rFonts w:hint="default" w:ascii="Calibri" w:hAnsi="Calibri" w:eastAsia="楷体_GB2312" w:cs="Calibri"/>
                      <w:color w:val="000000"/>
                      <w:lang w:eastAsia="zh-CN"/>
                    </w:rPr>
                    <w:t>美国能源部（DOE）宣布向田纳西河流域管理局（TVA）提供4亿美元拨款，以继续加速部署通用电气（GE）弗诺瓦和日立核能的BWRX-300小型模块化反应堆（SMR）。该公司的第一个BWRX-300商业运营计划在2030年代初的田纳西河流域公用事业 Clinch River 站，这将使其成为美国第一个商业SMR。</w:t>
                  </w:r>
                </w:p>
              </w:tc>
            </w:tr>
            <w:tr w14:paraId="786C028F">
              <w:tblPrEx>
                <w:tblCellMar>
                  <w:top w:w="0" w:type="dxa"/>
                  <w:left w:w="108" w:type="dxa"/>
                  <w:bottom w:w="0" w:type="dxa"/>
                  <w:right w:w="108" w:type="dxa"/>
                </w:tblCellMar>
              </w:tblPrEx>
              <w:trPr>
                <w:trHeight w:val="248" w:hRule="atLeast"/>
              </w:trPr>
              <w:tc>
                <w:tcPr>
                  <w:tcW w:w="1149" w:type="dxa"/>
                  <w:tcBorders>
                    <w:top w:val="single" w:color="auto" w:sz="4" w:space="0"/>
                    <w:left w:val="single" w:color="auto" w:sz="4" w:space="0"/>
                    <w:bottom w:val="single" w:color="auto" w:sz="4" w:space="0"/>
                    <w:right w:val="single" w:color="auto" w:sz="4" w:space="0"/>
                  </w:tcBorders>
                  <w:shd w:val="clear" w:color="000000" w:fill="auto"/>
                  <w:noWrap/>
                  <w:vAlign w:val="center"/>
                </w:tcPr>
                <w:p w14:paraId="3F74507B">
                  <w:pPr>
                    <w:jc w:val="center"/>
                    <w:rPr>
                      <w:rFonts w:hint="default" w:ascii="Calibri" w:hAnsi="Calibri" w:eastAsia="楷体_GB2312" w:cs="Calibri"/>
                      <w:color w:val="000000"/>
                    </w:rPr>
                  </w:pPr>
                  <w:r>
                    <w:rPr>
                      <w:rFonts w:hint="default" w:ascii="Calibri" w:hAnsi="Calibri" w:eastAsia="楷体_GB2312" w:cs="Calibri"/>
                      <w:color w:val="000000"/>
                      <w:lang w:val="en-US" w:eastAsia="zh-CN"/>
                    </w:rPr>
                    <w:t>2025-10-15</w:t>
                  </w:r>
                </w:p>
              </w:tc>
              <w:tc>
                <w:tcPr>
                  <w:tcW w:w="8557" w:type="dxa"/>
                  <w:tcBorders>
                    <w:top w:val="single" w:color="auto" w:sz="4" w:space="0"/>
                    <w:left w:val="single" w:color="auto" w:sz="4" w:space="0"/>
                    <w:bottom w:val="single" w:color="auto" w:sz="4" w:space="0"/>
                    <w:right w:val="single" w:color="auto" w:sz="4" w:space="0"/>
                  </w:tcBorders>
                  <w:shd w:val="clear" w:color="000000" w:fill="auto"/>
                  <w:noWrap/>
                  <w:vAlign w:val="center"/>
                </w:tcPr>
                <w:p w14:paraId="6C40438A">
                  <w:pPr>
                    <w:rPr>
                      <w:rFonts w:hint="default" w:ascii="Calibri" w:hAnsi="Calibri" w:eastAsia="楷体_GB2312" w:cs="Calibri"/>
                      <w:color w:val="000000"/>
                      <w:lang w:eastAsia="zh-CN"/>
                    </w:rPr>
                  </w:pPr>
                  <w:r>
                    <w:rPr>
                      <w:rFonts w:hint="default" w:ascii="Calibri" w:hAnsi="Calibri" w:eastAsia="楷体_GB2312" w:cs="Calibri"/>
                      <w:color w:val="000000"/>
                    </w:rPr>
                    <w:t>亚马逊宣布将在美国华盛顿州参与建设全美首批小型模块化核反应堆(SMR)—Cascade先进能源厂，由Energy Northwest与X-Energy共同开发，预计2030年代初启用。</w:t>
                  </w:r>
                  <w:r>
                    <w:rPr>
                      <w:rFonts w:hint="default" w:ascii="Calibri" w:hAnsi="Calibri" w:eastAsia="楷体_GB2312" w:cs="Calibri"/>
                      <w:color w:val="000000"/>
                      <w:lang w:eastAsia="zh-CN"/>
                    </w:rPr>
                    <w:t>该厂初期建设四座Xe-100高温气冷反应堆，总发电量320MW，最终可达960MW，为AI、云及数据中心提供24小时不间断的零碳电力。</w:t>
                  </w:r>
                </w:p>
              </w:tc>
            </w:tr>
            <w:tr w14:paraId="64DEA26D">
              <w:tblPrEx>
                <w:tblCellMar>
                  <w:top w:w="0" w:type="dxa"/>
                  <w:left w:w="108" w:type="dxa"/>
                  <w:bottom w:w="0" w:type="dxa"/>
                  <w:right w:w="108" w:type="dxa"/>
                </w:tblCellMar>
              </w:tblPrEx>
              <w:trPr>
                <w:trHeight w:val="248" w:hRule="atLeast"/>
              </w:trPr>
              <w:tc>
                <w:tcPr>
                  <w:tcW w:w="1149" w:type="dxa"/>
                  <w:tcBorders>
                    <w:top w:val="single" w:color="auto" w:sz="4" w:space="0"/>
                    <w:left w:val="single" w:color="auto" w:sz="4" w:space="0"/>
                    <w:bottom w:val="single" w:color="auto" w:sz="4" w:space="0"/>
                    <w:right w:val="single" w:color="auto" w:sz="4" w:space="0"/>
                  </w:tcBorders>
                  <w:shd w:val="clear" w:color="000000" w:fill="auto"/>
                  <w:noWrap/>
                  <w:vAlign w:val="center"/>
                </w:tcPr>
                <w:p w14:paraId="62AB2AD9">
                  <w:pPr>
                    <w:jc w:val="center"/>
                    <w:rPr>
                      <w:rFonts w:hint="default" w:ascii="Calibri" w:hAnsi="Calibri" w:eastAsia="楷体_GB2312" w:cs="Calibri"/>
                      <w:color w:val="000000"/>
                    </w:rPr>
                  </w:pPr>
                  <w:r>
                    <w:rPr>
                      <w:rFonts w:hint="default" w:ascii="Calibri" w:hAnsi="Calibri" w:eastAsia="楷体_GB2312" w:cs="Calibri"/>
                      <w:color w:val="000000"/>
                      <w:lang w:val="en-US" w:eastAsia="zh-CN"/>
                    </w:rPr>
                    <w:t>2025-09-30</w:t>
                  </w:r>
                </w:p>
              </w:tc>
              <w:tc>
                <w:tcPr>
                  <w:tcW w:w="8557" w:type="dxa"/>
                  <w:tcBorders>
                    <w:top w:val="single" w:color="auto" w:sz="4" w:space="0"/>
                    <w:left w:val="single" w:color="auto" w:sz="4" w:space="0"/>
                    <w:bottom w:val="single" w:color="auto" w:sz="4" w:space="0"/>
                    <w:right w:val="single" w:color="auto" w:sz="4" w:space="0"/>
                  </w:tcBorders>
                  <w:shd w:val="clear" w:color="000000" w:fill="auto"/>
                  <w:noWrap/>
                  <w:vAlign w:val="center"/>
                </w:tcPr>
                <w:p w14:paraId="5B97AD42">
                  <w:pPr>
                    <w:rPr>
                      <w:rFonts w:hint="default" w:ascii="Calibri" w:hAnsi="Calibri" w:eastAsia="楷体_GB2312" w:cs="Calibri"/>
                      <w:color w:val="000000"/>
                      <w:lang w:eastAsia="zh-CN"/>
                    </w:rPr>
                  </w:pPr>
                  <w:r>
                    <w:rPr>
                      <w:rFonts w:hint="default" w:ascii="Calibri" w:hAnsi="Calibri" w:eastAsia="楷体_GB2312" w:cs="Calibri"/>
                      <w:color w:val="000000"/>
                      <w:lang w:eastAsia="zh-CN"/>
                    </w:rPr>
                    <w:t>美国先进核技术公司Oklo与瑞典铅冷小型模块化反应堆技术开发商Blykalla宣布建立战略合作关系，专注于技术合作、供应链协调和监管知识共享。</w:t>
                  </w:r>
                </w:p>
              </w:tc>
            </w:tr>
            <w:tr w14:paraId="4DD1051C">
              <w:tblPrEx>
                <w:tblCellMar>
                  <w:top w:w="0" w:type="dxa"/>
                  <w:left w:w="108" w:type="dxa"/>
                  <w:bottom w:w="0" w:type="dxa"/>
                  <w:right w:w="108" w:type="dxa"/>
                </w:tblCellMar>
              </w:tblPrEx>
              <w:trPr>
                <w:trHeight w:val="248" w:hRule="atLeast"/>
              </w:trPr>
              <w:tc>
                <w:tcPr>
                  <w:tcW w:w="1149" w:type="dxa"/>
                  <w:tcBorders>
                    <w:top w:val="single" w:color="auto" w:sz="4" w:space="0"/>
                    <w:left w:val="single" w:color="auto" w:sz="4" w:space="0"/>
                    <w:bottom w:val="single" w:color="auto" w:sz="4" w:space="0"/>
                    <w:right w:val="single" w:color="auto" w:sz="4" w:space="0"/>
                  </w:tcBorders>
                  <w:shd w:val="clear" w:color="000000" w:fill="auto"/>
                  <w:noWrap/>
                  <w:vAlign w:val="center"/>
                </w:tcPr>
                <w:p w14:paraId="4C0A2D8D">
                  <w:pPr>
                    <w:jc w:val="center"/>
                    <w:rPr>
                      <w:rFonts w:hint="default" w:ascii="Calibri" w:hAnsi="Calibri" w:eastAsia="楷体_GB2312" w:cs="Calibri"/>
                      <w:color w:val="000000"/>
                    </w:rPr>
                  </w:pPr>
                  <w:r>
                    <w:rPr>
                      <w:rFonts w:hint="default" w:ascii="Calibri" w:hAnsi="Calibri" w:eastAsia="楷体_GB2312" w:cs="Calibri"/>
                      <w:color w:val="000000"/>
                      <w:lang w:val="en-US" w:eastAsia="zh-CN"/>
                    </w:rPr>
                    <w:t>2025-09-16</w:t>
                  </w:r>
                </w:p>
              </w:tc>
              <w:tc>
                <w:tcPr>
                  <w:tcW w:w="8557" w:type="dxa"/>
                  <w:tcBorders>
                    <w:top w:val="single" w:color="auto" w:sz="4" w:space="0"/>
                    <w:left w:val="single" w:color="auto" w:sz="4" w:space="0"/>
                    <w:bottom w:val="single" w:color="auto" w:sz="4" w:space="0"/>
                    <w:right w:val="single" w:color="auto" w:sz="4" w:space="0"/>
                  </w:tcBorders>
                  <w:shd w:val="clear" w:color="000000" w:fill="auto"/>
                  <w:noWrap/>
                  <w:vAlign w:val="center"/>
                </w:tcPr>
                <w:p w14:paraId="3D826106">
                  <w:pPr>
                    <w:rPr>
                      <w:rFonts w:hint="default" w:ascii="Calibri" w:hAnsi="Calibri" w:eastAsia="楷体_GB2312" w:cs="Calibri"/>
                      <w:color w:val="000000"/>
                      <w:lang w:eastAsia="zh-CN"/>
                    </w:rPr>
                  </w:pPr>
                  <w:r>
                    <w:rPr>
                      <w:rFonts w:hint="default" w:ascii="Calibri" w:hAnsi="Calibri" w:eastAsia="楷体_GB2312" w:cs="Calibri"/>
                      <w:color w:val="000000"/>
                      <w:lang w:eastAsia="zh-CN"/>
                    </w:rPr>
                    <w:t>能源公司Centrica与美国核能企业X-Energy签署联合开发协议（JDA），计划在英格兰东北部城市哈特尔浦部署12台Xe-100先进模块化反应堆。</w:t>
                  </w:r>
                </w:p>
              </w:tc>
            </w:tr>
            <w:tr w14:paraId="4C3EEA99">
              <w:tblPrEx>
                <w:tblCellMar>
                  <w:top w:w="0" w:type="dxa"/>
                  <w:left w:w="108" w:type="dxa"/>
                  <w:bottom w:w="0" w:type="dxa"/>
                  <w:right w:w="108" w:type="dxa"/>
                </w:tblCellMar>
              </w:tblPrEx>
              <w:trPr>
                <w:trHeight w:val="90" w:hRule="atLeast"/>
              </w:trPr>
              <w:tc>
                <w:tcPr>
                  <w:tcW w:w="1149" w:type="dxa"/>
                  <w:tcBorders>
                    <w:top w:val="single" w:color="auto" w:sz="4" w:space="0"/>
                    <w:left w:val="single" w:color="auto" w:sz="4" w:space="0"/>
                    <w:bottom w:val="single" w:color="auto" w:sz="4" w:space="0"/>
                    <w:right w:val="single" w:color="auto" w:sz="4" w:space="0"/>
                  </w:tcBorders>
                  <w:shd w:val="clear" w:color="000000" w:fill="auto"/>
                  <w:noWrap/>
                  <w:vAlign w:val="center"/>
                </w:tcPr>
                <w:p w14:paraId="66BDEC85">
                  <w:pPr>
                    <w:jc w:val="center"/>
                    <w:rPr>
                      <w:rFonts w:hint="default" w:ascii="Calibri" w:hAnsi="Calibri" w:eastAsia="楷体_GB2312" w:cs="Calibri"/>
                      <w:color w:val="000000"/>
                    </w:rPr>
                  </w:pPr>
                  <w:r>
                    <w:rPr>
                      <w:rFonts w:hint="default" w:ascii="Calibri" w:hAnsi="Calibri" w:eastAsia="楷体_GB2312" w:cs="Calibri"/>
                      <w:color w:val="000000"/>
                      <w:lang w:val="en-US" w:eastAsia="zh-CN"/>
                    </w:rPr>
                    <w:t>2025-08-18</w:t>
                  </w:r>
                </w:p>
              </w:tc>
              <w:tc>
                <w:tcPr>
                  <w:tcW w:w="8557" w:type="dxa"/>
                  <w:tcBorders>
                    <w:top w:val="single" w:color="auto" w:sz="4" w:space="0"/>
                    <w:left w:val="single" w:color="auto" w:sz="4" w:space="0"/>
                    <w:bottom w:val="single" w:color="auto" w:sz="4" w:space="0"/>
                    <w:right w:val="single" w:color="auto" w:sz="4" w:space="0"/>
                  </w:tcBorders>
                  <w:shd w:val="clear" w:color="000000" w:fill="auto"/>
                  <w:noWrap/>
                  <w:vAlign w:val="center"/>
                </w:tcPr>
                <w:p w14:paraId="1F2792FE">
                  <w:pPr>
                    <w:rPr>
                      <w:rFonts w:hint="default" w:ascii="Calibri" w:hAnsi="Calibri" w:eastAsia="楷体_GB2312" w:cs="Calibri"/>
                      <w:color w:val="000000"/>
                      <w:lang w:eastAsia="zh-CN"/>
                    </w:rPr>
                  </w:pPr>
                  <w:r>
                    <w:rPr>
                      <w:rFonts w:hint="default" w:ascii="Calibri" w:hAnsi="Calibri" w:eastAsia="楷体_GB2312" w:cs="Calibri"/>
                      <w:color w:val="000000"/>
                      <w:lang w:eastAsia="zh-CN"/>
                    </w:rPr>
                    <w:t>谷歌支持的小型模块化反应堆（SMR）开发商Kairos Power已与美国公用事业公司田纳西河谷管理局（TVA）签署了一份50兆瓦的电力购买协议（PPA），将电力输送到位于田纳西州和阿拉巴马州的谷歌数据中心。</w:t>
                  </w:r>
                </w:p>
              </w:tc>
            </w:tr>
            <w:tr w14:paraId="6F29DE6A">
              <w:tblPrEx>
                <w:tblCellMar>
                  <w:top w:w="0" w:type="dxa"/>
                  <w:left w:w="108" w:type="dxa"/>
                  <w:bottom w:w="0" w:type="dxa"/>
                  <w:right w:w="108" w:type="dxa"/>
                </w:tblCellMar>
              </w:tblPrEx>
              <w:trPr>
                <w:trHeight w:val="475" w:hRule="atLeast"/>
              </w:trPr>
              <w:tc>
                <w:tcPr>
                  <w:tcW w:w="1149" w:type="dxa"/>
                  <w:tcBorders>
                    <w:top w:val="single" w:color="auto" w:sz="4" w:space="0"/>
                    <w:left w:val="single" w:color="auto" w:sz="4" w:space="0"/>
                    <w:bottom w:val="single" w:color="auto" w:sz="4" w:space="0"/>
                    <w:right w:val="single" w:color="auto" w:sz="4" w:space="0"/>
                  </w:tcBorders>
                  <w:vAlign w:val="center"/>
                </w:tcPr>
                <w:p w14:paraId="24BABEA2">
                  <w:pPr>
                    <w:jc w:val="center"/>
                    <w:rPr>
                      <w:rFonts w:hint="default" w:ascii="Calibri" w:hAnsi="Calibri" w:eastAsia="楷体_GB2312" w:cs="Calibri"/>
                      <w:color w:val="000000"/>
                    </w:rPr>
                  </w:pPr>
                  <w:r>
                    <w:rPr>
                      <w:rFonts w:hint="default" w:ascii="Calibri" w:hAnsi="Calibri" w:eastAsia="楷体_GB2312" w:cs="Calibri"/>
                      <w:color w:val="000000"/>
                    </w:rPr>
                    <w:t>2025-06-12</w:t>
                  </w:r>
                </w:p>
              </w:tc>
              <w:tc>
                <w:tcPr>
                  <w:tcW w:w="8557" w:type="dxa"/>
                  <w:tcBorders>
                    <w:top w:val="single" w:color="auto" w:sz="4" w:space="0"/>
                    <w:left w:val="nil"/>
                    <w:bottom w:val="single" w:color="auto" w:sz="4" w:space="0"/>
                    <w:right w:val="single" w:color="auto" w:sz="4" w:space="0"/>
                  </w:tcBorders>
                  <w:vAlign w:val="center"/>
                </w:tcPr>
                <w:p w14:paraId="2B301888">
                  <w:pPr>
                    <w:rPr>
                      <w:rFonts w:hint="default" w:ascii="Calibri" w:hAnsi="Calibri" w:eastAsia="楷体_GB2312" w:cs="Calibri"/>
                      <w:color w:val="000000"/>
                    </w:rPr>
                  </w:pPr>
                  <w:r>
                    <w:rPr>
                      <w:rFonts w:hint="default" w:ascii="Calibri" w:hAnsi="Calibri" w:eastAsia="楷体_GB2312" w:cs="Calibri"/>
                      <w:color w:val="000000"/>
                    </w:rPr>
                    <w:t>Talen 与AWS 将探索在 Talen 位于宾夕法尼亚州的工厂内建造新的小型模块化反应堆 (SMR)，并通过升级来扩大 Susquehanna 工厂的产量。</w:t>
                  </w:r>
                </w:p>
              </w:tc>
            </w:tr>
            <w:tr w14:paraId="24161B77">
              <w:tblPrEx>
                <w:tblCellMar>
                  <w:top w:w="0" w:type="dxa"/>
                  <w:left w:w="108" w:type="dxa"/>
                  <w:bottom w:w="0" w:type="dxa"/>
                  <w:right w:w="108" w:type="dxa"/>
                </w:tblCellMar>
              </w:tblPrEx>
              <w:trPr>
                <w:trHeight w:val="314" w:hRule="atLeast"/>
              </w:trPr>
              <w:tc>
                <w:tcPr>
                  <w:tcW w:w="1149" w:type="dxa"/>
                  <w:tcBorders>
                    <w:top w:val="nil"/>
                    <w:left w:val="single" w:color="auto" w:sz="4" w:space="0"/>
                    <w:bottom w:val="single" w:color="auto" w:sz="4" w:space="0"/>
                    <w:right w:val="single" w:color="auto" w:sz="4" w:space="0"/>
                  </w:tcBorders>
                  <w:vAlign w:val="center"/>
                </w:tcPr>
                <w:p w14:paraId="34466D83">
                  <w:pPr>
                    <w:jc w:val="center"/>
                    <w:rPr>
                      <w:rFonts w:hint="default" w:ascii="Calibri" w:hAnsi="Calibri" w:eastAsia="楷体_GB2312" w:cs="Calibri"/>
                      <w:color w:val="000000"/>
                    </w:rPr>
                  </w:pPr>
                  <w:r>
                    <w:rPr>
                      <w:rFonts w:hint="default" w:ascii="Calibri" w:hAnsi="Calibri" w:eastAsia="楷体_GB2312" w:cs="Calibri"/>
                      <w:color w:val="000000"/>
                    </w:rPr>
                    <w:t>2025-06-12</w:t>
                  </w:r>
                </w:p>
              </w:tc>
              <w:tc>
                <w:tcPr>
                  <w:tcW w:w="8557" w:type="dxa"/>
                  <w:tcBorders>
                    <w:top w:val="nil"/>
                    <w:left w:val="nil"/>
                    <w:bottom w:val="single" w:color="auto" w:sz="4" w:space="0"/>
                    <w:right w:val="single" w:color="auto" w:sz="4" w:space="0"/>
                  </w:tcBorders>
                  <w:vAlign w:val="center"/>
                </w:tcPr>
                <w:p w14:paraId="0CE40EBD">
                  <w:pPr>
                    <w:rPr>
                      <w:rFonts w:hint="default" w:ascii="Calibri" w:hAnsi="Calibri" w:eastAsia="楷体_GB2312" w:cs="Calibri"/>
                      <w:color w:val="000000"/>
                      <w:lang w:eastAsia="zh-CN"/>
                    </w:rPr>
                  </w:pPr>
                  <w:r>
                    <w:rPr>
                      <w:rFonts w:hint="default" w:ascii="Calibri" w:hAnsi="Calibri" w:eastAsia="楷体_GB2312" w:cs="Calibri"/>
                      <w:color w:val="000000"/>
                      <w:lang w:eastAsia="zh-CN"/>
                    </w:rPr>
                    <w:t>Oklo公告，国防部已发布意向通知，计划就一个试点反应堆授予购电协议。</w:t>
                  </w:r>
                </w:p>
              </w:tc>
            </w:tr>
            <w:tr w14:paraId="07C14E76">
              <w:tblPrEx>
                <w:tblCellMar>
                  <w:top w:w="0" w:type="dxa"/>
                  <w:left w:w="108" w:type="dxa"/>
                  <w:bottom w:w="0" w:type="dxa"/>
                  <w:right w:w="108" w:type="dxa"/>
                </w:tblCellMar>
              </w:tblPrEx>
              <w:trPr>
                <w:trHeight w:val="371" w:hRule="atLeast"/>
              </w:trPr>
              <w:tc>
                <w:tcPr>
                  <w:tcW w:w="1149" w:type="dxa"/>
                  <w:tcBorders>
                    <w:top w:val="nil"/>
                    <w:left w:val="single" w:color="auto" w:sz="4" w:space="0"/>
                    <w:bottom w:val="single" w:color="auto" w:sz="4" w:space="0"/>
                    <w:right w:val="single" w:color="auto" w:sz="4" w:space="0"/>
                  </w:tcBorders>
                  <w:vAlign w:val="center"/>
                </w:tcPr>
                <w:p w14:paraId="7F285D8C">
                  <w:pPr>
                    <w:jc w:val="center"/>
                    <w:rPr>
                      <w:rFonts w:hint="default" w:ascii="Calibri" w:hAnsi="Calibri" w:eastAsia="楷体_GB2312" w:cs="Calibri"/>
                      <w:color w:val="000000"/>
                    </w:rPr>
                  </w:pPr>
                  <w:r>
                    <w:rPr>
                      <w:rFonts w:hint="default" w:ascii="Calibri" w:hAnsi="Calibri" w:eastAsia="楷体_GB2312" w:cs="Calibri"/>
                      <w:color w:val="000000"/>
                    </w:rPr>
                    <w:t>2025-05-08</w:t>
                  </w:r>
                </w:p>
              </w:tc>
              <w:tc>
                <w:tcPr>
                  <w:tcW w:w="8557" w:type="dxa"/>
                  <w:tcBorders>
                    <w:top w:val="nil"/>
                    <w:left w:val="nil"/>
                    <w:bottom w:val="single" w:color="auto" w:sz="4" w:space="0"/>
                    <w:right w:val="single" w:color="auto" w:sz="4" w:space="0"/>
                  </w:tcBorders>
                  <w:vAlign w:val="center"/>
                </w:tcPr>
                <w:p w14:paraId="4A99C257">
                  <w:pPr>
                    <w:rPr>
                      <w:rFonts w:hint="default" w:ascii="Calibri" w:hAnsi="Calibri" w:eastAsia="楷体_GB2312" w:cs="Calibri"/>
                      <w:color w:val="000000"/>
                      <w:lang w:eastAsia="zh-CN"/>
                    </w:rPr>
                  </w:pPr>
                  <w:r>
                    <w:rPr>
                      <w:rFonts w:hint="default" w:ascii="Calibri" w:hAnsi="Calibri" w:eastAsia="楷体_GB2312" w:cs="Calibri"/>
                      <w:color w:val="000000"/>
                      <w:lang w:eastAsia="zh-CN"/>
                    </w:rPr>
                    <w:t>谷歌与 Elementl 合作，支持美国三个“先进”核项目的开发每个项目的容量为 600MW</w:t>
                  </w:r>
                </w:p>
              </w:tc>
            </w:tr>
            <w:tr w14:paraId="574C7646">
              <w:tblPrEx>
                <w:tblCellMar>
                  <w:top w:w="0" w:type="dxa"/>
                  <w:left w:w="108" w:type="dxa"/>
                  <w:bottom w:w="0" w:type="dxa"/>
                  <w:right w:w="108" w:type="dxa"/>
                </w:tblCellMar>
              </w:tblPrEx>
              <w:trPr>
                <w:trHeight w:val="799" w:hRule="atLeast"/>
              </w:trPr>
              <w:tc>
                <w:tcPr>
                  <w:tcW w:w="1149" w:type="dxa"/>
                  <w:tcBorders>
                    <w:top w:val="nil"/>
                    <w:left w:val="single" w:color="auto" w:sz="4" w:space="0"/>
                    <w:bottom w:val="single" w:color="auto" w:sz="4" w:space="0"/>
                    <w:right w:val="single" w:color="auto" w:sz="4" w:space="0"/>
                  </w:tcBorders>
                  <w:vAlign w:val="center"/>
                </w:tcPr>
                <w:p w14:paraId="1DEBC9F4">
                  <w:pPr>
                    <w:jc w:val="center"/>
                    <w:rPr>
                      <w:rFonts w:hint="default" w:ascii="Calibri" w:hAnsi="Calibri" w:eastAsia="楷体_GB2312" w:cs="Calibri"/>
                      <w:color w:val="000000"/>
                    </w:rPr>
                  </w:pPr>
                  <w:r>
                    <w:rPr>
                      <w:rFonts w:hint="default" w:ascii="Calibri" w:hAnsi="Calibri" w:eastAsia="楷体_GB2312" w:cs="Calibri"/>
                      <w:color w:val="000000"/>
                    </w:rPr>
                    <w:t>2025-04-14</w:t>
                  </w:r>
                </w:p>
              </w:tc>
              <w:tc>
                <w:tcPr>
                  <w:tcW w:w="8557" w:type="dxa"/>
                  <w:tcBorders>
                    <w:top w:val="nil"/>
                    <w:left w:val="nil"/>
                    <w:bottom w:val="single" w:color="auto" w:sz="4" w:space="0"/>
                    <w:right w:val="single" w:color="auto" w:sz="4" w:space="0"/>
                  </w:tcBorders>
                  <w:vAlign w:val="center"/>
                </w:tcPr>
                <w:p w14:paraId="79AF5B3F">
                  <w:pPr>
                    <w:rPr>
                      <w:rFonts w:hint="default" w:ascii="Calibri" w:hAnsi="Calibri" w:eastAsia="楷体_GB2312" w:cs="Calibri"/>
                      <w:color w:val="000000"/>
                      <w:lang w:eastAsia="zh-CN"/>
                    </w:rPr>
                  </w:pPr>
                  <w:r>
                    <w:rPr>
                      <w:rFonts w:hint="default" w:ascii="Calibri" w:hAnsi="Calibri" w:eastAsia="楷体_GB2312" w:cs="Calibri"/>
                      <w:color w:val="000000"/>
                      <w:lang w:eastAsia="zh-CN"/>
                    </w:rPr>
                    <w:t>总部位于德克萨斯州的模块化核反应堆开发商 Aalo Atomics 公布了其首个模块化核电站的原型，该公司已经与市政电力公司爱达荷福尔斯电力公司签署了一份谅解备忘录（MoU），部署七座工厂建造的 Aalo-1 反应堆，总发电量为 75MW。</w:t>
                  </w:r>
                </w:p>
              </w:tc>
            </w:tr>
            <w:tr w14:paraId="45A5A97D">
              <w:tblPrEx>
                <w:tblCellMar>
                  <w:top w:w="0" w:type="dxa"/>
                  <w:left w:w="108" w:type="dxa"/>
                  <w:bottom w:w="0" w:type="dxa"/>
                  <w:right w:w="108" w:type="dxa"/>
                </w:tblCellMar>
              </w:tblPrEx>
              <w:trPr>
                <w:trHeight w:val="460" w:hRule="atLeast"/>
              </w:trPr>
              <w:tc>
                <w:tcPr>
                  <w:tcW w:w="1149" w:type="dxa"/>
                  <w:tcBorders>
                    <w:top w:val="nil"/>
                    <w:left w:val="single" w:color="auto" w:sz="4" w:space="0"/>
                    <w:bottom w:val="single" w:color="auto" w:sz="4" w:space="0"/>
                    <w:right w:val="single" w:color="auto" w:sz="4" w:space="0"/>
                  </w:tcBorders>
                  <w:vAlign w:val="center"/>
                </w:tcPr>
                <w:p w14:paraId="2B6234F8">
                  <w:pPr>
                    <w:jc w:val="center"/>
                    <w:rPr>
                      <w:rFonts w:hint="default" w:ascii="Calibri" w:hAnsi="Calibri" w:eastAsia="楷体_GB2312" w:cs="Calibri"/>
                      <w:color w:val="000000"/>
                    </w:rPr>
                  </w:pPr>
                  <w:r>
                    <w:rPr>
                      <w:rFonts w:hint="default" w:ascii="Calibri" w:hAnsi="Calibri" w:eastAsia="楷体_GB2312" w:cs="Calibri"/>
                      <w:color w:val="000000"/>
                    </w:rPr>
                    <w:t>2025-03-11</w:t>
                  </w:r>
                </w:p>
              </w:tc>
              <w:tc>
                <w:tcPr>
                  <w:tcW w:w="8557" w:type="dxa"/>
                  <w:tcBorders>
                    <w:top w:val="nil"/>
                    <w:left w:val="nil"/>
                    <w:bottom w:val="single" w:color="auto" w:sz="4" w:space="0"/>
                    <w:right w:val="single" w:color="auto" w:sz="4" w:space="0"/>
                  </w:tcBorders>
                  <w:vAlign w:val="center"/>
                </w:tcPr>
                <w:p w14:paraId="7196EA41">
                  <w:pPr>
                    <w:rPr>
                      <w:rFonts w:hint="default" w:ascii="Calibri" w:hAnsi="Calibri" w:eastAsia="楷体_GB2312" w:cs="Calibri"/>
                      <w:color w:val="000000"/>
                      <w:lang w:eastAsia="zh-CN"/>
                    </w:rPr>
                  </w:pPr>
                  <w:r>
                    <w:rPr>
                      <w:rFonts w:hint="default" w:ascii="Calibri" w:hAnsi="Calibri" w:eastAsia="楷体_GB2312" w:cs="Calibri"/>
                      <w:color w:val="000000"/>
                      <w:lang w:eastAsia="zh-CN"/>
                    </w:rPr>
                    <w:t>布鲁克菲尔德菲尔德旗下的 Data4 本周宣布已签署一份谅解备忘录 (MoU)，探讨使用西屋电气公司的 AP300 SMR 为欧洲未来的数据中心供电。</w:t>
                  </w:r>
                </w:p>
              </w:tc>
            </w:tr>
            <w:tr w14:paraId="2CF95026">
              <w:tblPrEx>
                <w:tblCellMar>
                  <w:top w:w="0" w:type="dxa"/>
                  <w:left w:w="108" w:type="dxa"/>
                  <w:bottom w:w="0" w:type="dxa"/>
                  <w:right w:w="108" w:type="dxa"/>
                </w:tblCellMar>
              </w:tblPrEx>
              <w:trPr>
                <w:trHeight w:val="374" w:hRule="atLeast"/>
              </w:trPr>
              <w:tc>
                <w:tcPr>
                  <w:tcW w:w="1149" w:type="dxa"/>
                  <w:tcBorders>
                    <w:top w:val="nil"/>
                    <w:left w:val="single" w:color="auto" w:sz="4" w:space="0"/>
                    <w:bottom w:val="single" w:color="auto" w:sz="4" w:space="0"/>
                    <w:right w:val="single" w:color="auto" w:sz="4" w:space="0"/>
                  </w:tcBorders>
                  <w:vAlign w:val="center"/>
                </w:tcPr>
                <w:p w14:paraId="7F63ED35">
                  <w:pPr>
                    <w:jc w:val="center"/>
                    <w:rPr>
                      <w:rFonts w:hint="default" w:ascii="Calibri" w:hAnsi="Calibri" w:eastAsia="楷体_GB2312" w:cs="Calibri"/>
                      <w:color w:val="000000"/>
                    </w:rPr>
                  </w:pPr>
                  <w:r>
                    <w:rPr>
                      <w:rFonts w:hint="default" w:ascii="Calibri" w:hAnsi="Calibri" w:eastAsia="楷体_GB2312" w:cs="Calibri"/>
                      <w:color w:val="000000"/>
                    </w:rPr>
                    <w:t>2025-02-28</w:t>
                  </w:r>
                </w:p>
              </w:tc>
              <w:tc>
                <w:tcPr>
                  <w:tcW w:w="8557" w:type="dxa"/>
                  <w:tcBorders>
                    <w:top w:val="nil"/>
                    <w:left w:val="nil"/>
                    <w:bottom w:val="single" w:color="auto" w:sz="4" w:space="0"/>
                    <w:right w:val="single" w:color="auto" w:sz="4" w:space="0"/>
                  </w:tcBorders>
                  <w:vAlign w:val="center"/>
                </w:tcPr>
                <w:p w14:paraId="3790116D">
                  <w:pPr>
                    <w:rPr>
                      <w:rFonts w:hint="default" w:ascii="Calibri" w:hAnsi="Calibri" w:eastAsia="楷体_GB2312" w:cs="Calibri"/>
                      <w:color w:val="000000"/>
                    </w:rPr>
                  </w:pPr>
                  <w:r>
                    <w:rPr>
                      <w:rFonts w:hint="default" w:ascii="Calibri" w:hAnsi="Calibri" w:eastAsia="楷体_GB2312" w:cs="Calibri"/>
                      <w:color w:val="000000"/>
                    </w:rPr>
                    <w:t>Last Energy 计划在德克萨斯州建造 30 座微反应堆，以服务美国数据中心市场。</w:t>
                  </w:r>
                </w:p>
              </w:tc>
            </w:tr>
            <w:tr w14:paraId="5AB0289C">
              <w:tblPrEx>
                <w:tblCellMar>
                  <w:top w:w="0" w:type="dxa"/>
                  <w:left w:w="108" w:type="dxa"/>
                  <w:bottom w:w="0" w:type="dxa"/>
                  <w:right w:w="108" w:type="dxa"/>
                </w:tblCellMar>
              </w:tblPrEx>
              <w:trPr>
                <w:trHeight w:val="360" w:hRule="atLeast"/>
              </w:trPr>
              <w:tc>
                <w:tcPr>
                  <w:tcW w:w="1149" w:type="dxa"/>
                  <w:tcBorders>
                    <w:top w:val="nil"/>
                    <w:left w:val="single" w:color="auto" w:sz="4" w:space="0"/>
                    <w:bottom w:val="single" w:color="auto" w:sz="4" w:space="0"/>
                    <w:right w:val="single" w:color="auto" w:sz="4" w:space="0"/>
                  </w:tcBorders>
                  <w:vAlign w:val="center"/>
                </w:tcPr>
                <w:p w14:paraId="73849B91">
                  <w:pPr>
                    <w:jc w:val="center"/>
                    <w:rPr>
                      <w:rFonts w:hint="default" w:ascii="Calibri" w:hAnsi="Calibri" w:eastAsia="楷体_GB2312" w:cs="Calibri"/>
                      <w:color w:val="000000"/>
                    </w:rPr>
                  </w:pPr>
                  <w:r>
                    <w:rPr>
                      <w:rFonts w:hint="default" w:ascii="Calibri" w:hAnsi="Calibri" w:eastAsia="楷体_GB2312" w:cs="Calibri"/>
                      <w:color w:val="000000"/>
                    </w:rPr>
                    <w:t>2025-02-07</w:t>
                  </w:r>
                </w:p>
              </w:tc>
              <w:tc>
                <w:tcPr>
                  <w:tcW w:w="8557" w:type="dxa"/>
                  <w:tcBorders>
                    <w:top w:val="nil"/>
                    <w:left w:val="nil"/>
                    <w:bottom w:val="single" w:color="auto" w:sz="4" w:space="0"/>
                    <w:right w:val="single" w:color="auto" w:sz="4" w:space="0"/>
                  </w:tcBorders>
                  <w:vAlign w:val="center"/>
                </w:tcPr>
                <w:p w14:paraId="4150FABE">
                  <w:pPr>
                    <w:rPr>
                      <w:rFonts w:hint="default" w:ascii="Calibri" w:hAnsi="Calibri" w:eastAsia="楷体_GB2312" w:cs="Calibri"/>
                      <w:color w:val="000000"/>
                      <w:lang w:eastAsia="zh-CN"/>
                    </w:rPr>
                  </w:pPr>
                  <w:r>
                    <w:rPr>
                      <w:rFonts w:hint="default" w:ascii="Calibri" w:hAnsi="Calibri" w:eastAsia="楷体_GB2312" w:cs="Calibri"/>
                      <w:color w:val="000000"/>
                      <w:lang w:eastAsia="zh-CN"/>
                    </w:rPr>
                    <w:t>SMR 公司 X-energy 完成由亚马逊领投的 7 亿美元融资。</w:t>
                  </w:r>
                </w:p>
              </w:tc>
            </w:tr>
            <w:tr w14:paraId="1B79460F">
              <w:tblPrEx>
                <w:tblCellMar>
                  <w:top w:w="0" w:type="dxa"/>
                  <w:left w:w="108" w:type="dxa"/>
                  <w:bottom w:w="0" w:type="dxa"/>
                  <w:right w:w="108" w:type="dxa"/>
                </w:tblCellMar>
              </w:tblPrEx>
              <w:trPr>
                <w:trHeight w:val="377" w:hRule="atLeast"/>
              </w:trPr>
              <w:tc>
                <w:tcPr>
                  <w:tcW w:w="1149" w:type="dxa"/>
                  <w:tcBorders>
                    <w:top w:val="nil"/>
                    <w:left w:val="single" w:color="auto" w:sz="4" w:space="0"/>
                    <w:bottom w:val="single" w:color="auto" w:sz="4" w:space="0"/>
                    <w:right w:val="single" w:color="auto" w:sz="4" w:space="0"/>
                  </w:tcBorders>
                  <w:vAlign w:val="center"/>
                </w:tcPr>
                <w:p w14:paraId="3312BD7E">
                  <w:pPr>
                    <w:jc w:val="center"/>
                    <w:rPr>
                      <w:rFonts w:hint="default" w:ascii="Calibri" w:hAnsi="Calibri" w:eastAsia="楷体_GB2312" w:cs="Calibri"/>
                      <w:color w:val="000000"/>
                    </w:rPr>
                  </w:pPr>
                  <w:r>
                    <w:rPr>
                      <w:rFonts w:hint="default" w:ascii="Calibri" w:hAnsi="Calibri" w:eastAsia="楷体_GB2312" w:cs="Calibri"/>
                      <w:color w:val="000000"/>
                    </w:rPr>
                    <w:t>2025-01-31</w:t>
                  </w:r>
                </w:p>
              </w:tc>
              <w:tc>
                <w:tcPr>
                  <w:tcW w:w="8557" w:type="dxa"/>
                  <w:tcBorders>
                    <w:top w:val="nil"/>
                    <w:left w:val="nil"/>
                    <w:bottom w:val="single" w:color="auto" w:sz="4" w:space="0"/>
                    <w:right w:val="single" w:color="auto" w:sz="4" w:space="0"/>
                  </w:tcBorders>
                  <w:vAlign w:val="center"/>
                </w:tcPr>
                <w:p w14:paraId="70FC55ED">
                  <w:pPr>
                    <w:rPr>
                      <w:rFonts w:hint="default" w:ascii="Calibri" w:hAnsi="Calibri" w:eastAsia="楷体_GB2312" w:cs="Calibri"/>
                      <w:color w:val="000000"/>
                    </w:rPr>
                  </w:pPr>
                  <w:r>
                    <w:rPr>
                      <w:rFonts w:hint="default" w:ascii="Calibri" w:hAnsi="Calibri" w:eastAsia="楷体_GB2312" w:cs="Calibri"/>
                      <w:color w:val="000000"/>
                    </w:rPr>
                    <w:t>Kairos Power 已完成其第二座非核工程测试装置 (ETU 2.0) 的反应堆容器的设计、建造和安装。</w:t>
                  </w:r>
                </w:p>
              </w:tc>
            </w:tr>
            <w:tr w14:paraId="4E658D55">
              <w:tblPrEx>
                <w:tblCellMar>
                  <w:top w:w="0" w:type="dxa"/>
                  <w:left w:w="108" w:type="dxa"/>
                  <w:bottom w:w="0" w:type="dxa"/>
                  <w:right w:w="108" w:type="dxa"/>
                </w:tblCellMar>
              </w:tblPrEx>
              <w:trPr>
                <w:trHeight w:val="663" w:hRule="atLeast"/>
              </w:trPr>
              <w:tc>
                <w:tcPr>
                  <w:tcW w:w="1149" w:type="dxa"/>
                  <w:tcBorders>
                    <w:top w:val="nil"/>
                    <w:left w:val="single" w:color="auto" w:sz="4" w:space="0"/>
                    <w:bottom w:val="single" w:color="auto" w:sz="4" w:space="0"/>
                    <w:right w:val="single" w:color="auto" w:sz="4" w:space="0"/>
                  </w:tcBorders>
                  <w:vAlign w:val="center"/>
                </w:tcPr>
                <w:p w14:paraId="168162BA">
                  <w:pPr>
                    <w:jc w:val="center"/>
                    <w:rPr>
                      <w:rFonts w:hint="default" w:ascii="Calibri" w:hAnsi="Calibri" w:eastAsia="楷体_GB2312" w:cs="Calibri"/>
                      <w:color w:val="000000"/>
                    </w:rPr>
                  </w:pPr>
                  <w:r>
                    <w:rPr>
                      <w:rFonts w:hint="default" w:ascii="Calibri" w:hAnsi="Calibri" w:eastAsia="楷体_GB2312" w:cs="Calibri"/>
                      <w:color w:val="000000"/>
                    </w:rPr>
                    <w:t>2025-01-22</w:t>
                  </w:r>
                </w:p>
              </w:tc>
              <w:tc>
                <w:tcPr>
                  <w:tcW w:w="8557" w:type="dxa"/>
                  <w:tcBorders>
                    <w:top w:val="nil"/>
                    <w:left w:val="nil"/>
                    <w:bottom w:val="single" w:color="auto" w:sz="4" w:space="0"/>
                    <w:right w:val="single" w:color="auto" w:sz="4" w:space="0"/>
                  </w:tcBorders>
                  <w:vAlign w:val="center"/>
                </w:tcPr>
                <w:p w14:paraId="7CB532AA">
                  <w:pPr>
                    <w:rPr>
                      <w:rFonts w:hint="default" w:ascii="Calibri" w:hAnsi="Calibri" w:eastAsia="楷体_GB2312" w:cs="Calibri"/>
                      <w:color w:val="000000"/>
                    </w:rPr>
                  </w:pPr>
                  <w:r>
                    <w:rPr>
                      <w:rFonts w:hint="default" w:ascii="Calibri" w:hAnsi="Calibri" w:eastAsia="楷体_GB2312" w:cs="Calibri"/>
                      <w:color w:val="000000"/>
                    </w:rPr>
                    <w:t>核电公司 TerraPower 和 Sabey 数据中心 (SDC) 签署了一份谅解备忘录 (MoU)，以探索将 TerraPower 的 Natrium 小型核反应堆开发并部署到 SDC 当前和未来的数据中心运营中。</w:t>
                  </w:r>
                </w:p>
              </w:tc>
            </w:tr>
            <w:tr w14:paraId="7C436C0F">
              <w:tblPrEx>
                <w:tblCellMar>
                  <w:top w:w="0" w:type="dxa"/>
                  <w:left w:w="108" w:type="dxa"/>
                  <w:bottom w:w="0" w:type="dxa"/>
                  <w:right w:w="108" w:type="dxa"/>
                </w:tblCellMar>
              </w:tblPrEx>
              <w:trPr>
                <w:trHeight w:val="452" w:hRule="atLeast"/>
              </w:trPr>
              <w:tc>
                <w:tcPr>
                  <w:tcW w:w="1149" w:type="dxa"/>
                  <w:tcBorders>
                    <w:top w:val="nil"/>
                    <w:left w:val="single" w:color="auto" w:sz="4" w:space="0"/>
                    <w:bottom w:val="single" w:color="auto" w:sz="4" w:space="0"/>
                    <w:right w:val="single" w:color="auto" w:sz="4" w:space="0"/>
                  </w:tcBorders>
                  <w:vAlign w:val="center"/>
                </w:tcPr>
                <w:p w14:paraId="28EBCD2C">
                  <w:pPr>
                    <w:jc w:val="center"/>
                    <w:rPr>
                      <w:rFonts w:hint="default" w:ascii="Calibri" w:hAnsi="Calibri" w:eastAsia="楷体_GB2312" w:cs="Calibri"/>
                      <w:color w:val="000000"/>
                    </w:rPr>
                  </w:pPr>
                  <w:r>
                    <w:rPr>
                      <w:rFonts w:hint="default" w:ascii="Calibri" w:hAnsi="Calibri" w:eastAsia="楷体_GB2312" w:cs="Calibri"/>
                      <w:color w:val="000000"/>
                    </w:rPr>
                    <w:t>2025-01-18</w:t>
                  </w:r>
                </w:p>
              </w:tc>
              <w:tc>
                <w:tcPr>
                  <w:tcW w:w="8557" w:type="dxa"/>
                  <w:tcBorders>
                    <w:top w:val="nil"/>
                    <w:left w:val="nil"/>
                    <w:bottom w:val="single" w:color="auto" w:sz="4" w:space="0"/>
                    <w:right w:val="single" w:color="auto" w:sz="4" w:space="0"/>
                  </w:tcBorders>
                  <w:vAlign w:val="center"/>
                </w:tcPr>
                <w:p w14:paraId="792ADBE9">
                  <w:pPr>
                    <w:rPr>
                      <w:rFonts w:hint="default" w:ascii="Calibri" w:hAnsi="Calibri" w:eastAsia="楷体_GB2312" w:cs="Calibri"/>
                      <w:color w:val="000000"/>
                      <w:lang w:eastAsia="zh-CN"/>
                    </w:rPr>
                  </w:pPr>
                  <w:r>
                    <w:rPr>
                      <w:rFonts w:hint="default" w:ascii="Calibri" w:hAnsi="Calibri" w:eastAsia="楷体_GB2312" w:cs="Calibri"/>
                      <w:color w:val="000000"/>
                      <w:lang w:eastAsia="zh-CN"/>
                    </w:rPr>
                    <w:t> Oklo与备用电源解决方案提供商 RPower 签署了一份谅解备忘录 (MoU)，为数据中心领域部署结合天然气和核电的分阶段电力模式。</w:t>
                  </w:r>
                </w:p>
              </w:tc>
            </w:tr>
            <w:tr w14:paraId="23FAC94B">
              <w:tblPrEx>
                <w:tblCellMar>
                  <w:top w:w="0" w:type="dxa"/>
                  <w:left w:w="108" w:type="dxa"/>
                  <w:bottom w:w="0" w:type="dxa"/>
                  <w:right w:w="108" w:type="dxa"/>
                </w:tblCellMar>
              </w:tblPrEx>
              <w:trPr>
                <w:trHeight w:val="395" w:hRule="atLeast"/>
              </w:trPr>
              <w:tc>
                <w:tcPr>
                  <w:tcW w:w="1149" w:type="dxa"/>
                  <w:tcBorders>
                    <w:top w:val="nil"/>
                    <w:left w:val="single" w:color="auto" w:sz="4" w:space="0"/>
                    <w:bottom w:val="single" w:color="auto" w:sz="4" w:space="0"/>
                    <w:right w:val="single" w:color="auto" w:sz="4" w:space="0"/>
                  </w:tcBorders>
                  <w:vAlign w:val="center"/>
                </w:tcPr>
                <w:p w14:paraId="41956360">
                  <w:pPr>
                    <w:jc w:val="center"/>
                    <w:rPr>
                      <w:rFonts w:hint="default" w:ascii="Calibri" w:hAnsi="Calibri" w:eastAsia="楷体_GB2312" w:cs="Calibri"/>
                      <w:color w:val="000000"/>
                    </w:rPr>
                  </w:pPr>
                  <w:r>
                    <w:rPr>
                      <w:rFonts w:hint="default" w:ascii="Calibri" w:hAnsi="Calibri" w:eastAsia="楷体_GB2312" w:cs="Calibri"/>
                      <w:color w:val="000000"/>
                    </w:rPr>
                    <w:t>2025-01-17</w:t>
                  </w:r>
                </w:p>
              </w:tc>
              <w:tc>
                <w:tcPr>
                  <w:tcW w:w="8557" w:type="dxa"/>
                  <w:tcBorders>
                    <w:top w:val="nil"/>
                    <w:left w:val="nil"/>
                    <w:bottom w:val="single" w:color="auto" w:sz="4" w:space="0"/>
                    <w:right w:val="single" w:color="auto" w:sz="4" w:space="0"/>
                  </w:tcBorders>
                  <w:vAlign w:val="center"/>
                </w:tcPr>
                <w:p w14:paraId="1B123152">
                  <w:pPr>
                    <w:rPr>
                      <w:rFonts w:hint="default" w:ascii="Calibri" w:hAnsi="Calibri" w:eastAsia="楷体_GB2312" w:cs="Calibri"/>
                      <w:color w:val="000000"/>
                    </w:rPr>
                  </w:pPr>
                  <w:r>
                    <w:rPr>
                      <w:rFonts w:hint="default" w:ascii="Calibri" w:hAnsi="Calibri" w:eastAsia="楷体_GB2312" w:cs="Calibri"/>
                      <w:color w:val="000000"/>
                    </w:rPr>
                    <w:t>Energy Vault与NuCube Energy 签署了战略合作伙伴关系，以支持 NuCube的NuSun小型核反应堆用于数据中心行业。</w:t>
                  </w:r>
                </w:p>
              </w:tc>
            </w:tr>
            <w:tr w14:paraId="33443C4B">
              <w:tblPrEx>
                <w:tblCellMar>
                  <w:top w:w="0" w:type="dxa"/>
                  <w:left w:w="108" w:type="dxa"/>
                  <w:bottom w:w="0" w:type="dxa"/>
                  <w:right w:w="108" w:type="dxa"/>
                </w:tblCellMar>
              </w:tblPrEx>
              <w:trPr>
                <w:trHeight w:val="678" w:hRule="atLeast"/>
              </w:trPr>
              <w:tc>
                <w:tcPr>
                  <w:tcW w:w="1149" w:type="dxa"/>
                  <w:tcBorders>
                    <w:top w:val="nil"/>
                    <w:left w:val="single" w:color="auto" w:sz="4" w:space="0"/>
                    <w:bottom w:val="single" w:color="auto" w:sz="4" w:space="0"/>
                    <w:right w:val="single" w:color="auto" w:sz="4" w:space="0"/>
                  </w:tcBorders>
                  <w:vAlign w:val="center"/>
                </w:tcPr>
                <w:p w14:paraId="6709060E">
                  <w:pPr>
                    <w:jc w:val="center"/>
                    <w:rPr>
                      <w:rFonts w:hint="default" w:ascii="Calibri" w:hAnsi="Calibri" w:eastAsia="楷体_GB2312" w:cs="Calibri"/>
                      <w:color w:val="000000"/>
                    </w:rPr>
                  </w:pPr>
                  <w:r>
                    <w:rPr>
                      <w:rFonts w:hint="default" w:ascii="Calibri" w:hAnsi="Calibri" w:eastAsia="楷体_GB2312" w:cs="Calibri"/>
                      <w:color w:val="000000"/>
                    </w:rPr>
                    <w:t>2025-01-07</w:t>
                  </w:r>
                </w:p>
              </w:tc>
              <w:tc>
                <w:tcPr>
                  <w:tcW w:w="8557" w:type="dxa"/>
                  <w:tcBorders>
                    <w:top w:val="nil"/>
                    <w:left w:val="nil"/>
                    <w:bottom w:val="single" w:color="auto" w:sz="4" w:space="0"/>
                    <w:right w:val="single" w:color="auto" w:sz="4" w:space="0"/>
                  </w:tcBorders>
                  <w:vAlign w:val="center"/>
                </w:tcPr>
                <w:p w14:paraId="603A2FAF">
                  <w:pPr>
                    <w:rPr>
                      <w:rFonts w:hint="default" w:ascii="Calibri" w:hAnsi="Calibri" w:eastAsia="楷体_GB2312" w:cs="Calibri"/>
                      <w:color w:val="000000"/>
                    </w:rPr>
                  </w:pPr>
                  <w:r>
                    <w:rPr>
                      <w:rFonts w:hint="default" w:ascii="Calibri" w:hAnsi="Calibri" w:eastAsia="楷体_GB2312" w:cs="Calibri"/>
                      <w:color w:val="000000"/>
                    </w:rPr>
                    <w:t>小型模块化核反应堆 (SMR) 开发商 Deep Fission 已与美国可持续基础设施开发商 Endeavour Energy 合作，承诺共同开发 2GW 核能，为 Endeavour 的全球 Edged 数据中心组合供电，首批反应堆预计将于 2029 年投入运营。</w:t>
                  </w:r>
                </w:p>
              </w:tc>
            </w:tr>
          </w:tbl>
          <w:p w14:paraId="5BC9DC6A">
            <w:pPr>
              <w:overflowPunct w:val="0"/>
              <w:spacing w:before="20" w:after="20"/>
              <w:rPr>
                <w:rFonts w:hint="default" w:ascii="Calibri" w:hAnsi="Calibri" w:eastAsia="楷体_GB2312" w:cs="Calibri"/>
              </w:rPr>
            </w:pPr>
          </w:p>
        </w:tc>
      </w:tr>
      <w:tr w14:paraId="6821F8FB">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9914" w:type="dxa"/>
            <w:tcBorders>
              <w:top w:val="single" w:color="auto" w:sz="4" w:space="0"/>
            </w:tcBorders>
          </w:tcPr>
          <w:p w14:paraId="78EE46E0">
            <w:pPr>
              <w:rPr>
                <w:rFonts w:hint="default" w:ascii="Calibri" w:hAnsi="Calibri" w:eastAsia="楷体_GB2312" w:cs="Calibri"/>
                <w:i/>
                <w:iCs/>
                <w:sz w:val="15"/>
                <w:szCs w:val="15"/>
                <w:lang w:eastAsia="zh-CN"/>
              </w:rPr>
            </w:pPr>
            <w:r>
              <w:rPr>
                <w:rFonts w:hint="default" w:ascii="Calibri" w:hAnsi="Calibri" w:eastAsia="楷体_GB2312" w:cs="Calibri"/>
                <w:i/>
                <w:iCs/>
                <w:lang w:eastAsia="zh-CN"/>
              </w:rPr>
              <w:t>资料来源：DCD，HFI</w:t>
            </w:r>
          </w:p>
        </w:tc>
      </w:tr>
    </w:tbl>
    <w:p w14:paraId="7A59ADE4">
      <w:pPr>
        <w:overflowPunct w:val="0"/>
        <w:ind w:left="3200" w:leftChars="2000"/>
        <w:jc w:val="both"/>
        <w:outlineLvl w:val="1"/>
        <w:rPr>
          <w:rFonts w:hint="default" w:ascii="Calibri" w:hAnsi="Calibri" w:eastAsia="楷体_GB2312" w:cs="Calibri"/>
          <w:b/>
          <w:bCs/>
          <w:sz w:val="20"/>
          <w:szCs w:val="20"/>
          <w:lang w:val="en-US" w:eastAsia="zh-CN"/>
        </w:rPr>
      </w:pPr>
    </w:p>
    <w:p w14:paraId="5D70F591">
      <w:pPr>
        <w:overflowPunct w:val="0"/>
        <w:ind w:left="3200" w:leftChars="2000"/>
        <w:jc w:val="both"/>
        <w:rPr>
          <w:rFonts w:hint="default" w:ascii="Calibri" w:hAnsi="Calibri" w:eastAsia="楷体_GB2312" w:cs="Calibri"/>
          <w:sz w:val="20"/>
          <w:szCs w:val="20"/>
          <w:lang w:val="en-US" w:eastAsia="zh-CN"/>
        </w:rPr>
      </w:pPr>
    </w:p>
    <w:p w14:paraId="5189B1B0">
      <w:pPr>
        <w:overflowPunct w:val="0"/>
        <w:jc w:val="both"/>
        <w:rPr>
          <w:rFonts w:hint="default" w:ascii="Calibri" w:hAnsi="Calibri" w:eastAsia="楷体_GB2312" w:cs="Calibri"/>
          <w:b/>
          <w:bCs/>
          <w:color w:val="1F497D" w:themeColor="text2"/>
          <w:sz w:val="24"/>
          <w:szCs w:val="24"/>
          <w:lang w:val="en-US" w:eastAsia="zh-CN"/>
          <w14:textFill>
            <w14:solidFill>
              <w14:schemeClr w14:val="tx2"/>
            </w14:solidFill>
          </w14:textFill>
        </w:rPr>
      </w:pPr>
    </w:p>
    <w:p w14:paraId="2A728A00">
      <w:pPr>
        <w:overflowPunct w:val="0"/>
        <w:ind w:left="3200" w:leftChars="2000"/>
        <w:jc w:val="both"/>
        <w:outlineLvl w:val="0"/>
        <w:rPr>
          <w:rFonts w:hint="default" w:ascii="Calibri" w:hAnsi="Calibri" w:eastAsia="楷体_GB2312" w:cs="Calibri"/>
          <w:b/>
          <w:bCs/>
          <w:color w:val="1F497D" w:themeColor="text2"/>
          <w:sz w:val="24"/>
          <w:szCs w:val="24"/>
          <w:lang w:val="en-US" w:eastAsia="zh-CN"/>
          <w14:textFill>
            <w14:solidFill>
              <w14:schemeClr w14:val="tx2"/>
            </w14:solidFill>
          </w14:textFill>
        </w:rPr>
      </w:pPr>
      <w:bookmarkStart w:id="13" w:name="_Toc223082598"/>
      <w:r>
        <w:rPr>
          <w:rFonts w:hint="default" w:ascii="Calibri" w:hAnsi="Calibri" w:eastAsia="楷体_GB2312" w:cs="Calibri"/>
          <w:b/>
          <w:bCs/>
          <w:color w:val="1F497D" w:themeColor="text2"/>
          <w:sz w:val="24"/>
          <w:szCs w:val="24"/>
          <w:lang w:val="en-US" w:eastAsia="zh-CN"/>
          <w14:textFill>
            <w14:solidFill>
              <w14:schemeClr w14:val="tx2"/>
            </w14:solidFill>
          </w14:textFill>
        </w:rPr>
        <w:t>三、全球电气与智能装备</w:t>
      </w:r>
      <w:bookmarkEnd w:id="13"/>
      <w:bookmarkStart w:id="14" w:name="_Toc1994335251"/>
    </w:p>
    <w:p w14:paraId="0724EC68">
      <w:pPr>
        <w:overflowPunct w:val="0"/>
        <w:ind w:left="3200" w:leftChars="2000"/>
        <w:jc w:val="both"/>
        <w:outlineLvl w:val="1"/>
        <w:rPr>
          <w:rFonts w:hint="default" w:ascii="Calibri" w:hAnsi="Calibri" w:eastAsia="楷体_GB2312" w:cs="Calibri"/>
          <w:b/>
          <w:bCs/>
          <w:color w:val="1F497D" w:themeColor="text2"/>
          <w:sz w:val="24"/>
          <w:szCs w:val="24"/>
          <w:lang w:val="en-US" w:eastAsia="zh-CN"/>
          <w14:textFill>
            <w14:solidFill>
              <w14:schemeClr w14:val="tx2"/>
            </w14:solidFill>
          </w14:textFill>
        </w:rPr>
      </w:pPr>
      <w:r>
        <w:rPr>
          <w:rFonts w:hint="default" w:ascii="Calibri" w:hAnsi="Calibri" w:eastAsia="楷体_GB2312" w:cs="Calibri"/>
        </w:rPr>
        <w:fldChar w:fldCharType="begin"/>
      </w:r>
      <w:r>
        <w:rPr>
          <w:rFonts w:hint="default" w:ascii="Calibri" w:hAnsi="Calibri" w:eastAsia="楷体_GB2312" w:cs="Calibri"/>
        </w:rPr>
        <w:instrText xml:space="preserve"> HYPERLINK \l "_Toc192787052" </w:instrText>
      </w:r>
      <w:r>
        <w:rPr>
          <w:rFonts w:hint="default" w:ascii="Calibri" w:hAnsi="Calibri" w:eastAsia="楷体_GB2312" w:cs="Calibri"/>
        </w:rPr>
        <w:fldChar w:fldCharType="separate"/>
      </w:r>
      <w:bookmarkStart w:id="15" w:name="_Toc223082599"/>
      <w:r>
        <w:rPr>
          <w:rFonts w:hint="default" w:ascii="Calibri" w:hAnsi="Calibri" w:eastAsia="楷体_GB2312" w:cs="Calibri"/>
          <w:b/>
          <w:bCs/>
          <w:color w:val="1F497D" w:themeColor="text2"/>
          <w:sz w:val="24"/>
          <w:szCs w:val="24"/>
          <w:lang w:val="en-US" w:eastAsia="zh-CN"/>
          <w14:textFill>
            <w14:solidFill>
              <w14:schemeClr w14:val="tx2"/>
            </w14:solidFill>
          </w14:textFill>
        </w:rPr>
        <w:t>（一）工业设备价格指数</w:t>
      </w:r>
      <w:bookmarkEnd w:id="15"/>
      <w:r>
        <w:rPr>
          <w:rFonts w:hint="default" w:ascii="Calibri" w:hAnsi="Calibri" w:eastAsia="楷体_GB2312" w:cs="Calibri"/>
          <w:b/>
          <w:bCs/>
          <w:color w:val="1F497D" w:themeColor="text2"/>
          <w:sz w:val="24"/>
          <w:szCs w:val="24"/>
          <w:lang w:val="en-US" w:eastAsia="zh-CN"/>
          <w14:textFill>
            <w14:solidFill>
              <w14:schemeClr w14:val="tx2"/>
            </w14:solidFill>
          </w14:textFill>
        </w:rPr>
        <w:fldChar w:fldCharType="end"/>
      </w:r>
      <w:bookmarkEnd w:id="14"/>
    </w:p>
    <w:p w14:paraId="2E8E136B">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供需关系持续偏紧、行业竞争格局稳定，共同推动燃气轮机价格指数延续上行趋势。</w:t>
      </w:r>
      <w:r>
        <w:rPr>
          <w:rFonts w:hint="default" w:ascii="Calibri" w:hAnsi="Calibri" w:eastAsia="楷体_GB2312" w:cs="Calibri"/>
          <w:sz w:val="20"/>
          <w:szCs w:val="20"/>
          <w:lang w:val="en-US" w:eastAsia="zh-CN"/>
        </w:rPr>
        <w:t>2024年以来指数增速明显加快，价格中枢持续抬升。2024年12月指数为155.934，2025年12月升至168.297，同比上涨约7.9%，创近二十年新高。相较历史区间，当前价格已处于高位水平，在供需紧张背景下，短期内仍存在进一步上行可能。</w:t>
      </w:r>
    </w:p>
    <w:p w14:paraId="1B8BCE35">
      <w:pPr>
        <w:overflowPunct w:val="0"/>
        <w:ind w:left="3200" w:leftChars="2000"/>
        <w:jc w:val="both"/>
        <w:rPr>
          <w:rFonts w:hint="default" w:ascii="Calibri" w:hAnsi="Calibri" w:eastAsia="楷体_GB2312" w:cs="Calibri"/>
          <w:sz w:val="20"/>
          <w:szCs w:val="20"/>
          <w:lang w:val="en-US" w:eastAsia="zh-CN"/>
        </w:rPr>
      </w:pPr>
    </w:p>
    <w:tbl>
      <w:tblPr>
        <w:tblStyle w:val="27"/>
        <w:tblW w:w="8150" w:type="dxa"/>
        <w:jc w:val="right"/>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fixed"/>
        <w:tblCellMar>
          <w:top w:w="0" w:type="dxa"/>
          <w:left w:w="0" w:type="dxa"/>
          <w:bottom w:w="0" w:type="dxa"/>
          <w:right w:w="0" w:type="dxa"/>
        </w:tblCellMar>
      </w:tblPr>
      <w:tblGrid>
        <w:gridCol w:w="8150"/>
      </w:tblGrid>
      <w:tr w14:paraId="0FCC1C37">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rPr>
          <w:jc w:val="right"/>
        </w:trPr>
        <w:tc>
          <w:tcPr>
            <w:tcW w:w="8150" w:type="dxa"/>
            <w:tcBorders>
              <w:bottom w:val="single" w:color="auto" w:sz="4" w:space="0"/>
            </w:tcBorders>
          </w:tcPr>
          <w:p w14:paraId="5D729507">
            <w:pPr>
              <w:overflowPunct w:val="0"/>
              <w:rPr>
                <w:rFonts w:hint="default" w:ascii="Calibri" w:hAnsi="Calibri" w:eastAsia="楷体_GB2312" w:cs="Calibri"/>
                <w:b/>
                <w:sz w:val="17"/>
              </w:rPr>
            </w:pPr>
            <w:r>
              <w:rPr>
                <w:rFonts w:hint="default" w:ascii="Calibri" w:hAnsi="Calibri" w:eastAsia="楷体_GB2312" w:cs="Calibri"/>
                <w:b/>
                <w:sz w:val="18"/>
                <w:szCs w:val="18"/>
              </w:rPr>
              <w:t>图</w:t>
            </w:r>
            <w:r>
              <w:rPr>
                <w:rFonts w:hint="default" w:ascii="Calibri" w:hAnsi="Calibri" w:eastAsia="楷体_GB2312" w:cs="Calibri"/>
                <w:b/>
                <w:sz w:val="18"/>
                <w:szCs w:val="18"/>
                <w:lang w:val="en-US" w:eastAsia="zh-CN"/>
              </w:rPr>
              <w:t>5</w:t>
            </w:r>
            <w:r>
              <w:rPr>
                <w:rFonts w:hint="default" w:ascii="Calibri" w:hAnsi="Calibri" w:eastAsia="楷体_GB2312" w:cs="Calibri"/>
                <w:b/>
                <w:sz w:val="18"/>
                <w:szCs w:val="18"/>
              </w:rPr>
              <w:t>: PPI：燃气轮机</w:t>
            </w:r>
          </w:p>
        </w:tc>
      </w:tr>
      <w:tr w14:paraId="0B0EB06D">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1746" w:hRule="atLeast"/>
          <w:jc w:val="right"/>
        </w:trPr>
        <w:tc>
          <w:tcPr>
            <w:tcW w:w="8150" w:type="dxa"/>
            <w:tcBorders>
              <w:top w:val="single" w:color="auto" w:sz="4" w:space="0"/>
              <w:bottom w:val="single" w:color="auto" w:sz="4" w:space="0"/>
            </w:tcBorders>
            <w:vAlign w:val="center"/>
          </w:tcPr>
          <w:p w14:paraId="24632853">
            <w:pPr>
              <w:overflowPunct w:val="0"/>
              <w:jc w:val="center"/>
              <w:rPr>
                <w:rFonts w:hint="default" w:ascii="Calibri" w:hAnsi="Calibri" w:eastAsia="楷体_GB2312" w:cs="Calibri"/>
                <w:sz w:val="10"/>
              </w:rPr>
            </w:pPr>
            <w:r>
              <w:rPr>
                <w:rFonts w:hint="default" w:ascii="Calibri" w:hAnsi="Calibri" w:eastAsia="楷体_GB2312" w:cs="Calibri"/>
              </w:rPr>
              <w:drawing>
                <wp:inline distT="0" distB="0" distL="0" distR="0">
                  <wp:extent cx="5010150" cy="1807845"/>
                  <wp:effectExtent l="0" t="0" r="3810" b="5715"/>
                  <wp:docPr id="533675888" name="图片 1" descr="C:/Users/Zipline/Downloads/fredgraph.pngfred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675888" name="图片 1" descr="C:/Users/Zipline/Downloads/fredgraph.pngfredgraph"/>
                          <pic:cNvPicPr>
                            <a:picLocks noChangeAspect="1"/>
                          </pic:cNvPicPr>
                        </pic:nvPicPr>
                        <pic:blipFill>
                          <a:blip r:embed="rId18"/>
                          <a:srcRect t="551" b="551"/>
                          <a:stretch>
                            <a:fillRect/>
                          </a:stretch>
                        </pic:blipFill>
                        <pic:spPr>
                          <a:xfrm>
                            <a:off x="0" y="0"/>
                            <a:ext cx="5010150" cy="1807845"/>
                          </a:xfrm>
                          <a:prstGeom prst="rect">
                            <a:avLst/>
                          </a:prstGeom>
                        </pic:spPr>
                      </pic:pic>
                    </a:graphicData>
                  </a:graphic>
                </wp:inline>
              </w:drawing>
            </w:r>
          </w:p>
        </w:tc>
      </w:tr>
      <w:tr w14:paraId="1CC8A44A">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rPr>
          <w:jc w:val="right"/>
        </w:trPr>
        <w:tc>
          <w:tcPr>
            <w:tcW w:w="8150" w:type="dxa"/>
            <w:tcBorders>
              <w:top w:val="single" w:color="auto" w:sz="4" w:space="0"/>
            </w:tcBorders>
          </w:tcPr>
          <w:p w14:paraId="4D9308E2">
            <w:pPr>
              <w:overflowPunct w:val="0"/>
              <w:rPr>
                <w:rFonts w:hint="default" w:ascii="Calibri" w:hAnsi="Calibri" w:eastAsia="楷体_GB2312" w:cs="Calibri"/>
                <w:i/>
                <w:iCs/>
                <w:sz w:val="15"/>
                <w:szCs w:val="15"/>
                <w:lang w:val="en-US" w:eastAsia="zh-CN"/>
              </w:rPr>
            </w:pPr>
            <w:r>
              <w:rPr>
                <w:rFonts w:hint="default" w:ascii="Calibri" w:hAnsi="Calibri" w:eastAsia="楷体_GB2312" w:cs="Calibri"/>
                <w:i/>
                <w:iCs/>
                <w:sz w:val="15"/>
                <w:szCs w:val="15"/>
                <w:lang w:val="en-US" w:eastAsia="zh-CN"/>
              </w:rPr>
              <w:t>资料来源：U.S. Bureau of Labor Statistics，</w:t>
            </w:r>
            <w:r>
              <w:rPr>
                <w:rFonts w:hint="default" w:ascii="Calibri" w:hAnsi="Calibri" w:eastAsia="楷体_GB2312" w:cs="Calibri"/>
                <w:sz w:val="15"/>
                <w:szCs w:val="15"/>
                <w:lang w:val="en-US" w:eastAsia="zh-CN"/>
              </w:rPr>
              <w:t>HFi</w:t>
            </w:r>
          </w:p>
        </w:tc>
      </w:tr>
    </w:tbl>
    <w:p w14:paraId="58536AB8">
      <w:pPr>
        <w:overflowPunct w:val="0"/>
        <w:ind w:left="3200" w:leftChars="2000"/>
        <w:jc w:val="both"/>
        <w:rPr>
          <w:rFonts w:hint="default" w:ascii="Calibri" w:hAnsi="Calibri" w:eastAsia="楷体_GB2312" w:cs="Calibri"/>
          <w:b/>
          <w:bCs/>
          <w:sz w:val="20"/>
          <w:szCs w:val="20"/>
          <w:lang w:val="en-US" w:eastAsia="zh-CN"/>
        </w:rPr>
      </w:pPr>
    </w:p>
    <w:p w14:paraId="13320BC2">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展望未来，美国燃气轮机市场的新增需求更多由结构性因素驱动。</w:t>
      </w:r>
      <w:r>
        <w:rPr>
          <w:rFonts w:hint="default" w:ascii="Calibri" w:hAnsi="Calibri" w:eastAsia="楷体_GB2312" w:cs="Calibri"/>
          <w:sz w:val="20"/>
          <w:szCs w:val="20"/>
          <w:lang w:val="en-US" w:eastAsia="zh-CN"/>
        </w:rPr>
        <w:t>一方面，再工业化进程和制造业回流对电力系统提出更高稳定性与调峰要求；另一方面，AI与云计算带动的数据中心快速扩张，显著抬升高可靠电源需求。尽管美国燃气发电量已显著高于中国，但整体用电需求增速相对温和，且燃气轮机装机主要集中于2000—2005年建设高峰期，现有机组规模在短期内仍可覆盖常规发电需求。因此，美国燃气轮机市场的新增建设空间有限，未来增长重心预计将更多来自数据中心相关项目的拉动。</w:t>
      </w:r>
    </w:p>
    <w:p w14:paraId="01F9CF12">
      <w:pPr>
        <w:overflowPunct w:val="0"/>
        <w:jc w:val="both"/>
        <w:rPr>
          <w:rFonts w:hint="default" w:ascii="Calibri" w:hAnsi="Calibri" w:eastAsia="楷体_GB2312" w:cs="Calibri"/>
          <w:b/>
          <w:bCs/>
          <w:sz w:val="20"/>
          <w:szCs w:val="20"/>
          <w:lang w:val="en-US" w:eastAsia="zh-CN"/>
        </w:rPr>
      </w:pPr>
    </w:p>
    <w:tbl>
      <w:tblPr>
        <w:tblStyle w:val="27"/>
        <w:tblW w:w="8286" w:type="dxa"/>
        <w:tblInd w:w="2422"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autofit"/>
        <w:tblCellMar>
          <w:top w:w="0" w:type="dxa"/>
          <w:left w:w="0" w:type="dxa"/>
          <w:bottom w:w="0" w:type="dxa"/>
          <w:right w:w="0" w:type="dxa"/>
        </w:tblCellMar>
      </w:tblPr>
      <w:tblGrid>
        <w:gridCol w:w="8286"/>
      </w:tblGrid>
      <w:tr w14:paraId="26862BB2">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8286" w:type="dxa"/>
            <w:tcBorders>
              <w:bottom w:val="single" w:color="auto" w:sz="4" w:space="0"/>
            </w:tcBorders>
          </w:tcPr>
          <w:p w14:paraId="6789A4DA">
            <w:pPr>
              <w:overflowPunct w:val="0"/>
              <w:rPr>
                <w:rFonts w:hint="default" w:ascii="Calibri" w:hAnsi="Calibri" w:eastAsia="楷体_GB2312" w:cs="Calibri"/>
                <w:sz w:val="20"/>
                <w:szCs w:val="20"/>
                <w:lang w:val="en-US" w:eastAsia="zh-CN"/>
              </w:rPr>
            </w:pPr>
            <w:r>
              <w:rPr>
                <w:rFonts w:hint="default" w:ascii="Calibri" w:hAnsi="Calibri" w:eastAsia="楷体_GB2312" w:cs="Calibri"/>
                <w:b/>
                <w:sz w:val="18"/>
                <w:szCs w:val="18"/>
                <w:lang w:eastAsia="zh-CN"/>
              </w:rPr>
              <w:t>图</w:t>
            </w:r>
            <w:r>
              <w:rPr>
                <w:rFonts w:hint="default" w:ascii="Calibri" w:hAnsi="Calibri" w:eastAsia="楷体_GB2312" w:cs="Calibri"/>
                <w:b/>
                <w:sz w:val="18"/>
                <w:szCs w:val="18"/>
                <w:lang w:val="en-US" w:eastAsia="zh-CN"/>
              </w:rPr>
              <w:t>6</w:t>
            </w:r>
            <w:r>
              <w:rPr>
                <w:rFonts w:hint="default" w:ascii="Calibri" w:hAnsi="Calibri" w:eastAsia="楷体_GB2312" w:cs="Calibri"/>
                <w:b/>
                <w:sz w:val="18"/>
                <w:szCs w:val="18"/>
                <w:lang w:eastAsia="zh-CN"/>
              </w:rPr>
              <w:t>: 美国例年联合循环燃气轮机新装机量</w:t>
            </w:r>
          </w:p>
        </w:tc>
      </w:tr>
      <w:tr w14:paraId="36405103">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2468" w:hRule="atLeast"/>
        </w:trPr>
        <w:tc>
          <w:tcPr>
            <w:tcW w:w="8286" w:type="dxa"/>
            <w:tcBorders>
              <w:top w:val="single" w:color="auto" w:sz="4" w:space="0"/>
              <w:bottom w:val="single" w:color="auto" w:sz="4" w:space="0"/>
            </w:tcBorders>
            <w:vAlign w:val="center"/>
          </w:tcPr>
          <w:p w14:paraId="044716BF">
            <w:pPr>
              <w:overflowPunct w:val="0"/>
              <w:jc w:val="center"/>
              <w:rPr>
                <w:rFonts w:hint="default" w:ascii="Calibri" w:hAnsi="Calibri" w:eastAsia="楷体_GB2312" w:cs="Calibri"/>
                <w:sz w:val="10"/>
              </w:rPr>
            </w:pPr>
            <w:r>
              <w:rPr>
                <w:rFonts w:hint="default" w:ascii="Calibri" w:hAnsi="Calibri" w:eastAsia="楷体_GB2312" w:cs="Calibri"/>
              </w:rPr>
              <w:drawing>
                <wp:inline distT="0" distB="0" distL="114300" distR="114300">
                  <wp:extent cx="5120005" cy="2543175"/>
                  <wp:effectExtent l="0" t="0" r="4445"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9"/>
                          <a:stretch>
                            <a:fillRect/>
                          </a:stretch>
                        </pic:blipFill>
                        <pic:spPr>
                          <a:xfrm>
                            <a:off x="0" y="0"/>
                            <a:ext cx="5120005" cy="2543175"/>
                          </a:xfrm>
                          <a:prstGeom prst="rect">
                            <a:avLst/>
                          </a:prstGeom>
                          <a:noFill/>
                          <a:ln>
                            <a:noFill/>
                          </a:ln>
                        </pic:spPr>
                      </pic:pic>
                    </a:graphicData>
                  </a:graphic>
                </wp:inline>
              </w:drawing>
            </w:r>
          </w:p>
        </w:tc>
      </w:tr>
      <w:tr w14:paraId="6C77072C">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8286" w:type="dxa"/>
            <w:tcBorders>
              <w:top w:val="single" w:color="auto" w:sz="4" w:space="0"/>
            </w:tcBorders>
          </w:tcPr>
          <w:p w14:paraId="5C70BFB2">
            <w:pPr>
              <w:overflowPunct w:val="0"/>
              <w:rPr>
                <w:rFonts w:hint="default" w:ascii="Calibri" w:hAnsi="Calibri" w:eastAsia="楷体_GB2312" w:cs="Calibri"/>
                <w:sz w:val="15"/>
                <w:szCs w:val="15"/>
                <w:lang w:val="en-US" w:eastAsia="zh-CN"/>
              </w:rPr>
            </w:pPr>
            <w:r>
              <w:rPr>
                <w:rFonts w:hint="default" w:ascii="Calibri" w:hAnsi="Calibri" w:eastAsia="楷体_GB2312" w:cs="Calibri"/>
                <w:i/>
                <w:iCs/>
                <w:lang w:val="zh-CN"/>
              </w:rPr>
              <w:t>资料来源：</w:t>
            </w:r>
            <w:r>
              <w:rPr>
                <w:rFonts w:hint="default" w:ascii="Calibri" w:hAnsi="Calibri" w:eastAsia="楷体_GB2312" w:cs="Calibri"/>
                <w:lang w:val="zh-CN"/>
              </w:rPr>
              <w:t>EIA，</w:t>
            </w:r>
            <w:r>
              <w:rPr>
                <w:rFonts w:hint="default" w:ascii="Calibri" w:hAnsi="Calibri" w:eastAsia="楷体_GB2312" w:cs="Calibri"/>
                <w:lang w:val="en-US" w:eastAsia="zh-CN"/>
              </w:rPr>
              <w:t>HFI</w:t>
            </w:r>
          </w:p>
        </w:tc>
      </w:tr>
    </w:tbl>
    <w:p w14:paraId="2D5B1853">
      <w:pPr>
        <w:overflowPunct w:val="0"/>
        <w:ind w:firstLine="3000" w:firstLineChars="1500"/>
        <w:rPr>
          <w:rFonts w:hint="default" w:ascii="Calibri" w:hAnsi="Calibri" w:eastAsia="楷体_GB2312" w:cs="Calibri"/>
          <w:sz w:val="20"/>
          <w:szCs w:val="20"/>
          <w:lang w:val="en-US" w:eastAsia="zh-CN"/>
        </w:rPr>
      </w:pPr>
    </w:p>
    <w:p w14:paraId="31F5B964">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在价格走势上，泵与压缩机制造环节PPI整体呈现长期上行态势。</w:t>
      </w:r>
      <w:r>
        <w:rPr>
          <w:rFonts w:hint="default" w:ascii="Calibri" w:hAnsi="Calibri" w:eastAsia="楷体_GB2312" w:cs="Calibri"/>
          <w:sz w:val="20"/>
          <w:szCs w:val="20"/>
          <w:lang w:val="en-US" w:eastAsia="zh-CN"/>
        </w:rPr>
        <w:t>作为工业系统中的关键通用设备，其生产者出厂价格指数自2003年基期以来持续抬升，2020年后涨幅明显扩大，并在2022年起进入加速上行阶段。至2025年12月，指数升至238.872，处于历史高位区间。预计在AI 数据中心建设、工业投资回暖等因素支撑下，相关需求具备较强韧性，价格中枢有望维持高位运行。</w:t>
      </w:r>
    </w:p>
    <w:p w14:paraId="75EE36AF">
      <w:pPr>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br w:type="page"/>
      </w:r>
    </w:p>
    <w:tbl>
      <w:tblPr>
        <w:tblStyle w:val="27"/>
        <w:tblW w:w="8376" w:type="dxa"/>
        <w:tblInd w:w="2336"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autofit"/>
        <w:tblCellMar>
          <w:top w:w="0" w:type="dxa"/>
          <w:left w:w="0" w:type="dxa"/>
          <w:bottom w:w="0" w:type="dxa"/>
          <w:right w:w="0" w:type="dxa"/>
        </w:tblCellMar>
      </w:tblPr>
      <w:tblGrid>
        <w:gridCol w:w="8376"/>
      </w:tblGrid>
      <w:tr w14:paraId="2B55D1EB">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8376" w:type="dxa"/>
            <w:tcBorders>
              <w:bottom w:val="single" w:color="auto" w:sz="4" w:space="0"/>
            </w:tcBorders>
          </w:tcPr>
          <w:p w14:paraId="76516327">
            <w:pPr>
              <w:overflowPunct w:val="0"/>
              <w:rPr>
                <w:rFonts w:hint="default" w:ascii="Calibri" w:hAnsi="Calibri" w:eastAsia="楷体_GB2312" w:cs="Calibri"/>
                <w:b/>
                <w:sz w:val="18"/>
                <w:szCs w:val="18"/>
                <w:lang w:eastAsia="zh-CN"/>
              </w:rPr>
            </w:pPr>
            <w:r>
              <w:rPr>
                <w:rFonts w:hint="default" w:ascii="Calibri" w:hAnsi="Calibri" w:eastAsia="楷体_GB2312" w:cs="Calibri"/>
                <w:b/>
                <w:sz w:val="18"/>
                <w:szCs w:val="18"/>
                <w:lang w:eastAsia="zh-CN"/>
              </w:rPr>
              <w:t>图</w:t>
            </w:r>
            <w:r>
              <w:rPr>
                <w:rFonts w:hint="default" w:ascii="Calibri" w:hAnsi="Calibri" w:eastAsia="楷体_GB2312" w:cs="Calibri"/>
                <w:b/>
                <w:sz w:val="18"/>
                <w:szCs w:val="18"/>
                <w:lang w:val="en-US" w:eastAsia="zh-CN"/>
              </w:rPr>
              <w:t>7</w:t>
            </w:r>
            <w:r>
              <w:rPr>
                <w:rFonts w:hint="default" w:ascii="Calibri" w:hAnsi="Calibri" w:eastAsia="楷体_GB2312" w:cs="Calibri"/>
                <w:b/>
                <w:sz w:val="18"/>
                <w:szCs w:val="18"/>
                <w:lang w:eastAsia="zh-CN"/>
              </w:rPr>
              <w:t>: 生产商价格指数按行业：泵和压缩机制造</w:t>
            </w:r>
          </w:p>
        </w:tc>
      </w:tr>
      <w:tr w14:paraId="6E8B719D">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2554" w:hRule="atLeast"/>
        </w:trPr>
        <w:tc>
          <w:tcPr>
            <w:tcW w:w="8376" w:type="dxa"/>
            <w:tcBorders>
              <w:top w:val="single" w:color="auto" w:sz="4" w:space="0"/>
              <w:bottom w:val="single" w:color="auto" w:sz="4" w:space="0"/>
            </w:tcBorders>
            <w:vAlign w:val="center"/>
          </w:tcPr>
          <w:p w14:paraId="1662FCDD">
            <w:pPr>
              <w:overflowPunct w:val="0"/>
              <w:jc w:val="center"/>
              <w:rPr>
                <w:rFonts w:hint="default" w:ascii="Calibri" w:hAnsi="Calibri" w:eastAsia="楷体_GB2312" w:cs="Calibri"/>
                <w:sz w:val="10"/>
              </w:rPr>
            </w:pPr>
            <w:r>
              <w:rPr>
                <w:rFonts w:hint="default" w:ascii="Calibri" w:hAnsi="Calibri" w:eastAsia="楷体_GB2312" w:cs="Calibri"/>
                <w:sz w:val="10"/>
              </w:rPr>
              <w:drawing>
                <wp:inline distT="0" distB="0" distL="114300" distR="114300">
                  <wp:extent cx="5180330" cy="2350770"/>
                  <wp:effectExtent l="0" t="0" r="1270" b="0"/>
                  <wp:docPr id="4" name="图片 4" descr="fredgrap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redgraph (1)"/>
                          <pic:cNvPicPr>
                            <a:picLocks noChangeAspect="1"/>
                          </pic:cNvPicPr>
                        </pic:nvPicPr>
                        <pic:blipFill>
                          <a:blip r:embed="rId20"/>
                          <a:stretch>
                            <a:fillRect/>
                          </a:stretch>
                        </pic:blipFill>
                        <pic:spPr>
                          <a:xfrm>
                            <a:off x="0" y="0"/>
                            <a:ext cx="5185967" cy="2353846"/>
                          </a:xfrm>
                          <a:prstGeom prst="rect">
                            <a:avLst/>
                          </a:prstGeom>
                        </pic:spPr>
                      </pic:pic>
                    </a:graphicData>
                  </a:graphic>
                </wp:inline>
              </w:drawing>
            </w:r>
          </w:p>
        </w:tc>
      </w:tr>
      <w:tr w14:paraId="6FDABF14">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8376" w:type="dxa"/>
            <w:tcBorders>
              <w:top w:val="single" w:color="auto" w:sz="4" w:space="0"/>
            </w:tcBorders>
          </w:tcPr>
          <w:p w14:paraId="7692913D">
            <w:pPr>
              <w:overflowPunct w:val="0"/>
              <w:rPr>
                <w:rFonts w:hint="default" w:ascii="Calibri" w:hAnsi="Calibri" w:eastAsia="楷体_GB2312" w:cs="Calibri"/>
                <w:sz w:val="15"/>
                <w:szCs w:val="15"/>
              </w:rPr>
            </w:pPr>
            <w:r>
              <w:rPr>
                <w:rFonts w:hint="default" w:ascii="Calibri" w:hAnsi="Calibri" w:eastAsia="楷体_GB2312" w:cs="Calibri"/>
                <w:i/>
                <w:iCs/>
                <w:lang w:val="zh-CN"/>
              </w:rPr>
              <w:t>资料来源：U.S. Bureau of Labor Statistics via FRED® , HFI</w:t>
            </w:r>
          </w:p>
        </w:tc>
      </w:tr>
    </w:tbl>
    <w:p w14:paraId="35E14E17">
      <w:pPr>
        <w:overflowPunct w:val="0"/>
        <w:rPr>
          <w:rFonts w:hint="default" w:ascii="Calibri" w:hAnsi="Calibri" w:eastAsia="楷体_GB2312" w:cs="Calibri"/>
          <w:b/>
          <w:bCs/>
          <w:kern w:val="28"/>
          <w:szCs w:val="20"/>
          <w:lang w:eastAsia="zh-CN"/>
        </w:rPr>
      </w:pPr>
    </w:p>
    <w:p w14:paraId="1F7D8A85">
      <w:pPr>
        <w:overflowPunct w:val="0"/>
        <w:ind w:left="3200" w:leftChars="2000"/>
        <w:jc w:val="both"/>
        <w:rPr>
          <w:rFonts w:hint="default" w:ascii="Calibri" w:hAnsi="Calibri" w:eastAsia="楷体_GB2312" w:cs="Calibri"/>
          <w:sz w:val="20"/>
          <w:szCs w:val="20"/>
          <w:lang w:val="en-US" w:eastAsia="zh-CN"/>
        </w:rPr>
      </w:pPr>
    </w:p>
    <w:p w14:paraId="2E37D2B4">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美国电力及特种变压器：初级产品生产价格指数月环比稳定</w:t>
      </w:r>
      <w:r>
        <w:rPr>
          <w:rFonts w:hint="default" w:ascii="Calibri" w:hAnsi="Calibri" w:eastAsia="楷体_GB2312" w:cs="Calibri"/>
          <w:sz w:val="20"/>
          <w:szCs w:val="20"/>
          <w:lang w:val="en-US" w:eastAsia="zh-CN"/>
        </w:rPr>
        <w:t>。电力及特种变压器初级产品生产价格指数2025年12月为441.856，环比上升，同比增长5.86%。</w:t>
      </w:r>
    </w:p>
    <w:tbl>
      <w:tblPr>
        <w:tblStyle w:val="27"/>
        <w:tblpPr w:leftFromText="180" w:rightFromText="180" w:vertAnchor="text" w:horzAnchor="margin" w:tblpXSpec="right" w:tblpY="283"/>
        <w:tblW w:w="8316" w:type="dxa"/>
        <w:tblInd w:w="0"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autofit"/>
        <w:tblCellMar>
          <w:top w:w="0" w:type="dxa"/>
          <w:left w:w="0" w:type="dxa"/>
          <w:bottom w:w="0" w:type="dxa"/>
          <w:right w:w="0" w:type="dxa"/>
        </w:tblCellMar>
      </w:tblPr>
      <w:tblGrid>
        <w:gridCol w:w="8316"/>
      </w:tblGrid>
      <w:tr w14:paraId="0F5B7681">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rPr>
          <w:trHeight w:val="90" w:hRule="atLeast"/>
        </w:trPr>
        <w:tc>
          <w:tcPr>
            <w:tcW w:w="8316" w:type="dxa"/>
            <w:tcBorders>
              <w:bottom w:val="single" w:color="auto" w:sz="4" w:space="0"/>
            </w:tcBorders>
          </w:tcPr>
          <w:p w14:paraId="2E9B1AAF">
            <w:pPr>
              <w:overflowPunct w:val="0"/>
              <w:rPr>
                <w:rFonts w:hint="default" w:ascii="Calibri" w:hAnsi="Calibri" w:eastAsia="楷体_GB2312" w:cs="Calibri"/>
                <w:b/>
                <w:sz w:val="17"/>
                <w:lang w:eastAsia="zh-CN"/>
              </w:rPr>
            </w:pPr>
            <w:r>
              <w:rPr>
                <w:rFonts w:hint="default" w:ascii="Calibri" w:hAnsi="Calibri" w:eastAsia="楷体_GB2312" w:cs="Calibri"/>
                <w:b/>
                <w:sz w:val="18"/>
                <w:szCs w:val="18"/>
                <w:lang w:eastAsia="zh-CN"/>
              </w:rPr>
              <w:t>图</w:t>
            </w:r>
            <w:r>
              <w:rPr>
                <w:rFonts w:hint="default" w:ascii="Calibri" w:hAnsi="Calibri" w:eastAsia="楷体_GB2312" w:cs="Calibri"/>
                <w:b/>
                <w:sz w:val="18"/>
                <w:szCs w:val="18"/>
                <w:lang w:val="en-US" w:eastAsia="zh-CN"/>
              </w:rPr>
              <w:t>8</w:t>
            </w:r>
            <w:r>
              <w:rPr>
                <w:rFonts w:hint="default" w:ascii="Calibri" w:hAnsi="Calibri" w:eastAsia="楷体_GB2312" w:cs="Calibri"/>
                <w:b/>
                <w:sz w:val="18"/>
                <w:szCs w:val="18"/>
                <w:lang w:eastAsia="zh-CN"/>
              </w:rPr>
              <w:t>: 工业生产者出厂价格指数 : 电力及特种变压器初级产品</w:t>
            </w:r>
          </w:p>
        </w:tc>
      </w:tr>
      <w:tr w14:paraId="59893EDB">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2761" w:hRule="atLeast"/>
        </w:trPr>
        <w:tc>
          <w:tcPr>
            <w:tcW w:w="8316" w:type="dxa"/>
            <w:tcBorders>
              <w:top w:val="single" w:color="auto" w:sz="4" w:space="0"/>
              <w:bottom w:val="single" w:color="auto" w:sz="4" w:space="0"/>
            </w:tcBorders>
            <w:vAlign w:val="center"/>
          </w:tcPr>
          <w:p w14:paraId="42DDFEEA">
            <w:pPr>
              <w:overflowPunct w:val="0"/>
              <w:jc w:val="center"/>
              <w:rPr>
                <w:rFonts w:hint="default" w:ascii="Calibri" w:hAnsi="Calibri" w:eastAsia="楷体_GB2312" w:cs="Calibri"/>
                <w:sz w:val="10"/>
              </w:rPr>
            </w:pPr>
            <w:r>
              <w:rPr>
                <w:rFonts w:hint="default" w:ascii="Calibri" w:hAnsi="Calibri" w:eastAsia="楷体_GB2312" w:cs="Calibri"/>
                <w:sz w:val="10"/>
              </w:rPr>
              <w:drawing>
                <wp:inline distT="0" distB="0" distL="114300" distR="114300">
                  <wp:extent cx="5134610" cy="2872740"/>
                  <wp:effectExtent l="0" t="0" r="8890" b="3810"/>
                  <wp:docPr id="8" name="图片 8" descr="fredgrap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redgraph (5)"/>
                          <pic:cNvPicPr>
                            <a:picLocks noChangeAspect="1"/>
                          </pic:cNvPicPr>
                        </pic:nvPicPr>
                        <pic:blipFill>
                          <a:blip r:embed="rId21"/>
                          <a:stretch>
                            <a:fillRect/>
                          </a:stretch>
                        </pic:blipFill>
                        <pic:spPr>
                          <a:xfrm>
                            <a:off x="0" y="0"/>
                            <a:ext cx="5134610" cy="2872740"/>
                          </a:xfrm>
                          <a:prstGeom prst="rect">
                            <a:avLst/>
                          </a:prstGeom>
                        </pic:spPr>
                      </pic:pic>
                    </a:graphicData>
                  </a:graphic>
                </wp:inline>
              </w:drawing>
            </w:r>
          </w:p>
        </w:tc>
      </w:tr>
      <w:tr w14:paraId="27F275CF">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8316" w:type="dxa"/>
            <w:tcBorders>
              <w:top w:val="single" w:color="auto" w:sz="4" w:space="0"/>
            </w:tcBorders>
          </w:tcPr>
          <w:p w14:paraId="013D4E53">
            <w:pPr>
              <w:overflowPunct w:val="0"/>
              <w:rPr>
                <w:rFonts w:hint="default" w:ascii="Calibri" w:hAnsi="Calibri" w:eastAsia="楷体_GB2312" w:cs="Calibri"/>
                <w:i/>
                <w:iCs/>
                <w:sz w:val="15"/>
                <w:szCs w:val="15"/>
              </w:rPr>
            </w:pPr>
            <w:r>
              <w:rPr>
                <w:rFonts w:hint="default" w:ascii="Calibri" w:hAnsi="Calibri" w:eastAsia="楷体_GB2312" w:cs="Calibri"/>
                <w:i/>
                <w:iCs/>
                <w:sz w:val="15"/>
                <w:szCs w:val="15"/>
              </w:rPr>
              <w:t>资料来源：U.S. Bureau of Labor Statistics，</w:t>
            </w:r>
            <w:r>
              <w:rPr>
                <w:rFonts w:hint="default" w:ascii="Calibri" w:hAnsi="Calibri" w:eastAsia="楷体_GB2312" w:cs="Calibri"/>
                <w:i/>
                <w:iCs/>
                <w:sz w:val="15"/>
                <w:szCs w:val="15"/>
                <w:lang w:eastAsia="zh-CN"/>
              </w:rPr>
              <w:t>HFI</w:t>
            </w:r>
          </w:p>
        </w:tc>
      </w:tr>
    </w:tbl>
    <w:p w14:paraId="1B9E4DC2">
      <w:pPr>
        <w:overflowPunct w:val="0"/>
        <w:ind w:left="3200" w:leftChars="2000"/>
        <w:jc w:val="both"/>
        <w:rPr>
          <w:rFonts w:hint="default" w:ascii="Calibri" w:hAnsi="Calibri" w:eastAsia="楷体_GB2312" w:cs="Calibri"/>
          <w:sz w:val="20"/>
          <w:szCs w:val="20"/>
          <w:lang w:val="en-US" w:eastAsia="zh-CN"/>
        </w:rPr>
      </w:pPr>
    </w:p>
    <w:p w14:paraId="6AD65121">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美国电力及特种变压器制造价格指数月环比稳定。</w:t>
      </w:r>
      <w:r>
        <w:rPr>
          <w:rFonts w:hint="default" w:ascii="Calibri" w:hAnsi="Calibri" w:eastAsia="楷体_GB2312" w:cs="Calibri"/>
          <w:sz w:val="20"/>
          <w:szCs w:val="20"/>
          <w:lang w:val="en-US" w:eastAsia="zh-CN"/>
        </w:rPr>
        <w:t>电力及特种变压器生产价格指数2025年12月为458.394，环比上升，同比增长5.95%。</w:t>
      </w:r>
    </w:p>
    <w:p w14:paraId="7DF9D05C">
      <w:pPr>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br w:type="page"/>
      </w:r>
    </w:p>
    <w:p w14:paraId="3227A58E">
      <w:pPr>
        <w:rPr>
          <w:rFonts w:hint="default" w:ascii="Calibri" w:hAnsi="Calibri" w:eastAsia="楷体_GB2312" w:cs="Calibri"/>
          <w:sz w:val="20"/>
          <w:szCs w:val="20"/>
          <w:lang w:val="en-US" w:eastAsia="zh-CN"/>
        </w:rPr>
      </w:pPr>
    </w:p>
    <w:tbl>
      <w:tblPr>
        <w:tblStyle w:val="27"/>
        <w:tblW w:w="8646" w:type="dxa"/>
        <w:tblInd w:w="2057"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autofit"/>
        <w:tblCellMar>
          <w:top w:w="0" w:type="dxa"/>
          <w:left w:w="0" w:type="dxa"/>
          <w:bottom w:w="0" w:type="dxa"/>
          <w:right w:w="0" w:type="dxa"/>
        </w:tblCellMar>
      </w:tblPr>
      <w:tblGrid>
        <w:gridCol w:w="8646"/>
      </w:tblGrid>
      <w:tr w14:paraId="44798DF4">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8646" w:type="dxa"/>
            <w:tcBorders>
              <w:bottom w:val="single" w:color="auto" w:sz="4" w:space="0"/>
            </w:tcBorders>
          </w:tcPr>
          <w:p w14:paraId="3606F88A">
            <w:pPr>
              <w:overflowPunct w:val="0"/>
              <w:rPr>
                <w:rFonts w:hint="default" w:ascii="Calibri" w:hAnsi="Calibri" w:eastAsia="楷体_GB2312" w:cs="Calibri"/>
                <w:b/>
                <w:sz w:val="17"/>
                <w:lang w:eastAsia="zh-CN"/>
              </w:rPr>
            </w:pPr>
            <w:r>
              <w:rPr>
                <w:rFonts w:hint="default" w:ascii="Calibri" w:hAnsi="Calibri" w:eastAsia="楷体_GB2312" w:cs="Calibri"/>
                <w:b/>
                <w:sz w:val="18"/>
                <w:szCs w:val="18"/>
                <w:lang w:eastAsia="zh-CN"/>
              </w:rPr>
              <w:t>图</w:t>
            </w:r>
            <w:r>
              <w:rPr>
                <w:rFonts w:hint="default" w:ascii="Calibri" w:hAnsi="Calibri" w:eastAsia="楷体_GB2312" w:cs="Calibri"/>
                <w:b/>
                <w:sz w:val="18"/>
                <w:szCs w:val="18"/>
                <w:lang w:val="en-US" w:eastAsia="zh-CN"/>
              </w:rPr>
              <w:t>9</w:t>
            </w:r>
            <w:r>
              <w:rPr>
                <w:rFonts w:hint="default" w:ascii="Calibri" w:hAnsi="Calibri" w:eastAsia="楷体_GB2312" w:cs="Calibri"/>
                <w:b/>
                <w:sz w:val="18"/>
                <w:szCs w:val="18"/>
                <w:lang w:eastAsia="zh-CN"/>
              </w:rPr>
              <w:t>: 工业生产者出厂价格指数 : 电力及特种变压器制造</w:t>
            </w:r>
          </w:p>
        </w:tc>
      </w:tr>
      <w:tr w14:paraId="030FF19D">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2982" w:hRule="atLeast"/>
        </w:trPr>
        <w:tc>
          <w:tcPr>
            <w:tcW w:w="8646" w:type="dxa"/>
            <w:tcBorders>
              <w:top w:val="single" w:color="auto" w:sz="4" w:space="0"/>
              <w:bottom w:val="single" w:color="auto" w:sz="4" w:space="0"/>
            </w:tcBorders>
            <w:vAlign w:val="center"/>
          </w:tcPr>
          <w:p w14:paraId="06479446">
            <w:pPr>
              <w:overflowPunct w:val="0"/>
              <w:jc w:val="center"/>
              <w:rPr>
                <w:rFonts w:hint="default" w:ascii="Calibri" w:hAnsi="Calibri" w:eastAsia="楷体_GB2312" w:cs="Calibri"/>
                <w:sz w:val="10"/>
              </w:rPr>
            </w:pPr>
            <w:r>
              <w:rPr>
                <w:rFonts w:hint="default" w:ascii="Calibri" w:hAnsi="Calibri" w:eastAsia="楷体_GB2312" w:cs="Calibri"/>
                <w:sz w:val="10"/>
              </w:rPr>
              <w:drawing>
                <wp:inline distT="0" distB="0" distL="114300" distR="114300">
                  <wp:extent cx="5344795" cy="2634615"/>
                  <wp:effectExtent l="0" t="0" r="8255" b="3810"/>
                  <wp:docPr id="10" name="图片 10" descr="fredgraph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fredgraph (6)"/>
                          <pic:cNvPicPr>
                            <a:picLocks noChangeAspect="1"/>
                          </pic:cNvPicPr>
                        </pic:nvPicPr>
                        <pic:blipFill>
                          <a:blip r:embed="rId22"/>
                          <a:stretch>
                            <a:fillRect/>
                          </a:stretch>
                        </pic:blipFill>
                        <pic:spPr>
                          <a:xfrm>
                            <a:off x="0" y="0"/>
                            <a:ext cx="5344795" cy="2634615"/>
                          </a:xfrm>
                          <a:prstGeom prst="rect">
                            <a:avLst/>
                          </a:prstGeom>
                        </pic:spPr>
                      </pic:pic>
                    </a:graphicData>
                  </a:graphic>
                </wp:inline>
              </w:drawing>
            </w:r>
          </w:p>
        </w:tc>
      </w:tr>
      <w:tr w14:paraId="5228EBD8">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8646" w:type="dxa"/>
            <w:tcBorders>
              <w:top w:val="single" w:color="auto" w:sz="4" w:space="0"/>
            </w:tcBorders>
          </w:tcPr>
          <w:p w14:paraId="15B4BFA5">
            <w:pPr>
              <w:overflowPunct w:val="0"/>
              <w:rPr>
                <w:rFonts w:hint="default" w:ascii="Calibri" w:hAnsi="Calibri" w:eastAsia="楷体_GB2312" w:cs="Calibri"/>
                <w:i/>
                <w:iCs/>
                <w:sz w:val="15"/>
                <w:szCs w:val="15"/>
              </w:rPr>
            </w:pPr>
            <w:r>
              <w:rPr>
                <w:rFonts w:hint="default" w:ascii="Calibri" w:hAnsi="Calibri" w:eastAsia="楷体_GB2312" w:cs="Calibri"/>
                <w:i/>
                <w:iCs/>
                <w:sz w:val="15"/>
                <w:szCs w:val="15"/>
              </w:rPr>
              <w:t>资料来源：U.S. Bureau of Labor Statistics，</w:t>
            </w:r>
            <w:r>
              <w:rPr>
                <w:rFonts w:hint="default" w:ascii="Calibri" w:hAnsi="Calibri" w:eastAsia="楷体_GB2312" w:cs="Calibri"/>
                <w:i/>
                <w:iCs/>
                <w:sz w:val="15"/>
                <w:szCs w:val="15"/>
                <w:lang w:eastAsia="zh-CN"/>
              </w:rPr>
              <w:t>HFI</w:t>
            </w:r>
          </w:p>
        </w:tc>
      </w:tr>
    </w:tbl>
    <w:p w14:paraId="06EC9237">
      <w:pPr>
        <w:overflowPunct w:val="0"/>
        <w:ind w:left="3200" w:leftChars="2000"/>
        <w:jc w:val="both"/>
        <w:rPr>
          <w:rFonts w:hint="default" w:ascii="Calibri" w:hAnsi="Calibri" w:eastAsia="楷体_GB2312" w:cs="Calibri"/>
          <w:b/>
          <w:bCs/>
          <w:sz w:val="20"/>
          <w:szCs w:val="20"/>
          <w:lang w:val="en-US" w:eastAsia="zh-CN"/>
        </w:rPr>
      </w:pPr>
    </w:p>
    <w:p w14:paraId="3CB20C2A">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美国变压器和电力调节器价格指数月环比稳定。</w:t>
      </w:r>
      <w:r>
        <w:rPr>
          <w:rFonts w:hint="default" w:ascii="Calibri" w:hAnsi="Calibri" w:eastAsia="楷体_GB2312" w:cs="Calibri"/>
          <w:sz w:val="20"/>
          <w:szCs w:val="20"/>
          <w:lang w:val="en-US" w:eastAsia="zh-CN"/>
        </w:rPr>
        <w:t>变压器和电力调节器生产价格指数2025年12月为419.143，环比上升，同比增长5.72%。</w:t>
      </w:r>
    </w:p>
    <w:p w14:paraId="15898C57">
      <w:pPr>
        <w:overflowPunct w:val="0"/>
        <w:ind w:left="3200" w:leftChars="2000"/>
        <w:jc w:val="both"/>
        <w:rPr>
          <w:rFonts w:hint="default" w:ascii="Calibri" w:hAnsi="Calibri" w:eastAsia="楷体_GB2312" w:cs="Calibri"/>
          <w:sz w:val="20"/>
          <w:szCs w:val="20"/>
          <w:lang w:eastAsia="zh-CN"/>
        </w:rPr>
      </w:pPr>
    </w:p>
    <w:p w14:paraId="58D99A5B">
      <w:pPr>
        <w:overflowPunct w:val="0"/>
        <w:ind w:left="3200" w:leftChars="2000"/>
        <w:jc w:val="both"/>
        <w:rPr>
          <w:rFonts w:hint="default" w:ascii="Calibri" w:hAnsi="Calibri" w:eastAsia="楷体_GB2312" w:cs="Calibri"/>
          <w:b/>
          <w:bCs/>
          <w:sz w:val="20"/>
          <w:szCs w:val="20"/>
          <w:lang w:val="en-US" w:eastAsia="zh-CN"/>
        </w:rPr>
      </w:pPr>
    </w:p>
    <w:tbl>
      <w:tblPr>
        <w:tblStyle w:val="27"/>
        <w:tblW w:w="8541" w:type="dxa"/>
        <w:tblInd w:w="2164"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autofit"/>
        <w:tblCellMar>
          <w:top w:w="0" w:type="dxa"/>
          <w:left w:w="0" w:type="dxa"/>
          <w:bottom w:w="0" w:type="dxa"/>
          <w:right w:w="0" w:type="dxa"/>
        </w:tblCellMar>
      </w:tblPr>
      <w:tblGrid>
        <w:gridCol w:w="8541"/>
      </w:tblGrid>
      <w:tr w14:paraId="310A4781">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8541" w:type="dxa"/>
            <w:tcBorders>
              <w:bottom w:val="single" w:color="auto" w:sz="4" w:space="0"/>
            </w:tcBorders>
          </w:tcPr>
          <w:p w14:paraId="2F036A1B">
            <w:pPr>
              <w:overflowPunct w:val="0"/>
              <w:rPr>
                <w:rFonts w:hint="default" w:ascii="Calibri" w:hAnsi="Calibri" w:eastAsia="楷体_GB2312" w:cs="Calibri"/>
                <w:b/>
                <w:szCs w:val="20"/>
                <w:lang w:eastAsia="zh-CN"/>
              </w:rPr>
            </w:pPr>
            <w:r>
              <w:rPr>
                <w:rFonts w:hint="default" w:ascii="Calibri" w:hAnsi="Calibri" w:eastAsia="楷体_GB2312" w:cs="Calibri"/>
                <w:b/>
                <w:sz w:val="18"/>
                <w:szCs w:val="18"/>
                <w:lang w:eastAsia="zh-CN"/>
              </w:rPr>
              <w:t>图</w:t>
            </w:r>
            <w:r>
              <w:rPr>
                <w:rFonts w:hint="default" w:ascii="Calibri" w:hAnsi="Calibri" w:eastAsia="楷体_GB2312" w:cs="Calibri"/>
                <w:b/>
                <w:sz w:val="18"/>
                <w:szCs w:val="18"/>
                <w:lang w:val="en-US" w:eastAsia="zh-CN"/>
              </w:rPr>
              <w:t>10</w:t>
            </w:r>
            <w:r>
              <w:rPr>
                <w:rFonts w:hint="default" w:ascii="Calibri" w:hAnsi="Calibri" w:eastAsia="楷体_GB2312" w:cs="Calibri"/>
                <w:b/>
                <w:sz w:val="18"/>
                <w:szCs w:val="18"/>
                <w:lang w:eastAsia="zh-CN"/>
              </w:rPr>
              <w:t>: 工业生产者出厂价格指数 : 机械和设备-变压器和电力调节器</w:t>
            </w:r>
          </w:p>
        </w:tc>
      </w:tr>
      <w:tr w14:paraId="4C60091D">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2792" w:hRule="atLeast"/>
        </w:trPr>
        <w:tc>
          <w:tcPr>
            <w:tcW w:w="8541" w:type="dxa"/>
            <w:tcBorders>
              <w:top w:val="single" w:color="auto" w:sz="4" w:space="0"/>
              <w:bottom w:val="single" w:color="auto" w:sz="4" w:space="0"/>
            </w:tcBorders>
            <w:vAlign w:val="center"/>
          </w:tcPr>
          <w:p w14:paraId="7265F474">
            <w:pPr>
              <w:overflowPunct w:val="0"/>
              <w:jc w:val="center"/>
              <w:rPr>
                <w:rFonts w:hint="default" w:ascii="Calibri" w:hAnsi="Calibri" w:eastAsia="楷体_GB2312" w:cs="Calibri"/>
                <w:sz w:val="10"/>
              </w:rPr>
            </w:pPr>
            <w:r>
              <w:rPr>
                <w:rFonts w:hint="default" w:ascii="Calibri" w:hAnsi="Calibri" w:eastAsia="楷体_GB2312" w:cs="Calibri"/>
                <w:sz w:val="10"/>
              </w:rPr>
              <w:drawing>
                <wp:inline distT="0" distB="0" distL="114300" distR="114300">
                  <wp:extent cx="5286375" cy="2863215"/>
                  <wp:effectExtent l="0" t="0" r="0" b="3810"/>
                  <wp:docPr id="7" name="图片 7" descr="fredgrap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fredgraph (4)"/>
                          <pic:cNvPicPr>
                            <a:picLocks noChangeAspect="1"/>
                          </pic:cNvPicPr>
                        </pic:nvPicPr>
                        <pic:blipFill>
                          <a:blip r:embed="rId23"/>
                          <a:stretch>
                            <a:fillRect/>
                          </a:stretch>
                        </pic:blipFill>
                        <pic:spPr>
                          <a:xfrm>
                            <a:off x="0" y="0"/>
                            <a:ext cx="5286375" cy="2863215"/>
                          </a:xfrm>
                          <a:prstGeom prst="rect">
                            <a:avLst/>
                          </a:prstGeom>
                        </pic:spPr>
                      </pic:pic>
                    </a:graphicData>
                  </a:graphic>
                </wp:inline>
              </w:drawing>
            </w:r>
          </w:p>
        </w:tc>
      </w:tr>
      <w:tr w14:paraId="2D91B2D3">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8541" w:type="dxa"/>
            <w:tcBorders>
              <w:top w:val="single" w:color="auto" w:sz="4" w:space="0"/>
            </w:tcBorders>
          </w:tcPr>
          <w:p w14:paraId="1B4A8ADC">
            <w:pPr>
              <w:overflowPunct w:val="0"/>
              <w:rPr>
                <w:rFonts w:hint="default" w:ascii="Calibri" w:hAnsi="Calibri" w:eastAsia="楷体_GB2312" w:cs="Calibri"/>
                <w:i/>
                <w:iCs/>
                <w:sz w:val="15"/>
                <w:szCs w:val="15"/>
                <w:lang w:eastAsia="zh-CN"/>
              </w:rPr>
            </w:pPr>
            <w:r>
              <w:rPr>
                <w:rFonts w:hint="default" w:ascii="Calibri" w:hAnsi="Calibri" w:eastAsia="楷体_GB2312" w:cs="Calibri"/>
                <w:i/>
                <w:iCs/>
                <w:sz w:val="15"/>
                <w:szCs w:val="15"/>
              </w:rPr>
              <w:t>资料来源：U.S. Bureau of Labor Statistics，</w:t>
            </w:r>
            <w:r>
              <w:rPr>
                <w:rFonts w:hint="default" w:ascii="Calibri" w:hAnsi="Calibri" w:eastAsia="楷体_GB2312" w:cs="Calibri"/>
                <w:i/>
                <w:iCs/>
                <w:sz w:val="15"/>
                <w:szCs w:val="15"/>
                <w:lang w:eastAsia="zh-CN"/>
              </w:rPr>
              <w:t>HFI</w:t>
            </w:r>
          </w:p>
          <w:p w14:paraId="15BDCDED">
            <w:pPr>
              <w:overflowPunct w:val="0"/>
              <w:rPr>
                <w:rFonts w:hint="default" w:ascii="Calibri" w:hAnsi="Calibri" w:eastAsia="楷体_GB2312" w:cs="Calibri"/>
                <w:i/>
                <w:iCs/>
                <w:sz w:val="15"/>
                <w:szCs w:val="15"/>
              </w:rPr>
            </w:pPr>
          </w:p>
        </w:tc>
      </w:tr>
    </w:tbl>
    <w:p w14:paraId="49860532">
      <w:pPr>
        <w:overflowPunct w:val="0"/>
        <w:ind w:left="3200" w:leftChars="2000"/>
        <w:jc w:val="both"/>
        <w:rPr>
          <w:rFonts w:hint="default" w:ascii="Calibri" w:hAnsi="Calibri" w:eastAsia="楷体_GB2312" w:cs="Calibri"/>
          <w:b/>
          <w:bCs/>
          <w:sz w:val="20"/>
          <w:szCs w:val="20"/>
          <w:lang w:val="en-US" w:eastAsia="zh-CN"/>
        </w:rPr>
      </w:pPr>
    </w:p>
    <w:p w14:paraId="35822003">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欧洲电动机、发电机、变压器制造和配电生产价格指数月环比稳定。</w:t>
      </w:r>
      <w:r>
        <w:rPr>
          <w:rFonts w:hint="default" w:ascii="Calibri" w:hAnsi="Calibri" w:eastAsia="楷体_GB2312" w:cs="Calibri"/>
          <w:sz w:val="20"/>
          <w:szCs w:val="20"/>
          <w:lang w:val="en-US" w:eastAsia="zh-CN"/>
        </w:rPr>
        <w:t>欧洲电动机、发电机、变压器制造和配电生产价格指数2025年11月为120.8，环比微增，同比增长0.83%。</w:t>
      </w:r>
    </w:p>
    <w:p w14:paraId="5C12EC8E">
      <w:pPr>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br w:type="page"/>
      </w:r>
    </w:p>
    <w:tbl>
      <w:tblPr>
        <w:tblStyle w:val="27"/>
        <w:tblpPr w:leftFromText="180" w:rightFromText="180" w:vertAnchor="text" w:horzAnchor="margin" w:tblpXSpec="right" w:tblpY="128"/>
        <w:tblW w:w="8095" w:type="dxa"/>
        <w:tblInd w:w="0"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autofit"/>
        <w:tblCellMar>
          <w:top w:w="0" w:type="dxa"/>
          <w:left w:w="0" w:type="dxa"/>
          <w:bottom w:w="0" w:type="dxa"/>
          <w:right w:w="0" w:type="dxa"/>
        </w:tblCellMar>
      </w:tblPr>
      <w:tblGrid>
        <w:gridCol w:w="8112"/>
      </w:tblGrid>
      <w:tr w14:paraId="5DCE3849">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8095" w:type="dxa"/>
            <w:tcBorders>
              <w:bottom w:val="single" w:color="auto" w:sz="4" w:space="0"/>
            </w:tcBorders>
          </w:tcPr>
          <w:p w14:paraId="5D09D8C7">
            <w:pPr>
              <w:overflowPunct w:val="0"/>
              <w:rPr>
                <w:rFonts w:hint="default" w:ascii="Calibri" w:hAnsi="Calibri" w:eastAsia="楷体_GB2312" w:cs="Calibri"/>
                <w:b/>
                <w:bCs/>
                <w:szCs w:val="20"/>
                <w:lang w:eastAsia="zh-CN"/>
              </w:rPr>
            </w:pPr>
            <w:r>
              <w:rPr>
                <w:rFonts w:hint="default" w:ascii="Calibri" w:hAnsi="Calibri" w:eastAsia="楷体_GB2312" w:cs="Calibri"/>
                <w:b/>
                <w:sz w:val="18"/>
                <w:szCs w:val="18"/>
                <w:lang w:eastAsia="zh-CN"/>
              </w:rPr>
              <w:t>图</w:t>
            </w:r>
            <w:r>
              <w:rPr>
                <w:rFonts w:hint="default" w:ascii="Calibri" w:hAnsi="Calibri" w:eastAsia="楷体_GB2312" w:cs="Calibri"/>
                <w:b/>
                <w:sz w:val="18"/>
                <w:szCs w:val="18"/>
                <w:lang w:val="en-US" w:eastAsia="zh-CN"/>
              </w:rPr>
              <w:t>11</w:t>
            </w:r>
            <w:r>
              <w:rPr>
                <w:rFonts w:hint="default" w:ascii="Calibri" w:hAnsi="Calibri" w:eastAsia="楷体_GB2312" w:cs="Calibri"/>
                <w:b/>
                <w:sz w:val="18"/>
                <w:szCs w:val="18"/>
                <w:lang w:eastAsia="zh-CN"/>
              </w:rPr>
              <w:t>：欧盟 - 工业生产者价格：电动机、发电机、变压器制造和配电</w:t>
            </w:r>
          </w:p>
        </w:tc>
      </w:tr>
      <w:tr w14:paraId="2CB74A29">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rPr>
          <w:trHeight w:val="4147" w:hRule="atLeast"/>
        </w:trPr>
        <w:tc>
          <w:tcPr>
            <w:tcW w:w="8095" w:type="dxa"/>
            <w:tcBorders>
              <w:top w:val="single" w:color="auto" w:sz="4" w:space="0"/>
              <w:bottom w:val="single" w:color="auto" w:sz="4" w:space="0"/>
            </w:tcBorders>
          </w:tcPr>
          <w:p w14:paraId="4B523B3C">
            <w:pPr>
              <w:rPr>
                <w:rFonts w:hint="default" w:ascii="Calibri" w:hAnsi="Calibri" w:eastAsia="楷体_GB2312" w:cs="Calibri"/>
                <w:szCs w:val="20"/>
              </w:rPr>
            </w:pPr>
            <w:r>
              <w:rPr>
                <w:rFonts w:hint="default" w:ascii="Calibri" w:hAnsi="Calibri" w:eastAsia="楷体_GB2312" w:cs="Calibri"/>
                <w:szCs w:val="20"/>
              </w:rPr>
              <w:drawing>
                <wp:inline distT="0" distB="0" distL="114300" distR="114300">
                  <wp:extent cx="5140325" cy="2553970"/>
                  <wp:effectExtent l="0" t="0" r="10795" b="6350"/>
                  <wp:docPr id="11" name="图片 11" descr="European_Union_Producer_prices_in_industry_Manufacture_of_electric_motors_generators_transformers_and_electricity_distribution_and_control_apparat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European_Union_Producer_prices_in_industry_Manufacture_of_electric_motors_generators_transformers_and_electricity_distribution_and_control_apparatus"/>
                          <pic:cNvPicPr>
                            <a:picLocks noChangeAspect="1"/>
                          </pic:cNvPicPr>
                        </pic:nvPicPr>
                        <pic:blipFill>
                          <a:blip r:embed="rId24"/>
                          <a:srcRect t="4018" b="8621"/>
                          <a:stretch>
                            <a:fillRect/>
                          </a:stretch>
                        </pic:blipFill>
                        <pic:spPr>
                          <a:xfrm>
                            <a:off x="0" y="0"/>
                            <a:ext cx="5140325" cy="2553970"/>
                          </a:xfrm>
                          <a:prstGeom prst="rect">
                            <a:avLst/>
                          </a:prstGeom>
                        </pic:spPr>
                      </pic:pic>
                    </a:graphicData>
                  </a:graphic>
                </wp:inline>
              </w:drawing>
            </w:r>
          </w:p>
        </w:tc>
      </w:tr>
      <w:tr w14:paraId="626BCAB7">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rPr>
          <w:trHeight w:val="61" w:hRule="atLeast"/>
        </w:trPr>
        <w:tc>
          <w:tcPr>
            <w:tcW w:w="8095" w:type="dxa"/>
            <w:tcBorders>
              <w:top w:val="single" w:color="auto" w:sz="4" w:space="0"/>
            </w:tcBorders>
          </w:tcPr>
          <w:p w14:paraId="0EA4C6D0">
            <w:pPr>
              <w:overflowPunct w:val="0"/>
              <w:rPr>
                <w:rFonts w:hint="default" w:ascii="Calibri" w:hAnsi="Calibri" w:eastAsia="楷体_GB2312" w:cs="Calibri"/>
                <w:i/>
                <w:iCs/>
                <w:szCs w:val="20"/>
              </w:rPr>
            </w:pPr>
            <w:r>
              <w:rPr>
                <w:rFonts w:hint="default" w:ascii="Calibri" w:hAnsi="Calibri" w:eastAsia="楷体_GB2312" w:cs="Calibri"/>
                <w:i/>
                <w:iCs/>
                <w:sz w:val="15"/>
                <w:szCs w:val="15"/>
              </w:rPr>
              <w:t xml:space="preserve">资料来源: Trading Economics， </w:t>
            </w:r>
            <w:r>
              <w:rPr>
                <w:rFonts w:hint="default" w:ascii="Calibri" w:hAnsi="Calibri" w:eastAsia="楷体_GB2312" w:cs="Calibri"/>
                <w:i/>
                <w:iCs/>
                <w:sz w:val="15"/>
                <w:szCs w:val="15"/>
                <w:lang w:eastAsia="zh-CN"/>
              </w:rPr>
              <w:t>HFI</w:t>
            </w:r>
          </w:p>
        </w:tc>
      </w:tr>
    </w:tbl>
    <w:p w14:paraId="5C4CAE50">
      <w:pPr>
        <w:overflowPunct w:val="0"/>
        <w:ind w:left="3200" w:leftChars="2000"/>
        <w:jc w:val="both"/>
        <w:rPr>
          <w:rFonts w:hint="default" w:ascii="Calibri" w:hAnsi="Calibri" w:eastAsia="楷体_GB2312" w:cs="Calibri"/>
          <w:b/>
          <w:bCs/>
          <w:sz w:val="20"/>
          <w:szCs w:val="20"/>
          <w:lang w:eastAsia="zh-CN"/>
        </w:rPr>
      </w:pPr>
    </w:p>
    <w:p w14:paraId="04C8191E">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美国电机和发电机制造：电机、发电机、发电机组和其他旋转设备的零部件、用品价格指数月环比稳定。</w:t>
      </w:r>
      <w:r>
        <w:rPr>
          <w:rFonts w:hint="default" w:ascii="Calibri" w:hAnsi="Calibri" w:eastAsia="楷体_GB2312" w:cs="Calibri"/>
          <w:sz w:val="20"/>
          <w:szCs w:val="20"/>
          <w:lang w:val="en-US" w:eastAsia="zh-CN"/>
        </w:rPr>
        <w:t>美国电机和发电机制造：电机、发电机、发电机组和其他旋转设备的零部件、用品价格指数2025年12月为386.080，环比稳定，同比增长5.42%。</w:t>
      </w:r>
    </w:p>
    <w:p w14:paraId="0B785683">
      <w:pPr>
        <w:overflowPunct w:val="0"/>
        <w:ind w:left="3200" w:leftChars="2000"/>
        <w:jc w:val="both"/>
        <w:rPr>
          <w:rFonts w:hint="default" w:ascii="Calibri" w:hAnsi="Calibri" w:eastAsia="楷体_GB2312" w:cs="Calibri"/>
          <w:sz w:val="20"/>
          <w:szCs w:val="20"/>
          <w:lang w:eastAsia="zh-CN"/>
        </w:rPr>
      </w:pPr>
    </w:p>
    <w:tbl>
      <w:tblPr>
        <w:tblStyle w:val="27"/>
        <w:tblW w:w="8556" w:type="dxa"/>
        <w:tblInd w:w="2153"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autofit"/>
        <w:tblCellMar>
          <w:top w:w="0" w:type="dxa"/>
          <w:left w:w="0" w:type="dxa"/>
          <w:bottom w:w="0" w:type="dxa"/>
          <w:right w:w="0" w:type="dxa"/>
        </w:tblCellMar>
      </w:tblPr>
      <w:tblGrid>
        <w:gridCol w:w="8556"/>
      </w:tblGrid>
      <w:tr w14:paraId="4826052A">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8556" w:type="dxa"/>
            <w:tcBorders>
              <w:bottom w:val="single" w:color="auto" w:sz="4" w:space="0"/>
            </w:tcBorders>
          </w:tcPr>
          <w:p w14:paraId="229BA56D">
            <w:pPr>
              <w:overflowPunct w:val="0"/>
              <w:rPr>
                <w:rFonts w:hint="default" w:ascii="Calibri" w:hAnsi="Calibri" w:eastAsia="楷体_GB2312" w:cs="Calibri"/>
                <w:b/>
                <w:szCs w:val="20"/>
                <w:lang w:eastAsia="zh-CN"/>
              </w:rPr>
            </w:pPr>
            <w:r>
              <w:rPr>
                <w:rFonts w:hint="default" w:ascii="Calibri" w:hAnsi="Calibri" w:eastAsia="楷体_GB2312" w:cs="Calibri"/>
                <w:b/>
                <w:sz w:val="18"/>
                <w:szCs w:val="18"/>
                <w:lang w:eastAsia="zh-CN"/>
              </w:rPr>
              <w:t>图</w:t>
            </w:r>
            <w:r>
              <w:rPr>
                <w:rFonts w:hint="default" w:ascii="Calibri" w:hAnsi="Calibri" w:eastAsia="楷体_GB2312" w:cs="Calibri"/>
                <w:b/>
                <w:sz w:val="18"/>
                <w:szCs w:val="18"/>
                <w:lang w:val="en-US" w:eastAsia="zh-CN"/>
              </w:rPr>
              <w:t>12</w:t>
            </w:r>
            <w:r>
              <w:rPr>
                <w:rFonts w:hint="default" w:ascii="Calibri" w:hAnsi="Calibri" w:eastAsia="楷体_GB2312" w:cs="Calibri"/>
                <w:b/>
                <w:sz w:val="18"/>
                <w:szCs w:val="18"/>
                <w:lang w:eastAsia="zh-CN"/>
              </w:rPr>
              <w:t>: 美国电机和发电机制造：电机、发电机、发电机组和其他旋转设备的零部件、用品价格指数</w:t>
            </w:r>
          </w:p>
        </w:tc>
      </w:tr>
      <w:tr w14:paraId="3928249C">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2587" w:hRule="atLeast"/>
        </w:trPr>
        <w:tc>
          <w:tcPr>
            <w:tcW w:w="8556" w:type="dxa"/>
            <w:tcBorders>
              <w:top w:val="single" w:color="auto" w:sz="4" w:space="0"/>
              <w:bottom w:val="single" w:color="auto" w:sz="4" w:space="0"/>
            </w:tcBorders>
            <w:vAlign w:val="center"/>
          </w:tcPr>
          <w:p w14:paraId="75A0E96E">
            <w:pPr>
              <w:overflowPunct w:val="0"/>
              <w:jc w:val="center"/>
              <w:rPr>
                <w:rFonts w:hint="default" w:ascii="Calibri" w:hAnsi="Calibri" w:eastAsia="楷体_GB2312" w:cs="Calibri"/>
                <w:sz w:val="10"/>
              </w:rPr>
            </w:pPr>
            <w:r>
              <w:rPr>
                <w:rFonts w:hint="default" w:ascii="Calibri" w:hAnsi="Calibri" w:eastAsia="楷体_GB2312" w:cs="Calibri"/>
                <w:sz w:val="10"/>
              </w:rPr>
              <w:drawing>
                <wp:inline distT="0" distB="0" distL="114300" distR="114300">
                  <wp:extent cx="5295265" cy="2291715"/>
                  <wp:effectExtent l="0" t="0" r="635" b="3810"/>
                  <wp:docPr id="12" name="图片 12" descr="fredgrap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fredgraph (7)"/>
                          <pic:cNvPicPr>
                            <a:picLocks noChangeAspect="1"/>
                          </pic:cNvPicPr>
                        </pic:nvPicPr>
                        <pic:blipFill>
                          <a:blip r:embed="rId25"/>
                          <a:stretch>
                            <a:fillRect/>
                          </a:stretch>
                        </pic:blipFill>
                        <pic:spPr>
                          <a:xfrm>
                            <a:off x="0" y="0"/>
                            <a:ext cx="5295265" cy="2291715"/>
                          </a:xfrm>
                          <a:prstGeom prst="rect">
                            <a:avLst/>
                          </a:prstGeom>
                        </pic:spPr>
                      </pic:pic>
                    </a:graphicData>
                  </a:graphic>
                </wp:inline>
              </w:drawing>
            </w:r>
          </w:p>
        </w:tc>
      </w:tr>
      <w:tr w14:paraId="37D27FB1">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8556" w:type="dxa"/>
            <w:tcBorders>
              <w:top w:val="single" w:color="auto" w:sz="4" w:space="0"/>
            </w:tcBorders>
          </w:tcPr>
          <w:p w14:paraId="5411540E">
            <w:pPr>
              <w:overflowPunct w:val="0"/>
              <w:rPr>
                <w:rFonts w:hint="default" w:ascii="Calibri" w:hAnsi="Calibri" w:eastAsia="楷体_GB2312" w:cs="Calibri"/>
                <w:i/>
                <w:iCs/>
                <w:sz w:val="15"/>
                <w:szCs w:val="15"/>
              </w:rPr>
            </w:pPr>
            <w:r>
              <w:rPr>
                <w:rFonts w:hint="default" w:ascii="Calibri" w:hAnsi="Calibri" w:eastAsia="楷体_GB2312" w:cs="Calibri"/>
                <w:i/>
                <w:iCs/>
                <w:sz w:val="15"/>
                <w:szCs w:val="15"/>
              </w:rPr>
              <w:t>资料来源：U.S. Bureau of Labor Statistics，</w:t>
            </w:r>
            <w:r>
              <w:rPr>
                <w:rFonts w:hint="default" w:ascii="Calibri" w:hAnsi="Calibri" w:eastAsia="楷体_GB2312" w:cs="Calibri"/>
                <w:i/>
                <w:iCs/>
                <w:sz w:val="15"/>
                <w:szCs w:val="15"/>
                <w:lang w:eastAsia="zh-CN"/>
              </w:rPr>
              <w:t>HFI</w:t>
            </w:r>
          </w:p>
        </w:tc>
      </w:tr>
    </w:tbl>
    <w:p w14:paraId="4DE24B2A">
      <w:pPr>
        <w:overflowPunct w:val="0"/>
        <w:jc w:val="both"/>
        <w:rPr>
          <w:rFonts w:hint="default" w:ascii="Calibri" w:hAnsi="Calibri" w:eastAsia="楷体_GB2312" w:cs="Calibri"/>
          <w:sz w:val="20"/>
          <w:szCs w:val="20"/>
          <w:lang w:val="en-US" w:eastAsia="zh-CN"/>
        </w:rPr>
      </w:pPr>
      <w:bookmarkStart w:id="16" w:name="_Toc867801181"/>
    </w:p>
    <w:p w14:paraId="2C4FAE4D">
      <w:pPr>
        <w:overflowPunct w:val="0"/>
        <w:ind w:left="3200" w:leftChars="2000"/>
        <w:jc w:val="both"/>
        <w:outlineLvl w:val="1"/>
        <w:rPr>
          <w:rFonts w:hint="default" w:ascii="Calibri" w:hAnsi="Calibri" w:eastAsia="楷体_GB2312" w:cs="Calibri"/>
          <w:b/>
          <w:bCs/>
          <w:color w:val="1F497D" w:themeColor="text2"/>
          <w:sz w:val="24"/>
          <w:szCs w:val="24"/>
          <w:lang w:val="en-US" w:eastAsia="zh-CN"/>
          <w14:textFill>
            <w14:solidFill>
              <w14:schemeClr w14:val="tx2"/>
            </w14:solidFill>
          </w14:textFill>
        </w:rPr>
      </w:pPr>
      <w:r>
        <w:rPr>
          <w:rFonts w:hint="default" w:ascii="Calibri" w:hAnsi="Calibri" w:eastAsia="楷体_GB2312" w:cs="Calibri"/>
        </w:rPr>
        <w:fldChar w:fldCharType="begin"/>
      </w:r>
      <w:r>
        <w:rPr>
          <w:rFonts w:hint="default" w:ascii="Calibri" w:hAnsi="Calibri" w:eastAsia="楷体_GB2312" w:cs="Calibri"/>
        </w:rPr>
        <w:instrText xml:space="preserve"> HYPERLINK \l "_Toc192787053" </w:instrText>
      </w:r>
      <w:r>
        <w:rPr>
          <w:rFonts w:hint="default" w:ascii="Calibri" w:hAnsi="Calibri" w:eastAsia="楷体_GB2312" w:cs="Calibri"/>
        </w:rPr>
        <w:fldChar w:fldCharType="separate"/>
      </w:r>
      <w:bookmarkStart w:id="17" w:name="_Toc223082600"/>
      <w:r>
        <w:rPr>
          <w:rFonts w:hint="default" w:ascii="Calibri" w:hAnsi="Calibri" w:eastAsia="楷体_GB2312" w:cs="Calibri"/>
          <w:b/>
          <w:bCs/>
          <w:color w:val="1F497D" w:themeColor="text2"/>
          <w:sz w:val="24"/>
          <w:szCs w:val="24"/>
          <w:lang w:val="en-US" w:eastAsia="zh-CN"/>
          <w14:textFill>
            <w14:solidFill>
              <w14:schemeClr w14:val="tx2"/>
            </w14:solidFill>
          </w14:textFill>
        </w:rPr>
        <w:t>（二）工业设备出口指数</w:t>
      </w:r>
      <w:bookmarkEnd w:id="17"/>
      <w:r>
        <w:rPr>
          <w:rFonts w:hint="default" w:ascii="Calibri" w:hAnsi="Calibri" w:eastAsia="楷体_GB2312" w:cs="Calibri"/>
          <w:b/>
          <w:bCs/>
          <w:color w:val="1F497D" w:themeColor="text2"/>
          <w:sz w:val="24"/>
          <w:szCs w:val="24"/>
          <w:lang w:val="en-US" w:eastAsia="zh-CN"/>
          <w14:textFill>
            <w14:solidFill>
              <w14:schemeClr w14:val="tx2"/>
            </w14:solidFill>
          </w14:textFill>
        </w:rPr>
        <w:fldChar w:fldCharType="end"/>
      </w:r>
      <w:bookmarkEnd w:id="16"/>
    </w:p>
    <w:p w14:paraId="335CAE78">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中国2025年变压器出口保持高增</w:t>
      </w:r>
      <w:r>
        <w:rPr>
          <w:rFonts w:hint="default" w:ascii="Calibri" w:hAnsi="Calibri" w:eastAsia="楷体_GB2312" w:cs="Calibri"/>
          <w:sz w:val="20"/>
          <w:szCs w:val="20"/>
          <w:lang w:val="en-US" w:eastAsia="zh-CN"/>
        </w:rPr>
        <w:t>。2025年出口额狂飙至646亿元，同比激增36%，稳居全球第一大变压器出口国。受全球电网升级、数据中心及AI需求爆发驱动，中国凭借全产业链优势及高产能，成为缓解欧美电网设备短缺的“压舱石”，中国凭借全产业链优势和高效交付能力占据全球约60%市场份额，出口均价大幅上涨，单台设备的出口均价跳涨了30.5%。分地区来看，2025年中国变压器出口至亚洲、非洲、欧洲、北美的金额分别为44.96亿美元、7.90亿美元、18.37亿美元和13.24亿美元，同比分别增长37.9%、39.6%、42.2%和23.4%。整体延续高景气扩张态势，其中欧洲与亚洲贡献主要增量，非洲保持较快增长，北美稳健提升，在全球电网升级、新能源并网及算力基础设施扩张带动下，出口结构呈现多区域共振格局。</w:t>
      </w:r>
    </w:p>
    <w:tbl>
      <w:tblPr>
        <w:tblStyle w:val="27"/>
        <w:tblW w:w="8361" w:type="dxa"/>
        <w:tblInd w:w="2347"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autofit"/>
        <w:tblCellMar>
          <w:top w:w="0" w:type="dxa"/>
          <w:left w:w="0" w:type="dxa"/>
          <w:bottom w:w="0" w:type="dxa"/>
          <w:right w:w="0" w:type="dxa"/>
        </w:tblCellMar>
      </w:tblPr>
      <w:tblGrid>
        <w:gridCol w:w="8361"/>
      </w:tblGrid>
      <w:tr w14:paraId="1A93F9B9">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PrEx>
        <w:tc>
          <w:tcPr>
            <w:tcW w:w="8361" w:type="dxa"/>
            <w:tcBorders>
              <w:bottom w:val="single" w:color="auto" w:sz="4" w:space="0"/>
            </w:tcBorders>
          </w:tcPr>
          <w:p w14:paraId="059E078A">
            <w:pPr>
              <w:overflowPunct w:val="0"/>
              <w:rPr>
                <w:rFonts w:hint="default" w:ascii="Calibri" w:hAnsi="Calibri" w:eastAsia="楷体_GB2312" w:cs="Calibri"/>
                <w:b/>
                <w:sz w:val="18"/>
                <w:szCs w:val="20"/>
                <w:lang w:eastAsia="zh-CN"/>
              </w:rPr>
            </w:pPr>
            <w:r>
              <w:rPr>
                <w:rFonts w:hint="default" w:ascii="Calibri" w:hAnsi="Calibri" w:eastAsia="楷体_GB2312" w:cs="Calibri"/>
                <w:b/>
                <w:sz w:val="18"/>
                <w:szCs w:val="18"/>
                <w:lang w:eastAsia="zh-CN"/>
              </w:rPr>
              <w:t>图1</w:t>
            </w:r>
            <w:r>
              <w:rPr>
                <w:rFonts w:hint="default" w:ascii="Calibri" w:hAnsi="Calibri" w:eastAsia="楷体_GB2312" w:cs="Calibri"/>
                <w:b/>
                <w:sz w:val="18"/>
                <w:szCs w:val="18"/>
                <w:lang w:val="en-US" w:eastAsia="zh-CN"/>
              </w:rPr>
              <w:t>3</w:t>
            </w:r>
            <w:r>
              <w:rPr>
                <w:rFonts w:hint="default" w:ascii="Calibri" w:hAnsi="Calibri" w:eastAsia="楷体_GB2312" w:cs="Calibri"/>
                <w:b/>
                <w:sz w:val="18"/>
                <w:szCs w:val="18"/>
                <w:lang w:eastAsia="zh-CN"/>
              </w:rPr>
              <w:t>：中国变压器出口金额（亿元）</w:t>
            </w:r>
          </w:p>
        </w:tc>
      </w:tr>
      <w:tr w14:paraId="602EE239">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3222" w:hRule="atLeast"/>
        </w:trPr>
        <w:tc>
          <w:tcPr>
            <w:tcW w:w="8361" w:type="dxa"/>
            <w:tcBorders>
              <w:top w:val="single" w:color="auto" w:sz="4" w:space="0"/>
              <w:bottom w:val="single" w:color="auto" w:sz="4" w:space="0"/>
            </w:tcBorders>
            <w:vAlign w:val="center"/>
          </w:tcPr>
          <w:p w14:paraId="39DFF7B6">
            <w:pPr>
              <w:overflowPunct w:val="0"/>
              <w:jc w:val="center"/>
              <w:rPr>
                <w:rFonts w:hint="default" w:ascii="Calibri" w:hAnsi="Calibri" w:eastAsia="楷体_GB2312" w:cs="Calibri"/>
                <w:sz w:val="10"/>
              </w:rPr>
            </w:pPr>
            <w:r>
              <w:rPr>
                <w:rFonts w:hint="default" w:ascii="Calibri" w:hAnsi="Calibri" w:eastAsia="楷体_GB2312" w:cs="Calibri"/>
                <w:sz w:val="10"/>
              </w:rPr>
              <w:drawing>
                <wp:inline distT="0" distB="0" distL="114300" distR="114300">
                  <wp:extent cx="5135245" cy="2583180"/>
                  <wp:effectExtent l="4445" t="4445" r="11430" b="18415"/>
                  <wp:docPr id="31"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tc>
      </w:tr>
      <w:tr w14:paraId="60BE77A1">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8361" w:type="dxa"/>
            <w:tcBorders>
              <w:top w:val="single" w:color="auto" w:sz="4" w:space="0"/>
            </w:tcBorders>
          </w:tcPr>
          <w:p w14:paraId="01A98E23">
            <w:pPr>
              <w:rPr>
                <w:rFonts w:hint="default" w:ascii="Calibri" w:hAnsi="Calibri" w:eastAsia="楷体_GB2312" w:cs="Calibri"/>
                <w:i/>
                <w:iCs/>
                <w:sz w:val="15"/>
                <w:szCs w:val="15"/>
                <w:lang w:eastAsia="zh-CN"/>
              </w:rPr>
            </w:pPr>
            <w:r>
              <w:rPr>
                <w:rFonts w:hint="default" w:ascii="Calibri" w:hAnsi="Calibri" w:eastAsia="楷体_GB2312" w:cs="Calibri"/>
                <w:i/>
                <w:iCs/>
                <w:sz w:val="15"/>
                <w:szCs w:val="15"/>
                <w:lang w:eastAsia="zh-CN"/>
              </w:rPr>
              <w:t>资料来源: 中国海关数据， HFI</w:t>
            </w:r>
          </w:p>
        </w:tc>
      </w:tr>
    </w:tbl>
    <w:p w14:paraId="06004E0F">
      <w:pPr>
        <w:overflowPunct w:val="0"/>
        <w:ind w:left="3200" w:leftChars="2000"/>
        <w:jc w:val="both"/>
        <w:rPr>
          <w:rFonts w:hint="default" w:ascii="Calibri" w:hAnsi="Calibri" w:eastAsia="楷体_GB2312" w:cs="Calibri"/>
          <w:b/>
          <w:bCs/>
          <w:sz w:val="20"/>
          <w:szCs w:val="20"/>
          <w:lang w:val="en-US" w:eastAsia="zh-CN"/>
        </w:rPr>
      </w:pPr>
    </w:p>
    <w:p w14:paraId="4985BBF5">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2025年，韩国超高压变压器（10MVA及以上）出口创1977年以来历史新高</w:t>
      </w:r>
      <w:r>
        <w:rPr>
          <w:rFonts w:hint="default" w:ascii="Calibri" w:hAnsi="Calibri" w:eastAsia="楷体_GB2312" w:cs="Calibri"/>
          <w:sz w:val="20"/>
          <w:szCs w:val="20"/>
          <w:lang w:val="en-US" w:eastAsia="zh-CN"/>
        </w:rPr>
        <w:t>，总额达约13亿美元（约1.299亿美元），受全球AI数据中心扩张及电力基础设施巨额投资推动，自2010年以来首次突破10亿美元大关。美国仍是最大买家，出口金额约7.38亿美元，过去三年增长近7倍，主要驱动因素包括美国老旧电网更换（约70%变压器接近30年寿命周期）以及AI数据中心和半导体工厂带来的大容量电力需求。欧洲市场需求持续发力，英国、加拿大等国进口规模显著扩大。中等容量变压器（650kVA–10MVA）保持稳定增长，但占比相对较小。尽管个别月份出现环比波动（如5月环比下降7.72%），全年整体保持极高景气度。需求激增导致供应严重短缺，主要厂商（如HD Hyundai Electric、Hyosung Heavy Industries、LS Electric）订单积压达5–6年，交货周期延长至200周以上，正加速在美国及韩国本土扩产。韩国企业目前占据美国变压器市场约25%份额，出口强势预计2026年仍将维持高位，相关制造商股价过去一年均创历史新高。</w:t>
      </w:r>
    </w:p>
    <w:p w14:paraId="20C7E821">
      <w:pPr>
        <w:overflowPunct w:val="0"/>
        <w:ind w:left="3200" w:leftChars="2000"/>
        <w:jc w:val="both"/>
        <w:rPr>
          <w:rFonts w:hint="default" w:ascii="Calibri" w:hAnsi="Calibri" w:eastAsia="楷体_GB2312" w:cs="Calibri"/>
          <w:sz w:val="20"/>
          <w:szCs w:val="20"/>
          <w:lang w:val="en-US" w:eastAsia="zh-CN"/>
        </w:rPr>
      </w:pPr>
    </w:p>
    <w:p w14:paraId="2A88926D">
      <w:pPr>
        <w:rPr>
          <w:rFonts w:hint="default" w:ascii="Calibri" w:hAnsi="Calibri" w:eastAsia="楷体_GB2312" w:cs="Calibri"/>
          <w:color w:val="000000"/>
          <w:kern w:val="28"/>
          <w:szCs w:val="20"/>
          <w:lang w:eastAsia="zh-CN"/>
        </w:rPr>
      </w:pPr>
    </w:p>
    <w:tbl>
      <w:tblPr>
        <w:tblStyle w:val="27"/>
        <w:tblW w:w="7459" w:type="dxa"/>
        <w:tblInd w:w="3249"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autofit"/>
        <w:tblCellMar>
          <w:top w:w="0" w:type="dxa"/>
          <w:left w:w="0" w:type="dxa"/>
          <w:bottom w:w="0" w:type="dxa"/>
          <w:right w:w="0" w:type="dxa"/>
        </w:tblCellMar>
      </w:tblPr>
      <w:tblGrid>
        <w:gridCol w:w="7459"/>
      </w:tblGrid>
      <w:tr w14:paraId="6FC1FA59">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PrEx>
        <w:tc>
          <w:tcPr>
            <w:tcW w:w="7459" w:type="dxa"/>
            <w:tcBorders>
              <w:bottom w:val="single" w:color="auto" w:sz="4" w:space="0"/>
            </w:tcBorders>
          </w:tcPr>
          <w:p w14:paraId="54663311">
            <w:pPr>
              <w:overflowPunct w:val="0"/>
              <w:rPr>
                <w:rFonts w:hint="default" w:ascii="Calibri" w:hAnsi="Calibri" w:eastAsia="楷体_GB2312" w:cs="Calibri"/>
                <w:b/>
                <w:sz w:val="18"/>
                <w:szCs w:val="20"/>
                <w:lang w:eastAsia="zh-CN"/>
              </w:rPr>
            </w:pPr>
            <w:r>
              <w:rPr>
                <w:rFonts w:hint="default" w:ascii="Calibri" w:hAnsi="Calibri" w:eastAsia="楷体_GB2312" w:cs="Calibri"/>
                <w:b/>
                <w:sz w:val="18"/>
                <w:szCs w:val="18"/>
                <w:lang w:eastAsia="zh-CN"/>
              </w:rPr>
              <w:t>图</w:t>
            </w:r>
            <w:r>
              <w:rPr>
                <w:rFonts w:hint="default" w:ascii="Calibri" w:hAnsi="Calibri" w:eastAsia="楷体_GB2312" w:cs="Calibri"/>
                <w:b/>
                <w:sz w:val="18"/>
                <w:szCs w:val="18"/>
                <w:lang w:val="en-US" w:eastAsia="zh-CN"/>
              </w:rPr>
              <w:t>14</w:t>
            </w:r>
            <w:r>
              <w:rPr>
                <w:rFonts w:hint="default" w:ascii="Calibri" w:hAnsi="Calibri" w:eastAsia="楷体_GB2312" w:cs="Calibri"/>
                <w:b/>
                <w:sz w:val="18"/>
                <w:szCs w:val="18"/>
                <w:lang w:eastAsia="zh-CN"/>
              </w:rPr>
              <w:t>：韩国变压器出口出口金额（亿美元）及同比变化</w:t>
            </w:r>
          </w:p>
        </w:tc>
      </w:tr>
      <w:tr w14:paraId="5805398D">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3222" w:hRule="atLeast"/>
        </w:trPr>
        <w:tc>
          <w:tcPr>
            <w:tcW w:w="7459" w:type="dxa"/>
            <w:tcBorders>
              <w:top w:val="single" w:color="auto" w:sz="4" w:space="0"/>
              <w:bottom w:val="single" w:color="auto" w:sz="4" w:space="0"/>
            </w:tcBorders>
            <w:vAlign w:val="center"/>
          </w:tcPr>
          <w:p w14:paraId="7FAE2D1A">
            <w:pPr>
              <w:overflowPunct w:val="0"/>
              <w:jc w:val="center"/>
              <w:rPr>
                <w:rFonts w:hint="default" w:ascii="Calibri" w:hAnsi="Calibri" w:eastAsia="楷体_GB2312" w:cs="Calibri"/>
                <w:sz w:val="10"/>
              </w:rPr>
            </w:pPr>
            <w:r>
              <w:rPr>
                <w:rFonts w:hint="default" w:ascii="Calibri" w:hAnsi="Calibri" w:eastAsia="楷体_GB2312" w:cs="Calibri"/>
              </w:rPr>
              <w:drawing>
                <wp:inline distT="0" distB="0" distL="114300" distR="114300">
                  <wp:extent cx="4349750" cy="2242820"/>
                  <wp:effectExtent l="4445" t="5080" r="8255" b="9525"/>
                  <wp:docPr id="17" name="图表 7"/>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tc>
      </w:tr>
      <w:tr w14:paraId="025C0A85">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7459" w:type="dxa"/>
            <w:tcBorders>
              <w:top w:val="single" w:color="auto" w:sz="4" w:space="0"/>
            </w:tcBorders>
          </w:tcPr>
          <w:p w14:paraId="5B7DC0D8">
            <w:pPr>
              <w:rPr>
                <w:rFonts w:hint="default" w:ascii="Calibri" w:hAnsi="Calibri" w:eastAsia="楷体_GB2312" w:cs="Calibri"/>
                <w:i/>
                <w:iCs/>
                <w:sz w:val="15"/>
                <w:szCs w:val="15"/>
                <w:lang w:eastAsia="zh-CN"/>
              </w:rPr>
            </w:pPr>
            <w:r>
              <w:rPr>
                <w:rFonts w:hint="default" w:ascii="Calibri" w:hAnsi="Calibri" w:eastAsia="楷体_GB2312" w:cs="Calibri"/>
                <w:i/>
                <w:iCs/>
                <w:sz w:val="15"/>
                <w:szCs w:val="15"/>
                <w:lang w:eastAsia="zh-CN"/>
              </w:rPr>
              <w:t xml:space="preserve">资料来源: </w:t>
            </w:r>
            <w:r>
              <w:rPr>
                <w:rFonts w:hint="default" w:ascii="Calibri" w:hAnsi="Calibri" w:eastAsia="楷体_GB2312" w:cs="Calibri"/>
                <w:i/>
                <w:iCs/>
                <w:sz w:val="15"/>
                <w:szCs w:val="15"/>
                <w:lang w:val="en-US" w:eastAsia="zh-CN"/>
              </w:rPr>
              <w:t>韩国</w:t>
            </w:r>
            <w:r>
              <w:rPr>
                <w:rFonts w:hint="default" w:ascii="Calibri" w:hAnsi="Calibri" w:eastAsia="楷体_GB2312" w:cs="Calibri"/>
                <w:i/>
                <w:iCs/>
                <w:sz w:val="15"/>
                <w:szCs w:val="15"/>
                <w:lang w:eastAsia="zh-CN"/>
              </w:rPr>
              <w:t>海关数据， HFI</w:t>
            </w:r>
          </w:p>
        </w:tc>
      </w:tr>
    </w:tbl>
    <w:p w14:paraId="200C40F2">
      <w:pPr>
        <w:overflowPunct w:val="0"/>
        <w:jc w:val="both"/>
        <w:rPr>
          <w:rFonts w:hint="default" w:ascii="Calibri" w:hAnsi="Calibri" w:eastAsia="楷体_GB2312" w:cs="Calibri"/>
          <w:kern w:val="28"/>
          <w:szCs w:val="20"/>
          <w:lang w:eastAsia="zh-CN"/>
        </w:rPr>
      </w:pPr>
    </w:p>
    <w:p w14:paraId="3A84056B">
      <w:pPr>
        <w:rPr>
          <w:rFonts w:hint="default" w:ascii="Calibri" w:hAnsi="Calibri" w:eastAsia="楷体_GB2312" w:cs="Calibri"/>
          <w:lang w:eastAsia="zh-CN"/>
        </w:rPr>
      </w:pPr>
      <w:r>
        <w:rPr>
          <w:rFonts w:hint="default" w:ascii="Calibri" w:hAnsi="Calibri" w:eastAsia="楷体_GB2312" w:cs="Calibri"/>
          <w:lang w:eastAsia="zh-CN"/>
        </w:rPr>
        <w:br w:type="page"/>
      </w:r>
    </w:p>
    <w:tbl>
      <w:tblPr>
        <w:tblStyle w:val="27"/>
        <w:tblW w:w="9855" w:type="dxa"/>
        <w:jc w:val="right"/>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fixed"/>
        <w:tblCellMar>
          <w:top w:w="0" w:type="dxa"/>
          <w:left w:w="0" w:type="dxa"/>
          <w:bottom w:w="0" w:type="dxa"/>
          <w:right w:w="0" w:type="dxa"/>
        </w:tblCellMar>
      </w:tblPr>
      <w:tblGrid>
        <w:gridCol w:w="9855"/>
      </w:tblGrid>
      <w:tr w14:paraId="630F58D7">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rPr>
          <w:trHeight w:val="104" w:hRule="atLeast"/>
          <w:jc w:val="right"/>
        </w:trPr>
        <w:tc>
          <w:tcPr>
            <w:tcW w:w="9855" w:type="dxa"/>
            <w:tcBorders>
              <w:bottom w:val="single" w:color="auto" w:sz="4" w:space="0"/>
            </w:tcBorders>
          </w:tcPr>
          <w:p w14:paraId="75D0B727">
            <w:pPr>
              <w:overflowPunct w:val="0"/>
              <w:rPr>
                <w:rFonts w:hint="default" w:ascii="Calibri" w:hAnsi="Calibri" w:eastAsia="楷体_GB2312" w:cs="Calibri"/>
                <w:b/>
                <w:sz w:val="18"/>
                <w:szCs w:val="20"/>
                <w:lang w:eastAsia="zh-CN"/>
              </w:rPr>
            </w:pPr>
            <w:r>
              <w:rPr>
                <w:rFonts w:hint="default" w:ascii="Calibri" w:hAnsi="Calibri" w:eastAsia="楷体_GB2312" w:cs="Calibri"/>
                <w:b/>
                <w:sz w:val="18"/>
                <w:szCs w:val="18"/>
                <w:lang w:eastAsia="zh-CN"/>
              </w:rPr>
              <w:t>表</w:t>
            </w:r>
            <w:r>
              <w:rPr>
                <w:rFonts w:hint="default" w:ascii="Calibri" w:hAnsi="Calibri" w:eastAsia="楷体_GB2312" w:cs="Calibri"/>
                <w:b/>
                <w:sz w:val="18"/>
                <w:szCs w:val="18"/>
                <w:lang w:val="en-US" w:eastAsia="zh-CN"/>
              </w:rPr>
              <w:t>4</w:t>
            </w:r>
            <w:r>
              <w:rPr>
                <w:rFonts w:hint="default" w:ascii="Calibri" w:hAnsi="Calibri" w:eastAsia="楷体_GB2312" w:cs="Calibri"/>
                <w:b/>
                <w:sz w:val="18"/>
                <w:szCs w:val="18"/>
                <w:lang w:eastAsia="zh-CN"/>
              </w:rPr>
              <w:t>：本周主要公司情况更新</w:t>
            </w:r>
          </w:p>
        </w:tc>
      </w:tr>
      <w:tr w14:paraId="7E38B039">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3744" w:hRule="atLeast"/>
          <w:jc w:val="right"/>
        </w:trPr>
        <w:tc>
          <w:tcPr>
            <w:tcW w:w="9855" w:type="dxa"/>
            <w:tcBorders>
              <w:top w:val="single" w:color="auto" w:sz="4" w:space="0"/>
              <w:bottom w:val="single" w:color="auto" w:sz="4" w:space="0"/>
            </w:tcBorders>
            <w:vAlign w:val="center"/>
          </w:tcPr>
          <w:tbl>
            <w:tblPr>
              <w:tblStyle w:val="26"/>
              <w:tblpPr w:leftFromText="180" w:rightFromText="180" w:vertAnchor="text" w:horzAnchor="page" w:tblpX="54" w:tblpY="-5636"/>
              <w:tblOverlap w:val="never"/>
              <w:tblW w:w="9793" w:type="dxa"/>
              <w:tblInd w:w="0" w:type="dxa"/>
              <w:tblLayout w:type="fixed"/>
              <w:tblCellMar>
                <w:top w:w="0" w:type="dxa"/>
                <w:left w:w="108" w:type="dxa"/>
                <w:bottom w:w="0" w:type="dxa"/>
                <w:right w:w="108" w:type="dxa"/>
              </w:tblCellMar>
            </w:tblPr>
            <w:tblGrid>
              <w:gridCol w:w="687"/>
              <w:gridCol w:w="913"/>
              <w:gridCol w:w="942"/>
              <w:gridCol w:w="7251"/>
            </w:tblGrid>
            <w:tr w14:paraId="4283DBFF">
              <w:tblPrEx>
                <w:tblCellMar>
                  <w:top w:w="0" w:type="dxa"/>
                  <w:left w:w="108" w:type="dxa"/>
                  <w:bottom w:w="0" w:type="dxa"/>
                  <w:right w:w="108" w:type="dxa"/>
                </w:tblCellMar>
              </w:tblPrEx>
              <w:trPr>
                <w:trHeight w:val="288" w:hRule="atLeast"/>
              </w:trPr>
              <w:tc>
                <w:tcPr>
                  <w:tcW w:w="350" w:type="pct"/>
                  <w:tcBorders>
                    <w:left w:val="single" w:color="auto" w:sz="4" w:space="0"/>
                    <w:bottom w:val="single" w:color="auto" w:sz="4" w:space="0"/>
                    <w:right w:val="nil"/>
                  </w:tcBorders>
                  <w:shd w:val="clear" w:color="000000" w:fill="0C2060"/>
                </w:tcPr>
                <w:p w14:paraId="5ED00BBE">
                  <w:pPr>
                    <w:overflowPunct w:val="0"/>
                    <w:jc w:val="center"/>
                    <w:rPr>
                      <w:rFonts w:hint="default" w:ascii="Calibri" w:hAnsi="Calibri" w:eastAsia="楷体_GB2312" w:cs="Calibri"/>
                      <w:b/>
                      <w:bCs/>
                      <w:color w:val="FFFFFF"/>
                      <w:lang w:eastAsia="zh-CN"/>
                    </w:rPr>
                  </w:pPr>
                </w:p>
              </w:tc>
              <w:tc>
                <w:tcPr>
                  <w:tcW w:w="466" w:type="pct"/>
                  <w:tcBorders>
                    <w:left w:val="single" w:color="auto" w:sz="4" w:space="0"/>
                    <w:bottom w:val="single" w:color="auto" w:sz="4" w:space="0"/>
                    <w:right w:val="nil"/>
                  </w:tcBorders>
                  <w:shd w:val="clear" w:color="000000" w:fill="0C2060"/>
                  <w:vAlign w:val="center"/>
                </w:tcPr>
                <w:p w14:paraId="6E5F577B">
                  <w:pPr>
                    <w:overflowPunct w:val="0"/>
                    <w:jc w:val="center"/>
                    <w:rPr>
                      <w:rFonts w:hint="default" w:ascii="Calibri" w:hAnsi="Calibri" w:eastAsia="楷体_GB2312" w:cs="Calibri"/>
                      <w:b/>
                      <w:bCs/>
                      <w:color w:val="FFFFFF"/>
                    </w:rPr>
                  </w:pPr>
                  <w:r>
                    <w:rPr>
                      <w:rFonts w:hint="default" w:ascii="Calibri" w:hAnsi="Calibri" w:eastAsia="楷体_GB2312" w:cs="Calibri"/>
                      <w:b/>
                      <w:bCs/>
                      <w:color w:val="FFFFFF"/>
                    </w:rPr>
                    <w:t>公司名称</w:t>
                  </w:r>
                </w:p>
              </w:tc>
              <w:tc>
                <w:tcPr>
                  <w:tcW w:w="481" w:type="pct"/>
                  <w:tcBorders>
                    <w:left w:val="single" w:color="auto" w:sz="4" w:space="0"/>
                    <w:bottom w:val="single" w:color="auto" w:sz="4" w:space="0"/>
                    <w:right w:val="nil"/>
                  </w:tcBorders>
                  <w:shd w:val="clear" w:color="000000" w:fill="0C2060"/>
                  <w:vAlign w:val="center"/>
                </w:tcPr>
                <w:p w14:paraId="5AABF342">
                  <w:pPr>
                    <w:overflowPunct w:val="0"/>
                    <w:jc w:val="center"/>
                    <w:rPr>
                      <w:rFonts w:hint="default" w:ascii="Calibri" w:hAnsi="Calibri" w:eastAsia="楷体_GB2312" w:cs="Calibri"/>
                      <w:b/>
                      <w:bCs/>
                      <w:color w:val="FFFFFF"/>
                    </w:rPr>
                  </w:pPr>
                  <w:r>
                    <w:rPr>
                      <w:rFonts w:hint="default" w:ascii="Calibri" w:hAnsi="Calibri" w:eastAsia="楷体_GB2312" w:cs="Calibri"/>
                      <w:b/>
                      <w:bCs/>
                      <w:color w:val="FFFFFF"/>
                    </w:rPr>
                    <w:t>时间</w:t>
                  </w:r>
                </w:p>
              </w:tc>
              <w:tc>
                <w:tcPr>
                  <w:tcW w:w="3701" w:type="pct"/>
                  <w:tcBorders>
                    <w:left w:val="nil"/>
                    <w:bottom w:val="single" w:color="auto" w:sz="4" w:space="0"/>
                    <w:right w:val="single" w:color="auto" w:sz="4" w:space="0"/>
                  </w:tcBorders>
                  <w:shd w:val="clear" w:color="000000" w:fill="0C2060"/>
                  <w:vAlign w:val="center"/>
                </w:tcPr>
                <w:p w14:paraId="11A00245">
                  <w:pPr>
                    <w:overflowPunct w:val="0"/>
                    <w:jc w:val="center"/>
                    <w:rPr>
                      <w:rFonts w:hint="default" w:ascii="Calibri" w:hAnsi="Calibri" w:eastAsia="楷体_GB2312" w:cs="Calibri"/>
                      <w:b/>
                      <w:bCs/>
                      <w:color w:val="FFFFFF"/>
                    </w:rPr>
                  </w:pPr>
                  <w:r>
                    <w:rPr>
                      <w:rFonts w:hint="default" w:ascii="Calibri" w:hAnsi="Calibri" w:eastAsia="楷体_GB2312" w:cs="Calibri"/>
                      <w:b/>
                      <w:bCs/>
                      <w:color w:val="FFFFFF"/>
                    </w:rPr>
                    <w:t>主要内容</w:t>
                  </w:r>
                </w:p>
              </w:tc>
            </w:tr>
            <w:tr w14:paraId="1C30CB68">
              <w:tblPrEx>
                <w:tblCellMar>
                  <w:top w:w="0" w:type="dxa"/>
                  <w:left w:w="108" w:type="dxa"/>
                  <w:bottom w:w="0" w:type="dxa"/>
                  <w:right w:w="108" w:type="dxa"/>
                </w:tblCellMar>
              </w:tblPrEx>
              <w:trPr>
                <w:trHeight w:val="446" w:hRule="atLeast"/>
              </w:trPr>
              <w:tc>
                <w:tcPr>
                  <w:tcW w:w="350" w:type="pct"/>
                  <w:vMerge w:val="restart"/>
                  <w:tcBorders>
                    <w:top w:val="single" w:color="auto" w:sz="4" w:space="0"/>
                    <w:left w:val="single" w:color="auto" w:sz="4" w:space="0"/>
                    <w:right w:val="nil"/>
                  </w:tcBorders>
                  <w:vAlign w:val="center"/>
                </w:tcPr>
                <w:p w14:paraId="579B91B0">
                  <w:pPr>
                    <w:overflowPunct w:val="0"/>
                    <w:jc w:val="center"/>
                    <w:rPr>
                      <w:rFonts w:hint="default" w:ascii="Calibri" w:hAnsi="Calibri" w:eastAsia="楷体_GB2312" w:cs="Calibri"/>
                      <w:color w:val="000000"/>
                    </w:rPr>
                  </w:pPr>
                  <w:r>
                    <w:rPr>
                      <w:rFonts w:hint="default" w:ascii="Calibri" w:hAnsi="Calibri" w:eastAsia="楷体_GB2312" w:cs="Calibri"/>
                      <w:color w:val="000000"/>
                      <w:lang w:val="en-US" w:eastAsia="zh-CN"/>
                    </w:rPr>
                    <w:t>工业-电气机械</w:t>
                  </w:r>
                </w:p>
              </w:tc>
              <w:tc>
                <w:tcPr>
                  <w:tcW w:w="466" w:type="pct"/>
                  <w:tcBorders>
                    <w:top w:val="single" w:color="auto" w:sz="4" w:space="0"/>
                    <w:left w:val="single" w:color="auto" w:sz="4" w:space="0"/>
                    <w:right w:val="nil"/>
                  </w:tcBorders>
                  <w:vAlign w:val="center"/>
                </w:tcPr>
                <w:p w14:paraId="0630F4CB">
                  <w:pPr>
                    <w:overflowPunct w:val="0"/>
                    <w:jc w:val="center"/>
                    <w:rPr>
                      <w:rFonts w:hint="default" w:ascii="Calibri" w:hAnsi="Calibri" w:eastAsia="楷体_GB2312" w:cs="Calibri"/>
                      <w:color w:val="000000"/>
                    </w:rPr>
                  </w:pPr>
                  <w:r>
                    <w:rPr>
                      <w:rFonts w:hint="default" w:ascii="Calibri" w:hAnsi="Calibri" w:eastAsia="楷体_GB2312" w:cs="Calibri"/>
                      <w:color w:val="000000"/>
                      <w:lang w:val="en-US" w:eastAsia="zh-CN"/>
                    </w:rPr>
                    <w:t>GE Vernova</w:t>
                  </w:r>
                </w:p>
              </w:tc>
              <w:tc>
                <w:tcPr>
                  <w:tcW w:w="481" w:type="pct"/>
                  <w:tcBorders>
                    <w:top w:val="single" w:color="auto" w:sz="4" w:space="0"/>
                    <w:left w:val="single" w:color="auto" w:sz="4" w:space="0"/>
                    <w:bottom w:val="single" w:color="auto" w:sz="4" w:space="0"/>
                    <w:right w:val="nil"/>
                  </w:tcBorders>
                  <w:vAlign w:val="center"/>
                </w:tcPr>
                <w:p w14:paraId="1F2BB9C8">
                  <w:pPr>
                    <w:overflowPunct w:val="0"/>
                    <w:jc w:val="center"/>
                    <w:rPr>
                      <w:rFonts w:hint="default" w:ascii="Calibri" w:hAnsi="Calibri" w:eastAsia="楷体_GB2312" w:cs="Calibri"/>
                      <w:color w:val="000000"/>
                    </w:rPr>
                  </w:pPr>
                  <w:r>
                    <w:rPr>
                      <w:rFonts w:hint="default" w:ascii="Calibri" w:hAnsi="Calibri" w:eastAsia="楷体_GB2312" w:cs="Calibri"/>
                      <w:color w:val="000000"/>
                      <w:lang w:val="en-US" w:eastAsia="zh-CN"/>
                    </w:rPr>
                    <w:t>2月24日</w:t>
                  </w:r>
                </w:p>
              </w:tc>
              <w:tc>
                <w:tcPr>
                  <w:tcW w:w="3701" w:type="pct"/>
                  <w:tcBorders>
                    <w:top w:val="single" w:color="auto" w:sz="4" w:space="0"/>
                    <w:left w:val="single" w:color="auto" w:sz="4" w:space="0"/>
                    <w:bottom w:val="single" w:color="auto" w:sz="4" w:space="0"/>
                    <w:right w:val="single" w:color="auto" w:sz="4" w:space="0"/>
                  </w:tcBorders>
                  <w:noWrap/>
                  <w:vAlign w:val="center"/>
                </w:tcPr>
                <w:p w14:paraId="6B8303AC">
                  <w:pPr>
                    <w:overflowPunct w:val="0"/>
                    <w:rPr>
                      <w:rFonts w:hint="default" w:ascii="Calibri" w:hAnsi="Calibri" w:eastAsia="楷体_GB2312" w:cs="Calibri"/>
                      <w:color w:val="000000"/>
                      <w:lang w:eastAsia="zh-CN"/>
                    </w:rPr>
                  </w:pPr>
                  <w:r>
                    <w:rPr>
                      <w:rFonts w:hint="default" w:ascii="Calibri" w:hAnsi="Calibri" w:eastAsia="楷体_GB2312" w:cs="Calibri"/>
                      <w:color w:val="000000"/>
                      <w:lang w:val="en-US" w:eastAsia="zh-CN"/>
                    </w:rPr>
                    <w:t>股价创历史新高：受益于 AI 数据中心和广泛电力需求的“超级周期”。公司完成 26 亿美元高级票据发行，用于资助收购变压器合资企业 Prolec GE 的剩余股份，进一步强化电网组合。此外，与波兰签署了 BWRX-300 小型模块化反应堆（SMR）的设计协议。</w:t>
                  </w:r>
                </w:p>
              </w:tc>
            </w:tr>
            <w:tr w14:paraId="3C2F8324">
              <w:tblPrEx>
                <w:tblCellMar>
                  <w:top w:w="0" w:type="dxa"/>
                  <w:left w:w="108" w:type="dxa"/>
                  <w:bottom w:w="0" w:type="dxa"/>
                  <w:right w:w="108" w:type="dxa"/>
                </w:tblCellMar>
              </w:tblPrEx>
              <w:trPr>
                <w:trHeight w:val="446" w:hRule="atLeast"/>
              </w:trPr>
              <w:tc>
                <w:tcPr>
                  <w:tcW w:w="350" w:type="pct"/>
                  <w:vMerge w:val="continue"/>
                  <w:tcBorders>
                    <w:left w:val="single" w:color="auto" w:sz="4" w:space="0"/>
                    <w:right w:val="nil"/>
                  </w:tcBorders>
                  <w:vAlign w:val="center"/>
                </w:tcPr>
                <w:p w14:paraId="16F81A3E">
                  <w:pPr>
                    <w:overflowPunct w:val="0"/>
                    <w:jc w:val="center"/>
                    <w:rPr>
                      <w:rFonts w:hint="default" w:ascii="Calibri" w:hAnsi="Calibri" w:eastAsia="楷体_GB2312" w:cs="Calibri"/>
                      <w:color w:val="000000"/>
                      <w:lang w:eastAsia="zh-CN"/>
                    </w:rPr>
                  </w:pPr>
                </w:p>
              </w:tc>
              <w:tc>
                <w:tcPr>
                  <w:tcW w:w="466" w:type="pct"/>
                  <w:tcBorders>
                    <w:top w:val="single" w:color="auto" w:sz="4" w:space="0"/>
                    <w:left w:val="single" w:color="auto" w:sz="4" w:space="0"/>
                    <w:right w:val="nil"/>
                  </w:tcBorders>
                  <w:vAlign w:val="center"/>
                </w:tcPr>
                <w:p w14:paraId="47137E9C">
                  <w:pPr>
                    <w:overflowPunct w:val="0"/>
                    <w:jc w:val="center"/>
                    <w:rPr>
                      <w:rFonts w:hint="default" w:ascii="Calibri" w:hAnsi="Calibri" w:eastAsia="楷体_GB2312" w:cs="Calibri"/>
                      <w:color w:val="000000"/>
                    </w:rPr>
                  </w:pPr>
                  <w:r>
                    <w:rPr>
                      <w:rFonts w:hint="default" w:ascii="Calibri" w:hAnsi="Calibri" w:eastAsia="楷体_GB2312" w:cs="Calibri"/>
                      <w:color w:val="000000"/>
                      <w:lang w:val="en-US" w:eastAsia="zh-CN"/>
                    </w:rPr>
                    <w:t>Siemens Energy</w:t>
                  </w:r>
                </w:p>
              </w:tc>
              <w:tc>
                <w:tcPr>
                  <w:tcW w:w="481" w:type="pct"/>
                  <w:tcBorders>
                    <w:top w:val="single" w:color="auto" w:sz="4" w:space="0"/>
                    <w:left w:val="single" w:color="auto" w:sz="4" w:space="0"/>
                    <w:bottom w:val="single" w:color="auto" w:sz="4" w:space="0"/>
                    <w:right w:val="nil"/>
                  </w:tcBorders>
                  <w:vAlign w:val="center"/>
                </w:tcPr>
                <w:p w14:paraId="51ED0874">
                  <w:pPr>
                    <w:overflowPunct w:val="0"/>
                    <w:jc w:val="center"/>
                    <w:rPr>
                      <w:rFonts w:hint="default" w:ascii="Calibri" w:hAnsi="Calibri" w:eastAsia="楷体_GB2312" w:cs="Calibri"/>
                      <w:color w:val="000000"/>
                    </w:rPr>
                  </w:pPr>
                  <w:r>
                    <w:rPr>
                      <w:rFonts w:hint="default" w:ascii="Calibri" w:hAnsi="Calibri" w:eastAsia="楷体_GB2312" w:cs="Calibri"/>
                      <w:color w:val="000000"/>
                      <w:lang w:val="en-US" w:eastAsia="zh-CN"/>
                    </w:rPr>
                    <w:t>2月11日</w:t>
                  </w:r>
                </w:p>
              </w:tc>
              <w:tc>
                <w:tcPr>
                  <w:tcW w:w="3701" w:type="pct"/>
                  <w:tcBorders>
                    <w:top w:val="single" w:color="auto" w:sz="4" w:space="0"/>
                    <w:left w:val="single" w:color="auto" w:sz="4" w:space="0"/>
                    <w:bottom w:val="single" w:color="auto" w:sz="4" w:space="0"/>
                    <w:right w:val="single" w:color="auto" w:sz="4" w:space="0"/>
                  </w:tcBorders>
                  <w:noWrap/>
                  <w:vAlign w:val="center"/>
                </w:tcPr>
                <w:p w14:paraId="0D6A258E">
                  <w:pPr>
                    <w:overflowPunct w:val="0"/>
                    <w:rPr>
                      <w:rFonts w:hint="default" w:ascii="Calibri" w:hAnsi="Calibri" w:eastAsia="楷体_GB2312" w:cs="Calibri"/>
                      <w:color w:val="000000"/>
                      <w:lang w:eastAsia="zh-CN"/>
                    </w:rPr>
                  </w:pPr>
                  <w:r>
                    <w:rPr>
                      <w:rFonts w:hint="default" w:ascii="Calibri" w:hAnsi="Calibri" w:eastAsia="楷体_GB2312" w:cs="Calibri"/>
                      <w:color w:val="000000"/>
                      <w:lang w:val="en-US" w:eastAsia="zh-CN"/>
                    </w:rPr>
                    <w:t>Siemens Energy公布2026财年第一季度业绩，净利润几乎三倍增长至7.46亿欧元，主要受AI驱动的燃气轮机和电网设备需求激增推动，订单额创纪录，确认全年营收增长11%-13%指引。</w:t>
                  </w:r>
                </w:p>
              </w:tc>
            </w:tr>
            <w:tr w14:paraId="06873F01">
              <w:tblPrEx>
                <w:tblCellMar>
                  <w:top w:w="0" w:type="dxa"/>
                  <w:left w:w="108" w:type="dxa"/>
                  <w:bottom w:w="0" w:type="dxa"/>
                  <w:right w:w="108" w:type="dxa"/>
                </w:tblCellMar>
              </w:tblPrEx>
              <w:trPr>
                <w:trHeight w:val="446" w:hRule="atLeast"/>
              </w:trPr>
              <w:tc>
                <w:tcPr>
                  <w:tcW w:w="350" w:type="pct"/>
                  <w:vMerge w:val="continue"/>
                  <w:tcBorders>
                    <w:left w:val="single" w:color="auto" w:sz="4" w:space="0"/>
                    <w:right w:val="nil"/>
                  </w:tcBorders>
                  <w:vAlign w:val="center"/>
                </w:tcPr>
                <w:p w14:paraId="05C6CBA8">
                  <w:pPr>
                    <w:overflowPunct w:val="0"/>
                    <w:jc w:val="center"/>
                    <w:rPr>
                      <w:rFonts w:hint="default" w:ascii="Calibri" w:hAnsi="Calibri" w:eastAsia="楷体_GB2312" w:cs="Calibri"/>
                      <w:color w:val="000000"/>
                      <w:lang w:eastAsia="zh-CN"/>
                    </w:rPr>
                  </w:pPr>
                </w:p>
              </w:tc>
              <w:tc>
                <w:tcPr>
                  <w:tcW w:w="466" w:type="pct"/>
                  <w:tcBorders>
                    <w:top w:val="single" w:color="auto" w:sz="4" w:space="0"/>
                    <w:left w:val="single" w:color="auto" w:sz="4" w:space="0"/>
                    <w:bottom w:val="single" w:color="auto" w:sz="4" w:space="0"/>
                    <w:right w:val="nil"/>
                  </w:tcBorders>
                  <w:vAlign w:val="center"/>
                </w:tcPr>
                <w:p w14:paraId="367F9BC3">
                  <w:pPr>
                    <w:overflowPunct w:val="0"/>
                    <w:jc w:val="center"/>
                    <w:rPr>
                      <w:rFonts w:hint="default" w:ascii="Calibri" w:hAnsi="Calibri" w:eastAsia="楷体_GB2312" w:cs="Calibri"/>
                      <w:color w:val="000000"/>
                    </w:rPr>
                  </w:pPr>
                  <w:r>
                    <w:rPr>
                      <w:rFonts w:hint="default" w:ascii="Calibri" w:hAnsi="Calibri" w:eastAsia="楷体_GB2312" w:cs="Calibri"/>
                      <w:color w:val="000000"/>
                      <w:lang w:val="en-US" w:eastAsia="zh-CN"/>
                    </w:rPr>
                    <w:t>Eaton</w:t>
                  </w:r>
                </w:p>
              </w:tc>
              <w:tc>
                <w:tcPr>
                  <w:tcW w:w="481" w:type="pct"/>
                  <w:tcBorders>
                    <w:top w:val="single" w:color="auto" w:sz="4" w:space="0"/>
                    <w:left w:val="single" w:color="auto" w:sz="4" w:space="0"/>
                    <w:bottom w:val="single" w:color="auto" w:sz="4" w:space="0"/>
                    <w:right w:val="nil"/>
                  </w:tcBorders>
                  <w:vAlign w:val="center"/>
                </w:tcPr>
                <w:p w14:paraId="5887565D">
                  <w:pPr>
                    <w:overflowPunct w:val="0"/>
                    <w:jc w:val="center"/>
                    <w:rPr>
                      <w:rFonts w:hint="default" w:ascii="Calibri" w:hAnsi="Calibri" w:eastAsia="楷体_GB2312" w:cs="Calibri"/>
                      <w:color w:val="000000"/>
                    </w:rPr>
                  </w:pPr>
                  <w:r>
                    <w:rPr>
                      <w:rFonts w:hint="default" w:ascii="Calibri" w:hAnsi="Calibri" w:eastAsia="楷体_GB2312" w:cs="Calibri"/>
                      <w:color w:val="000000"/>
                      <w:lang w:val="en-US" w:eastAsia="zh-CN"/>
                    </w:rPr>
                    <w:t>2月24日</w:t>
                  </w:r>
                </w:p>
              </w:tc>
              <w:tc>
                <w:tcPr>
                  <w:tcW w:w="3701" w:type="pct"/>
                  <w:tcBorders>
                    <w:top w:val="single" w:color="auto" w:sz="4" w:space="0"/>
                    <w:left w:val="single" w:color="auto" w:sz="4" w:space="0"/>
                    <w:bottom w:val="single" w:color="auto" w:sz="4" w:space="0"/>
                    <w:right w:val="single" w:color="auto" w:sz="4" w:space="0"/>
                  </w:tcBorders>
                  <w:noWrap/>
                  <w:vAlign w:val="center"/>
                </w:tcPr>
                <w:p w14:paraId="5B091569">
                  <w:pPr>
                    <w:overflowPunct w:val="0"/>
                    <w:rPr>
                      <w:rFonts w:hint="default" w:ascii="Calibri" w:hAnsi="Calibri" w:eastAsia="楷体_GB2312" w:cs="Calibri"/>
                      <w:color w:val="000000"/>
                      <w:lang w:eastAsia="zh-CN"/>
                    </w:rPr>
                  </w:pPr>
                  <w:r>
                    <w:rPr>
                      <w:rFonts w:hint="default" w:ascii="Calibri" w:hAnsi="Calibri" w:eastAsia="楷体_GB2312" w:cs="Calibri"/>
                      <w:color w:val="000000"/>
                    </w:rPr>
                    <w:t>数据中心订单激增 200%：Q4 财报显示数据中心业务订单量增长两倍，积压订单额增长 29%。公司正考虑以 50 亿美元的价格剥离或出售其车辆业务（Vehicle Unit），以全面转型为聚焦 AI 驱动电力系统和航空航天的纯粹参与者。</w:t>
                  </w:r>
                </w:p>
              </w:tc>
            </w:tr>
            <w:tr w14:paraId="52F0E34A">
              <w:tblPrEx>
                <w:tblCellMar>
                  <w:top w:w="0" w:type="dxa"/>
                  <w:left w:w="108" w:type="dxa"/>
                  <w:bottom w:w="0" w:type="dxa"/>
                  <w:right w:w="108" w:type="dxa"/>
                </w:tblCellMar>
              </w:tblPrEx>
              <w:trPr>
                <w:trHeight w:val="446" w:hRule="atLeast"/>
              </w:trPr>
              <w:tc>
                <w:tcPr>
                  <w:tcW w:w="350" w:type="pct"/>
                  <w:vMerge w:val="continue"/>
                  <w:tcBorders>
                    <w:left w:val="single" w:color="auto" w:sz="4" w:space="0"/>
                    <w:right w:val="nil"/>
                  </w:tcBorders>
                  <w:vAlign w:val="center"/>
                </w:tcPr>
                <w:p w14:paraId="0D88C562">
                  <w:pPr>
                    <w:overflowPunct w:val="0"/>
                    <w:jc w:val="center"/>
                    <w:rPr>
                      <w:rFonts w:hint="default" w:ascii="Calibri" w:hAnsi="Calibri" w:eastAsia="楷体_GB2312" w:cs="Calibri"/>
                      <w:color w:val="000000"/>
                      <w:lang w:eastAsia="zh-CN"/>
                    </w:rPr>
                  </w:pPr>
                </w:p>
              </w:tc>
              <w:tc>
                <w:tcPr>
                  <w:tcW w:w="466" w:type="pct"/>
                  <w:tcBorders>
                    <w:top w:val="single" w:color="auto" w:sz="4" w:space="0"/>
                    <w:left w:val="single" w:color="auto" w:sz="4" w:space="0"/>
                    <w:bottom w:val="single" w:color="auto" w:sz="4" w:space="0"/>
                    <w:right w:val="nil"/>
                  </w:tcBorders>
                  <w:vAlign w:val="center"/>
                </w:tcPr>
                <w:p w14:paraId="53090709">
                  <w:pPr>
                    <w:overflowPunct w:val="0"/>
                    <w:jc w:val="center"/>
                    <w:rPr>
                      <w:rFonts w:hint="default" w:ascii="Calibri" w:hAnsi="Calibri" w:eastAsia="楷体_GB2312" w:cs="Calibri"/>
                      <w:color w:val="000000"/>
                    </w:rPr>
                  </w:pPr>
                  <w:r>
                    <w:rPr>
                      <w:rFonts w:hint="default" w:ascii="Calibri" w:hAnsi="Calibri" w:eastAsia="楷体_GB2312" w:cs="Calibri"/>
                      <w:color w:val="000000"/>
                      <w:lang w:val="en-US" w:eastAsia="zh-CN"/>
                    </w:rPr>
                    <w:t>ABB</w:t>
                  </w:r>
                </w:p>
              </w:tc>
              <w:tc>
                <w:tcPr>
                  <w:tcW w:w="481" w:type="pct"/>
                  <w:tcBorders>
                    <w:top w:val="single" w:color="auto" w:sz="4" w:space="0"/>
                    <w:left w:val="single" w:color="auto" w:sz="4" w:space="0"/>
                    <w:bottom w:val="single" w:color="auto" w:sz="4" w:space="0"/>
                    <w:right w:val="nil"/>
                  </w:tcBorders>
                  <w:vAlign w:val="center"/>
                </w:tcPr>
                <w:p w14:paraId="1C5FB438">
                  <w:pPr>
                    <w:overflowPunct w:val="0"/>
                    <w:jc w:val="center"/>
                    <w:rPr>
                      <w:rFonts w:hint="default" w:ascii="Calibri" w:hAnsi="Calibri" w:eastAsia="楷体_GB2312" w:cs="Calibri"/>
                      <w:color w:val="000000"/>
                    </w:rPr>
                  </w:pPr>
                  <w:r>
                    <w:rPr>
                      <w:rFonts w:hint="default" w:ascii="Calibri" w:hAnsi="Calibri" w:eastAsia="楷体_GB2312" w:cs="Calibri"/>
                      <w:color w:val="000000"/>
                      <w:lang w:val="en-US" w:eastAsia="zh-CN"/>
                    </w:rPr>
                    <w:t>2月10日</w:t>
                  </w:r>
                </w:p>
              </w:tc>
              <w:tc>
                <w:tcPr>
                  <w:tcW w:w="3701" w:type="pct"/>
                  <w:tcBorders>
                    <w:top w:val="single" w:color="auto" w:sz="4" w:space="0"/>
                    <w:left w:val="single" w:color="auto" w:sz="4" w:space="0"/>
                    <w:bottom w:val="single" w:color="auto" w:sz="4" w:space="0"/>
                    <w:right w:val="single" w:color="auto" w:sz="4" w:space="0"/>
                  </w:tcBorders>
                  <w:noWrap/>
                  <w:vAlign w:val="center"/>
                </w:tcPr>
                <w:p w14:paraId="1E919AEB">
                  <w:pPr>
                    <w:overflowPunct w:val="0"/>
                    <w:rPr>
                      <w:rFonts w:hint="default" w:ascii="Calibri" w:hAnsi="Calibri" w:eastAsia="楷体_GB2312" w:cs="Calibri"/>
                      <w:color w:val="000000"/>
                      <w:lang w:eastAsia="zh-CN"/>
                    </w:rPr>
                  </w:pPr>
                  <w:r>
                    <w:rPr>
                      <w:rFonts w:hint="default" w:ascii="Calibri" w:hAnsi="Calibri" w:eastAsia="楷体_GB2312" w:cs="Calibri"/>
                      <w:color w:val="000000"/>
                      <w:lang w:val="en-US" w:eastAsia="zh-CN"/>
                    </w:rPr>
                    <w:t>ABB宣布收购交易，新增35万连接，提升规模并确保长期增长伙伴关系；公司对2026年充满信心，此前启动20亿美元股票回购计划，受益于电气化和自动化需求。</w:t>
                  </w:r>
                </w:p>
              </w:tc>
            </w:tr>
            <w:tr w14:paraId="7DA6A9E4">
              <w:tblPrEx>
                <w:tblCellMar>
                  <w:top w:w="0" w:type="dxa"/>
                  <w:left w:w="108" w:type="dxa"/>
                  <w:bottom w:w="0" w:type="dxa"/>
                  <w:right w:w="108" w:type="dxa"/>
                </w:tblCellMar>
              </w:tblPrEx>
              <w:trPr>
                <w:trHeight w:val="446" w:hRule="atLeast"/>
              </w:trPr>
              <w:tc>
                <w:tcPr>
                  <w:tcW w:w="350" w:type="pct"/>
                  <w:vMerge w:val="continue"/>
                  <w:tcBorders>
                    <w:left w:val="single" w:color="auto" w:sz="4" w:space="0"/>
                    <w:right w:val="nil"/>
                  </w:tcBorders>
                  <w:vAlign w:val="center"/>
                </w:tcPr>
                <w:p w14:paraId="7E4C7761">
                  <w:pPr>
                    <w:overflowPunct w:val="0"/>
                    <w:jc w:val="center"/>
                    <w:rPr>
                      <w:rFonts w:hint="default" w:ascii="Calibri" w:hAnsi="Calibri" w:eastAsia="楷体_GB2312" w:cs="Calibri"/>
                      <w:color w:val="000000"/>
                      <w:lang w:eastAsia="zh-CN"/>
                    </w:rPr>
                  </w:pPr>
                </w:p>
              </w:tc>
              <w:tc>
                <w:tcPr>
                  <w:tcW w:w="466" w:type="pct"/>
                  <w:tcBorders>
                    <w:top w:val="single" w:color="auto" w:sz="4" w:space="0"/>
                    <w:left w:val="single" w:color="auto" w:sz="4" w:space="0"/>
                    <w:bottom w:val="single" w:color="auto" w:sz="4" w:space="0"/>
                    <w:right w:val="nil"/>
                  </w:tcBorders>
                  <w:vAlign w:val="center"/>
                </w:tcPr>
                <w:p w14:paraId="568CBAD9">
                  <w:pPr>
                    <w:overflowPunct w:val="0"/>
                    <w:jc w:val="center"/>
                    <w:rPr>
                      <w:rFonts w:hint="default" w:ascii="Calibri" w:hAnsi="Calibri" w:eastAsia="楷体_GB2312" w:cs="Calibri"/>
                      <w:color w:val="000000"/>
                    </w:rPr>
                  </w:pPr>
                  <w:r>
                    <w:rPr>
                      <w:rFonts w:hint="default" w:ascii="Calibri" w:hAnsi="Calibri" w:eastAsia="楷体_GB2312" w:cs="Calibri"/>
                      <w:color w:val="000000"/>
                      <w:lang w:val="en-US" w:eastAsia="zh-CN"/>
                    </w:rPr>
                    <w:t>三菱重工</w:t>
                  </w:r>
                </w:p>
              </w:tc>
              <w:tc>
                <w:tcPr>
                  <w:tcW w:w="481" w:type="pct"/>
                  <w:tcBorders>
                    <w:top w:val="single" w:color="auto" w:sz="4" w:space="0"/>
                    <w:left w:val="single" w:color="auto" w:sz="4" w:space="0"/>
                    <w:bottom w:val="single" w:color="auto" w:sz="4" w:space="0"/>
                    <w:right w:val="nil"/>
                  </w:tcBorders>
                  <w:vAlign w:val="center"/>
                </w:tcPr>
                <w:p w14:paraId="6FE90559">
                  <w:pPr>
                    <w:overflowPunct w:val="0"/>
                    <w:jc w:val="center"/>
                    <w:rPr>
                      <w:rFonts w:hint="default" w:ascii="Calibri" w:hAnsi="Calibri" w:eastAsia="楷体_GB2312" w:cs="Calibri"/>
                      <w:color w:val="000000"/>
                    </w:rPr>
                  </w:pPr>
                  <w:r>
                    <w:rPr>
                      <w:rFonts w:hint="default" w:ascii="Calibri" w:hAnsi="Calibri" w:eastAsia="楷体_GB2312" w:cs="Calibri"/>
                      <w:color w:val="000000"/>
                      <w:lang w:val="en-US" w:eastAsia="zh-CN"/>
                    </w:rPr>
                    <w:t>2月4日</w:t>
                  </w:r>
                </w:p>
              </w:tc>
              <w:tc>
                <w:tcPr>
                  <w:tcW w:w="3701" w:type="pct"/>
                  <w:tcBorders>
                    <w:top w:val="single" w:color="auto" w:sz="4" w:space="0"/>
                    <w:left w:val="single" w:color="auto" w:sz="4" w:space="0"/>
                    <w:bottom w:val="single" w:color="auto" w:sz="4" w:space="0"/>
                    <w:right w:val="single" w:color="auto" w:sz="4" w:space="0"/>
                  </w:tcBorders>
                  <w:noWrap/>
                  <w:vAlign w:val="center"/>
                </w:tcPr>
                <w:p w14:paraId="597F2476">
                  <w:pPr>
                    <w:overflowPunct w:val="0"/>
                    <w:rPr>
                      <w:rFonts w:hint="default" w:ascii="Calibri" w:hAnsi="Calibri" w:eastAsia="楷体_GB2312" w:cs="Calibri"/>
                      <w:color w:val="000000"/>
                      <w:lang w:eastAsia="zh-CN"/>
                    </w:rPr>
                  </w:pPr>
                  <w:r>
                    <w:rPr>
                      <w:rFonts w:hint="default" w:ascii="Calibri" w:hAnsi="Calibri" w:eastAsia="楷体_GB2312" w:cs="Calibri"/>
                      <w:color w:val="000000"/>
                      <w:lang w:val="en-US" w:eastAsia="zh-CN"/>
                    </w:rPr>
                    <w:t>三菱重工公布2025财年前三季度业绩，订单额同比增长12.6%至5.03万亿日元，净利润增长，主要受益于能源、航空航天和防卫领域强劲需求；近期公告风电业务调整。</w:t>
                  </w:r>
                </w:p>
              </w:tc>
            </w:tr>
            <w:tr w14:paraId="3EE2FE67">
              <w:tblPrEx>
                <w:tblCellMar>
                  <w:top w:w="0" w:type="dxa"/>
                  <w:left w:w="108" w:type="dxa"/>
                  <w:bottom w:w="0" w:type="dxa"/>
                  <w:right w:w="108" w:type="dxa"/>
                </w:tblCellMar>
              </w:tblPrEx>
              <w:trPr>
                <w:trHeight w:val="446" w:hRule="atLeast"/>
              </w:trPr>
              <w:tc>
                <w:tcPr>
                  <w:tcW w:w="350" w:type="pct"/>
                  <w:vMerge w:val="continue"/>
                  <w:tcBorders>
                    <w:left w:val="single" w:color="auto" w:sz="4" w:space="0"/>
                    <w:right w:val="nil"/>
                  </w:tcBorders>
                  <w:vAlign w:val="center"/>
                </w:tcPr>
                <w:p w14:paraId="7DD086A9">
                  <w:pPr>
                    <w:overflowPunct w:val="0"/>
                    <w:jc w:val="center"/>
                    <w:rPr>
                      <w:rFonts w:hint="default" w:ascii="Calibri" w:hAnsi="Calibri" w:eastAsia="楷体_GB2312" w:cs="Calibri"/>
                      <w:color w:val="000000"/>
                      <w:lang w:eastAsia="zh-CN"/>
                    </w:rPr>
                  </w:pPr>
                </w:p>
              </w:tc>
              <w:tc>
                <w:tcPr>
                  <w:tcW w:w="466" w:type="pct"/>
                  <w:tcBorders>
                    <w:top w:val="single" w:color="auto" w:sz="4" w:space="0"/>
                    <w:left w:val="single" w:color="auto" w:sz="4" w:space="0"/>
                    <w:bottom w:val="single" w:color="auto" w:sz="4" w:space="0"/>
                    <w:right w:val="nil"/>
                  </w:tcBorders>
                  <w:vAlign w:val="center"/>
                </w:tcPr>
                <w:p w14:paraId="43CB04E5">
                  <w:pPr>
                    <w:overflowPunct w:val="0"/>
                    <w:jc w:val="center"/>
                    <w:rPr>
                      <w:rFonts w:hint="default" w:ascii="Calibri" w:hAnsi="Calibri" w:eastAsia="楷体_GB2312" w:cs="Calibri"/>
                      <w:color w:val="000000"/>
                    </w:rPr>
                  </w:pPr>
                  <w:r>
                    <w:rPr>
                      <w:rFonts w:hint="default" w:ascii="Calibri" w:hAnsi="Calibri" w:eastAsia="楷体_GB2312" w:cs="Calibri"/>
                      <w:color w:val="000000"/>
                      <w:lang w:val="en-US" w:eastAsia="zh-CN"/>
                    </w:rPr>
                    <w:t>三菱电机</w:t>
                  </w:r>
                </w:p>
              </w:tc>
              <w:tc>
                <w:tcPr>
                  <w:tcW w:w="481" w:type="pct"/>
                  <w:tcBorders>
                    <w:top w:val="single" w:color="auto" w:sz="4" w:space="0"/>
                    <w:left w:val="single" w:color="auto" w:sz="4" w:space="0"/>
                    <w:bottom w:val="single" w:color="auto" w:sz="4" w:space="0"/>
                    <w:right w:val="nil"/>
                  </w:tcBorders>
                  <w:vAlign w:val="center"/>
                </w:tcPr>
                <w:p w14:paraId="5E8796A3">
                  <w:pPr>
                    <w:overflowPunct w:val="0"/>
                    <w:jc w:val="center"/>
                    <w:rPr>
                      <w:rFonts w:hint="default" w:ascii="Calibri" w:hAnsi="Calibri" w:eastAsia="楷体_GB2312" w:cs="Calibri"/>
                      <w:color w:val="000000"/>
                    </w:rPr>
                  </w:pPr>
                  <w:r>
                    <w:rPr>
                      <w:rFonts w:hint="default" w:ascii="Calibri" w:hAnsi="Calibri" w:eastAsia="楷体_GB2312" w:cs="Calibri"/>
                      <w:color w:val="000000"/>
                      <w:lang w:val="en-US" w:eastAsia="zh-CN"/>
                    </w:rPr>
                    <w:t>2月19日</w:t>
                  </w:r>
                </w:p>
              </w:tc>
              <w:tc>
                <w:tcPr>
                  <w:tcW w:w="3701" w:type="pct"/>
                  <w:tcBorders>
                    <w:top w:val="single" w:color="auto" w:sz="4" w:space="0"/>
                    <w:left w:val="single" w:color="auto" w:sz="4" w:space="0"/>
                    <w:bottom w:val="single" w:color="auto" w:sz="4" w:space="0"/>
                    <w:right w:val="single" w:color="auto" w:sz="4" w:space="0"/>
                  </w:tcBorders>
                  <w:noWrap/>
                  <w:vAlign w:val="center"/>
                </w:tcPr>
                <w:p w14:paraId="12AAD611">
                  <w:pPr>
                    <w:overflowPunct w:val="0"/>
                    <w:rPr>
                      <w:rFonts w:hint="default" w:ascii="Calibri" w:hAnsi="Calibri" w:eastAsia="楷体_GB2312" w:cs="Calibri"/>
                      <w:color w:val="000000"/>
                      <w:lang w:eastAsia="zh-CN"/>
                    </w:rPr>
                  </w:pPr>
                  <w:r>
                    <w:rPr>
                      <w:rFonts w:hint="default" w:ascii="Calibri" w:hAnsi="Calibri" w:eastAsia="楷体_GB2312" w:cs="Calibri"/>
                      <w:color w:val="000000"/>
                    </w:rPr>
                    <w:t>重大组织架构调整：宣布从 2026 年 4 月 1 日起重组北美业务，整合工厂自动化（FA）与机床控制系统（CNC）部门。此外，获得日本防卫省下一代防卫卫星通信系统合同。</w:t>
                  </w:r>
                </w:p>
              </w:tc>
            </w:tr>
            <w:tr w14:paraId="6A4809BF">
              <w:tblPrEx>
                <w:tblCellMar>
                  <w:top w:w="0" w:type="dxa"/>
                  <w:left w:w="108" w:type="dxa"/>
                  <w:bottom w:w="0" w:type="dxa"/>
                  <w:right w:w="108" w:type="dxa"/>
                </w:tblCellMar>
              </w:tblPrEx>
              <w:trPr>
                <w:trHeight w:val="446" w:hRule="atLeast"/>
              </w:trPr>
              <w:tc>
                <w:tcPr>
                  <w:tcW w:w="350" w:type="pct"/>
                  <w:vMerge w:val="continue"/>
                  <w:tcBorders>
                    <w:left w:val="single" w:color="auto" w:sz="4" w:space="0"/>
                    <w:bottom w:val="single" w:color="auto" w:sz="4" w:space="0"/>
                    <w:right w:val="nil"/>
                  </w:tcBorders>
                  <w:vAlign w:val="center"/>
                </w:tcPr>
                <w:p w14:paraId="2546800C">
                  <w:pPr>
                    <w:overflowPunct w:val="0"/>
                    <w:jc w:val="center"/>
                    <w:rPr>
                      <w:rFonts w:hint="default" w:ascii="Calibri" w:hAnsi="Calibri" w:eastAsia="楷体_GB2312" w:cs="Calibri"/>
                      <w:color w:val="000000"/>
                      <w:lang w:eastAsia="zh-CN"/>
                    </w:rPr>
                  </w:pPr>
                </w:p>
              </w:tc>
              <w:tc>
                <w:tcPr>
                  <w:tcW w:w="466" w:type="pct"/>
                  <w:tcBorders>
                    <w:top w:val="single" w:color="auto" w:sz="4" w:space="0"/>
                    <w:left w:val="single" w:color="auto" w:sz="4" w:space="0"/>
                    <w:bottom w:val="single" w:color="auto" w:sz="4" w:space="0"/>
                    <w:right w:val="nil"/>
                  </w:tcBorders>
                  <w:vAlign w:val="center"/>
                </w:tcPr>
                <w:p w14:paraId="1CAB22E7">
                  <w:pPr>
                    <w:overflowPunct w:val="0"/>
                    <w:jc w:val="center"/>
                    <w:rPr>
                      <w:rFonts w:hint="default" w:ascii="Calibri" w:hAnsi="Calibri" w:eastAsia="楷体_GB2312" w:cs="Calibri"/>
                      <w:color w:val="000000"/>
                    </w:rPr>
                  </w:pPr>
                  <w:r>
                    <w:rPr>
                      <w:rFonts w:hint="default" w:ascii="Calibri" w:hAnsi="Calibri" w:eastAsia="楷体_GB2312" w:cs="Calibri"/>
                      <w:color w:val="000000"/>
                      <w:lang w:val="en-US" w:eastAsia="zh-CN"/>
                    </w:rPr>
                    <w:t>Vertiv</w:t>
                  </w:r>
                </w:p>
              </w:tc>
              <w:tc>
                <w:tcPr>
                  <w:tcW w:w="481" w:type="pct"/>
                  <w:tcBorders>
                    <w:top w:val="single" w:color="auto" w:sz="4" w:space="0"/>
                    <w:left w:val="single" w:color="auto" w:sz="4" w:space="0"/>
                    <w:bottom w:val="single" w:color="auto" w:sz="4" w:space="0"/>
                    <w:right w:val="nil"/>
                  </w:tcBorders>
                  <w:vAlign w:val="center"/>
                </w:tcPr>
                <w:p w14:paraId="6C66C9E3">
                  <w:pPr>
                    <w:overflowPunct w:val="0"/>
                    <w:jc w:val="center"/>
                    <w:rPr>
                      <w:rFonts w:hint="default" w:ascii="Calibri" w:hAnsi="Calibri" w:eastAsia="楷体_GB2312" w:cs="Calibri"/>
                      <w:color w:val="000000"/>
                    </w:rPr>
                  </w:pPr>
                  <w:r>
                    <w:rPr>
                      <w:rFonts w:hint="default" w:ascii="Calibri" w:hAnsi="Calibri" w:eastAsia="楷体_GB2312" w:cs="Calibri"/>
                      <w:color w:val="000000"/>
                      <w:lang w:val="en-US" w:eastAsia="zh-CN"/>
                    </w:rPr>
                    <w:t>2月25日</w:t>
                  </w:r>
                </w:p>
              </w:tc>
              <w:tc>
                <w:tcPr>
                  <w:tcW w:w="3701" w:type="pct"/>
                  <w:tcBorders>
                    <w:top w:val="single" w:color="auto" w:sz="4" w:space="0"/>
                    <w:left w:val="single" w:color="auto" w:sz="4" w:space="0"/>
                    <w:bottom w:val="single" w:color="auto" w:sz="4" w:space="0"/>
                    <w:right w:val="single" w:color="auto" w:sz="4" w:space="0"/>
                  </w:tcBorders>
                  <w:noWrap/>
                  <w:vAlign w:val="center"/>
                </w:tcPr>
                <w:p w14:paraId="3E5BFEBA">
                  <w:pPr>
                    <w:overflowPunct w:val="0"/>
                    <w:rPr>
                      <w:rFonts w:hint="default" w:ascii="Calibri" w:hAnsi="Calibri" w:eastAsia="楷体_GB2312" w:cs="Calibri"/>
                      <w:color w:val="000000"/>
                      <w:lang w:eastAsia="zh-CN"/>
                    </w:rPr>
                  </w:pPr>
                  <w:r>
                    <w:rPr>
                      <w:rFonts w:hint="default" w:ascii="Calibri" w:hAnsi="Calibri" w:eastAsia="楷体_GB2312" w:cs="Calibri"/>
                      <w:color w:val="000000"/>
                    </w:rPr>
                    <w:t>150 亿美元积压订单：2 月 11 日公布的 Q4 业绩大超预期，积压订单额同比暴涨 109% 至 150 亿美元。公司随即发行了 21 亿美元长期债券，锁定制冷和电力基础设施的长期投资资金，以应对 AI 数据中心爆发式的制冷需求。</w:t>
                  </w:r>
                </w:p>
              </w:tc>
            </w:tr>
          </w:tbl>
          <w:p w14:paraId="68AADEF8">
            <w:pPr>
              <w:overflowPunct w:val="0"/>
              <w:jc w:val="center"/>
              <w:rPr>
                <w:rFonts w:hint="default" w:ascii="Calibri" w:hAnsi="Calibri" w:eastAsia="楷体_GB2312" w:cs="Calibri"/>
                <w:sz w:val="10"/>
                <w:lang w:eastAsia="zh-CN"/>
              </w:rPr>
            </w:pPr>
          </w:p>
        </w:tc>
      </w:tr>
      <w:tr w14:paraId="69332B7D">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rPr>
          <w:jc w:val="right"/>
        </w:trPr>
        <w:tc>
          <w:tcPr>
            <w:tcW w:w="9855" w:type="dxa"/>
            <w:tcBorders>
              <w:top w:val="single" w:color="auto" w:sz="4" w:space="0"/>
            </w:tcBorders>
          </w:tcPr>
          <w:p w14:paraId="5FCD7CA2">
            <w:pPr>
              <w:rPr>
                <w:rFonts w:hint="default" w:ascii="Calibri" w:hAnsi="Calibri" w:eastAsia="楷体_GB2312" w:cs="Calibri"/>
                <w:i/>
                <w:iCs/>
                <w:sz w:val="15"/>
                <w:szCs w:val="15"/>
                <w:lang w:eastAsia="zh-CN"/>
              </w:rPr>
            </w:pPr>
            <w:r>
              <w:rPr>
                <w:rFonts w:hint="default" w:ascii="Calibri" w:hAnsi="Calibri" w:eastAsia="楷体_GB2312" w:cs="Calibri"/>
                <w:i/>
                <w:iCs/>
                <w:lang w:eastAsia="zh-CN"/>
              </w:rPr>
              <w:t>资料来源：公司公告，HFI</w:t>
            </w:r>
          </w:p>
        </w:tc>
      </w:tr>
    </w:tbl>
    <w:p w14:paraId="1FA9B299">
      <w:pPr>
        <w:rPr>
          <w:rFonts w:hint="default" w:ascii="Calibri" w:hAnsi="Calibri" w:eastAsia="楷体_GB2312" w:cs="Calibri"/>
          <w:lang w:eastAsia="zh-CN"/>
        </w:rPr>
      </w:pPr>
    </w:p>
    <w:p w14:paraId="4C355FE3">
      <w:pPr>
        <w:overflowPunct w:val="0"/>
        <w:ind w:left="3200" w:leftChars="2000"/>
        <w:jc w:val="both"/>
        <w:outlineLvl w:val="0"/>
        <w:rPr>
          <w:rFonts w:hint="default" w:ascii="Calibri" w:hAnsi="Calibri" w:eastAsia="楷体_GB2312" w:cs="Calibri"/>
          <w:b/>
          <w:bCs/>
          <w:color w:val="1F497D" w:themeColor="text2"/>
          <w:sz w:val="24"/>
          <w:szCs w:val="24"/>
          <w:lang w:val="en-US" w:eastAsia="zh-CN"/>
          <w14:textFill>
            <w14:solidFill>
              <w14:schemeClr w14:val="tx2"/>
            </w14:solidFill>
          </w14:textFill>
        </w:rPr>
      </w:pPr>
    </w:p>
    <w:p w14:paraId="36AC6C2B">
      <w:pPr>
        <w:overflowPunct w:val="0"/>
        <w:ind w:left="3200" w:leftChars="2000"/>
        <w:jc w:val="both"/>
        <w:outlineLvl w:val="1"/>
        <w:rPr>
          <w:rFonts w:hint="default" w:ascii="Calibri" w:hAnsi="Calibri" w:eastAsia="楷体_GB2312" w:cs="Calibri"/>
          <w:b/>
          <w:bCs/>
          <w:sz w:val="20"/>
          <w:szCs w:val="20"/>
          <w:lang w:val="en-US" w:eastAsia="zh-CN"/>
        </w:rPr>
      </w:pPr>
      <w:bookmarkStart w:id="18" w:name="_Toc223082601"/>
      <w:r>
        <w:rPr>
          <w:rFonts w:hint="default" w:ascii="Calibri" w:hAnsi="Calibri" w:eastAsia="楷体_GB2312" w:cs="Calibri"/>
          <w:b/>
          <w:bCs/>
          <w:sz w:val="20"/>
          <w:szCs w:val="20"/>
          <w:lang w:val="en-US" w:eastAsia="zh-CN"/>
        </w:rPr>
        <w:t>（</w:t>
      </w:r>
      <w:r>
        <w:rPr>
          <w:rFonts w:hint="default" w:ascii="Calibri" w:hAnsi="Calibri" w:eastAsia="楷体_GB2312" w:cs="Calibri"/>
          <w:b/>
          <w:bCs/>
          <w:color w:val="1F497D" w:themeColor="text2"/>
          <w:sz w:val="24"/>
          <w:szCs w:val="24"/>
          <w:lang w:val="en-US" w:eastAsia="zh-CN"/>
          <w14:textFill>
            <w14:solidFill>
              <w14:schemeClr w14:val="tx2"/>
            </w14:solidFill>
          </w14:textFill>
        </w:rPr>
        <w:t>三）机器人-工业机器人</w:t>
      </w:r>
      <w:bookmarkEnd w:id="18"/>
    </w:p>
    <w:p w14:paraId="0FBE8C42">
      <w:pPr>
        <w:overflowPunct w:val="0"/>
        <w:ind w:left="3200" w:leftChars="2000"/>
        <w:jc w:val="both"/>
        <w:rPr>
          <w:rFonts w:hint="default" w:ascii="Calibri" w:hAnsi="Calibri" w:eastAsia="楷体_GB2312" w:cs="Calibri"/>
          <w:b/>
          <w:bCs/>
          <w:sz w:val="20"/>
          <w:szCs w:val="20"/>
          <w:lang w:val="en-US" w:eastAsia="zh-CN"/>
        </w:rPr>
      </w:pPr>
      <w:r>
        <w:rPr>
          <w:rFonts w:hint="default" w:ascii="Calibri" w:hAnsi="Calibri" w:eastAsia="楷体_GB2312" w:cs="Calibri"/>
          <w:b/>
          <w:bCs/>
          <w:sz w:val="20"/>
          <w:szCs w:val="20"/>
          <w:lang w:val="en-US" w:eastAsia="zh-CN"/>
        </w:rPr>
        <w:t>2024年全球工业机器人安装总量正式数据为542,076台（亚洲/澳大利亚401,665台，欧洲85,006台，美洲50,077台）。</w:t>
      </w:r>
      <w:r>
        <w:rPr>
          <w:rFonts w:hint="default" w:ascii="Calibri" w:hAnsi="Calibri" w:eastAsia="楷体_GB2312" w:cs="Calibri"/>
          <w:sz w:val="20"/>
          <w:szCs w:val="20"/>
          <w:lang w:val="en-US" w:eastAsia="zh-CN"/>
        </w:rPr>
        <w:t>这标志着在经历了2023年541,302台的安装量之后，市场继续保持韧性，连续第四年突破50万台大关。从地域分布来看，亚洲/澳大利亚地区依旧是绝对的主导力量，贡献了约74%的全球安装量，其401,665台的安装量较2023年增长5%，显示出该区域市场的强劲恢复与增长潜力。欧洲地区安装量为85,006台（较2023年小幅回落8%），但仍维持在历史第二高水平。美洲地区安装量为50,077台（较2023年下降10%），连续第四年超过5万台。</w:t>
      </w:r>
    </w:p>
    <w:p w14:paraId="1C178344">
      <w:pPr>
        <w:overflowPunct w:val="0"/>
        <w:ind w:left="3200" w:leftChars="2000"/>
        <w:jc w:val="both"/>
        <w:rPr>
          <w:rFonts w:hint="default" w:ascii="Calibri" w:hAnsi="Calibri" w:eastAsia="楷体_GB2312" w:cs="Calibri"/>
          <w:b/>
          <w:bCs/>
          <w:sz w:val="20"/>
          <w:szCs w:val="20"/>
          <w:lang w:val="en-US" w:eastAsia="zh-CN"/>
        </w:rPr>
      </w:pPr>
    </w:p>
    <w:p w14:paraId="4D137F86">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2025年展望：</w:t>
      </w:r>
      <w:r>
        <w:rPr>
          <w:rFonts w:hint="default" w:ascii="Calibri" w:hAnsi="Calibri" w:eastAsia="楷体_GB2312" w:cs="Calibri"/>
          <w:sz w:val="20"/>
          <w:szCs w:val="20"/>
          <w:lang w:val="en-US" w:eastAsia="zh-CN"/>
        </w:rPr>
        <w:t>根据IFR最新预测，2025年全球安装量有望增长约6%，达到约575,000台，但最终实际数据需待2026年下半年正式发布。</w:t>
      </w:r>
    </w:p>
    <w:p w14:paraId="00101DE3">
      <w:pPr>
        <w:overflowPunct w:val="0"/>
        <w:ind w:left="3200" w:leftChars="2000"/>
        <w:jc w:val="both"/>
        <w:rPr>
          <w:rFonts w:hint="default" w:ascii="Calibri" w:hAnsi="Calibri" w:eastAsia="楷体_GB2312" w:cs="Calibri"/>
          <w:sz w:val="20"/>
          <w:szCs w:val="20"/>
          <w:lang w:val="en-US" w:eastAsia="zh-CN"/>
        </w:rPr>
      </w:pPr>
    </w:p>
    <w:tbl>
      <w:tblPr>
        <w:tblStyle w:val="27"/>
        <w:tblW w:w="7423" w:type="dxa"/>
        <w:jc w:val="right"/>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autofit"/>
        <w:tblCellMar>
          <w:top w:w="0" w:type="dxa"/>
          <w:left w:w="0" w:type="dxa"/>
          <w:bottom w:w="0" w:type="dxa"/>
          <w:right w:w="0" w:type="dxa"/>
        </w:tblCellMar>
      </w:tblPr>
      <w:tblGrid>
        <w:gridCol w:w="7423"/>
      </w:tblGrid>
      <w:tr w14:paraId="7DFEBF42">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rPr>
          <w:trHeight w:val="397" w:hRule="atLeast"/>
          <w:jc w:val="right"/>
        </w:trPr>
        <w:tc>
          <w:tcPr>
            <w:tcW w:w="7423" w:type="dxa"/>
            <w:tcBorders>
              <w:bottom w:val="single" w:color="auto" w:sz="4" w:space="0"/>
            </w:tcBorders>
            <w:vAlign w:val="center"/>
          </w:tcPr>
          <w:p w14:paraId="055737A7">
            <w:pPr>
              <w:overflowPunct w:val="0"/>
              <w:jc w:val="both"/>
              <w:rPr>
                <w:rFonts w:hint="default" w:ascii="Calibri" w:hAnsi="Calibri" w:eastAsia="楷体_GB2312" w:cs="Calibri"/>
                <w:b/>
                <w:bCs/>
                <w:color w:val="1F497D" w:themeColor="text2"/>
                <w:sz w:val="24"/>
                <w:szCs w:val="24"/>
                <w:lang w:val="en-US" w:eastAsia="zh-CN"/>
                <w14:textFill>
                  <w14:solidFill>
                    <w14:schemeClr w14:val="tx2"/>
                  </w14:solidFill>
                </w14:textFill>
              </w:rPr>
            </w:pPr>
            <w:r>
              <w:rPr>
                <w:rFonts w:hint="default" w:ascii="Calibri" w:hAnsi="Calibri" w:eastAsia="楷体_GB2312" w:cs="Calibri"/>
                <w:b/>
                <w:bCs/>
                <w:sz w:val="18"/>
                <w:szCs w:val="18"/>
                <w:lang w:val="en-US" w:eastAsia="zh-CN"/>
              </w:rPr>
              <w:t>图15: 工业机器人年安装数量（千台）</w:t>
            </w:r>
          </w:p>
        </w:tc>
      </w:tr>
      <w:tr w14:paraId="5755CFB9">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3222" w:hRule="atLeast"/>
          <w:jc w:val="right"/>
        </w:trPr>
        <w:tc>
          <w:tcPr>
            <w:tcW w:w="7423" w:type="dxa"/>
            <w:tcBorders>
              <w:top w:val="single" w:color="auto" w:sz="4" w:space="0"/>
              <w:bottom w:val="single" w:color="auto" w:sz="4" w:space="0"/>
            </w:tcBorders>
            <w:vAlign w:val="center"/>
          </w:tcPr>
          <w:p w14:paraId="30FC3A50">
            <w:pPr>
              <w:overflowPunct w:val="0"/>
              <w:ind w:left="3200" w:leftChars="2000"/>
              <w:jc w:val="both"/>
              <w:rPr>
                <w:rFonts w:hint="default" w:ascii="Calibri" w:hAnsi="Calibri" w:eastAsia="楷体_GB2312" w:cs="Calibri"/>
                <w:b/>
                <w:bCs/>
                <w:color w:val="1F497D" w:themeColor="text2"/>
                <w:sz w:val="24"/>
                <w:szCs w:val="24"/>
                <w:lang w:val="en-US" w:eastAsia="zh-CN"/>
                <w14:textFill>
                  <w14:solidFill>
                    <w14:schemeClr w14:val="tx2"/>
                  </w14:solidFill>
                </w14:textFill>
              </w:rPr>
            </w:pPr>
            <w:r>
              <w:rPr>
                <w:rFonts w:hint="default" w:ascii="Calibri" w:hAnsi="Calibri" w:eastAsia="楷体_GB2312" w:cs="Calibri"/>
                <w:b/>
                <w:bCs/>
                <w:color w:val="1F497D" w:themeColor="text2"/>
                <w:sz w:val="24"/>
                <w:szCs w:val="24"/>
                <w:lang w:val="en-US" w:eastAsia="zh-CN"/>
                <w14:textFill>
                  <w14:solidFill>
                    <w14:schemeClr w14:val="tx2"/>
                  </w14:solidFill>
                </w14:textFill>
              </w:rPr>
              <w:drawing>
                <wp:anchor distT="0" distB="0" distL="114300" distR="114300" simplePos="0" relativeHeight="251661312" behindDoc="0" locked="0" layoutInCell="1" allowOverlap="1">
                  <wp:simplePos x="0" y="0"/>
                  <wp:positionH relativeFrom="column">
                    <wp:posOffset>1003300</wp:posOffset>
                  </wp:positionH>
                  <wp:positionV relativeFrom="paragraph">
                    <wp:posOffset>0</wp:posOffset>
                  </wp:positionV>
                  <wp:extent cx="4596765" cy="2526665"/>
                  <wp:effectExtent l="0" t="0" r="0" b="6985"/>
                  <wp:wrapTopAndBottom/>
                  <wp:docPr id="1899165091"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anchor>
              </w:drawing>
            </w:r>
          </w:p>
        </w:tc>
      </w:tr>
      <w:tr w14:paraId="6028F9FB">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rPr>
          <w:jc w:val="right"/>
        </w:trPr>
        <w:tc>
          <w:tcPr>
            <w:tcW w:w="7423" w:type="dxa"/>
            <w:tcBorders>
              <w:top w:val="single" w:color="auto" w:sz="4" w:space="0"/>
            </w:tcBorders>
          </w:tcPr>
          <w:p w14:paraId="120EE30C">
            <w:pPr>
              <w:rPr>
                <w:rFonts w:hint="default" w:ascii="Calibri" w:hAnsi="Calibri" w:eastAsia="楷体_GB2312" w:cs="Calibri"/>
                <w:i/>
                <w:iCs/>
                <w:lang w:val="en-US" w:eastAsia="zh-CN"/>
              </w:rPr>
            </w:pPr>
            <w:r>
              <w:rPr>
                <w:rFonts w:hint="default" w:ascii="Calibri" w:hAnsi="Calibri" w:eastAsia="楷体_GB2312" w:cs="Calibri"/>
                <w:i/>
                <w:iCs/>
                <w:lang w:val="en-US" w:eastAsia="zh-CN"/>
              </w:rPr>
              <w:t>资料来源：U.S. Bureau of Economic Analysis，HFI</w:t>
            </w:r>
          </w:p>
        </w:tc>
      </w:tr>
    </w:tbl>
    <w:p w14:paraId="1F0AFBFC">
      <w:pPr>
        <w:overflowPunct w:val="0"/>
        <w:ind w:left="3200" w:leftChars="2000"/>
        <w:jc w:val="both"/>
        <w:rPr>
          <w:rFonts w:hint="default" w:ascii="Calibri" w:hAnsi="Calibri" w:eastAsia="楷体_GB2312" w:cs="Calibri"/>
          <w:b/>
          <w:bCs/>
          <w:sz w:val="20"/>
          <w:szCs w:val="20"/>
          <w:lang w:val="en-US" w:eastAsia="zh-CN"/>
        </w:rPr>
      </w:pPr>
    </w:p>
    <w:p w14:paraId="0371B84F">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根据成本端压力分析（基于美国机械制造PPI数据), 全球机械制造业的价格体系呈现出显著的输入型通胀固化特征。</w:t>
      </w:r>
      <w:r>
        <w:rPr>
          <w:rFonts w:hint="default" w:ascii="Calibri" w:hAnsi="Calibri" w:eastAsia="楷体_GB2312" w:cs="Calibri"/>
          <w:sz w:val="20"/>
          <w:szCs w:val="20"/>
          <w:lang w:val="en-US" w:eastAsia="zh-CN"/>
        </w:rPr>
        <w:t>2025年，美国工业机械制造（NAICS 333）PPI指数在年初经历阶跃式增长后，年末稳定收于 264.258 的高位，反映出行业资本开支（CAPEX）成本的持续高企。特别是受劳动力成本与供应链韧性建设影响，核心动力模组（如电机、发电机及旋转设备零部件）的价格指数在2025年内录得高达 23.4% 的同比涨幅。</w:t>
      </w:r>
    </w:p>
    <w:p w14:paraId="3CB8664C">
      <w:pPr>
        <w:overflowPunct w:val="0"/>
        <w:ind w:left="3200" w:leftChars="2000"/>
        <w:jc w:val="both"/>
        <w:rPr>
          <w:rFonts w:hint="default" w:ascii="Calibri" w:hAnsi="Calibri" w:eastAsia="楷体_GB2312" w:cs="Calibri"/>
          <w:sz w:val="20"/>
          <w:szCs w:val="20"/>
          <w:lang w:val="en-US" w:eastAsia="zh-CN"/>
        </w:rPr>
      </w:pPr>
    </w:p>
    <w:tbl>
      <w:tblPr>
        <w:tblStyle w:val="27"/>
        <w:tblW w:w="7557" w:type="dxa"/>
        <w:jc w:val="right"/>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fixed"/>
        <w:tblCellMar>
          <w:top w:w="0" w:type="dxa"/>
          <w:left w:w="0" w:type="dxa"/>
          <w:bottom w:w="0" w:type="dxa"/>
          <w:right w:w="0" w:type="dxa"/>
        </w:tblCellMar>
      </w:tblPr>
      <w:tblGrid>
        <w:gridCol w:w="7557"/>
      </w:tblGrid>
      <w:tr w14:paraId="74C89B30">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rPr>
          <w:jc w:val="right"/>
        </w:trPr>
        <w:tc>
          <w:tcPr>
            <w:tcW w:w="7557" w:type="dxa"/>
            <w:tcBorders>
              <w:bottom w:val="single" w:color="auto" w:sz="4" w:space="0"/>
            </w:tcBorders>
          </w:tcPr>
          <w:p w14:paraId="093942E9">
            <w:pPr>
              <w:overflowPunct w:val="0"/>
              <w:jc w:val="both"/>
              <w:rPr>
                <w:rFonts w:hint="default" w:ascii="Calibri" w:hAnsi="Calibri" w:eastAsia="楷体_GB2312" w:cs="Calibri"/>
                <w:b/>
                <w:bCs/>
                <w:color w:val="1F497D" w:themeColor="text2"/>
                <w:sz w:val="24"/>
                <w:szCs w:val="24"/>
                <w:lang w:val="en-US" w:eastAsia="zh-CN"/>
                <w14:textFill>
                  <w14:solidFill>
                    <w14:schemeClr w14:val="tx2"/>
                  </w14:solidFill>
                </w14:textFill>
              </w:rPr>
            </w:pPr>
            <w:r>
              <w:rPr>
                <w:rFonts w:hint="default" w:ascii="Calibri" w:hAnsi="Calibri" w:eastAsia="楷体_GB2312" w:cs="Calibri"/>
                <w:b/>
                <w:bCs/>
                <w:sz w:val="18"/>
                <w:szCs w:val="18"/>
                <w:lang w:val="en-US" w:eastAsia="zh-CN"/>
              </w:rPr>
              <w:t>图16: 美国工业品价格指数：机械制造业</w:t>
            </w:r>
          </w:p>
        </w:tc>
      </w:tr>
      <w:tr w14:paraId="630AD5CE">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3056" w:hRule="atLeast"/>
          <w:jc w:val="right"/>
        </w:trPr>
        <w:tc>
          <w:tcPr>
            <w:tcW w:w="7557" w:type="dxa"/>
            <w:tcBorders>
              <w:top w:val="single" w:color="auto" w:sz="4" w:space="0"/>
              <w:bottom w:val="single" w:color="auto" w:sz="4" w:space="0"/>
            </w:tcBorders>
            <w:vAlign w:val="center"/>
          </w:tcPr>
          <w:p w14:paraId="4EF689A1">
            <w:pPr>
              <w:overflowPunct w:val="0"/>
              <w:jc w:val="both"/>
              <w:rPr>
                <w:rFonts w:hint="default" w:ascii="Calibri" w:hAnsi="Calibri" w:eastAsia="楷体_GB2312" w:cs="Calibri"/>
                <w:b/>
                <w:bCs/>
                <w:color w:val="1F497D" w:themeColor="text2"/>
                <w:sz w:val="24"/>
                <w:szCs w:val="24"/>
                <w:lang w:val="en-US" w:eastAsia="zh-CN"/>
                <w14:textFill>
                  <w14:solidFill>
                    <w14:schemeClr w14:val="tx2"/>
                  </w14:solidFill>
                </w14:textFill>
              </w:rPr>
            </w:pPr>
            <w:r>
              <w:rPr>
                <w:rFonts w:hint="default" w:ascii="Calibri" w:hAnsi="Calibri" w:eastAsia="楷体_GB2312" w:cs="Calibri"/>
                <w:b/>
                <w:bCs/>
                <w:color w:val="1F497D" w:themeColor="text2"/>
                <w:sz w:val="24"/>
                <w:szCs w:val="24"/>
                <w:lang w:val="en-US" w:eastAsia="zh-CN"/>
                <w14:textFill>
                  <w14:solidFill>
                    <w14:schemeClr w14:val="tx2"/>
                  </w14:solidFill>
                </w14:textFill>
              </w:rPr>
              <w:drawing>
                <wp:inline distT="0" distB="0" distL="0" distR="0">
                  <wp:extent cx="4661535" cy="1711960"/>
                  <wp:effectExtent l="0" t="0" r="5715" b="2540"/>
                  <wp:docPr id="16425812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581297" name="图片 1"/>
                          <pic:cNvPicPr>
                            <a:picLocks noChangeAspect="1"/>
                          </pic:cNvPicPr>
                        </pic:nvPicPr>
                        <pic:blipFill>
                          <a:blip r:embed="rId29"/>
                          <a:stretch>
                            <a:fillRect/>
                          </a:stretch>
                        </pic:blipFill>
                        <pic:spPr>
                          <a:xfrm>
                            <a:off x="0" y="0"/>
                            <a:ext cx="4661535" cy="1711960"/>
                          </a:xfrm>
                          <a:prstGeom prst="rect">
                            <a:avLst/>
                          </a:prstGeom>
                        </pic:spPr>
                      </pic:pic>
                    </a:graphicData>
                  </a:graphic>
                </wp:inline>
              </w:drawing>
            </w:r>
          </w:p>
        </w:tc>
      </w:tr>
      <w:tr w14:paraId="26B5E107">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rPr>
          <w:jc w:val="right"/>
        </w:trPr>
        <w:tc>
          <w:tcPr>
            <w:tcW w:w="7557" w:type="dxa"/>
            <w:tcBorders>
              <w:top w:val="single" w:color="auto" w:sz="4" w:space="0"/>
            </w:tcBorders>
          </w:tcPr>
          <w:p w14:paraId="31B92464">
            <w:pPr>
              <w:rPr>
                <w:rFonts w:hint="default" w:ascii="Calibri" w:hAnsi="Calibri" w:eastAsia="楷体_GB2312" w:cs="Calibri"/>
                <w:b/>
                <w:bCs/>
                <w:color w:val="1F497D" w:themeColor="text2"/>
                <w:sz w:val="24"/>
                <w:szCs w:val="24"/>
                <w:lang w:val="en-US" w:eastAsia="zh-CN"/>
                <w14:textFill>
                  <w14:solidFill>
                    <w14:schemeClr w14:val="tx2"/>
                  </w14:solidFill>
                </w14:textFill>
              </w:rPr>
            </w:pPr>
            <w:r>
              <w:rPr>
                <w:rFonts w:hint="default" w:ascii="Calibri" w:hAnsi="Calibri" w:eastAsia="楷体_GB2312" w:cs="Calibri"/>
                <w:i/>
                <w:iCs/>
                <w:lang w:val="en-US" w:eastAsia="zh-CN"/>
              </w:rPr>
              <w:t>资料来源：U.S. Bureau of Labor Statistics，HFI</w:t>
            </w:r>
          </w:p>
        </w:tc>
      </w:tr>
    </w:tbl>
    <w:p w14:paraId="2A869513">
      <w:pPr>
        <w:overflowPunct w:val="0"/>
        <w:ind w:left="3200" w:leftChars="2000"/>
        <w:jc w:val="both"/>
        <w:rPr>
          <w:rFonts w:hint="default" w:ascii="Calibri" w:hAnsi="Calibri" w:eastAsia="楷体_GB2312" w:cs="Calibri"/>
          <w:b/>
          <w:bCs/>
          <w:sz w:val="20"/>
          <w:szCs w:val="20"/>
          <w:lang w:val="en-US" w:eastAsia="zh-CN"/>
        </w:rPr>
      </w:pPr>
    </w:p>
    <w:p w14:paraId="0811B0FA">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在具身智能商业化落地与制造业数字化转型深化的双重驱动下，预计2025年全球工业机器人安装量有望触达57.5万台的历史新高，实现约6%的年度增长。</w:t>
      </w:r>
      <w:r>
        <w:rPr>
          <w:rFonts w:hint="default" w:ascii="Calibri" w:hAnsi="Calibri" w:eastAsia="楷体_GB2312" w:cs="Calibri"/>
          <w:sz w:val="20"/>
          <w:szCs w:val="20"/>
          <w:lang w:val="en-US" w:eastAsia="zh-CN"/>
        </w:rPr>
        <w:t>从全球竞争格局来看，中国依然发挥着压舱石作用，其2024年安装量达到29.5万台，占据全球54%的份额，且2024年国产化率已突破57%的关键里程碑。尽管欧洲市场受地缘政治波动影响，2024年装机量回落至约8.5万台，美洲市场因高利率环境经历了约9%的结构性下滑，但随着《通胀削减法案》推动的供应链近岸化效应逐步显现，全球自动化资本开支正展现出强劲的复苏韧性，有望推动全球工业机器人年安装量加速迈向“60万台时代”的新周期。</w:t>
      </w:r>
    </w:p>
    <w:p w14:paraId="29BF2DB4">
      <w:pPr>
        <w:overflowPunct w:val="0"/>
        <w:ind w:left="3200" w:leftChars="2000"/>
        <w:jc w:val="both"/>
        <w:outlineLvl w:val="0"/>
        <w:rPr>
          <w:rFonts w:hint="default" w:ascii="Calibri" w:hAnsi="Calibri" w:eastAsia="楷体_GB2312" w:cs="Calibri"/>
          <w:b/>
          <w:bCs/>
          <w:color w:val="1F497D" w:themeColor="text2"/>
          <w:sz w:val="24"/>
          <w:szCs w:val="24"/>
          <w:lang w:val="en-US" w:eastAsia="zh-CN"/>
          <w14:textFill>
            <w14:solidFill>
              <w14:schemeClr w14:val="tx2"/>
            </w14:solidFill>
          </w14:textFill>
        </w:rPr>
      </w:pPr>
    </w:p>
    <w:p w14:paraId="264925CA">
      <w:pPr>
        <w:overflowPunct w:val="0"/>
        <w:ind w:left="3200" w:leftChars="2000"/>
        <w:jc w:val="both"/>
        <w:outlineLvl w:val="0"/>
        <w:rPr>
          <w:rFonts w:hint="default" w:ascii="Calibri" w:hAnsi="Calibri" w:eastAsia="楷体_GB2312" w:cs="Calibri"/>
          <w:b/>
          <w:bCs/>
          <w:color w:val="1F497D" w:themeColor="text2"/>
          <w:sz w:val="24"/>
          <w:szCs w:val="24"/>
          <w:lang w:val="en-US" w:eastAsia="zh-CN"/>
          <w14:textFill>
            <w14:solidFill>
              <w14:schemeClr w14:val="tx2"/>
            </w14:solidFill>
          </w14:textFill>
        </w:rPr>
      </w:pPr>
      <w:bookmarkStart w:id="19" w:name="_Toc223082602"/>
      <w:r>
        <w:rPr>
          <w:rFonts w:hint="default" w:ascii="Calibri" w:hAnsi="Calibri" w:eastAsia="楷体_GB2312" w:cs="Calibri"/>
          <w:b/>
          <w:bCs/>
          <w:color w:val="1F497D" w:themeColor="text2"/>
          <w:sz w:val="24"/>
          <w:szCs w:val="24"/>
          <w:lang w:val="en-US" w:eastAsia="zh-CN"/>
          <w14:textFill>
            <w14:solidFill>
              <w14:schemeClr w14:val="tx2"/>
            </w14:solidFill>
          </w14:textFill>
        </w:rPr>
        <w:t>四、全球能源工业</w:t>
      </w:r>
      <w:bookmarkEnd w:id="19"/>
      <w:r>
        <w:rPr>
          <w:rFonts w:hint="default" w:ascii="Calibri" w:hAnsi="Calibri" w:eastAsia="楷体_GB2312" w:cs="Calibri"/>
          <w:b/>
          <w:bCs/>
          <w:color w:val="1F497D" w:themeColor="text2"/>
          <w:sz w:val="24"/>
          <w:szCs w:val="24"/>
          <w:lang w:val="en-US" w:eastAsia="zh-CN"/>
          <w14:textFill>
            <w14:solidFill>
              <w14:schemeClr w14:val="tx2"/>
            </w14:solidFill>
          </w14:textFill>
        </w:rPr>
        <w:t xml:space="preserve">   </w:t>
      </w:r>
    </w:p>
    <w:p w14:paraId="5F3B703A">
      <w:pPr>
        <w:overflowPunct w:val="0"/>
        <w:ind w:left="3200" w:leftChars="2000"/>
        <w:jc w:val="both"/>
        <w:outlineLvl w:val="1"/>
        <w:rPr>
          <w:rFonts w:hint="default" w:ascii="Calibri" w:hAnsi="Calibri" w:eastAsia="楷体_GB2312" w:cs="Calibri"/>
          <w:b/>
          <w:bCs/>
          <w:color w:val="1F497D" w:themeColor="text2"/>
          <w:sz w:val="24"/>
          <w:szCs w:val="24"/>
          <w:lang w:val="en-US" w:eastAsia="zh-CN"/>
          <w14:textFill>
            <w14:solidFill>
              <w14:schemeClr w14:val="tx2"/>
            </w14:solidFill>
          </w14:textFill>
        </w:rPr>
      </w:pPr>
      <w:bookmarkStart w:id="20" w:name="_Toc223082603"/>
      <w:r>
        <w:rPr>
          <w:rFonts w:hint="default" w:ascii="Calibri" w:hAnsi="Calibri" w:eastAsia="楷体_GB2312" w:cs="Calibri"/>
          <w:b/>
          <w:bCs/>
          <w:color w:val="1F497D" w:themeColor="text2"/>
          <w:sz w:val="24"/>
          <w:szCs w:val="24"/>
          <w:lang w:val="en-US" w:eastAsia="zh-CN"/>
          <w14:textFill>
            <w14:solidFill>
              <w14:schemeClr w14:val="tx2"/>
            </w14:solidFill>
          </w14:textFill>
        </w:rPr>
        <w:t>（一）能源发展</w:t>
      </w:r>
      <w:bookmarkEnd w:id="20"/>
    </w:p>
    <w:p w14:paraId="064D439B">
      <w:pPr>
        <w:overflowPunct w:val="0"/>
        <w:ind w:left="3200" w:leftChars="2000"/>
        <w:jc w:val="both"/>
        <w:outlineLvl w:val="2"/>
        <w:rPr>
          <w:rFonts w:hint="default" w:ascii="Calibri" w:hAnsi="Calibri" w:eastAsia="楷体_GB2312" w:cs="Calibri"/>
          <w:b/>
          <w:bCs/>
          <w:color w:val="1F497D" w:themeColor="text2"/>
          <w:sz w:val="24"/>
          <w:szCs w:val="24"/>
          <w:lang w:val="en-US" w:eastAsia="zh-CN"/>
          <w14:textFill>
            <w14:solidFill>
              <w14:schemeClr w14:val="tx2"/>
            </w14:solidFill>
          </w14:textFill>
        </w:rPr>
      </w:pPr>
      <w:bookmarkStart w:id="21" w:name="_Toc223082604"/>
      <w:r>
        <w:rPr>
          <w:rFonts w:hint="default" w:ascii="Calibri" w:hAnsi="Calibri" w:eastAsia="楷体_GB2312" w:cs="Calibri"/>
          <w:b/>
          <w:bCs/>
          <w:color w:val="1F497D" w:themeColor="text2"/>
          <w:sz w:val="24"/>
          <w:szCs w:val="24"/>
          <w:lang w:val="en-US" w:eastAsia="zh-CN"/>
          <w14:textFill>
            <w14:solidFill>
              <w14:schemeClr w14:val="tx2"/>
            </w14:solidFill>
          </w14:textFill>
        </w:rPr>
        <w:t>（1）美国电力市场</w:t>
      </w:r>
      <w:bookmarkEnd w:id="21"/>
    </w:p>
    <w:p w14:paraId="7DF40D7D">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电力需求方面，经过十多年的缓慢变化，美国电力消耗再次上升。</w:t>
      </w:r>
      <w:r>
        <w:rPr>
          <w:rFonts w:hint="default" w:ascii="Calibri" w:hAnsi="Calibri" w:eastAsia="楷体_GB2312" w:cs="Calibri"/>
          <w:sz w:val="20"/>
          <w:szCs w:val="20"/>
          <w:lang w:val="en-US" w:eastAsia="zh-CN"/>
        </w:rPr>
        <w:t>EIA预计美国年度电力消耗将在2025、2026及2027年持续攀升，远超2024年创下的历史最高水平，与2000年代中期至2020年代初的平稳趋势形成鲜明对比。近期及预测的增长主要由商业部门（含数据中心）和工业部门（含制造业）驱动，其中商业与交通用电是核心引擎，反映AI算力与基础设施需求爆发；工业用电保持稳健增长支撑制造业回流；而居民用电因能效提升与分布式光伏普及，预计2027年将出现负增长，部分抵消整体增速。</w:t>
      </w:r>
    </w:p>
    <w:p w14:paraId="25517D88">
      <w:pPr>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br w:type="page"/>
      </w:r>
    </w:p>
    <w:tbl>
      <w:tblPr>
        <w:tblStyle w:val="26"/>
        <w:tblpPr w:leftFromText="180" w:rightFromText="180" w:vertAnchor="text" w:horzAnchor="margin" w:tblpXSpec="center" w:tblpY="246"/>
        <w:tblW w:w="10490" w:type="dxa"/>
        <w:tblInd w:w="0" w:type="dxa"/>
        <w:tblLayout w:type="fixed"/>
        <w:tblCellMar>
          <w:top w:w="0" w:type="dxa"/>
          <w:left w:w="108" w:type="dxa"/>
          <w:bottom w:w="0" w:type="dxa"/>
          <w:right w:w="108" w:type="dxa"/>
        </w:tblCellMar>
      </w:tblPr>
      <w:tblGrid>
        <w:gridCol w:w="5103"/>
        <w:gridCol w:w="238"/>
        <w:gridCol w:w="5149"/>
      </w:tblGrid>
      <w:tr w14:paraId="6BD2EBDB">
        <w:tblPrEx>
          <w:tblCellMar>
            <w:top w:w="0" w:type="dxa"/>
            <w:left w:w="108" w:type="dxa"/>
            <w:bottom w:w="0" w:type="dxa"/>
            <w:right w:w="108" w:type="dxa"/>
          </w:tblCellMar>
        </w:tblPrEx>
        <w:trPr>
          <w:trHeight w:val="227" w:hRule="atLeast"/>
        </w:trPr>
        <w:tc>
          <w:tcPr>
            <w:tcW w:w="5103" w:type="dxa"/>
            <w:tcBorders>
              <w:top w:val="nil"/>
              <w:left w:val="nil"/>
              <w:bottom w:val="single" w:color="auto" w:sz="4" w:space="0"/>
              <w:right w:val="nil"/>
            </w:tcBorders>
            <w:tcMar>
              <w:top w:w="0" w:type="dxa"/>
              <w:left w:w="0" w:type="dxa"/>
              <w:bottom w:w="0" w:type="dxa"/>
              <w:right w:w="28" w:type="dxa"/>
            </w:tcMar>
          </w:tcPr>
          <w:p w14:paraId="45B4CE22">
            <w:pPr>
              <w:overflowPunct w:val="0"/>
              <w:rPr>
                <w:rFonts w:hint="default" w:ascii="Calibri" w:hAnsi="Calibri" w:eastAsia="楷体_GB2312" w:cs="Calibri"/>
                <w:b/>
                <w:sz w:val="18"/>
                <w:szCs w:val="18"/>
                <w:lang w:eastAsia="zh-CN"/>
              </w:rPr>
            </w:pPr>
            <w:r>
              <w:rPr>
                <w:rFonts w:hint="default" w:ascii="Calibri" w:hAnsi="Calibri" w:eastAsia="楷体_GB2312" w:cs="Calibri"/>
                <w:b/>
                <w:sz w:val="18"/>
                <w:szCs w:val="18"/>
                <w:lang w:val="zh-CN" w:eastAsia="zh-CN"/>
              </w:rPr>
              <w:t>图</w:t>
            </w:r>
            <w:r>
              <w:rPr>
                <w:rFonts w:hint="default" w:ascii="Calibri" w:hAnsi="Calibri" w:eastAsia="楷体_GB2312" w:cs="Calibri"/>
                <w:b/>
                <w:sz w:val="18"/>
                <w:szCs w:val="18"/>
                <w:lang w:val="en-US" w:eastAsia="zh-CN"/>
              </w:rPr>
              <w:t>17</w:t>
            </w:r>
            <w:r>
              <w:rPr>
                <w:rFonts w:hint="default" w:ascii="Calibri" w:hAnsi="Calibri" w:eastAsia="楷体_GB2312" w:cs="Calibri"/>
                <w:b/>
                <w:sz w:val="18"/>
                <w:szCs w:val="18"/>
                <w:lang w:val="zh-CN" w:eastAsia="zh-CN"/>
              </w:rPr>
              <w:t>：美国电力</w:t>
            </w:r>
            <w:r>
              <w:rPr>
                <w:rFonts w:hint="default" w:ascii="Calibri" w:hAnsi="Calibri" w:eastAsia="楷体_GB2312" w:cs="Calibri"/>
                <w:b/>
                <w:sz w:val="18"/>
                <w:szCs w:val="18"/>
                <w:lang w:val="en-US" w:eastAsia="zh-CN"/>
              </w:rPr>
              <w:t>消费预测及变化构成预测</w:t>
            </w:r>
          </w:p>
        </w:tc>
        <w:tc>
          <w:tcPr>
            <w:tcW w:w="238" w:type="dxa"/>
            <w:tcBorders>
              <w:top w:val="nil"/>
              <w:left w:val="nil"/>
              <w:bottom w:val="nil"/>
              <w:right w:val="nil"/>
            </w:tcBorders>
            <w:tcMar>
              <w:top w:w="0" w:type="dxa"/>
              <w:left w:w="0" w:type="dxa"/>
              <w:bottom w:w="0" w:type="dxa"/>
              <w:right w:w="28" w:type="dxa"/>
            </w:tcMar>
          </w:tcPr>
          <w:p w14:paraId="4454C1AC">
            <w:pPr>
              <w:overflowPunct w:val="0"/>
              <w:rPr>
                <w:rFonts w:hint="default" w:ascii="Calibri" w:hAnsi="Calibri" w:eastAsia="楷体_GB2312" w:cs="Calibri"/>
                <w:b/>
                <w:sz w:val="18"/>
                <w:szCs w:val="18"/>
                <w:lang w:eastAsia="zh-CN"/>
              </w:rPr>
            </w:pPr>
            <w:r>
              <w:rPr>
                <w:rFonts w:hint="default" w:ascii="Calibri" w:hAnsi="Calibri" w:eastAsia="楷体_GB2312" w:cs="Calibri"/>
                <w:b/>
                <w:sz w:val="18"/>
                <w:szCs w:val="18"/>
                <w:lang w:eastAsia="zh-CN"/>
              </w:rPr>
              <w:t xml:space="preserve">         </w:t>
            </w:r>
          </w:p>
        </w:tc>
        <w:tc>
          <w:tcPr>
            <w:tcW w:w="5149" w:type="dxa"/>
            <w:tcBorders>
              <w:top w:val="nil"/>
              <w:left w:val="nil"/>
              <w:bottom w:val="single" w:color="auto" w:sz="4" w:space="0"/>
              <w:right w:val="nil"/>
            </w:tcBorders>
            <w:tcMar>
              <w:top w:w="0" w:type="dxa"/>
              <w:left w:w="0" w:type="dxa"/>
              <w:bottom w:w="0" w:type="dxa"/>
              <w:right w:w="28" w:type="dxa"/>
            </w:tcMar>
          </w:tcPr>
          <w:p w14:paraId="0296BCBA">
            <w:pPr>
              <w:overflowPunct w:val="0"/>
              <w:rPr>
                <w:rFonts w:hint="default" w:ascii="Calibri" w:hAnsi="Calibri" w:eastAsia="楷体_GB2312" w:cs="Calibri"/>
                <w:b/>
                <w:sz w:val="18"/>
                <w:szCs w:val="18"/>
                <w:lang w:eastAsia="zh-CN"/>
              </w:rPr>
            </w:pPr>
            <w:r>
              <w:rPr>
                <w:rFonts w:hint="default" w:ascii="Calibri" w:hAnsi="Calibri" w:eastAsia="楷体_GB2312" w:cs="Calibri"/>
                <w:b/>
                <w:sz w:val="18"/>
                <w:szCs w:val="18"/>
                <w:lang w:val="zh-CN" w:eastAsia="zh-CN"/>
              </w:rPr>
              <w:t>图</w:t>
            </w:r>
            <w:r>
              <w:rPr>
                <w:rFonts w:hint="default" w:ascii="Calibri" w:hAnsi="Calibri" w:eastAsia="楷体_GB2312" w:cs="Calibri"/>
                <w:b/>
                <w:sz w:val="18"/>
                <w:szCs w:val="18"/>
                <w:lang w:val="en-US" w:eastAsia="zh-CN"/>
              </w:rPr>
              <w:t>18</w:t>
            </w:r>
            <w:r>
              <w:rPr>
                <w:rFonts w:hint="default" w:ascii="Calibri" w:hAnsi="Calibri" w:eastAsia="楷体_GB2312" w:cs="Calibri"/>
                <w:b/>
                <w:sz w:val="18"/>
                <w:szCs w:val="18"/>
                <w:lang w:val="zh-CN" w:eastAsia="zh-CN"/>
              </w:rPr>
              <w:t>：美国电力供应区域版图</w:t>
            </w:r>
          </w:p>
        </w:tc>
      </w:tr>
      <w:tr w14:paraId="329B142D">
        <w:tblPrEx>
          <w:tblCellMar>
            <w:top w:w="0" w:type="dxa"/>
            <w:left w:w="108" w:type="dxa"/>
            <w:bottom w:w="0" w:type="dxa"/>
            <w:right w:w="108" w:type="dxa"/>
          </w:tblCellMar>
        </w:tblPrEx>
        <w:trPr>
          <w:trHeight w:val="2219" w:hRule="atLeast"/>
        </w:trPr>
        <w:tc>
          <w:tcPr>
            <w:tcW w:w="5103" w:type="dxa"/>
            <w:tcBorders>
              <w:top w:val="single" w:color="auto" w:sz="4" w:space="0"/>
              <w:left w:val="nil"/>
              <w:bottom w:val="single" w:color="auto" w:sz="4" w:space="0"/>
              <w:right w:val="nil"/>
            </w:tcBorders>
            <w:tcMar>
              <w:top w:w="0" w:type="dxa"/>
              <w:left w:w="0" w:type="dxa"/>
              <w:bottom w:w="0" w:type="dxa"/>
              <w:right w:w="28" w:type="dxa"/>
            </w:tcMar>
            <w:vAlign w:val="center"/>
          </w:tcPr>
          <w:p w14:paraId="15AF2AEC">
            <w:pPr>
              <w:overflowPunct w:val="0"/>
              <w:spacing w:before="48" w:beforeLines="20" w:after="48" w:afterLines="20"/>
              <w:jc w:val="center"/>
              <w:textAlignment w:val="center"/>
              <w:rPr>
                <w:rFonts w:hint="default" w:ascii="Calibri" w:hAnsi="Calibri" w:eastAsia="楷体_GB2312" w:cs="Calibri"/>
                <w:b/>
                <w:color w:val="000000"/>
                <w:sz w:val="15"/>
                <w:szCs w:val="15"/>
              </w:rPr>
            </w:pPr>
            <w:r>
              <w:rPr>
                <w:rFonts w:hint="default" w:ascii="Calibri" w:hAnsi="Calibri" w:eastAsia="楷体_GB2312" w:cs="Calibri"/>
                <w:snapToGrid/>
              </w:rPr>
              <w:drawing>
                <wp:inline distT="0" distB="0" distL="0" distR="0">
                  <wp:extent cx="3222625" cy="1861820"/>
                  <wp:effectExtent l="0" t="0" r="0" b="5080"/>
                  <wp:docPr id="2505127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512767" name="图片 1"/>
                          <pic:cNvPicPr>
                            <a:picLocks noChangeAspect="1"/>
                          </pic:cNvPicPr>
                        </pic:nvPicPr>
                        <pic:blipFill>
                          <a:blip r:embed="rId30"/>
                          <a:stretch>
                            <a:fillRect/>
                          </a:stretch>
                        </pic:blipFill>
                        <pic:spPr>
                          <a:xfrm>
                            <a:off x="0" y="0"/>
                            <a:ext cx="3222625" cy="1861820"/>
                          </a:xfrm>
                          <a:prstGeom prst="rect">
                            <a:avLst/>
                          </a:prstGeom>
                        </pic:spPr>
                      </pic:pic>
                    </a:graphicData>
                  </a:graphic>
                </wp:inline>
              </w:drawing>
            </w:r>
          </w:p>
        </w:tc>
        <w:tc>
          <w:tcPr>
            <w:tcW w:w="238" w:type="dxa"/>
            <w:tcBorders>
              <w:top w:val="nil"/>
              <w:left w:val="nil"/>
              <w:bottom w:val="nil"/>
              <w:right w:val="nil"/>
            </w:tcBorders>
            <w:tcMar>
              <w:top w:w="0" w:type="dxa"/>
              <w:left w:w="0" w:type="dxa"/>
              <w:bottom w:w="0" w:type="dxa"/>
              <w:right w:w="28" w:type="dxa"/>
            </w:tcMar>
          </w:tcPr>
          <w:p w14:paraId="7C0E5B99">
            <w:pPr>
              <w:overflowPunct w:val="0"/>
              <w:spacing w:before="48" w:beforeLines="20" w:after="48" w:afterLines="20"/>
              <w:rPr>
                <w:rFonts w:hint="default" w:ascii="Calibri" w:hAnsi="Calibri" w:eastAsia="楷体_GB2312" w:cs="Calibri"/>
                <w:sz w:val="15"/>
                <w:szCs w:val="15"/>
              </w:rPr>
            </w:pPr>
          </w:p>
        </w:tc>
        <w:tc>
          <w:tcPr>
            <w:tcW w:w="5149" w:type="dxa"/>
            <w:tcBorders>
              <w:top w:val="single" w:color="auto" w:sz="4" w:space="0"/>
              <w:left w:val="nil"/>
              <w:bottom w:val="single" w:color="auto" w:sz="4" w:space="0"/>
              <w:right w:val="nil"/>
            </w:tcBorders>
            <w:tcMar>
              <w:top w:w="0" w:type="dxa"/>
              <w:left w:w="0" w:type="dxa"/>
              <w:bottom w:w="0" w:type="dxa"/>
              <w:right w:w="28" w:type="dxa"/>
            </w:tcMar>
          </w:tcPr>
          <w:p w14:paraId="4DDD01CE">
            <w:pPr>
              <w:overflowPunct w:val="0"/>
              <w:spacing w:before="48" w:beforeLines="20" w:after="48" w:afterLines="20"/>
              <w:jc w:val="center"/>
              <w:rPr>
                <w:rFonts w:hint="default" w:ascii="Calibri" w:hAnsi="Calibri" w:eastAsia="楷体_GB2312" w:cs="Calibri"/>
                <w:b/>
                <w:sz w:val="15"/>
                <w:szCs w:val="15"/>
              </w:rPr>
            </w:pPr>
            <w:r>
              <w:rPr>
                <w:rFonts w:hint="default" w:ascii="Calibri" w:hAnsi="Calibri" w:eastAsia="楷体_GB2312" w:cs="Calibri"/>
                <w:snapToGrid/>
              </w:rPr>
              <w:drawing>
                <wp:inline distT="0" distB="0" distL="0" distR="0">
                  <wp:extent cx="3178810" cy="2078355"/>
                  <wp:effectExtent l="0" t="0" r="2540" b="0"/>
                  <wp:docPr id="13694575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457510" name="图片 1"/>
                          <pic:cNvPicPr>
                            <a:picLocks noChangeAspect="1"/>
                          </pic:cNvPicPr>
                        </pic:nvPicPr>
                        <pic:blipFill>
                          <a:blip r:embed="rId31"/>
                          <a:stretch>
                            <a:fillRect/>
                          </a:stretch>
                        </pic:blipFill>
                        <pic:spPr>
                          <a:xfrm>
                            <a:off x="0" y="0"/>
                            <a:ext cx="3182836" cy="2080870"/>
                          </a:xfrm>
                          <a:prstGeom prst="rect">
                            <a:avLst/>
                          </a:prstGeom>
                        </pic:spPr>
                      </pic:pic>
                    </a:graphicData>
                  </a:graphic>
                </wp:inline>
              </w:drawing>
            </w:r>
          </w:p>
        </w:tc>
      </w:tr>
      <w:tr w14:paraId="1638DF8E">
        <w:tblPrEx>
          <w:tblCellMar>
            <w:top w:w="0" w:type="dxa"/>
            <w:left w:w="108" w:type="dxa"/>
            <w:bottom w:w="0" w:type="dxa"/>
            <w:right w:w="108" w:type="dxa"/>
          </w:tblCellMar>
        </w:tblPrEx>
        <w:tc>
          <w:tcPr>
            <w:tcW w:w="5103" w:type="dxa"/>
            <w:tcBorders>
              <w:top w:val="single" w:color="auto" w:sz="4" w:space="0"/>
              <w:left w:val="nil"/>
              <w:bottom w:val="nil"/>
              <w:right w:val="nil"/>
            </w:tcBorders>
            <w:tcMar>
              <w:top w:w="0" w:type="dxa"/>
              <w:left w:w="0" w:type="dxa"/>
              <w:bottom w:w="0" w:type="dxa"/>
              <w:right w:w="28" w:type="dxa"/>
            </w:tcMar>
            <w:vAlign w:val="center"/>
          </w:tcPr>
          <w:p w14:paraId="0261E21C">
            <w:pPr>
              <w:overflowPunct w:val="0"/>
              <w:spacing w:before="48" w:beforeLines="20" w:after="48" w:afterLines="20"/>
              <w:textAlignment w:val="center"/>
              <w:rPr>
                <w:rFonts w:hint="default" w:ascii="Calibri" w:hAnsi="Calibri" w:eastAsia="楷体_GB2312" w:cs="Calibri"/>
                <w:sz w:val="10"/>
                <w:szCs w:val="10"/>
                <w:lang w:eastAsia="zh-CN"/>
              </w:rPr>
            </w:pPr>
            <w:r>
              <w:rPr>
                <w:rFonts w:hint="default" w:ascii="Calibri" w:hAnsi="Calibri" w:eastAsia="楷体_GB2312" w:cs="Calibri"/>
                <w:i/>
                <w:iCs/>
                <w:lang w:val="zh-CN" w:eastAsia="zh-CN"/>
              </w:rPr>
              <w:t>资料来源：EIA，HFI</w:t>
            </w:r>
          </w:p>
        </w:tc>
        <w:tc>
          <w:tcPr>
            <w:tcW w:w="238" w:type="dxa"/>
            <w:tcBorders>
              <w:top w:val="nil"/>
              <w:left w:val="nil"/>
              <w:bottom w:val="nil"/>
              <w:right w:val="nil"/>
            </w:tcBorders>
            <w:tcMar>
              <w:top w:w="0" w:type="dxa"/>
              <w:left w:w="0" w:type="dxa"/>
              <w:bottom w:w="0" w:type="dxa"/>
              <w:right w:w="28" w:type="dxa"/>
            </w:tcMar>
          </w:tcPr>
          <w:p w14:paraId="002C04E6">
            <w:pPr>
              <w:overflowPunct w:val="0"/>
              <w:spacing w:before="48" w:beforeLines="20" w:after="48" w:afterLines="20"/>
              <w:rPr>
                <w:rFonts w:hint="default" w:ascii="Calibri" w:hAnsi="Calibri" w:eastAsia="楷体_GB2312" w:cs="Calibri"/>
                <w:sz w:val="15"/>
                <w:szCs w:val="15"/>
                <w:lang w:eastAsia="zh-CN"/>
              </w:rPr>
            </w:pPr>
          </w:p>
        </w:tc>
        <w:tc>
          <w:tcPr>
            <w:tcW w:w="5149" w:type="dxa"/>
            <w:tcBorders>
              <w:top w:val="single" w:color="auto" w:sz="4" w:space="0"/>
              <w:left w:val="nil"/>
              <w:bottom w:val="nil"/>
              <w:right w:val="nil"/>
            </w:tcBorders>
            <w:tcMar>
              <w:top w:w="0" w:type="dxa"/>
              <w:left w:w="0" w:type="dxa"/>
              <w:bottom w:w="0" w:type="dxa"/>
              <w:right w:w="28" w:type="dxa"/>
            </w:tcMar>
          </w:tcPr>
          <w:p w14:paraId="33C48BED">
            <w:pPr>
              <w:overflowPunct w:val="0"/>
              <w:spacing w:before="48" w:beforeLines="20" w:after="48" w:afterLines="20"/>
              <w:rPr>
                <w:rFonts w:hint="default" w:ascii="Calibri" w:hAnsi="Calibri" w:eastAsia="楷体_GB2312" w:cs="Calibri"/>
                <w:sz w:val="10"/>
                <w:szCs w:val="10"/>
                <w:lang w:eastAsia="zh-CN"/>
              </w:rPr>
            </w:pPr>
            <w:r>
              <w:rPr>
                <w:rFonts w:hint="default" w:ascii="Calibri" w:hAnsi="Calibri" w:eastAsia="楷体_GB2312" w:cs="Calibri"/>
                <w:i/>
                <w:iCs/>
                <w:lang w:val="zh-CN" w:eastAsia="zh-CN"/>
              </w:rPr>
              <w:t>资料来源：EIA，HFI</w:t>
            </w:r>
          </w:p>
        </w:tc>
      </w:tr>
    </w:tbl>
    <w:p w14:paraId="1EE519B6">
      <w:pPr>
        <w:overflowPunct w:val="0"/>
        <w:jc w:val="both"/>
        <w:rPr>
          <w:rFonts w:hint="default" w:ascii="Calibri" w:hAnsi="Calibri" w:eastAsia="楷体_GB2312" w:cs="Calibri"/>
          <w:b/>
          <w:bCs/>
          <w:sz w:val="20"/>
          <w:szCs w:val="20"/>
          <w:lang w:eastAsia="zh-CN"/>
        </w:rPr>
      </w:pPr>
    </w:p>
    <w:p w14:paraId="56182DC3">
      <w:pPr>
        <w:overflowPunct w:val="0"/>
        <w:ind w:left="3200" w:leftChars="2000"/>
        <w:jc w:val="both"/>
        <w:rPr>
          <w:rFonts w:hint="default" w:ascii="Calibri" w:hAnsi="Calibri" w:eastAsia="楷体_GB2312" w:cs="Calibri"/>
          <w:b/>
          <w:bCs/>
          <w:sz w:val="20"/>
          <w:szCs w:val="20"/>
          <w:lang w:val="en-US" w:eastAsia="zh-CN"/>
        </w:rPr>
      </w:pPr>
    </w:p>
    <w:p w14:paraId="78A07917">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电价方面，据EIA最新预测，2025年美国批发电价将呈现显著区域分化，多数地区价格大幅上涨。</w:t>
      </w:r>
      <w:r>
        <w:rPr>
          <w:rFonts w:hint="default" w:ascii="Calibri" w:hAnsi="Calibri" w:eastAsia="楷体_GB2312" w:cs="Calibri"/>
          <w:sz w:val="20"/>
          <w:szCs w:val="20"/>
          <w:lang w:val="en-US" w:eastAsia="zh-CN"/>
        </w:rPr>
        <w:t>以STEO追踪的主要电价枢纽为例，2025年批发电价加权平均预计达51美元/MWh，较2024年上涨约34%。</w:t>
      </w:r>
    </w:p>
    <w:p w14:paraId="3F524CBC">
      <w:pPr>
        <w:overflowPunct w:val="0"/>
        <w:ind w:left="3200" w:leftChars="2000"/>
        <w:jc w:val="both"/>
        <w:rPr>
          <w:rFonts w:hint="default" w:ascii="Calibri" w:hAnsi="Calibri" w:eastAsia="楷体_GB2312" w:cs="Calibri"/>
          <w:sz w:val="20"/>
          <w:szCs w:val="20"/>
          <w:lang w:val="en-US" w:eastAsia="zh-CN"/>
        </w:rPr>
      </w:pPr>
    </w:p>
    <w:p w14:paraId="535698FE">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美国本土48州大多数主要交易中心的日前平均批发电力价格在2025年高于2024年，这主要是由于天然气价格上涨导致发电成本增加。</w:t>
      </w:r>
      <w:r>
        <w:rPr>
          <w:rFonts w:hint="default" w:ascii="Calibri" w:hAnsi="Calibri" w:eastAsia="楷体_GB2312" w:cs="Calibri"/>
          <w:sz w:val="20"/>
          <w:szCs w:val="20"/>
          <w:lang w:val="en-US" w:eastAsia="zh-CN"/>
        </w:rPr>
        <w:t>价格涨幅最大的是新英格兰独立系统运营商（ISO-NE），每兆瓦时（MWh）上涨了29美元；价格跌幅最大的是西北地区中哥伦比亚河谷地区的，每兆瓦时下降了14美元。</w:t>
      </w:r>
    </w:p>
    <w:p w14:paraId="3C383A2A">
      <w:pPr>
        <w:overflowPunct w:val="0"/>
        <w:ind w:left="3200" w:leftChars="2000"/>
        <w:jc w:val="both"/>
        <w:rPr>
          <w:rFonts w:hint="default" w:ascii="Calibri" w:hAnsi="Calibri" w:eastAsia="楷体_GB2312" w:cs="Calibri"/>
          <w:sz w:val="20"/>
          <w:szCs w:val="20"/>
          <w:lang w:val="en-US" w:eastAsia="zh-CN"/>
        </w:rPr>
      </w:pPr>
    </w:p>
    <w:tbl>
      <w:tblPr>
        <w:tblStyle w:val="26"/>
        <w:tblW w:w="10490" w:type="dxa"/>
        <w:tblInd w:w="384" w:type="dxa"/>
        <w:tblLayout w:type="fixed"/>
        <w:tblCellMar>
          <w:top w:w="0" w:type="dxa"/>
          <w:left w:w="108" w:type="dxa"/>
          <w:bottom w:w="0" w:type="dxa"/>
          <w:right w:w="108" w:type="dxa"/>
        </w:tblCellMar>
      </w:tblPr>
      <w:tblGrid>
        <w:gridCol w:w="5103"/>
        <w:gridCol w:w="238"/>
        <w:gridCol w:w="5149"/>
      </w:tblGrid>
      <w:tr w14:paraId="39AFE0D2">
        <w:tblPrEx>
          <w:tblCellMar>
            <w:top w:w="0" w:type="dxa"/>
            <w:left w:w="108" w:type="dxa"/>
            <w:bottom w:w="0" w:type="dxa"/>
            <w:right w:w="108" w:type="dxa"/>
          </w:tblCellMar>
        </w:tblPrEx>
        <w:trPr>
          <w:trHeight w:val="227" w:hRule="atLeast"/>
        </w:trPr>
        <w:tc>
          <w:tcPr>
            <w:tcW w:w="5103" w:type="dxa"/>
            <w:tcBorders>
              <w:top w:val="nil"/>
              <w:left w:val="nil"/>
              <w:bottom w:val="single" w:color="auto" w:sz="4" w:space="0"/>
              <w:right w:val="nil"/>
            </w:tcBorders>
            <w:tcMar>
              <w:top w:w="0" w:type="dxa"/>
              <w:left w:w="0" w:type="dxa"/>
              <w:bottom w:w="0" w:type="dxa"/>
              <w:right w:w="28" w:type="dxa"/>
            </w:tcMar>
          </w:tcPr>
          <w:p w14:paraId="541C3AB1">
            <w:pPr>
              <w:overflowPunct w:val="0"/>
              <w:rPr>
                <w:rFonts w:hint="default" w:ascii="Calibri" w:hAnsi="Calibri" w:eastAsia="楷体_GB2312" w:cs="Calibri"/>
                <w:b/>
                <w:sz w:val="18"/>
                <w:szCs w:val="18"/>
                <w:lang w:val="zh-CN" w:eastAsia="zh-CN"/>
              </w:rPr>
            </w:pPr>
            <w:r>
              <w:rPr>
                <w:rFonts w:hint="default" w:ascii="Calibri" w:hAnsi="Calibri" w:eastAsia="楷体_GB2312" w:cs="Calibri"/>
                <w:b/>
                <w:sz w:val="18"/>
                <w:szCs w:val="18"/>
                <w:lang w:val="zh-CN" w:eastAsia="zh-CN"/>
              </w:rPr>
              <w:t>图</w:t>
            </w:r>
            <w:r>
              <w:rPr>
                <w:rFonts w:hint="default" w:ascii="Calibri" w:hAnsi="Calibri" w:eastAsia="楷体_GB2312" w:cs="Calibri"/>
                <w:b/>
                <w:sz w:val="18"/>
                <w:szCs w:val="18"/>
                <w:lang w:val="en-US" w:eastAsia="zh-CN"/>
              </w:rPr>
              <w:t>19</w:t>
            </w:r>
            <w:r>
              <w:rPr>
                <w:rFonts w:hint="default" w:ascii="Calibri" w:hAnsi="Calibri" w:eastAsia="楷体_GB2312" w:cs="Calibri"/>
                <w:b/>
                <w:sz w:val="18"/>
                <w:szCs w:val="18"/>
                <w:lang w:val="zh-CN" w:eastAsia="zh-CN"/>
              </w:rPr>
              <w:t>：202</w:t>
            </w:r>
            <w:r>
              <w:rPr>
                <w:rFonts w:hint="default" w:ascii="Calibri" w:hAnsi="Calibri" w:eastAsia="楷体_GB2312" w:cs="Calibri"/>
                <w:b/>
                <w:sz w:val="18"/>
                <w:szCs w:val="18"/>
                <w:lang w:val="en-US" w:eastAsia="zh-CN"/>
              </w:rPr>
              <w:t>4</w:t>
            </w:r>
            <w:r>
              <w:rPr>
                <w:rFonts w:hint="default" w:ascii="Calibri" w:hAnsi="Calibri" w:eastAsia="楷体_GB2312" w:cs="Calibri"/>
                <w:b/>
                <w:sz w:val="18"/>
                <w:szCs w:val="18"/>
                <w:lang w:val="zh-CN" w:eastAsia="zh-CN"/>
              </w:rPr>
              <w:t>-202</w:t>
            </w:r>
            <w:r>
              <w:rPr>
                <w:rFonts w:hint="default" w:ascii="Calibri" w:hAnsi="Calibri" w:eastAsia="楷体_GB2312" w:cs="Calibri"/>
                <w:b/>
                <w:sz w:val="18"/>
                <w:szCs w:val="18"/>
                <w:lang w:val="en-US" w:eastAsia="zh-CN"/>
              </w:rPr>
              <w:t>6E</w:t>
            </w:r>
            <w:r>
              <w:rPr>
                <w:rFonts w:hint="default" w:ascii="Calibri" w:hAnsi="Calibri" w:eastAsia="楷体_GB2312" w:cs="Calibri"/>
                <w:b/>
                <w:sz w:val="18"/>
                <w:szCs w:val="18"/>
                <w:lang w:val="zh-CN" w:eastAsia="zh-CN"/>
              </w:rPr>
              <w:t>主要交易中心的</w:t>
            </w:r>
            <w:r>
              <w:rPr>
                <w:rFonts w:hint="default" w:ascii="Calibri" w:hAnsi="Calibri" w:eastAsia="楷体_GB2312" w:cs="Calibri"/>
                <w:b/>
                <w:sz w:val="18"/>
                <w:szCs w:val="18"/>
                <w:lang w:val="en-US" w:eastAsia="zh-CN"/>
              </w:rPr>
              <w:t>年度</w:t>
            </w:r>
            <w:r>
              <w:rPr>
                <w:rFonts w:hint="default" w:ascii="Calibri" w:hAnsi="Calibri" w:eastAsia="楷体_GB2312" w:cs="Calibri"/>
                <w:b/>
                <w:sz w:val="18"/>
                <w:szCs w:val="18"/>
                <w:lang w:val="zh-CN" w:eastAsia="zh-CN"/>
              </w:rPr>
              <w:t>批发电价</w:t>
            </w:r>
          </w:p>
        </w:tc>
        <w:tc>
          <w:tcPr>
            <w:tcW w:w="238" w:type="dxa"/>
            <w:tcBorders>
              <w:top w:val="nil"/>
              <w:left w:val="nil"/>
              <w:bottom w:val="nil"/>
              <w:right w:val="nil"/>
            </w:tcBorders>
            <w:tcMar>
              <w:top w:w="0" w:type="dxa"/>
              <w:left w:w="0" w:type="dxa"/>
              <w:bottom w:w="0" w:type="dxa"/>
              <w:right w:w="28" w:type="dxa"/>
            </w:tcMar>
          </w:tcPr>
          <w:p w14:paraId="5A04858C">
            <w:pPr>
              <w:overflowPunct w:val="0"/>
              <w:rPr>
                <w:rFonts w:hint="default" w:ascii="Calibri" w:hAnsi="Calibri" w:eastAsia="楷体_GB2312" w:cs="Calibri"/>
                <w:b/>
                <w:sz w:val="18"/>
                <w:szCs w:val="18"/>
                <w:lang w:val="zh-CN" w:eastAsia="zh-CN"/>
              </w:rPr>
            </w:pPr>
            <w:r>
              <w:rPr>
                <w:rFonts w:hint="default" w:ascii="Calibri" w:hAnsi="Calibri" w:eastAsia="楷体_GB2312" w:cs="Calibri"/>
                <w:b/>
                <w:sz w:val="18"/>
                <w:szCs w:val="18"/>
                <w:lang w:val="zh-CN" w:eastAsia="zh-CN"/>
              </w:rPr>
              <w:t xml:space="preserve">         </w:t>
            </w:r>
          </w:p>
        </w:tc>
        <w:tc>
          <w:tcPr>
            <w:tcW w:w="5149" w:type="dxa"/>
            <w:tcBorders>
              <w:top w:val="nil"/>
              <w:left w:val="nil"/>
              <w:bottom w:val="single" w:color="auto" w:sz="4" w:space="0"/>
              <w:right w:val="nil"/>
            </w:tcBorders>
            <w:tcMar>
              <w:top w:w="0" w:type="dxa"/>
              <w:left w:w="0" w:type="dxa"/>
              <w:bottom w:w="0" w:type="dxa"/>
              <w:right w:w="28" w:type="dxa"/>
            </w:tcMar>
          </w:tcPr>
          <w:p w14:paraId="7A841F40">
            <w:pPr>
              <w:overflowPunct w:val="0"/>
              <w:rPr>
                <w:rFonts w:hint="default" w:ascii="Calibri" w:hAnsi="Calibri" w:eastAsia="楷体_GB2312" w:cs="Calibri"/>
                <w:b/>
                <w:sz w:val="18"/>
                <w:szCs w:val="18"/>
                <w:lang w:val="zh-CN" w:eastAsia="zh-CN"/>
              </w:rPr>
            </w:pPr>
            <w:r>
              <w:rPr>
                <w:rFonts w:hint="default" w:ascii="Calibri" w:hAnsi="Calibri" w:eastAsia="楷体_GB2312" w:cs="Calibri"/>
                <w:b/>
                <w:sz w:val="18"/>
                <w:szCs w:val="18"/>
                <w:lang w:val="zh-CN" w:eastAsia="zh-CN"/>
              </w:rPr>
              <w:t>图</w:t>
            </w:r>
            <w:r>
              <w:rPr>
                <w:rFonts w:hint="default" w:ascii="Calibri" w:hAnsi="Calibri" w:eastAsia="楷体_GB2312" w:cs="Calibri"/>
                <w:b/>
                <w:sz w:val="18"/>
                <w:szCs w:val="18"/>
                <w:lang w:val="en-US" w:eastAsia="zh-CN"/>
              </w:rPr>
              <w:t>20</w:t>
            </w:r>
            <w:r>
              <w:rPr>
                <w:rFonts w:hint="default" w:ascii="Calibri" w:hAnsi="Calibri" w:eastAsia="楷体_GB2312" w:cs="Calibri"/>
                <w:b/>
                <w:sz w:val="18"/>
                <w:szCs w:val="18"/>
                <w:lang w:val="zh-CN" w:eastAsia="zh-CN"/>
              </w:rPr>
              <w:t>：202</w:t>
            </w:r>
            <w:r>
              <w:rPr>
                <w:rFonts w:hint="default" w:ascii="Calibri" w:hAnsi="Calibri" w:eastAsia="楷体_GB2312" w:cs="Calibri"/>
                <w:b/>
                <w:sz w:val="18"/>
                <w:szCs w:val="18"/>
                <w:lang w:val="en-US" w:eastAsia="zh-CN"/>
              </w:rPr>
              <w:t>4</w:t>
            </w:r>
            <w:r>
              <w:rPr>
                <w:rFonts w:hint="default" w:ascii="Calibri" w:hAnsi="Calibri" w:eastAsia="楷体_GB2312" w:cs="Calibri"/>
                <w:b/>
                <w:sz w:val="18"/>
                <w:szCs w:val="18"/>
                <w:lang w:val="zh-CN" w:eastAsia="zh-CN"/>
              </w:rPr>
              <w:t>-202</w:t>
            </w:r>
            <w:r>
              <w:rPr>
                <w:rFonts w:hint="default" w:ascii="Calibri" w:hAnsi="Calibri" w:eastAsia="楷体_GB2312" w:cs="Calibri"/>
                <w:b/>
                <w:sz w:val="18"/>
                <w:szCs w:val="18"/>
                <w:lang w:val="en-US" w:eastAsia="zh-CN"/>
              </w:rPr>
              <w:t>5</w:t>
            </w:r>
            <w:r>
              <w:rPr>
                <w:rFonts w:hint="default" w:ascii="Calibri" w:hAnsi="Calibri" w:eastAsia="楷体_GB2312" w:cs="Calibri"/>
                <w:b/>
                <w:sz w:val="18"/>
                <w:szCs w:val="18"/>
                <w:lang w:val="zh-CN" w:eastAsia="zh-CN"/>
              </w:rPr>
              <w:t>年主要交易中心的月均批发电价</w:t>
            </w:r>
          </w:p>
        </w:tc>
      </w:tr>
      <w:tr w14:paraId="15B1D5C5">
        <w:tblPrEx>
          <w:tblCellMar>
            <w:top w:w="0" w:type="dxa"/>
            <w:left w:w="108" w:type="dxa"/>
            <w:bottom w:w="0" w:type="dxa"/>
            <w:right w:w="108" w:type="dxa"/>
          </w:tblCellMar>
        </w:tblPrEx>
        <w:trPr>
          <w:trHeight w:val="2219" w:hRule="atLeast"/>
        </w:trPr>
        <w:tc>
          <w:tcPr>
            <w:tcW w:w="5103" w:type="dxa"/>
            <w:tcBorders>
              <w:top w:val="single" w:color="auto" w:sz="4" w:space="0"/>
              <w:left w:val="nil"/>
              <w:bottom w:val="single" w:color="auto" w:sz="4" w:space="0"/>
              <w:right w:val="nil"/>
            </w:tcBorders>
            <w:tcMar>
              <w:top w:w="0" w:type="dxa"/>
              <w:left w:w="0" w:type="dxa"/>
              <w:bottom w:w="0" w:type="dxa"/>
              <w:right w:w="28" w:type="dxa"/>
            </w:tcMar>
            <w:vAlign w:val="center"/>
          </w:tcPr>
          <w:p w14:paraId="2B50BAD2">
            <w:pPr>
              <w:overflowPunct w:val="0"/>
              <w:spacing w:before="48" w:beforeLines="20" w:after="48" w:afterLines="20"/>
              <w:jc w:val="center"/>
              <w:textAlignment w:val="center"/>
              <w:rPr>
                <w:rFonts w:hint="default" w:ascii="Calibri" w:hAnsi="Calibri" w:eastAsia="楷体_GB2312" w:cs="Calibri"/>
                <w:b/>
                <w:color w:val="000000"/>
                <w:sz w:val="15"/>
                <w:szCs w:val="15"/>
              </w:rPr>
            </w:pPr>
            <w:r>
              <w:rPr>
                <w:rFonts w:hint="default" w:ascii="Calibri" w:hAnsi="Calibri" w:eastAsia="楷体_GB2312" w:cs="Calibri"/>
              </w:rPr>
              <w:drawing>
                <wp:inline distT="0" distB="0" distL="114300" distR="114300">
                  <wp:extent cx="3136900" cy="1163320"/>
                  <wp:effectExtent l="0" t="0" r="6350" b="0"/>
                  <wp:docPr id="35" name="图片 10" descr="图表, 条形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10" descr="图表, 条形图&#10;&#10;AI 生成的内容可能不正确。"/>
                          <pic:cNvPicPr>
                            <a:picLocks noChangeAspect="1"/>
                          </pic:cNvPicPr>
                        </pic:nvPicPr>
                        <pic:blipFill>
                          <a:blip r:embed="rId32"/>
                          <a:stretch>
                            <a:fillRect/>
                          </a:stretch>
                        </pic:blipFill>
                        <pic:spPr>
                          <a:xfrm>
                            <a:off x="0" y="0"/>
                            <a:ext cx="3146205" cy="1166961"/>
                          </a:xfrm>
                          <a:prstGeom prst="rect">
                            <a:avLst/>
                          </a:prstGeom>
                          <a:noFill/>
                          <a:ln>
                            <a:noFill/>
                          </a:ln>
                        </pic:spPr>
                      </pic:pic>
                    </a:graphicData>
                  </a:graphic>
                </wp:inline>
              </w:drawing>
            </w:r>
          </w:p>
        </w:tc>
        <w:tc>
          <w:tcPr>
            <w:tcW w:w="238" w:type="dxa"/>
            <w:tcBorders>
              <w:top w:val="nil"/>
              <w:left w:val="nil"/>
              <w:bottom w:val="nil"/>
              <w:right w:val="nil"/>
            </w:tcBorders>
            <w:tcMar>
              <w:top w:w="0" w:type="dxa"/>
              <w:left w:w="0" w:type="dxa"/>
              <w:bottom w:w="0" w:type="dxa"/>
              <w:right w:w="28" w:type="dxa"/>
            </w:tcMar>
          </w:tcPr>
          <w:p w14:paraId="531BDEA8">
            <w:pPr>
              <w:overflowPunct w:val="0"/>
              <w:spacing w:before="48" w:beforeLines="20" w:after="48" w:afterLines="20"/>
              <w:rPr>
                <w:rFonts w:hint="default" w:ascii="Calibri" w:hAnsi="Calibri" w:eastAsia="楷体_GB2312" w:cs="Calibri"/>
                <w:sz w:val="15"/>
                <w:szCs w:val="15"/>
              </w:rPr>
            </w:pPr>
          </w:p>
        </w:tc>
        <w:tc>
          <w:tcPr>
            <w:tcW w:w="5149" w:type="dxa"/>
            <w:tcBorders>
              <w:top w:val="single" w:color="auto" w:sz="4" w:space="0"/>
              <w:left w:val="nil"/>
              <w:bottom w:val="single" w:color="auto" w:sz="4" w:space="0"/>
              <w:right w:val="nil"/>
            </w:tcBorders>
            <w:tcMar>
              <w:top w:w="0" w:type="dxa"/>
              <w:left w:w="0" w:type="dxa"/>
              <w:bottom w:w="0" w:type="dxa"/>
              <w:right w:w="28" w:type="dxa"/>
            </w:tcMar>
          </w:tcPr>
          <w:p w14:paraId="6F39C119">
            <w:pPr>
              <w:overflowPunct w:val="0"/>
              <w:spacing w:before="48" w:beforeLines="20" w:after="48" w:afterLines="20"/>
              <w:jc w:val="center"/>
              <w:rPr>
                <w:rFonts w:hint="default" w:ascii="Calibri" w:hAnsi="Calibri" w:eastAsia="楷体_GB2312" w:cs="Calibri"/>
                <w:b/>
                <w:sz w:val="15"/>
                <w:szCs w:val="15"/>
              </w:rPr>
            </w:pPr>
            <w:r>
              <w:rPr>
                <w:rFonts w:hint="default" w:ascii="Calibri" w:hAnsi="Calibri" w:eastAsia="楷体_GB2312" w:cs="Calibri"/>
                <w:b/>
                <w:sz w:val="15"/>
                <w:szCs w:val="15"/>
              </w:rPr>
              <w:drawing>
                <wp:inline distT="0" distB="0" distL="114300" distR="114300">
                  <wp:extent cx="3241040" cy="1583055"/>
                  <wp:effectExtent l="0" t="0" r="10160" b="4445"/>
                  <wp:docPr id="34" name="图片 34" descr="afcb21ee0175b7a75dee64826175e9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afcb21ee0175b7a75dee64826175e9e5"/>
                          <pic:cNvPicPr>
                            <a:picLocks noChangeAspect="1"/>
                          </pic:cNvPicPr>
                        </pic:nvPicPr>
                        <pic:blipFill>
                          <a:blip r:embed="rId33"/>
                          <a:stretch>
                            <a:fillRect/>
                          </a:stretch>
                        </pic:blipFill>
                        <pic:spPr>
                          <a:xfrm>
                            <a:off x="0" y="0"/>
                            <a:ext cx="3241040" cy="1583055"/>
                          </a:xfrm>
                          <a:prstGeom prst="rect">
                            <a:avLst/>
                          </a:prstGeom>
                        </pic:spPr>
                      </pic:pic>
                    </a:graphicData>
                  </a:graphic>
                </wp:inline>
              </w:drawing>
            </w:r>
          </w:p>
        </w:tc>
      </w:tr>
      <w:tr w14:paraId="2B215445">
        <w:tblPrEx>
          <w:tblCellMar>
            <w:top w:w="0" w:type="dxa"/>
            <w:left w:w="108" w:type="dxa"/>
            <w:bottom w:w="0" w:type="dxa"/>
            <w:right w:w="108" w:type="dxa"/>
          </w:tblCellMar>
        </w:tblPrEx>
        <w:tc>
          <w:tcPr>
            <w:tcW w:w="5103" w:type="dxa"/>
            <w:tcBorders>
              <w:top w:val="single" w:color="auto" w:sz="4" w:space="0"/>
              <w:left w:val="nil"/>
              <w:bottom w:val="nil"/>
              <w:right w:val="nil"/>
            </w:tcBorders>
            <w:tcMar>
              <w:top w:w="0" w:type="dxa"/>
              <w:left w:w="0" w:type="dxa"/>
              <w:bottom w:w="0" w:type="dxa"/>
              <w:right w:w="28" w:type="dxa"/>
            </w:tcMar>
            <w:vAlign w:val="center"/>
          </w:tcPr>
          <w:p w14:paraId="62629971">
            <w:pPr>
              <w:overflowPunct w:val="0"/>
              <w:spacing w:before="48" w:beforeLines="20" w:after="48" w:afterLines="20"/>
              <w:textAlignment w:val="center"/>
              <w:rPr>
                <w:rFonts w:hint="default" w:ascii="Calibri" w:hAnsi="Calibri" w:eastAsia="楷体_GB2312" w:cs="Calibri"/>
                <w:sz w:val="10"/>
                <w:szCs w:val="10"/>
                <w:lang w:eastAsia="zh-CN"/>
              </w:rPr>
            </w:pPr>
            <w:r>
              <w:rPr>
                <w:rFonts w:hint="default" w:ascii="Calibri" w:hAnsi="Calibri" w:eastAsia="楷体_GB2312" w:cs="Calibri"/>
                <w:i/>
                <w:iCs/>
                <w:lang w:val="zh-CN" w:eastAsia="zh-CN"/>
              </w:rPr>
              <w:t>资料来源：EIA，HFI</w:t>
            </w:r>
          </w:p>
        </w:tc>
        <w:tc>
          <w:tcPr>
            <w:tcW w:w="238" w:type="dxa"/>
            <w:tcBorders>
              <w:top w:val="nil"/>
              <w:left w:val="nil"/>
              <w:bottom w:val="nil"/>
              <w:right w:val="nil"/>
            </w:tcBorders>
            <w:tcMar>
              <w:top w:w="0" w:type="dxa"/>
              <w:left w:w="0" w:type="dxa"/>
              <w:bottom w:w="0" w:type="dxa"/>
              <w:right w:w="28" w:type="dxa"/>
            </w:tcMar>
          </w:tcPr>
          <w:p w14:paraId="7BA56AB3">
            <w:pPr>
              <w:overflowPunct w:val="0"/>
              <w:spacing w:before="48" w:beforeLines="20" w:after="48" w:afterLines="20"/>
              <w:rPr>
                <w:rFonts w:hint="default" w:ascii="Calibri" w:hAnsi="Calibri" w:eastAsia="楷体_GB2312" w:cs="Calibri"/>
                <w:sz w:val="15"/>
                <w:szCs w:val="15"/>
                <w:lang w:eastAsia="zh-CN"/>
              </w:rPr>
            </w:pPr>
          </w:p>
        </w:tc>
        <w:tc>
          <w:tcPr>
            <w:tcW w:w="5149" w:type="dxa"/>
            <w:tcBorders>
              <w:top w:val="single" w:color="auto" w:sz="4" w:space="0"/>
              <w:left w:val="nil"/>
              <w:bottom w:val="nil"/>
              <w:right w:val="nil"/>
            </w:tcBorders>
            <w:tcMar>
              <w:top w:w="0" w:type="dxa"/>
              <w:left w:w="0" w:type="dxa"/>
              <w:bottom w:w="0" w:type="dxa"/>
              <w:right w:w="28" w:type="dxa"/>
            </w:tcMar>
          </w:tcPr>
          <w:p w14:paraId="13FB4F63">
            <w:pPr>
              <w:overflowPunct w:val="0"/>
              <w:spacing w:before="48" w:beforeLines="20" w:after="48" w:afterLines="20"/>
              <w:rPr>
                <w:rFonts w:hint="default" w:ascii="Calibri" w:hAnsi="Calibri" w:eastAsia="楷体_GB2312" w:cs="Calibri"/>
                <w:sz w:val="10"/>
                <w:szCs w:val="10"/>
                <w:lang w:eastAsia="zh-CN"/>
              </w:rPr>
            </w:pPr>
            <w:r>
              <w:rPr>
                <w:rFonts w:hint="default" w:ascii="Calibri" w:hAnsi="Calibri" w:eastAsia="楷体_GB2312" w:cs="Calibri"/>
                <w:i/>
                <w:iCs/>
                <w:lang w:val="zh-CN" w:eastAsia="zh-CN"/>
              </w:rPr>
              <w:t>资料来源：EIA，HFI</w:t>
            </w:r>
          </w:p>
        </w:tc>
      </w:tr>
    </w:tbl>
    <w:p w14:paraId="38AAA399">
      <w:pPr>
        <w:overflowPunct w:val="0"/>
        <w:ind w:left="3200" w:leftChars="2000"/>
        <w:jc w:val="both"/>
        <w:rPr>
          <w:rFonts w:hint="default" w:ascii="Calibri" w:hAnsi="Calibri" w:eastAsia="楷体_GB2312" w:cs="Calibri"/>
          <w:sz w:val="20"/>
          <w:szCs w:val="20"/>
          <w:lang w:val="en-US" w:eastAsia="zh-CN"/>
        </w:rPr>
      </w:pPr>
    </w:p>
    <w:p w14:paraId="0552F7D5">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据EIA统计，美国月度电力的平均零售价格中枢持续抬高，截至2025年10月，平均零售价格为$0.134/kWh（13.43美分/千瓦时），较9月环比下降约1.5%。</w:t>
      </w:r>
    </w:p>
    <w:p w14:paraId="1B9A9EC1">
      <w:pPr>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br w:type="page"/>
      </w:r>
    </w:p>
    <w:tbl>
      <w:tblPr>
        <w:tblStyle w:val="27"/>
        <w:tblW w:w="7459" w:type="dxa"/>
        <w:tblInd w:w="3249"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autofit"/>
        <w:tblCellMar>
          <w:top w:w="0" w:type="dxa"/>
          <w:left w:w="0" w:type="dxa"/>
          <w:bottom w:w="0" w:type="dxa"/>
          <w:right w:w="0" w:type="dxa"/>
        </w:tblCellMar>
      </w:tblPr>
      <w:tblGrid>
        <w:gridCol w:w="7459"/>
      </w:tblGrid>
      <w:tr w14:paraId="685901DD">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7459" w:type="dxa"/>
            <w:tcBorders>
              <w:bottom w:val="single" w:color="auto" w:sz="4" w:space="0"/>
            </w:tcBorders>
          </w:tcPr>
          <w:p w14:paraId="5033A54B">
            <w:pPr>
              <w:overflowPunct w:val="0"/>
              <w:rPr>
                <w:rFonts w:hint="default" w:ascii="Calibri" w:hAnsi="Calibri" w:eastAsia="楷体_GB2312" w:cs="Calibri"/>
                <w:b/>
                <w:sz w:val="18"/>
                <w:szCs w:val="20"/>
                <w:lang w:eastAsia="zh-CN"/>
              </w:rPr>
            </w:pPr>
            <w:r>
              <w:rPr>
                <w:rFonts w:hint="default" w:ascii="Calibri" w:hAnsi="Calibri" w:eastAsia="楷体_GB2312" w:cs="Calibri"/>
                <w:b/>
                <w:sz w:val="18"/>
                <w:szCs w:val="18"/>
                <w:lang w:eastAsia="zh-CN"/>
              </w:rPr>
              <w:t>图2</w:t>
            </w:r>
            <w:r>
              <w:rPr>
                <w:rFonts w:hint="default" w:ascii="Calibri" w:hAnsi="Calibri" w:eastAsia="楷体_GB2312" w:cs="Calibri"/>
                <w:b/>
                <w:sz w:val="18"/>
                <w:szCs w:val="18"/>
                <w:lang w:val="en-US" w:eastAsia="zh-CN"/>
              </w:rPr>
              <w:t>1</w:t>
            </w:r>
            <w:r>
              <w:rPr>
                <w:rFonts w:hint="default" w:ascii="Calibri" w:hAnsi="Calibri" w:eastAsia="楷体_GB2312" w:cs="Calibri"/>
                <w:b/>
                <w:sz w:val="18"/>
                <w:szCs w:val="18"/>
                <w:lang w:eastAsia="zh-CN"/>
              </w:rPr>
              <w:t>：美国月度电力平均零售价格 (¢/KWh)</w:t>
            </w:r>
          </w:p>
        </w:tc>
      </w:tr>
      <w:tr w14:paraId="3449CF39">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3061" w:hRule="atLeast"/>
        </w:trPr>
        <w:tc>
          <w:tcPr>
            <w:tcW w:w="7459" w:type="dxa"/>
            <w:tcBorders>
              <w:top w:val="single" w:color="auto" w:sz="4" w:space="0"/>
              <w:bottom w:val="single" w:color="auto" w:sz="4" w:space="0"/>
            </w:tcBorders>
            <w:vAlign w:val="center"/>
          </w:tcPr>
          <w:p w14:paraId="39A97066">
            <w:pPr>
              <w:overflowPunct w:val="0"/>
              <w:jc w:val="center"/>
              <w:rPr>
                <w:rFonts w:hint="default" w:ascii="Calibri" w:hAnsi="Calibri" w:eastAsia="楷体_GB2312" w:cs="Calibri"/>
                <w:sz w:val="10"/>
              </w:rPr>
            </w:pPr>
            <w:r>
              <w:rPr>
                <w:rFonts w:hint="default" w:ascii="Calibri" w:hAnsi="Calibri" w:eastAsia="楷体_GB2312" w:cs="Calibri"/>
              </w:rPr>
              <w:drawing>
                <wp:inline distT="0" distB="0" distL="114300" distR="114300">
                  <wp:extent cx="4590415" cy="1675765"/>
                  <wp:effectExtent l="0" t="0" r="6985" b="635"/>
                  <wp:docPr id="3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1"/>
                          <pic:cNvPicPr>
                            <a:picLocks noChangeAspect="1"/>
                          </pic:cNvPicPr>
                        </pic:nvPicPr>
                        <pic:blipFill>
                          <a:blip r:embed="rId34"/>
                          <a:stretch>
                            <a:fillRect/>
                          </a:stretch>
                        </pic:blipFill>
                        <pic:spPr>
                          <a:xfrm>
                            <a:off x="0" y="0"/>
                            <a:ext cx="4590415" cy="1675765"/>
                          </a:xfrm>
                          <a:prstGeom prst="rect">
                            <a:avLst/>
                          </a:prstGeom>
                          <a:noFill/>
                          <a:ln>
                            <a:noFill/>
                          </a:ln>
                        </pic:spPr>
                      </pic:pic>
                    </a:graphicData>
                  </a:graphic>
                </wp:inline>
              </w:drawing>
            </w:r>
          </w:p>
        </w:tc>
      </w:tr>
      <w:tr w14:paraId="1ADEEF09">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7459" w:type="dxa"/>
            <w:tcBorders>
              <w:top w:val="single" w:color="auto" w:sz="4" w:space="0"/>
            </w:tcBorders>
          </w:tcPr>
          <w:p w14:paraId="0E9F9334">
            <w:pPr>
              <w:rPr>
                <w:rFonts w:hint="default" w:ascii="Calibri" w:hAnsi="Calibri" w:eastAsia="楷体_GB2312" w:cs="Calibri"/>
                <w:i/>
                <w:iCs/>
                <w:sz w:val="15"/>
                <w:szCs w:val="15"/>
              </w:rPr>
            </w:pPr>
            <w:r>
              <w:rPr>
                <w:rFonts w:hint="default" w:ascii="Calibri" w:hAnsi="Calibri" w:eastAsia="楷体_GB2312" w:cs="Calibri"/>
                <w:i/>
                <w:iCs/>
                <w:sz w:val="15"/>
                <w:szCs w:val="15"/>
              </w:rPr>
              <w:t>资料来源:</w:t>
            </w:r>
            <w:r>
              <w:rPr>
                <w:rFonts w:hint="default" w:ascii="Calibri" w:hAnsi="Calibri" w:eastAsia="楷体_GB2312" w:cs="Calibri"/>
                <w:i/>
                <w:iCs/>
                <w:sz w:val="15"/>
                <w:szCs w:val="15"/>
                <w:lang w:eastAsia="zh-CN"/>
              </w:rPr>
              <w:t xml:space="preserve">  </w:t>
            </w:r>
            <w:r>
              <w:rPr>
                <w:rFonts w:hint="default" w:ascii="Calibri" w:hAnsi="Calibri" w:eastAsia="楷体_GB2312" w:cs="Calibri"/>
                <w:i/>
                <w:iCs/>
                <w:sz w:val="15"/>
                <w:szCs w:val="15"/>
                <w:lang w:val="en-US" w:eastAsia="zh-CN"/>
              </w:rPr>
              <w:t>EIA</w:t>
            </w:r>
            <w:r>
              <w:rPr>
                <w:rFonts w:hint="default" w:ascii="Calibri" w:hAnsi="Calibri" w:eastAsia="楷体_GB2312" w:cs="Calibri"/>
                <w:i/>
                <w:iCs/>
                <w:sz w:val="15"/>
                <w:szCs w:val="15"/>
              </w:rPr>
              <w:t xml:space="preserve">， </w:t>
            </w:r>
            <w:r>
              <w:rPr>
                <w:rFonts w:hint="default" w:ascii="Calibri" w:hAnsi="Calibri" w:eastAsia="楷体_GB2312" w:cs="Calibri"/>
                <w:i/>
                <w:iCs/>
                <w:sz w:val="15"/>
                <w:szCs w:val="15"/>
                <w:lang w:eastAsia="zh-CN"/>
              </w:rPr>
              <w:t>HFI</w:t>
            </w:r>
          </w:p>
        </w:tc>
      </w:tr>
    </w:tbl>
    <w:p w14:paraId="7584E822">
      <w:pPr>
        <w:overflowPunct w:val="0"/>
        <w:ind w:left="3200" w:leftChars="2000"/>
        <w:jc w:val="both"/>
        <w:rPr>
          <w:rFonts w:hint="default" w:ascii="Calibri" w:hAnsi="Calibri" w:eastAsia="楷体_GB2312" w:cs="Calibri"/>
          <w:sz w:val="20"/>
          <w:szCs w:val="20"/>
          <w:lang w:eastAsia="zh-CN"/>
        </w:rPr>
      </w:pPr>
    </w:p>
    <w:p w14:paraId="06CA6594">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据EIA统计，2月25日，美国主要地区电力平均现货价格为$34.16/MWh。</w:t>
      </w:r>
    </w:p>
    <w:p w14:paraId="1DA790BF">
      <w:pPr>
        <w:overflowPunct w:val="0"/>
        <w:jc w:val="both"/>
        <w:rPr>
          <w:rFonts w:hint="default" w:ascii="Calibri" w:hAnsi="Calibri" w:eastAsia="楷体_GB2312" w:cs="Calibri"/>
          <w:sz w:val="20"/>
          <w:szCs w:val="20"/>
          <w:lang w:val="en-US" w:eastAsia="zh-CN"/>
        </w:rPr>
      </w:pPr>
    </w:p>
    <w:tbl>
      <w:tblPr>
        <w:tblStyle w:val="27"/>
        <w:tblW w:w="7459" w:type="dxa"/>
        <w:tblInd w:w="3249"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autofit"/>
        <w:tblCellMar>
          <w:top w:w="0" w:type="dxa"/>
          <w:left w:w="0" w:type="dxa"/>
          <w:bottom w:w="0" w:type="dxa"/>
          <w:right w:w="0" w:type="dxa"/>
        </w:tblCellMar>
      </w:tblPr>
      <w:tblGrid>
        <w:gridCol w:w="7459"/>
      </w:tblGrid>
      <w:tr w14:paraId="0A1FDFBE">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7459" w:type="dxa"/>
            <w:tcBorders>
              <w:bottom w:val="single" w:color="auto" w:sz="4" w:space="0"/>
            </w:tcBorders>
          </w:tcPr>
          <w:p w14:paraId="4068A8C8">
            <w:pPr>
              <w:overflowPunct w:val="0"/>
              <w:rPr>
                <w:rFonts w:hint="default" w:ascii="Calibri" w:hAnsi="Calibri" w:eastAsia="楷体_GB2312" w:cs="Calibri"/>
                <w:b/>
                <w:sz w:val="18"/>
                <w:szCs w:val="20"/>
                <w:lang w:eastAsia="zh-CN"/>
              </w:rPr>
            </w:pPr>
            <w:r>
              <w:rPr>
                <w:rFonts w:hint="default" w:ascii="Calibri" w:hAnsi="Calibri" w:eastAsia="楷体_GB2312" w:cs="Calibri"/>
                <w:b/>
                <w:sz w:val="18"/>
                <w:szCs w:val="18"/>
                <w:lang w:eastAsia="zh-CN"/>
              </w:rPr>
              <w:t>表</w:t>
            </w:r>
            <w:r>
              <w:rPr>
                <w:rFonts w:hint="default" w:ascii="Calibri" w:hAnsi="Calibri" w:eastAsia="楷体_GB2312" w:cs="Calibri"/>
                <w:b/>
                <w:sz w:val="18"/>
                <w:szCs w:val="18"/>
                <w:lang w:val="en-US" w:eastAsia="zh-CN"/>
              </w:rPr>
              <w:t>5</w:t>
            </w:r>
            <w:r>
              <w:rPr>
                <w:rFonts w:hint="default" w:ascii="Calibri" w:hAnsi="Calibri" w:eastAsia="楷体_GB2312" w:cs="Calibri"/>
                <w:b/>
                <w:sz w:val="18"/>
                <w:szCs w:val="18"/>
                <w:lang w:eastAsia="zh-CN"/>
              </w:rPr>
              <w:t>：美国主要地区电力现货价格 ($/MWh)</w:t>
            </w:r>
          </w:p>
        </w:tc>
      </w:tr>
      <w:tr w14:paraId="6394E265">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3061" w:hRule="atLeast"/>
        </w:trPr>
        <w:tc>
          <w:tcPr>
            <w:tcW w:w="7459" w:type="dxa"/>
            <w:tcBorders>
              <w:top w:val="single" w:color="auto" w:sz="4" w:space="0"/>
              <w:bottom w:val="single" w:color="auto" w:sz="4" w:space="0"/>
            </w:tcBorders>
            <w:vAlign w:val="center"/>
          </w:tcPr>
          <w:tbl>
            <w:tblPr>
              <w:tblStyle w:val="26"/>
              <w:tblW w:w="7225" w:type="dxa"/>
              <w:jc w:val="center"/>
              <w:tblLayout w:type="autofit"/>
              <w:tblCellMar>
                <w:top w:w="0" w:type="dxa"/>
                <w:left w:w="108" w:type="dxa"/>
                <w:bottom w:w="0" w:type="dxa"/>
                <w:right w:w="108" w:type="dxa"/>
              </w:tblCellMar>
            </w:tblPr>
            <w:tblGrid>
              <w:gridCol w:w="2392"/>
              <w:gridCol w:w="4833"/>
            </w:tblGrid>
            <w:tr w14:paraId="5D0AA646">
              <w:tblPrEx>
                <w:tblCellMar>
                  <w:top w:w="0" w:type="dxa"/>
                  <w:left w:w="108" w:type="dxa"/>
                  <w:bottom w:w="0" w:type="dxa"/>
                  <w:right w:w="108" w:type="dxa"/>
                </w:tblCellMar>
              </w:tblPrEx>
              <w:trPr>
                <w:trHeight w:val="252" w:hRule="atLeast"/>
                <w:jc w:val="center"/>
              </w:trPr>
              <w:tc>
                <w:tcPr>
                  <w:tcW w:w="2392" w:type="dxa"/>
                  <w:tcBorders>
                    <w:top w:val="single" w:color="auto" w:sz="4" w:space="0"/>
                    <w:left w:val="single" w:color="auto" w:sz="4" w:space="0"/>
                    <w:bottom w:val="single" w:color="auto" w:sz="4" w:space="0"/>
                    <w:right w:val="single" w:color="auto" w:sz="4" w:space="0"/>
                  </w:tcBorders>
                  <w:shd w:val="clear" w:color="auto" w:fill="002060"/>
                  <w:noWrap/>
                  <w:vAlign w:val="center"/>
                </w:tcPr>
                <w:p w14:paraId="03D742C2">
                  <w:pPr>
                    <w:jc w:val="center"/>
                    <w:rPr>
                      <w:rFonts w:hint="default" w:ascii="Calibri" w:hAnsi="Calibri" w:eastAsia="楷体_GB2312" w:cs="Calibri"/>
                      <w:b/>
                      <w:bCs/>
                      <w:color w:val="FFFFFF"/>
                      <w:sz w:val="18"/>
                      <w:szCs w:val="18"/>
                    </w:rPr>
                  </w:pPr>
                  <w:r>
                    <w:rPr>
                      <w:rFonts w:hint="default" w:ascii="Calibri" w:hAnsi="Calibri" w:eastAsia="楷体_GB2312" w:cs="Calibri"/>
                      <w:b/>
                      <w:bCs/>
                      <w:color w:val="FFFFFF"/>
                      <w:sz w:val="18"/>
                      <w:szCs w:val="18"/>
                    </w:rPr>
                    <w:t>地区</w:t>
                  </w:r>
                </w:p>
              </w:tc>
              <w:tc>
                <w:tcPr>
                  <w:tcW w:w="4833" w:type="dxa"/>
                  <w:tcBorders>
                    <w:top w:val="single" w:color="auto" w:sz="4" w:space="0"/>
                    <w:left w:val="nil"/>
                    <w:bottom w:val="single" w:color="auto" w:sz="4" w:space="0"/>
                    <w:right w:val="single" w:color="auto" w:sz="4" w:space="0"/>
                  </w:tcBorders>
                  <w:shd w:val="clear" w:color="auto" w:fill="002060"/>
                  <w:noWrap/>
                  <w:vAlign w:val="center"/>
                </w:tcPr>
                <w:p w14:paraId="7428D1EF">
                  <w:pPr>
                    <w:jc w:val="center"/>
                    <w:rPr>
                      <w:rFonts w:hint="default" w:ascii="Calibri" w:hAnsi="Calibri" w:eastAsia="楷体_GB2312" w:cs="Calibri"/>
                      <w:b/>
                      <w:bCs/>
                      <w:color w:val="FFFFFF"/>
                      <w:sz w:val="18"/>
                      <w:szCs w:val="18"/>
                    </w:rPr>
                  </w:pPr>
                  <w:r>
                    <w:rPr>
                      <w:rFonts w:hint="default" w:ascii="Calibri" w:hAnsi="Calibri" w:eastAsia="楷体_GB2312" w:cs="Calibri"/>
                      <w:b/>
                      <w:bCs/>
                      <w:color w:val="FFFFFF"/>
                      <w:sz w:val="18"/>
                      <w:szCs w:val="18"/>
                    </w:rPr>
                    <w:t>价格</w:t>
                  </w:r>
                </w:p>
              </w:tc>
            </w:tr>
            <w:tr w14:paraId="46AAED64">
              <w:tblPrEx>
                <w:tblCellMar>
                  <w:top w:w="0" w:type="dxa"/>
                  <w:left w:w="108" w:type="dxa"/>
                  <w:bottom w:w="0" w:type="dxa"/>
                  <w:right w:w="108" w:type="dxa"/>
                </w:tblCellMar>
              </w:tblPrEx>
              <w:trPr>
                <w:trHeight w:val="252" w:hRule="atLeast"/>
                <w:jc w:val="center"/>
              </w:trPr>
              <w:tc>
                <w:tcPr>
                  <w:tcW w:w="2392" w:type="dxa"/>
                  <w:tcBorders>
                    <w:top w:val="nil"/>
                    <w:left w:val="single" w:color="auto" w:sz="4" w:space="0"/>
                    <w:bottom w:val="single" w:color="auto" w:sz="4" w:space="0"/>
                    <w:right w:val="single" w:color="auto" w:sz="4" w:space="0"/>
                  </w:tcBorders>
                  <w:noWrap/>
                  <w:vAlign w:val="center"/>
                </w:tcPr>
                <w:p w14:paraId="7C99AD5C">
                  <w:pPr>
                    <w:jc w:val="center"/>
                    <w:rPr>
                      <w:rFonts w:hint="default" w:ascii="Calibri" w:hAnsi="Calibri" w:eastAsia="楷体_GB2312" w:cs="Calibri"/>
                      <w:color w:val="000000"/>
                      <w:sz w:val="18"/>
                      <w:szCs w:val="18"/>
                    </w:rPr>
                  </w:pPr>
                  <w:r>
                    <w:rPr>
                      <w:rFonts w:hint="default" w:ascii="Calibri" w:hAnsi="Calibri" w:eastAsia="楷体_GB2312" w:cs="Calibri"/>
                      <w:color w:val="000000"/>
                      <w:sz w:val="18"/>
                      <w:szCs w:val="18"/>
                      <w:lang w:val="zh-CN"/>
                    </w:rPr>
                    <w:t>新英格兰州</w:t>
                  </w:r>
                </w:p>
              </w:tc>
              <w:tc>
                <w:tcPr>
                  <w:tcW w:w="4833" w:type="dxa"/>
                  <w:tcBorders>
                    <w:top w:val="single" w:color="auto" w:sz="4" w:space="0"/>
                    <w:left w:val="single" w:color="auto" w:sz="4" w:space="0"/>
                    <w:bottom w:val="single" w:color="auto" w:sz="4" w:space="0"/>
                    <w:right w:val="single" w:color="auto" w:sz="4" w:space="0"/>
                  </w:tcBorders>
                  <w:noWrap/>
                </w:tcPr>
                <w:p w14:paraId="2E9C8BC6">
                  <w:pPr>
                    <w:jc w:val="center"/>
                    <w:rPr>
                      <w:rFonts w:hint="default" w:ascii="Calibri" w:hAnsi="Calibri" w:eastAsia="楷体_GB2312" w:cs="Calibri"/>
                    </w:rPr>
                  </w:pPr>
                  <w:r>
                    <w:rPr>
                      <w:rFonts w:hint="default" w:ascii="Calibri" w:hAnsi="Calibri" w:eastAsia="楷体_GB2312" w:cs="Calibri"/>
                      <w:lang w:val="en-US" w:eastAsia="zh-CN"/>
                    </w:rPr>
                    <w:t>85.56</w:t>
                  </w:r>
                </w:p>
              </w:tc>
            </w:tr>
            <w:tr w14:paraId="789B7C2E">
              <w:tblPrEx>
                <w:tblCellMar>
                  <w:top w:w="0" w:type="dxa"/>
                  <w:left w:w="108" w:type="dxa"/>
                  <w:bottom w:w="0" w:type="dxa"/>
                  <w:right w:w="108" w:type="dxa"/>
                </w:tblCellMar>
              </w:tblPrEx>
              <w:trPr>
                <w:trHeight w:val="252" w:hRule="atLeast"/>
                <w:jc w:val="center"/>
              </w:trPr>
              <w:tc>
                <w:tcPr>
                  <w:tcW w:w="2392" w:type="dxa"/>
                  <w:tcBorders>
                    <w:top w:val="nil"/>
                    <w:left w:val="single" w:color="auto" w:sz="4" w:space="0"/>
                    <w:bottom w:val="single" w:color="auto" w:sz="4" w:space="0"/>
                    <w:right w:val="single" w:color="auto" w:sz="4" w:space="0"/>
                  </w:tcBorders>
                  <w:noWrap/>
                  <w:vAlign w:val="center"/>
                </w:tcPr>
                <w:p w14:paraId="2661F397">
                  <w:pPr>
                    <w:jc w:val="center"/>
                    <w:rPr>
                      <w:rFonts w:hint="default" w:ascii="Calibri" w:hAnsi="Calibri" w:eastAsia="楷体_GB2312" w:cs="Calibri"/>
                      <w:color w:val="000000"/>
                      <w:sz w:val="18"/>
                      <w:szCs w:val="18"/>
                    </w:rPr>
                  </w:pPr>
                  <w:r>
                    <w:rPr>
                      <w:rFonts w:hint="default" w:ascii="Calibri" w:hAnsi="Calibri" w:eastAsia="楷体_GB2312" w:cs="Calibri"/>
                      <w:color w:val="000000"/>
                      <w:sz w:val="18"/>
                      <w:szCs w:val="18"/>
                      <w:lang w:val="zh-CN"/>
                    </w:rPr>
                    <w:t>纽约市</w:t>
                  </w:r>
                </w:p>
              </w:tc>
              <w:tc>
                <w:tcPr>
                  <w:tcW w:w="4833" w:type="dxa"/>
                  <w:tcBorders>
                    <w:top w:val="single" w:color="auto" w:sz="4" w:space="0"/>
                    <w:left w:val="single" w:color="auto" w:sz="4" w:space="0"/>
                    <w:bottom w:val="single" w:color="auto" w:sz="4" w:space="0"/>
                    <w:right w:val="single" w:color="auto" w:sz="4" w:space="0"/>
                  </w:tcBorders>
                  <w:noWrap/>
                </w:tcPr>
                <w:p w14:paraId="16CAAEAA">
                  <w:pPr>
                    <w:jc w:val="center"/>
                    <w:rPr>
                      <w:rFonts w:hint="default" w:ascii="Calibri" w:hAnsi="Calibri" w:eastAsia="楷体_GB2312" w:cs="Calibri"/>
                    </w:rPr>
                  </w:pPr>
                  <w:r>
                    <w:rPr>
                      <w:rFonts w:hint="default" w:ascii="Calibri" w:hAnsi="Calibri" w:eastAsia="楷体_GB2312" w:cs="Calibri"/>
                      <w:lang w:val="en-US" w:eastAsia="zh-CN"/>
                    </w:rPr>
                    <w:t>82.04</w:t>
                  </w:r>
                </w:p>
              </w:tc>
            </w:tr>
            <w:tr w14:paraId="7B783F3C">
              <w:tblPrEx>
                <w:tblCellMar>
                  <w:top w:w="0" w:type="dxa"/>
                  <w:left w:w="108" w:type="dxa"/>
                  <w:bottom w:w="0" w:type="dxa"/>
                  <w:right w:w="108" w:type="dxa"/>
                </w:tblCellMar>
              </w:tblPrEx>
              <w:trPr>
                <w:trHeight w:val="252" w:hRule="atLeast"/>
                <w:jc w:val="center"/>
              </w:trPr>
              <w:tc>
                <w:tcPr>
                  <w:tcW w:w="2392" w:type="dxa"/>
                  <w:tcBorders>
                    <w:top w:val="nil"/>
                    <w:left w:val="single" w:color="auto" w:sz="4" w:space="0"/>
                    <w:bottom w:val="single" w:color="auto" w:sz="4" w:space="0"/>
                    <w:right w:val="single" w:color="auto" w:sz="4" w:space="0"/>
                  </w:tcBorders>
                  <w:noWrap/>
                  <w:vAlign w:val="center"/>
                </w:tcPr>
                <w:p w14:paraId="7FF7FB66">
                  <w:pPr>
                    <w:jc w:val="center"/>
                    <w:rPr>
                      <w:rFonts w:hint="default" w:ascii="Calibri" w:hAnsi="Calibri" w:eastAsia="楷体_GB2312" w:cs="Calibri"/>
                      <w:color w:val="000000"/>
                      <w:sz w:val="18"/>
                      <w:szCs w:val="18"/>
                    </w:rPr>
                  </w:pPr>
                  <w:r>
                    <w:rPr>
                      <w:rFonts w:hint="default" w:ascii="Calibri" w:hAnsi="Calibri" w:eastAsia="楷体_GB2312" w:cs="Calibri"/>
                      <w:color w:val="000000"/>
                      <w:sz w:val="18"/>
                      <w:szCs w:val="18"/>
                      <w:lang w:val="zh-CN"/>
                    </w:rPr>
                    <w:t>中大西洋州份</w:t>
                  </w:r>
                </w:p>
              </w:tc>
              <w:tc>
                <w:tcPr>
                  <w:tcW w:w="4833" w:type="dxa"/>
                  <w:tcBorders>
                    <w:top w:val="single" w:color="auto" w:sz="4" w:space="0"/>
                    <w:left w:val="single" w:color="auto" w:sz="4" w:space="0"/>
                    <w:bottom w:val="single" w:color="auto" w:sz="4" w:space="0"/>
                    <w:right w:val="single" w:color="auto" w:sz="4" w:space="0"/>
                  </w:tcBorders>
                  <w:noWrap/>
                </w:tcPr>
                <w:p w14:paraId="677480A6">
                  <w:pPr>
                    <w:jc w:val="center"/>
                    <w:rPr>
                      <w:rFonts w:hint="default" w:ascii="Calibri" w:hAnsi="Calibri" w:eastAsia="楷体_GB2312" w:cs="Calibri"/>
                    </w:rPr>
                  </w:pPr>
                  <w:r>
                    <w:rPr>
                      <w:rFonts w:hint="default" w:ascii="Calibri" w:hAnsi="Calibri" w:eastAsia="楷体_GB2312" w:cs="Calibri"/>
                      <w:lang w:val="en-US" w:eastAsia="zh-CN"/>
                    </w:rPr>
                    <w:t>42.71</w:t>
                  </w:r>
                </w:p>
              </w:tc>
            </w:tr>
            <w:tr w14:paraId="35BD53DA">
              <w:tblPrEx>
                <w:tblCellMar>
                  <w:top w:w="0" w:type="dxa"/>
                  <w:left w:w="108" w:type="dxa"/>
                  <w:bottom w:w="0" w:type="dxa"/>
                  <w:right w:w="108" w:type="dxa"/>
                </w:tblCellMar>
              </w:tblPrEx>
              <w:trPr>
                <w:trHeight w:val="231" w:hRule="atLeast"/>
                <w:jc w:val="center"/>
              </w:trPr>
              <w:tc>
                <w:tcPr>
                  <w:tcW w:w="2392" w:type="dxa"/>
                  <w:tcBorders>
                    <w:top w:val="nil"/>
                    <w:left w:val="single" w:color="auto" w:sz="4" w:space="0"/>
                    <w:bottom w:val="single" w:color="auto" w:sz="4" w:space="0"/>
                    <w:right w:val="single" w:color="auto" w:sz="4" w:space="0"/>
                  </w:tcBorders>
                  <w:noWrap/>
                  <w:vAlign w:val="center"/>
                </w:tcPr>
                <w:p w14:paraId="4F1EE652">
                  <w:pPr>
                    <w:jc w:val="center"/>
                    <w:rPr>
                      <w:rFonts w:hint="default" w:ascii="Calibri" w:hAnsi="Calibri" w:eastAsia="楷体_GB2312" w:cs="Calibri"/>
                      <w:color w:val="000000"/>
                      <w:sz w:val="18"/>
                      <w:szCs w:val="18"/>
                    </w:rPr>
                  </w:pPr>
                  <w:r>
                    <w:rPr>
                      <w:rFonts w:hint="default" w:ascii="Calibri" w:hAnsi="Calibri" w:eastAsia="楷体_GB2312" w:cs="Calibri"/>
                      <w:color w:val="000000"/>
                      <w:sz w:val="18"/>
                      <w:szCs w:val="18"/>
                      <w:lang w:val="zh-CN"/>
                    </w:rPr>
                    <w:t>中西部</w:t>
                  </w:r>
                </w:p>
              </w:tc>
              <w:tc>
                <w:tcPr>
                  <w:tcW w:w="4833" w:type="dxa"/>
                  <w:tcBorders>
                    <w:top w:val="single" w:color="auto" w:sz="4" w:space="0"/>
                    <w:left w:val="single" w:color="auto" w:sz="4" w:space="0"/>
                    <w:bottom w:val="single" w:color="auto" w:sz="4" w:space="0"/>
                    <w:right w:val="single" w:color="auto" w:sz="4" w:space="0"/>
                  </w:tcBorders>
                  <w:noWrap/>
                </w:tcPr>
                <w:p w14:paraId="6F76A5A3">
                  <w:pPr>
                    <w:jc w:val="center"/>
                    <w:rPr>
                      <w:rFonts w:hint="default" w:ascii="Calibri" w:hAnsi="Calibri" w:eastAsia="楷体_GB2312" w:cs="Calibri"/>
                    </w:rPr>
                  </w:pPr>
                  <w:r>
                    <w:rPr>
                      <w:rFonts w:hint="default" w:ascii="Calibri" w:hAnsi="Calibri" w:eastAsia="楷体_GB2312" w:cs="Calibri"/>
                      <w:lang w:val="en-US" w:eastAsia="zh-CN"/>
                    </w:rPr>
                    <w:t>34.33</w:t>
                  </w:r>
                </w:p>
              </w:tc>
            </w:tr>
            <w:tr w14:paraId="365952E2">
              <w:tblPrEx>
                <w:tblCellMar>
                  <w:top w:w="0" w:type="dxa"/>
                  <w:left w:w="108" w:type="dxa"/>
                  <w:bottom w:w="0" w:type="dxa"/>
                  <w:right w:w="108" w:type="dxa"/>
                </w:tblCellMar>
              </w:tblPrEx>
              <w:trPr>
                <w:trHeight w:val="90" w:hRule="atLeast"/>
                <w:jc w:val="center"/>
              </w:trPr>
              <w:tc>
                <w:tcPr>
                  <w:tcW w:w="2392" w:type="dxa"/>
                  <w:tcBorders>
                    <w:top w:val="nil"/>
                    <w:left w:val="single" w:color="auto" w:sz="4" w:space="0"/>
                    <w:bottom w:val="single" w:color="auto" w:sz="4" w:space="0"/>
                    <w:right w:val="single" w:color="auto" w:sz="4" w:space="0"/>
                  </w:tcBorders>
                  <w:noWrap/>
                  <w:vAlign w:val="center"/>
                </w:tcPr>
                <w:p w14:paraId="3B46B2EE">
                  <w:pPr>
                    <w:jc w:val="center"/>
                    <w:rPr>
                      <w:rFonts w:hint="default" w:ascii="Calibri" w:hAnsi="Calibri" w:eastAsia="楷体_GB2312" w:cs="Calibri"/>
                      <w:color w:val="000000"/>
                      <w:sz w:val="18"/>
                      <w:szCs w:val="18"/>
                    </w:rPr>
                  </w:pPr>
                  <w:r>
                    <w:rPr>
                      <w:rFonts w:hint="default" w:ascii="Calibri" w:hAnsi="Calibri" w:eastAsia="楷体_GB2312" w:cs="Calibri"/>
                      <w:color w:val="000000"/>
                      <w:sz w:val="18"/>
                      <w:szCs w:val="18"/>
                      <w:lang w:val="zh-CN"/>
                    </w:rPr>
                    <w:t>路易斯安那州</w:t>
                  </w:r>
                </w:p>
              </w:tc>
              <w:tc>
                <w:tcPr>
                  <w:tcW w:w="4833" w:type="dxa"/>
                  <w:tcBorders>
                    <w:top w:val="single" w:color="auto" w:sz="4" w:space="0"/>
                    <w:left w:val="single" w:color="auto" w:sz="4" w:space="0"/>
                    <w:bottom w:val="single" w:color="auto" w:sz="4" w:space="0"/>
                    <w:right w:val="single" w:color="auto" w:sz="4" w:space="0"/>
                  </w:tcBorders>
                  <w:noWrap/>
                </w:tcPr>
                <w:p w14:paraId="224B1B0C">
                  <w:pPr>
                    <w:jc w:val="center"/>
                    <w:rPr>
                      <w:rFonts w:hint="default" w:ascii="Calibri" w:hAnsi="Calibri" w:eastAsia="楷体_GB2312" w:cs="Calibri"/>
                    </w:rPr>
                  </w:pPr>
                  <w:r>
                    <w:rPr>
                      <w:rFonts w:hint="default" w:ascii="Calibri" w:hAnsi="Calibri" w:eastAsia="楷体_GB2312" w:cs="Calibri"/>
                      <w:lang w:val="en-US" w:eastAsia="zh-CN"/>
                    </w:rPr>
                    <w:t>27.75</w:t>
                  </w:r>
                </w:p>
              </w:tc>
            </w:tr>
            <w:tr w14:paraId="5FFDE0BA">
              <w:tblPrEx>
                <w:tblCellMar>
                  <w:top w:w="0" w:type="dxa"/>
                  <w:left w:w="108" w:type="dxa"/>
                  <w:bottom w:w="0" w:type="dxa"/>
                  <w:right w:w="108" w:type="dxa"/>
                </w:tblCellMar>
              </w:tblPrEx>
              <w:trPr>
                <w:trHeight w:val="252" w:hRule="atLeast"/>
                <w:jc w:val="center"/>
              </w:trPr>
              <w:tc>
                <w:tcPr>
                  <w:tcW w:w="2392" w:type="dxa"/>
                  <w:tcBorders>
                    <w:top w:val="nil"/>
                    <w:left w:val="single" w:color="auto" w:sz="4" w:space="0"/>
                    <w:bottom w:val="single" w:color="auto" w:sz="4" w:space="0"/>
                    <w:right w:val="single" w:color="auto" w:sz="4" w:space="0"/>
                  </w:tcBorders>
                  <w:noWrap/>
                  <w:vAlign w:val="center"/>
                </w:tcPr>
                <w:p w14:paraId="1BCD726F">
                  <w:pPr>
                    <w:jc w:val="center"/>
                    <w:rPr>
                      <w:rFonts w:hint="default" w:ascii="Calibri" w:hAnsi="Calibri" w:eastAsia="楷体_GB2312" w:cs="Calibri"/>
                      <w:color w:val="000000"/>
                      <w:sz w:val="18"/>
                      <w:szCs w:val="18"/>
                    </w:rPr>
                  </w:pPr>
                  <w:r>
                    <w:rPr>
                      <w:rFonts w:hint="default" w:ascii="Calibri" w:hAnsi="Calibri" w:eastAsia="楷体_GB2312" w:cs="Calibri"/>
                      <w:color w:val="000000"/>
                      <w:sz w:val="18"/>
                      <w:szCs w:val="18"/>
                      <w:lang w:val="zh-CN"/>
                    </w:rPr>
                    <w:t>休斯顿</w:t>
                  </w:r>
                </w:p>
              </w:tc>
              <w:tc>
                <w:tcPr>
                  <w:tcW w:w="4833" w:type="dxa"/>
                  <w:tcBorders>
                    <w:top w:val="single" w:color="auto" w:sz="4" w:space="0"/>
                    <w:left w:val="single" w:color="auto" w:sz="4" w:space="0"/>
                    <w:bottom w:val="single" w:color="auto" w:sz="4" w:space="0"/>
                    <w:right w:val="single" w:color="auto" w:sz="4" w:space="0"/>
                  </w:tcBorders>
                  <w:noWrap/>
                </w:tcPr>
                <w:p w14:paraId="33ABC6FF">
                  <w:pPr>
                    <w:jc w:val="center"/>
                    <w:rPr>
                      <w:rFonts w:hint="default" w:ascii="Calibri" w:hAnsi="Calibri" w:eastAsia="楷体_GB2312" w:cs="Calibri"/>
                    </w:rPr>
                  </w:pPr>
                  <w:r>
                    <w:rPr>
                      <w:rFonts w:hint="default" w:ascii="Calibri" w:hAnsi="Calibri" w:eastAsia="楷体_GB2312" w:cs="Calibri"/>
                      <w:lang w:val="en-US" w:eastAsia="zh-CN"/>
                    </w:rPr>
                    <w:t>19.25</w:t>
                  </w:r>
                </w:p>
              </w:tc>
            </w:tr>
            <w:tr w14:paraId="7E28237B">
              <w:tblPrEx>
                <w:tblCellMar>
                  <w:top w:w="0" w:type="dxa"/>
                  <w:left w:w="108" w:type="dxa"/>
                  <w:bottom w:w="0" w:type="dxa"/>
                  <w:right w:w="108" w:type="dxa"/>
                </w:tblCellMar>
              </w:tblPrEx>
              <w:trPr>
                <w:trHeight w:val="252" w:hRule="atLeast"/>
                <w:jc w:val="center"/>
              </w:trPr>
              <w:tc>
                <w:tcPr>
                  <w:tcW w:w="2392" w:type="dxa"/>
                  <w:tcBorders>
                    <w:top w:val="nil"/>
                    <w:left w:val="single" w:color="auto" w:sz="4" w:space="0"/>
                    <w:bottom w:val="single" w:color="auto" w:sz="4" w:space="0"/>
                    <w:right w:val="single" w:color="auto" w:sz="4" w:space="0"/>
                  </w:tcBorders>
                  <w:noWrap/>
                  <w:vAlign w:val="center"/>
                </w:tcPr>
                <w:p w14:paraId="29A33356">
                  <w:pPr>
                    <w:jc w:val="center"/>
                    <w:rPr>
                      <w:rFonts w:hint="default" w:ascii="Calibri" w:hAnsi="Calibri" w:eastAsia="楷体_GB2312" w:cs="Calibri"/>
                      <w:color w:val="000000"/>
                      <w:sz w:val="18"/>
                      <w:szCs w:val="18"/>
                    </w:rPr>
                  </w:pPr>
                  <w:r>
                    <w:rPr>
                      <w:rFonts w:hint="default" w:ascii="Calibri" w:hAnsi="Calibri" w:eastAsia="楷体_GB2312" w:cs="Calibri"/>
                      <w:color w:val="000000"/>
                      <w:sz w:val="18"/>
                      <w:szCs w:val="18"/>
                      <w:lang w:val="zh-CN"/>
                    </w:rPr>
                    <w:t>西南部</w:t>
                  </w:r>
                </w:p>
              </w:tc>
              <w:tc>
                <w:tcPr>
                  <w:tcW w:w="4833" w:type="dxa"/>
                  <w:tcBorders>
                    <w:top w:val="single" w:color="auto" w:sz="4" w:space="0"/>
                    <w:left w:val="single" w:color="auto" w:sz="4" w:space="0"/>
                    <w:bottom w:val="single" w:color="auto" w:sz="4" w:space="0"/>
                    <w:right w:val="single" w:color="auto" w:sz="4" w:space="0"/>
                  </w:tcBorders>
                  <w:noWrap/>
                </w:tcPr>
                <w:p w14:paraId="74F53611">
                  <w:pPr>
                    <w:jc w:val="center"/>
                    <w:rPr>
                      <w:rFonts w:hint="default" w:ascii="Calibri" w:hAnsi="Calibri" w:eastAsia="楷体_GB2312" w:cs="Calibri"/>
                    </w:rPr>
                  </w:pPr>
                  <w:r>
                    <w:rPr>
                      <w:rFonts w:hint="default" w:ascii="Calibri" w:hAnsi="Calibri" w:eastAsia="楷体_GB2312" w:cs="Calibri"/>
                      <w:lang w:val="en-US" w:eastAsia="zh-CN"/>
                    </w:rPr>
                    <w:t>8.25</w:t>
                  </w:r>
                </w:p>
              </w:tc>
            </w:tr>
            <w:tr w14:paraId="66E14E99">
              <w:tblPrEx>
                <w:tblCellMar>
                  <w:top w:w="0" w:type="dxa"/>
                  <w:left w:w="108" w:type="dxa"/>
                  <w:bottom w:w="0" w:type="dxa"/>
                  <w:right w:w="108" w:type="dxa"/>
                </w:tblCellMar>
              </w:tblPrEx>
              <w:trPr>
                <w:trHeight w:val="252" w:hRule="atLeast"/>
                <w:jc w:val="center"/>
              </w:trPr>
              <w:tc>
                <w:tcPr>
                  <w:tcW w:w="2392" w:type="dxa"/>
                  <w:tcBorders>
                    <w:top w:val="nil"/>
                    <w:left w:val="single" w:color="auto" w:sz="4" w:space="0"/>
                    <w:bottom w:val="single" w:color="auto" w:sz="4" w:space="0"/>
                    <w:right w:val="single" w:color="auto" w:sz="4" w:space="0"/>
                  </w:tcBorders>
                  <w:noWrap/>
                  <w:vAlign w:val="center"/>
                </w:tcPr>
                <w:p w14:paraId="64E628E2">
                  <w:pPr>
                    <w:jc w:val="center"/>
                    <w:rPr>
                      <w:rFonts w:hint="default" w:ascii="Calibri" w:hAnsi="Calibri" w:eastAsia="楷体_GB2312" w:cs="Calibri"/>
                      <w:color w:val="000000"/>
                      <w:sz w:val="18"/>
                      <w:szCs w:val="18"/>
                    </w:rPr>
                  </w:pPr>
                  <w:r>
                    <w:rPr>
                      <w:rFonts w:hint="default" w:ascii="Calibri" w:hAnsi="Calibri" w:eastAsia="楷体_GB2312" w:cs="Calibri"/>
                      <w:color w:val="000000"/>
                      <w:sz w:val="18"/>
                      <w:szCs w:val="18"/>
                      <w:lang w:val="zh-CN"/>
                    </w:rPr>
                    <w:t>加利福尼亚州南部</w:t>
                  </w:r>
                </w:p>
              </w:tc>
              <w:tc>
                <w:tcPr>
                  <w:tcW w:w="4833" w:type="dxa"/>
                  <w:tcBorders>
                    <w:top w:val="single" w:color="auto" w:sz="4" w:space="0"/>
                    <w:left w:val="single" w:color="auto" w:sz="4" w:space="0"/>
                    <w:bottom w:val="single" w:color="auto" w:sz="4" w:space="0"/>
                    <w:right w:val="single" w:color="auto" w:sz="4" w:space="0"/>
                  </w:tcBorders>
                  <w:noWrap/>
                </w:tcPr>
                <w:p w14:paraId="6CBB4209">
                  <w:pPr>
                    <w:jc w:val="center"/>
                    <w:rPr>
                      <w:rFonts w:hint="default" w:ascii="Calibri" w:hAnsi="Calibri" w:eastAsia="楷体_GB2312" w:cs="Calibri"/>
                    </w:rPr>
                  </w:pPr>
                  <w:r>
                    <w:rPr>
                      <w:rFonts w:hint="default" w:ascii="Calibri" w:hAnsi="Calibri" w:eastAsia="楷体_GB2312" w:cs="Calibri"/>
                      <w:lang w:val="en-US" w:eastAsia="zh-CN"/>
                    </w:rPr>
                    <w:t>7.77</w:t>
                  </w:r>
                </w:p>
              </w:tc>
            </w:tr>
            <w:tr w14:paraId="60B1DBB7">
              <w:tblPrEx>
                <w:tblCellMar>
                  <w:top w:w="0" w:type="dxa"/>
                  <w:left w:w="108" w:type="dxa"/>
                  <w:bottom w:w="0" w:type="dxa"/>
                  <w:right w:w="108" w:type="dxa"/>
                </w:tblCellMar>
              </w:tblPrEx>
              <w:trPr>
                <w:trHeight w:val="252" w:hRule="atLeast"/>
                <w:jc w:val="center"/>
              </w:trPr>
              <w:tc>
                <w:tcPr>
                  <w:tcW w:w="2392" w:type="dxa"/>
                  <w:tcBorders>
                    <w:top w:val="nil"/>
                    <w:left w:val="single" w:color="auto" w:sz="4" w:space="0"/>
                    <w:bottom w:val="single" w:color="auto" w:sz="4" w:space="0"/>
                    <w:right w:val="single" w:color="auto" w:sz="4" w:space="0"/>
                  </w:tcBorders>
                  <w:noWrap/>
                  <w:vAlign w:val="center"/>
                </w:tcPr>
                <w:p w14:paraId="6C91432F">
                  <w:pPr>
                    <w:jc w:val="center"/>
                    <w:rPr>
                      <w:rFonts w:hint="default" w:ascii="Calibri" w:hAnsi="Calibri" w:eastAsia="楷体_GB2312" w:cs="Calibri"/>
                      <w:color w:val="000000"/>
                      <w:sz w:val="18"/>
                      <w:szCs w:val="18"/>
                    </w:rPr>
                  </w:pPr>
                  <w:r>
                    <w:rPr>
                      <w:rFonts w:hint="default" w:ascii="Calibri" w:hAnsi="Calibri" w:eastAsia="楷体_GB2312" w:cs="Calibri"/>
                      <w:color w:val="000000"/>
                      <w:sz w:val="18"/>
                      <w:szCs w:val="18"/>
                      <w:lang w:val="zh-CN"/>
                    </w:rPr>
                    <w:t>加利福尼亚州北部</w:t>
                  </w:r>
                </w:p>
              </w:tc>
              <w:tc>
                <w:tcPr>
                  <w:tcW w:w="4833" w:type="dxa"/>
                  <w:tcBorders>
                    <w:top w:val="single" w:color="auto" w:sz="4" w:space="0"/>
                    <w:left w:val="single" w:color="auto" w:sz="4" w:space="0"/>
                    <w:bottom w:val="single" w:color="auto" w:sz="4" w:space="0"/>
                    <w:right w:val="single" w:color="auto" w:sz="4" w:space="0"/>
                  </w:tcBorders>
                  <w:noWrap/>
                </w:tcPr>
                <w:p w14:paraId="1BCB48BB">
                  <w:pPr>
                    <w:jc w:val="center"/>
                    <w:rPr>
                      <w:rFonts w:hint="default" w:ascii="Calibri" w:hAnsi="Calibri" w:eastAsia="楷体_GB2312" w:cs="Calibri"/>
                    </w:rPr>
                  </w:pPr>
                  <w:r>
                    <w:rPr>
                      <w:rFonts w:hint="default" w:ascii="Calibri" w:hAnsi="Calibri" w:eastAsia="楷体_GB2312" w:cs="Calibri"/>
                      <w:lang w:val="en-US" w:eastAsia="zh-CN"/>
                    </w:rPr>
                    <w:t>23.98</w:t>
                  </w:r>
                </w:p>
              </w:tc>
            </w:tr>
            <w:tr w14:paraId="6CA3DB3D">
              <w:tblPrEx>
                <w:tblCellMar>
                  <w:top w:w="0" w:type="dxa"/>
                  <w:left w:w="108" w:type="dxa"/>
                  <w:bottom w:w="0" w:type="dxa"/>
                  <w:right w:w="108" w:type="dxa"/>
                </w:tblCellMar>
              </w:tblPrEx>
              <w:trPr>
                <w:trHeight w:val="252" w:hRule="atLeast"/>
                <w:jc w:val="center"/>
              </w:trPr>
              <w:tc>
                <w:tcPr>
                  <w:tcW w:w="2392" w:type="dxa"/>
                  <w:tcBorders>
                    <w:top w:val="nil"/>
                    <w:left w:val="single" w:color="auto" w:sz="4" w:space="0"/>
                    <w:bottom w:val="single" w:color="auto" w:sz="4" w:space="0"/>
                    <w:right w:val="single" w:color="auto" w:sz="4" w:space="0"/>
                  </w:tcBorders>
                  <w:noWrap/>
                  <w:vAlign w:val="center"/>
                </w:tcPr>
                <w:p w14:paraId="2246D4A6">
                  <w:pPr>
                    <w:jc w:val="center"/>
                    <w:rPr>
                      <w:rFonts w:hint="default" w:ascii="Calibri" w:hAnsi="Calibri" w:eastAsia="楷体_GB2312" w:cs="Calibri"/>
                      <w:color w:val="000000"/>
                      <w:sz w:val="18"/>
                      <w:szCs w:val="18"/>
                    </w:rPr>
                  </w:pPr>
                  <w:r>
                    <w:rPr>
                      <w:rFonts w:hint="default" w:ascii="Calibri" w:hAnsi="Calibri" w:eastAsia="楷体_GB2312" w:cs="Calibri"/>
                      <w:color w:val="000000"/>
                      <w:sz w:val="18"/>
                      <w:szCs w:val="18"/>
                      <w:lang w:val="zh-CN"/>
                    </w:rPr>
                    <w:t>西北部</w:t>
                  </w:r>
                </w:p>
              </w:tc>
              <w:tc>
                <w:tcPr>
                  <w:tcW w:w="4833" w:type="dxa"/>
                  <w:tcBorders>
                    <w:top w:val="single" w:color="auto" w:sz="4" w:space="0"/>
                    <w:left w:val="single" w:color="auto" w:sz="4" w:space="0"/>
                    <w:bottom w:val="single" w:color="auto" w:sz="4" w:space="0"/>
                    <w:right w:val="single" w:color="auto" w:sz="4" w:space="0"/>
                  </w:tcBorders>
                  <w:noWrap/>
                </w:tcPr>
                <w:p w14:paraId="12589DA1">
                  <w:pPr>
                    <w:jc w:val="center"/>
                    <w:rPr>
                      <w:rFonts w:hint="default" w:ascii="Calibri" w:hAnsi="Calibri" w:eastAsia="楷体_GB2312" w:cs="Calibri"/>
                      <w:lang w:val="en-US" w:eastAsia="zh-CN"/>
                    </w:rPr>
                  </w:pPr>
                  <w:r>
                    <w:rPr>
                      <w:rFonts w:hint="default" w:ascii="Calibri" w:hAnsi="Calibri" w:eastAsia="楷体_GB2312" w:cs="Calibri"/>
                      <w:lang w:val="en-US" w:eastAsia="zh-CN"/>
                    </w:rPr>
                    <w:t>10</w:t>
                  </w:r>
                </w:p>
              </w:tc>
            </w:tr>
          </w:tbl>
          <w:p w14:paraId="651EA460">
            <w:pPr>
              <w:overflowPunct w:val="0"/>
              <w:jc w:val="center"/>
              <w:rPr>
                <w:rFonts w:hint="default" w:ascii="Calibri" w:hAnsi="Calibri" w:eastAsia="楷体_GB2312" w:cs="Calibri"/>
                <w:sz w:val="10"/>
              </w:rPr>
            </w:pPr>
          </w:p>
        </w:tc>
      </w:tr>
      <w:tr w14:paraId="583625C1">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7459" w:type="dxa"/>
            <w:tcBorders>
              <w:top w:val="single" w:color="auto" w:sz="4" w:space="0"/>
            </w:tcBorders>
          </w:tcPr>
          <w:p w14:paraId="61BE2FA1">
            <w:pPr>
              <w:rPr>
                <w:rFonts w:hint="default" w:ascii="Calibri" w:hAnsi="Calibri" w:eastAsia="楷体_GB2312" w:cs="Calibri"/>
                <w:i/>
                <w:iCs/>
                <w:sz w:val="15"/>
                <w:szCs w:val="15"/>
              </w:rPr>
            </w:pPr>
            <w:r>
              <w:rPr>
                <w:rFonts w:hint="default" w:ascii="Calibri" w:hAnsi="Calibri" w:eastAsia="楷体_GB2312" w:cs="Calibri"/>
                <w:i/>
                <w:iCs/>
                <w:sz w:val="15"/>
                <w:szCs w:val="15"/>
              </w:rPr>
              <w:t>资料来源:</w:t>
            </w:r>
            <w:r>
              <w:rPr>
                <w:rFonts w:hint="default" w:ascii="Calibri" w:hAnsi="Calibri" w:eastAsia="楷体_GB2312" w:cs="Calibri"/>
                <w:i/>
                <w:iCs/>
                <w:sz w:val="15"/>
                <w:szCs w:val="15"/>
                <w:lang w:eastAsia="zh-CN"/>
              </w:rPr>
              <w:t xml:space="preserve">  </w:t>
            </w:r>
            <w:r>
              <w:rPr>
                <w:rFonts w:hint="default" w:ascii="Calibri" w:hAnsi="Calibri" w:eastAsia="楷体_GB2312" w:cs="Calibri"/>
                <w:i/>
                <w:iCs/>
                <w:sz w:val="15"/>
                <w:szCs w:val="15"/>
                <w:lang w:val="en-US" w:eastAsia="zh-CN"/>
              </w:rPr>
              <w:t>EIA</w:t>
            </w:r>
            <w:r>
              <w:rPr>
                <w:rFonts w:hint="default" w:ascii="Calibri" w:hAnsi="Calibri" w:eastAsia="楷体_GB2312" w:cs="Calibri"/>
                <w:i/>
                <w:iCs/>
                <w:sz w:val="15"/>
                <w:szCs w:val="15"/>
              </w:rPr>
              <w:t xml:space="preserve">， </w:t>
            </w:r>
            <w:r>
              <w:rPr>
                <w:rFonts w:hint="default" w:ascii="Calibri" w:hAnsi="Calibri" w:eastAsia="楷体_GB2312" w:cs="Calibri"/>
                <w:i/>
                <w:iCs/>
                <w:sz w:val="15"/>
                <w:szCs w:val="15"/>
                <w:lang w:eastAsia="zh-CN"/>
              </w:rPr>
              <w:t>HFI</w:t>
            </w:r>
          </w:p>
        </w:tc>
      </w:tr>
    </w:tbl>
    <w:p w14:paraId="30533707">
      <w:pPr>
        <w:overflowPunct w:val="0"/>
        <w:ind w:left="3200" w:leftChars="2000"/>
        <w:jc w:val="both"/>
        <w:rPr>
          <w:rFonts w:hint="default" w:ascii="Calibri" w:hAnsi="Calibri" w:eastAsia="楷体_GB2312" w:cs="Calibri"/>
          <w:sz w:val="20"/>
          <w:szCs w:val="20"/>
          <w:lang w:val="en-US" w:eastAsia="zh-CN"/>
        </w:rPr>
      </w:pPr>
    </w:p>
    <w:p w14:paraId="0372E030">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极端天气、老化基础设施及激增的电力需求持续施压美国电网。</w:t>
      </w:r>
      <w:r>
        <w:rPr>
          <w:rFonts w:hint="default" w:ascii="Calibri" w:hAnsi="Calibri" w:eastAsia="楷体_GB2312" w:cs="Calibri"/>
          <w:sz w:val="20"/>
          <w:szCs w:val="20"/>
          <w:lang w:val="en-US" w:eastAsia="zh-CN"/>
        </w:rPr>
        <w:t>据Climate Central统计，过去十年美国与天气相关的停电次数较2000年代增加60%，每年约四分之一家庭遭遇停电。2月东北部遭遇近十年最强冬季风暴，飓风级狂风与38厘米以上强降雪直接冲击输电设施，压垮老旧线路，高峰期约30万用户断电，马萨诸塞州等核心区域抢修持续数日。这一情况与 1 月下旬冬季风暴的影响形成叠加，新英格兰电网再度告急，PJM 电网发电中断规模达 21GW。西南部持续反常高温干旱，同时焚风天气加剧空气干燥，山火风险上升，直接威胁输电线路安全，但尚未出现大规模停电。</w:t>
      </w:r>
    </w:p>
    <w:p w14:paraId="690F4057">
      <w:pPr>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br w:type="page"/>
      </w:r>
    </w:p>
    <w:tbl>
      <w:tblPr>
        <w:tblStyle w:val="26"/>
        <w:tblW w:w="10490" w:type="dxa"/>
        <w:tblInd w:w="384" w:type="dxa"/>
        <w:tblLayout w:type="fixed"/>
        <w:tblCellMar>
          <w:top w:w="0" w:type="dxa"/>
          <w:left w:w="108" w:type="dxa"/>
          <w:bottom w:w="0" w:type="dxa"/>
          <w:right w:w="108" w:type="dxa"/>
        </w:tblCellMar>
      </w:tblPr>
      <w:tblGrid>
        <w:gridCol w:w="5103"/>
        <w:gridCol w:w="238"/>
        <w:gridCol w:w="5149"/>
      </w:tblGrid>
      <w:tr w14:paraId="7872663A">
        <w:tblPrEx>
          <w:tblCellMar>
            <w:top w:w="0" w:type="dxa"/>
            <w:left w:w="108" w:type="dxa"/>
            <w:bottom w:w="0" w:type="dxa"/>
            <w:right w:w="108" w:type="dxa"/>
          </w:tblCellMar>
        </w:tblPrEx>
        <w:trPr>
          <w:trHeight w:val="227" w:hRule="atLeast"/>
        </w:trPr>
        <w:tc>
          <w:tcPr>
            <w:tcW w:w="5103" w:type="dxa"/>
            <w:tcBorders>
              <w:top w:val="nil"/>
              <w:left w:val="nil"/>
              <w:bottom w:val="single" w:color="auto" w:sz="4" w:space="0"/>
              <w:right w:val="nil"/>
            </w:tcBorders>
            <w:tcMar>
              <w:top w:w="0" w:type="dxa"/>
              <w:left w:w="0" w:type="dxa"/>
              <w:bottom w:w="0" w:type="dxa"/>
              <w:right w:w="28" w:type="dxa"/>
            </w:tcMar>
          </w:tcPr>
          <w:p w14:paraId="09243E92">
            <w:pPr>
              <w:overflowPunct w:val="0"/>
              <w:rPr>
                <w:rFonts w:hint="default" w:ascii="Calibri" w:hAnsi="Calibri" w:eastAsia="楷体_GB2312" w:cs="Calibri"/>
                <w:b/>
                <w:sz w:val="18"/>
                <w:szCs w:val="18"/>
                <w:lang w:val="zh-CN" w:eastAsia="zh-CN"/>
              </w:rPr>
            </w:pPr>
            <w:r>
              <w:rPr>
                <w:rFonts w:hint="default" w:ascii="Calibri" w:hAnsi="Calibri" w:eastAsia="楷体_GB2312" w:cs="Calibri"/>
                <w:b/>
                <w:sz w:val="18"/>
                <w:szCs w:val="18"/>
                <w:lang w:val="zh-CN"/>
              </w:rPr>
              <w:t>图</w:t>
            </w:r>
            <w:r>
              <w:rPr>
                <w:rFonts w:hint="default" w:ascii="Calibri" w:hAnsi="Calibri" w:eastAsia="楷体_GB2312" w:cs="Calibri"/>
                <w:b/>
                <w:sz w:val="18"/>
                <w:szCs w:val="18"/>
                <w:lang w:eastAsia="zh-CN"/>
              </w:rPr>
              <w:t>2</w:t>
            </w:r>
            <w:r>
              <w:rPr>
                <w:rFonts w:hint="default" w:ascii="Calibri" w:hAnsi="Calibri" w:eastAsia="楷体_GB2312" w:cs="Calibri"/>
                <w:b/>
                <w:sz w:val="18"/>
                <w:szCs w:val="18"/>
                <w:lang w:val="en-US" w:eastAsia="zh-CN"/>
              </w:rPr>
              <w:t>2</w:t>
            </w:r>
            <w:r>
              <w:rPr>
                <w:rFonts w:hint="default" w:ascii="Calibri" w:hAnsi="Calibri" w:eastAsia="楷体_GB2312" w:cs="Calibri"/>
                <w:b/>
                <w:sz w:val="18"/>
                <w:szCs w:val="18"/>
                <w:lang w:val="zh-CN"/>
              </w:rPr>
              <w:t>：</w:t>
            </w:r>
            <w:r>
              <w:rPr>
                <w:rFonts w:hint="default" w:ascii="Calibri" w:hAnsi="Calibri" w:eastAsia="楷体_GB2312" w:cs="Calibri"/>
                <w:b/>
                <w:sz w:val="18"/>
                <w:szCs w:val="18"/>
                <w:lang w:val="zh-CN" w:eastAsia="zh-CN"/>
              </w:rPr>
              <w:t>美国停电情况</w:t>
            </w:r>
          </w:p>
        </w:tc>
        <w:tc>
          <w:tcPr>
            <w:tcW w:w="238" w:type="dxa"/>
            <w:tcBorders>
              <w:top w:val="nil"/>
              <w:left w:val="nil"/>
              <w:bottom w:val="nil"/>
              <w:right w:val="nil"/>
            </w:tcBorders>
            <w:tcMar>
              <w:top w:w="0" w:type="dxa"/>
              <w:left w:w="0" w:type="dxa"/>
              <w:bottom w:w="0" w:type="dxa"/>
              <w:right w:w="28" w:type="dxa"/>
            </w:tcMar>
          </w:tcPr>
          <w:p w14:paraId="4E812F45">
            <w:pPr>
              <w:overflowPunct w:val="0"/>
              <w:rPr>
                <w:rFonts w:hint="default" w:ascii="Calibri" w:hAnsi="Calibri" w:eastAsia="楷体_GB2312" w:cs="Calibri"/>
                <w:b/>
                <w:sz w:val="18"/>
                <w:szCs w:val="18"/>
                <w:lang w:val="zh-CN"/>
              </w:rPr>
            </w:pPr>
            <w:r>
              <w:rPr>
                <w:rFonts w:hint="default" w:ascii="Calibri" w:hAnsi="Calibri" w:eastAsia="楷体_GB2312" w:cs="Calibri"/>
                <w:b/>
                <w:sz w:val="18"/>
                <w:szCs w:val="18"/>
                <w:lang w:val="zh-CN"/>
              </w:rPr>
              <w:t xml:space="preserve">         </w:t>
            </w:r>
          </w:p>
        </w:tc>
        <w:tc>
          <w:tcPr>
            <w:tcW w:w="5149" w:type="dxa"/>
            <w:tcBorders>
              <w:top w:val="nil"/>
              <w:left w:val="nil"/>
              <w:bottom w:val="single" w:color="auto" w:sz="4" w:space="0"/>
              <w:right w:val="nil"/>
            </w:tcBorders>
            <w:tcMar>
              <w:top w:w="0" w:type="dxa"/>
              <w:left w:w="0" w:type="dxa"/>
              <w:bottom w:w="0" w:type="dxa"/>
              <w:right w:w="28" w:type="dxa"/>
            </w:tcMar>
          </w:tcPr>
          <w:p w14:paraId="4CFF47CD">
            <w:pPr>
              <w:overflowPunct w:val="0"/>
              <w:rPr>
                <w:rFonts w:hint="default" w:ascii="Calibri" w:hAnsi="Calibri" w:eastAsia="楷体_GB2312" w:cs="Calibri"/>
                <w:b/>
                <w:sz w:val="18"/>
                <w:szCs w:val="18"/>
                <w:lang w:val="zh-CN" w:eastAsia="zh-CN"/>
              </w:rPr>
            </w:pPr>
            <w:r>
              <w:rPr>
                <w:rFonts w:hint="default" w:ascii="Calibri" w:hAnsi="Calibri" w:eastAsia="楷体_GB2312" w:cs="Calibri"/>
                <w:b/>
                <w:sz w:val="18"/>
                <w:szCs w:val="18"/>
                <w:lang w:val="zh-CN"/>
              </w:rPr>
              <w:t>图</w:t>
            </w:r>
            <w:r>
              <w:rPr>
                <w:rFonts w:hint="default" w:ascii="Calibri" w:hAnsi="Calibri" w:eastAsia="楷体_GB2312" w:cs="Calibri"/>
                <w:b/>
                <w:sz w:val="18"/>
                <w:szCs w:val="18"/>
              </w:rPr>
              <w:t>2</w:t>
            </w:r>
            <w:r>
              <w:rPr>
                <w:rFonts w:hint="default" w:ascii="Calibri" w:hAnsi="Calibri" w:eastAsia="楷体_GB2312" w:cs="Calibri"/>
                <w:b/>
                <w:sz w:val="18"/>
                <w:szCs w:val="18"/>
                <w:lang w:val="en-US" w:eastAsia="zh-CN"/>
              </w:rPr>
              <w:t>3</w:t>
            </w:r>
            <w:r>
              <w:rPr>
                <w:rFonts w:hint="default" w:ascii="Calibri" w:hAnsi="Calibri" w:eastAsia="楷体_GB2312" w:cs="Calibri"/>
                <w:b/>
                <w:sz w:val="18"/>
                <w:szCs w:val="18"/>
                <w:lang w:val="zh-CN"/>
              </w:rPr>
              <w:t>：</w:t>
            </w:r>
            <w:r>
              <w:rPr>
                <w:rFonts w:hint="default" w:ascii="Calibri" w:hAnsi="Calibri" w:eastAsia="楷体_GB2312" w:cs="Calibri"/>
                <w:b/>
                <w:sz w:val="18"/>
                <w:szCs w:val="18"/>
                <w:lang w:val="zh-CN" w:eastAsia="zh-CN"/>
              </w:rPr>
              <w:t>天气情况</w:t>
            </w:r>
          </w:p>
        </w:tc>
      </w:tr>
      <w:tr w14:paraId="4E4833D0">
        <w:tblPrEx>
          <w:tblCellMar>
            <w:top w:w="0" w:type="dxa"/>
            <w:left w:w="108" w:type="dxa"/>
            <w:bottom w:w="0" w:type="dxa"/>
            <w:right w:w="108" w:type="dxa"/>
          </w:tblCellMar>
        </w:tblPrEx>
        <w:trPr>
          <w:trHeight w:val="2219" w:hRule="atLeast"/>
        </w:trPr>
        <w:tc>
          <w:tcPr>
            <w:tcW w:w="5103" w:type="dxa"/>
            <w:tcBorders>
              <w:top w:val="single" w:color="auto" w:sz="4" w:space="0"/>
              <w:left w:val="nil"/>
              <w:bottom w:val="single" w:color="auto" w:sz="4" w:space="0"/>
              <w:right w:val="nil"/>
            </w:tcBorders>
            <w:tcMar>
              <w:top w:w="0" w:type="dxa"/>
              <w:left w:w="0" w:type="dxa"/>
              <w:bottom w:w="0" w:type="dxa"/>
              <w:right w:w="28" w:type="dxa"/>
            </w:tcMar>
            <w:vAlign w:val="center"/>
          </w:tcPr>
          <w:p w14:paraId="57C8A858">
            <w:pPr>
              <w:overflowPunct w:val="0"/>
              <w:spacing w:before="48" w:beforeLines="20" w:after="48" w:afterLines="20"/>
              <w:jc w:val="center"/>
              <w:textAlignment w:val="center"/>
              <w:rPr>
                <w:rFonts w:hint="default" w:ascii="Calibri" w:hAnsi="Calibri" w:eastAsia="楷体_GB2312" w:cs="Calibri"/>
                <w:b/>
                <w:color w:val="000000"/>
                <w:sz w:val="15"/>
                <w:szCs w:val="15"/>
              </w:rPr>
            </w:pPr>
            <w:r>
              <w:rPr>
                <w:rFonts w:hint="default" w:ascii="Calibri" w:hAnsi="Calibri" w:eastAsia="楷体_GB2312" w:cs="Calibri"/>
                <w:b/>
                <w:color w:val="000000"/>
                <w:sz w:val="15"/>
                <w:szCs w:val="15"/>
                <w:lang w:eastAsia="zh-CN"/>
              </w:rPr>
              <w:drawing>
                <wp:inline distT="0" distB="0" distL="114300" distR="114300">
                  <wp:extent cx="2705735" cy="2087880"/>
                  <wp:effectExtent l="0" t="0" r="12065" b="20320"/>
                  <wp:docPr id="30" name="图片 30" descr="美国停电状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美国停电状况"/>
                          <pic:cNvPicPr>
                            <a:picLocks noChangeAspect="1"/>
                          </pic:cNvPicPr>
                        </pic:nvPicPr>
                        <pic:blipFill>
                          <a:blip r:embed="rId35"/>
                          <a:stretch>
                            <a:fillRect/>
                          </a:stretch>
                        </pic:blipFill>
                        <pic:spPr>
                          <a:xfrm>
                            <a:off x="0" y="0"/>
                            <a:ext cx="2705735" cy="2087880"/>
                          </a:xfrm>
                          <a:prstGeom prst="rect">
                            <a:avLst/>
                          </a:prstGeom>
                        </pic:spPr>
                      </pic:pic>
                    </a:graphicData>
                  </a:graphic>
                </wp:inline>
              </w:drawing>
            </w:r>
          </w:p>
        </w:tc>
        <w:tc>
          <w:tcPr>
            <w:tcW w:w="238" w:type="dxa"/>
            <w:tcBorders>
              <w:top w:val="nil"/>
              <w:left w:val="nil"/>
              <w:bottom w:val="nil"/>
              <w:right w:val="nil"/>
            </w:tcBorders>
            <w:tcMar>
              <w:top w:w="0" w:type="dxa"/>
              <w:left w:w="0" w:type="dxa"/>
              <w:bottom w:w="0" w:type="dxa"/>
              <w:right w:w="28" w:type="dxa"/>
            </w:tcMar>
          </w:tcPr>
          <w:p w14:paraId="47EF19C0">
            <w:pPr>
              <w:overflowPunct w:val="0"/>
              <w:spacing w:before="48" w:beforeLines="20" w:after="48" w:afterLines="20"/>
              <w:rPr>
                <w:rFonts w:hint="default" w:ascii="Calibri" w:hAnsi="Calibri" w:eastAsia="楷体_GB2312" w:cs="Calibri"/>
                <w:sz w:val="15"/>
                <w:szCs w:val="15"/>
              </w:rPr>
            </w:pPr>
          </w:p>
        </w:tc>
        <w:tc>
          <w:tcPr>
            <w:tcW w:w="5149" w:type="dxa"/>
            <w:tcBorders>
              <w:top w:val="single" w:color="auto" w:sz="4" w:space="0"/>
              <w:left w:val="nil"/>
              <w:bottom w:val="single" w:color="auto" w:sz="4" w:space="0"/>
              <w:right w:val="nil"/>
            </w:tcBorders>
            <w:tcMar>
              <w:top w:w="0" w:type="dxa"/>
              <w:left w:w="0" w:type="dxa"/>
              <w:bottom w:w="0" w:type="dxa"/>
              <w:right w:w="28" w:type="dxa"/>
            </w:tcMar>
          </w:tcPr>
          <w:p w14:paraId="3ABBB62A">
            <w:pPr>
              <w:overflowPunct w:val="0"/>
              <w:spacing w:before="48" w:beforeLines="20" w:after="48" w:afterLines="20"/>
              <w:jc w:val="center"/>
              <w:rPr>
                <w:rFonts w:hint="default" w:ascii="Calibri" w:hAnsi="Calibri" w:eastAsia="楷体_GB2312" w:cs="Calibri"/>
                <w:b/>
                <w:sz w:val="15"/>
                <w:szCs w:val="15"/>
              </w:rPr>
            </w:pPr>
            <w:r>
              <w:rPr>
                <w:rFonts w:hint="default" w:ascii="Calibri" w:hAnsi="Calibri" w:eastAsia="楷体_GB2312" w:cs="Calibri"/>
                <w:b/>
                <w:sz w:val="15"/>
                <w:szCs w:val="15"/>
                <w:lang w:eastAsia="zh-CN"/>
              </w:rPr>
              <w:drawing>
                <wp:inline distT="0" distB="0" distL="114300" distR="114300">
                  <wp:extent cx="3251835" cy="2070100"/>
                  <wp:effectExtent l="0" t="0" r="24765" b="12700"/>
                  <wp:docPr id="1" name="图片 1" descr="美国天气"/>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美国天气"/>
                          <pic:cNvPicPr>
                            <a:picLocks noChangeAspect="1"/>
                          </pic:cNvPicPr>
                        </pic:nvPicPr>
                        <pic:blipFill>
                          <a:blip r:embed="rId36"/>
                          <a:stretch>
                            <a:fillRect/>
                          </a:stretch>
                        </pic:blipFill>
                        <pic:spPr>
                          <a:xfrm>
                            <a:off x="0" y="0"/>
                            <a:ext cx="3251835" cy="2070100"/>
                          </a:xfrm>
                          <a:prstGeom prst="rect">
                            <a:avLst/>
                          </a:prstGeom>
                        </pic:spPr>
                      </pic:pic>
                    </a:graphicData>
                  </a:graphic>
                </wp:inline>
              </w:drawing>
            </w:r>
          </w:p>
        </w:tc>
      </w:tr>
      <w:tr w14:paraId="1BC685D6">
        <w:tblPrEx>
          <w:tblCellMar>
            <w:top w:w="0" w:type="dxa"/>
            <w:left w:w="108" w:type="dxa"/>
            <w:bottom w:w="0" w:type="dxa"/>
            <w:right w:w="108" w:type="dxa"/>
          </w:tblCellMar>
        </w:tblPrEx>
        <w:tc>
          <w:tcPr>
            <w:tcW w:w="5103" w:type="dxa"/>
            <w:tcBorders>
              <w:top w:val="single" w:color="auto" w:sz="4" w:space="0"/>
              <w:left w:val="nil"/>
              <w:bottom w:val="nil"/>
              <w:right w:val="nil"/>
            </w:tcBorders>
            <w:tcMar>
              <w:top w:w="0" w:type="dxa"/>
              <w:left w:w="0" w:type="dxa"/>
              <w:bottom w:w="0" w:type="dxa"/>
              <w:right w:w="28" w:type="dxa"/>
            </w:tcMar>
            <w:vAlign w:val="center"/>
          </w:tcPr>
          <w:p w14:paraId="42F88223">
            <w:pPr>
              <w:overflowPunct w:val="0"/>
              <w:spacing w:before="48" w:beforeLines="20" w:after="48" w:afterLines="20"/>
              <w:textAlignment w:val="center"/>
              <w:rPr>
                <w:rFonts w:hint="default" w:ascii="Calibri" w:hAnsi="Calibri" w:eastAsia="楷体_GB2312" w:cs="Calibri"/>
                <w:sz w:val="10"/>
                <w:szCs w:val="10"/>
              </w:rPr>
            </w:pPr>
            <w:r>
              <w:rPr>
                <w:rFonts w:hint="default" w:ascii="Calibri" w:hAnsi="Calibri" w:eastAsia="楷体_GB2312" w:cs="Calibri"/>
                <w:i/>
                <w:iCs/>
                <w:lang w:val="zh-CN"/>
              </w:rPr>
              <w:t>资料来源：</w:t>
            </w:r>
            <w:r>
              <w:rPr>
                <w:rFonts w:hint="default" w:ascii="Calibri" w:hAnsi="Calibri" w:eastAsia="楷体_GB2312" w:cs="Calibri"/>
                <w:i/>
                <w:iCs/>
                <w:lang w:val="zh-CN" w:eastAsia="zh-CN"/>
              </w:rPr>
              <w:t>Poweroutage</w:t>
            </w:r>
            <w:r>
              <w:rPr>
                <w:rFonts w:hint="default" w:ascii="Calibri" w:hAnsi="Calibri" w:eastAsia="楷体_GB2312" w:cs="Calibri"/>
                <w:i/>
                <w:iCs/>
                <w:lang w:val="zh-CN"/>
              </w:rPr>
              <w:t>，HFI</w:t>
            </w:r>
          </w:p>
        </w:tc>
        <w:tc>
          <w:tcPr>
            <w:tcW w:w="238" w:type="dxa"/>
            <w:tcBorders>
              <w:top w:val="nil"/>
              <w:left w:val="nil"/>
              <w:bottom w:val="nil"/>
              <w:right w:val="nil"/>
            </w:tcBorders>
            <w:tcMar>
              <w:top w:w="0" w:type="dxa"/>
              <w:left w:w="0" w:type="dxa"/>
              <w:bottom w:w="0" w:type="dxa"/>
              <w:right w:w="28" w:type="dxa"/>
            </w:tcMar>
          </w:tcPr>
          <w:p w14:paraId="52A54ECE">
            <w:pPr>
              <w:overflowPunct w:val="0"/>
              <w:spacing w:before="48" w:beforeLines="20" w:after="48" w:afterLines="20"/>
              <w:rPr>
                <w:rFonts w:hint="default" w:ascii="Calibri" w:hAnsi="Calibri" w:eastAsia="楷体_GB2312" w:cs="Calibri"/>
                <w:sz w:val="15"/>
                <w:szCs w:val="15"/>
              </w:rPr>
            </w:pPr>
          </w:p>
        </w:tc>
        <w:tc>
          <w:tcPr>
            <w:tcW w:w="5149" w:type="dxa"/>
            <w:tcBorders>
              <w:top w:val="single" w:color="auto" w:sz="4" w:space="0"/>
              <w:left w:val="nil"/>
              <w:bottom w:val="nil"/>
              <w:right w:val="nil"/>
            </w:tcBorders>
            <w:tcMar>
              <w:top w:w="0" w:type="dxa"/>
              <w:left w:w="0" w:type="dxa"/>
              <w:bottom w:w="0" w:type="dxa"/>
              <w:right w:w="28" w:type="dxa"/>
            </w:tcMar>
          </w:tcPr>
          <w:p w14:paraId="2ACD29BA">
            <w:pPr>
              <w:overflowPunct w:val="0"/>
              <w:spacing w:before="48" w:beforeLines="20" w:after="48" w:afterLines="20"/>
              <w:rPr>
                <w:rFonts w:hint="default" w:ascii="Calibri" w:hAnsi="Calibri" w:eastAsia="楷体_GB2312" w:cs="Calibri"/>
                <w:sz w:val="10"/>
                <w:szCs w:val="10"/>
              </w:rPr>
            </w:pPr>
            <w:r>
              <w:rPr>
                <w:rFonts w:hint="default" w:ascii="Calibri" w:hAnsi="Calibri" w:eastAsia="楷体_GB2312" w:cs="Calibri"/>
                <w:i/>
                <w:iCs/>
                <w:lang w:val="zh-CN"/>
              </w:rPr>
              <w:t>资料来源：</w:t>
            </w:r>
            <w:r>
              <w:rPr>
                <w:rFonts w:hint="default" w:ascii="Calibri" w:hAnsi="Calibri" w:eastAsia="楷体_GB2312" w:cs="Calibri"/>
                <w:i/>
                <w:iCs/>
                <w:lang w:val="zh-CN" w:eastAsia="zh-CN"/>
              </w:rPr>
              <w:t>USA Today</w:t>
            </w:r>
            <w:r>
              <w:rPr>
                <w:rFonts w:hint="default" w:ascii="Calibri" w:hAnsi="Calibri" w:eastAsia="楷体_GB2312" w:cs="Calibri"/>
                <w:i/>
                <w:iCs/>
                <w:lang w:val="zh-CN"/>
              </w:rPr>
              <w:t>，HFI</w:t>
            </w:r>
          </w:p>
        </w:tc>
      </w:tr>
    </w:tbl>
    <w:p w14:paraId="2A091E3D">
      <w:pPr>
        <w:overflowPunct w:val="0"/>
        <w:jc w:val="both"/>
        <w:rPr>
          <w:rFonts w:hint="default" w:ascii="Calibri" w:hAnsi="Calibri" w:eastAsia="楷体_GB2312" w:cs="Calibri"/>
          <w:b/>
          <w:bCs/>
          <w:color w:val="1F497D" w:themeColor="text2"/>
          <w:sz w:val="24"/>
          <w:szCs w:val="24"/>
          <w:lang w:val="en-US" w:eastAsia="zh-CN"/>
          <w14:textFill>
            <w14:solidFill>
              <w14:schemeClr w14:val="tx2"/>
            </w14:solidFill>
          </w14:textFill>
        </w:rPr>
      </w:pPr>
      <w:r>
        <w:rPr>
          <w:rFonts w:hint="default" w:ascii="Calibri" w:hAnsi="Calibri" w:eastAsia="楷体_GB2312" w:cs="Calibri"/>
          <w:b/>
          <w:bCs/>
          <w:color w:val="1F497D" w:themeColor="text2"/>
          <w:sz w:val="24"/>
          <w:szCs w:val="24"/>
          <w:lang w:val="en-US" w:eastAsia="zh-CN"/>
          <w14:textFill>
            <w14:solidFill>
              <w14:schemeClr w14:val="tx2"/>
            </w14:solidFill>
          </w14:textFill>
        </w:rPr>
        <w:t xml:space="preserve">   </w:t>
      </w:r>
    </w:p>
    <w:p w14:paraId="3AD9C62E">
      <w:pPr>
        <w:overflowPunct w:val="0"/>
        <w:jc w:val="both"/>
        <w:rPr>
          <w:rFonts w:hint="default" w:ascii="Calibri" w:hAnsi="Calibri" w:eastAsia="楷体_GB2312" w:cs="Calibri"/>
          <w:b/>
          <w:bCs/>
          <w:color w:val="1F497D" w:themeColor="text2"/>
          <w:sz w:val="24"/>
          <w:szCs w:val="24"/>
          <w:lang w:val="en-US" w:eastAsia="zh-CN"/>
          <w14:textFill>
            <w14:solidFill>
              <w14:schemeClr w14:val="tx2"/>
            </w14:solidFill>
          </w14:textFill>
        </w:rPr>
      </w:pPr>
    </w:p>
    <w:p w14:paraId="4F949925">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装机情况方面，</w:t>
      </w:r>
      <w:r>
        <w:rPr>
          <w:rFonts w:hint="default" w:ascii="Calibri" w:hAnsi="Calibri" w:eastAsia="楷体_GB2312" w:cs="Calibri"/>
          <w:sz w:val="20"/>
          <w:szCs w:val="20"/>
          <w:lang w:val="en-US" w:eastAsia="zh-CN"/>
        </w:rPr>
        <w:t>2025年11月，美国新增装机容量约3.4GW，以太阳能、风电等清洁能源为主；退役装机容量约0.2GW，主要为陆上风电。</w:t>
      </w:r>
    </w:p>
    <w:p w14:paraId="12C3F065">
      <w:pPr>
        <w:overflowPunct w:val="0"/>
        <w:ind w:left="3200" w:leftChars="2000"/>
        <w:jc w:val="both"/>
        <w:rPr>
          <w:rFonts w:hint="default" w:ascii="Calibri" w:hAnsi="Calibri" w:eastAsia="楷体_GB2312" w:cs="Calibri"/>
          <w:sz w:val="20"/>
          <w:szCs w:val="20"/>
          <w:lang w:val="en-US" w:eastAsia="zh-CN"/>
        </w:rPr>
      </w:pPr>
    </w:p>
    <w:tbl>
      <w:tblPr>
        <w:tblStyle w:val="26"/>
        <w:tblW w:w="10490" w:type="dxa"/>
        <w:tblInd w:w="384" w:type="dxa"/>
        <w:tblLayout w:type="fixed"/>
        <w:tblCellMar>
          <w:top w:w="0" w:type="dxa"/>
          <w:left w:w="108" w:type="dxa"/>
          <w:bottom w:w="0" w:type="dxa"/>
          <w:right w:w="108" w:type="dxa"/>
        </w:tblCellMar>
      </w:tblPr>
      <w:tblGrid>
        <w:gridCol w:w="5103"/>
        <w:gridCol w:w="238"/>
        <w:gridCol w:w="5149"/>
      </w:tblGrid>
      <w:tr w14:paraId="0E17A5C5">
        <w:tblPrEx>
          <w:tblCellMar>
            <w:top w:w="0" w:type="dxa"/>
            <w:left w:w="108" w:type="dxa"/>
            <w:bottom w:w="0" w:type="dxa"/>
            <w:right w:w="108" w:type="dxa"/>
          </w:tblCellMar>
        </w:tblPrEx>
        <w:trPr>
          <w:trHeight w:val="227" w:hRule="atLeast"/>
        </w:trPr>
        <w:tc>
          <w:tcPr>
            <w:tcW w:w="5103" w:type="dxa"/>
            <w:tcBorders>
              <w:top w:val="nil"/>
              <w:left w:val="nil"/>
              <w:bottom w:val="single" w:color="auto" w:sz="4" w:space="0"/>
              <w:right w:val="nil"/>
            </w:tcBorders>
            <w:tcMar>
              <w:top w:w="0" w:type="dxa"/>
              <w:left w:w="0" w:type="dxa"/>
              <w:bottom w:w="0" w:type="dxa"/>
              <w:right w:w="28" w:type="dxa"/>
            </w:tcMar>
          </w:tcPr>
          <w:p w14:paraId="01E9FEE7">
            <w:pPr>
              <w:overflowPunct w:val="0"/>
              <w:rPr>
                <w:rFonts w:hint="default" w:ascii="Calibri" w:hAnsi="Calibri" w:eastAsia="楷体_GB2312" w:cs="Calibri"/>
                <w:b/>
                <w:sz w:val="18"/>
                <w:szCs w:val="18"/>
                <w:lang w:val="zh-CN" w:eastAsia="zh-CN"/>
              </w:rPr>
            </w:pPr>
            <w:r>
              <w:rPr>
                <w:rFonts w:hint="default" w:ascii="Calibri" w:hAnsi="Calibri" w:eastAsia="楷体_GB2312" w:cs="Calibri"/>
                <w:b/>
                <w:sz w:val="18"/>
                <w:szCs w:val="18"/>
                <w:lang w:val="zh-CN" w:eastAsia="zh-CN"/>
              </w:rPr>
              <w:t>图</w:t>
            </w:r>
            <w:r>
              <w:rPr>
                <w:rFonts w:hint="default" w:ascii="Calibri" w:hAnsi="Calibri" w:eastAsia="楷体_GB2312" w:cs="Calibri"/>
                <w:b/>
                <w:sz w:val="18"/>
                <w:szCs w:val="18"/>
                <w:lang w:eastAsia="zh-CN"/>
              </w:rPr>
              <w:t>2</w:t>
            </w:r>
            <w:r>
              <w:rPr>
                <w:rFonts w:hint="default" w:ascii="Calibri" w:hAnsi="Calibri" w:eastAsia="楷体_GB2312" w:cs="Calibri"/>
                <w:b/>
                <w:sz w:val="18"/>
                <w:szCs w:val="18"/>
                <w:lang w:val="en-US" w:eastAsia="zh-CN"/>
              </w:rPr>
              <w:t>4</w:t>
            </w:r>
            <w:r>
              <w:rPr>
                <w:rFonts w:hint="default" w:ascii="Calibri" w:hAnsi="Calibri" w:eastAsia="楷体_GB2312" w:cs="Calibri"/>
                <w:b/>
                <w:sz w:val="18"/>
                <w:szCs w:val="18"/>
                <w:lang w:val="zh-CN" w:eastAsia="zh-CN"/>
              </w:rPr>
              <w:t>：2025年</w:t>
            </w:r>
            <w:r>
              <w:rPr>
                <w:rFonts w:hint="default" w:ascii="Calibri" w:hAnsi="Calibri" w:eastAsia="楷体_GB2312" w:cs="Calibri"/>
                <w:b/>
                <w:sz w:val="18"/>
                <w:szCs w:val="18"/>
                <w:lang w:val="en-US" w:eastAsia="zh-CN"/>
              </w:rPr>
              <w:t>12</w:t>
            </w:r>
            <w:r>
              <w:rPr>
                <w:rFonts w:hint="default" w:ascii="Calibri" w:hAnsi="Calibri" w:eastAsia="楷体_GB2312" w:cs="Calibri"/>
                <w:b/>
                <w:sz w:val="18"/>
                <w:szCs w:val="18"/>
                <w:lang w:val="zh-CN" w:eastAsia="zh-CN"/>
              </w:rPr>
              <w:t>月-2026年</w:t>
            </w:r>
            <w:r>
              <w:rPr>
                <w:rFonts w:hint="default" w:ascii="Calibri" w:hAnsi="Calibri" w:eastAsia="楷体_GB2312" w:cs="Calibri"/>
                <w:b/>
                <w:sz w:val="18"/>
                <w:szCs w:val="18"/>
                <w:lang w:val="en-US" w:eastAsia="zh-CN"/>
              </w:rPr>
              <w:t>11</w:t>
            </w:r>
            <w:r>
              <w:rPr>
                <w:rFonts w:hint="default" w:ascii="Calibri" w:hAnsi="Calibri" w:eastAsia="楷体_GB2312" w:cs="Calibri"/>
                <w:b/>
                <w:sz w:val="18"/>
                <w:szCs w:val="18"/>
                <w:lang w:val="zh-CN" w:eastAsia="zh-CN"/>
              </w:rPr>
              <w:t>月新增装机计划</w:t>
            </w:r>
          </w:p>
        </w:tc>
        <w:tc>
          <w:tcPr>
            <w:tcW w:w="238" w:type="dxa"/>
            <w:tcBorders>
              <w:top w:val="nil"/>
              <w:left w:val="nil"/>
              <w:bottom w:val="nil"/>
              <w:right w:val="nil"/>
            </w:tcBorders>
            <w:tcMar>
              <w:top w:w="0" w:type="dxa"/>
              <w:left w:w="0" w:type="dxa"/>
              <w:bottom w:w="0" w:type="dxa"/>
              <w:right w:w="28" w:type="dxa"/>
            </w:tcMar>
          </w:tcPr>
          <w:p w14:paraId="08E49DD7">
            <w:pPr>
              <w:overflowPunct w:val="0"/>
              <w:rPr>
                <w:rFonts w:hint="default" w:ascii="Calibri" w:hAnsi="Calibri" w:eastAsia="楷体_GB2312" w:cs="Calibri"/>
                <w:b/>
                <w:sz w:val="18"/>
                <w:szCs w:val="18"/>
                <w:lang w:val="zh-CN" w:eastAsia="zh-CN"/>
              </w:rPr>
            </w:pPr>
          </w:p>
        </w:tc>
        <w:tc>
          <w:tcPr>
            <w:tcW w:w="5149" w:type="dxa"/>
            <w:tcBorders>
              <w:top w:val="nil"/>
              <w:left w:val="nil"/>
              <w:bottom w:val="single" w:color="auto" w:sz="4" w:space="0"/>
              <w:right w:val="nil"/>
            </w:tcBorders>
            <w:tcMar>
              <w:top w:w="0" w:type="dxa"/>
              <w:left w:w="0" w:type="dxa"/>
              <w:bottom w:w="0" w:type="dxa"/>
              <w:right w:w="28" w:type="dxa"/>
            </w:tcMar>
          </w:tcPr>
          <w:p w14:paraId="4588043E">
            <w:pPr>
              <w:overflowPunct w:val="0"/>
              <w:rPr>
                <w:rFonts w:hint="default" w:ascii="Calibri" w:hAnsi="Calibri" w:eastAsia="楷体_GB2312" w:cs="Calibri"/>
                <w:b/>
                <w:sz w:val="18"/>
                <w:szCs w:val="18"/>
                <w:lang w:val="zh-CN"/>
              </w:rPr>
            </w:pPr>
            <w:r>
              <w:rPr>
                <w:rFonts w:hint="default" w:ascii="Calibri" w:hAnsi="Calibri" w:eastAsia="楷体_GB2312" w:cs="Calibri"/>
                <w:b/>
                <w:sz w:val="18"/>
                <w:szCs w:val="18"/>
                <w:lang w:val="zh-CN"/>
              </w:rPr>
              <w:t>图</w:t>
            </w:r>
            <w:r>
              <w:rPr>
                <w:rFonts w:hint="default" w:ascii="Calibri" w:hAnsi="Calibri" w:eastAsia="楷体_GB2312" w:cs="Calibri"/>
                <w:b/>
                <w:sz w:val="18"/>
                <w:szCs w:val="18"/>
              </w:rPr>
              <w:t>2</w:t>
            </w:r>
            <w:r>
              <w:rPr>
                <w:rFonts w:hint="default" w:ascii="Calibri" w:hAnsi="Calibri" w:eastAsia="楷体_GB2312" w:cs="Calibri"/>
                <w:b/>
                <w:sz w:val="18"/>
                <w:szCs w:val="18"/>
                <w:lang w:val="en-US" w:eastAsia="zh-CN"/>
              </w:rPr>
              <w:t>5</w:t>
            </w:r>
            <w:r>
              <w:rPr>
                <w:rFonts w:hint="default" w:ascii="Calibri" w:hAnsi="Calibri" w:eastAsia="楷体_GB2312" w:cs="Calibri"/>
                <w:b/>
                <w:sz w:val="18"/>
                <w:szCs w:val="18"/>
                <w:lang w:val="zh-CN"/>
              </w:rPr>
              <w:t>：2025年</w:t>
            </w:r>
            <w:r>
              <w:rPr>
                <w:rFonts w:hint="default" w:ascii="Calibri" w:hAnsi="Calibri" w:eastAsia="楷体_GB2312" w:cs="Calibri"/>
                <w:b/>
                <w:sz w:val="18"/>
                <w:szCs w:val="18"/>
                <w:lang w:val="en-US" w:eastAsia="zh-CN"/>
              </w:rPr>
              <w:t>11</w:t>
            </w:r>
            <w:r>
              <w:rPr>
                <w:rFonts w:hint="default" w:ascii="Calibri" w:hAnsi="Calibri" w:eastAsia="楷体_GB2312" w:cs="Calibri"/>
                <w:b/>
                <w:sz w:val="18"/>
                <w:szCs w:val="18"/>
                <w:lang w:val="zh-CN"/>
              </w:rPr>
              <w:t>月新增装机</w:t>
            </w:r>
          </w:p>
        </w:tc>
      </w:tr>
      <w:tr w14:paraId="626AFBAD">
        <w:tblPrEx>
          <w:tblCellMar>
            <w:top w:w="0" w:type="dxa"/>
            <w:left w:w="108" w:type="dxa"/>
            <w:bottom w:w="0" w:type="dxa"/>
            <w:right w:w="108" w:type="dxa"/>
          </w:tblCellMar>
        </w:tblPrEx>
        <w:trPr>
          <w:trHeight w:val="3109" w:hRule="atLeast"/>
        </w:trPr>
        <w:tc>
          <w:tcPr>
            <w:tcW w:w="5103" w:type="dxa"/>
            <w:tcBorders>
              <w:top w:val="single" w:color="auto" w:sz="4" w:space="0"/>
              <w:left w:val="nil"/>
              <w:bottom w:val="single" w:color="auto" w:sz="4" w:space="0"/>
              <w:right w:val="nil"/>
            </w:tcBorders>
            <w:tcMar>
              <w:top w:w="0" w:type="dxa"/>
              <w:left w:w="0" w:type="dxa"/>
              <w:bottom w:w="0" w:type="dxa"/>
              <w:right w:w="28" w:type="dxa"/>
            </w:tcMar>
            <w:vAlign w:val="center"/>
          </w:tcPr>
          <w:p w14:paraId="3C3F264C">
            <w:pPr>
              <w:overflowPunct w:val="0"/>
              <w:spacing w:before="48" w:beforeLines="20" w:after="48" w:afterLines="20"/>
              <w:jc w:val="center"/>
              <w:textAlignment w:val="center"/>
              <w:rPr>
                <w:rFonts w:hint="default" w:ascii="Calibri" w:hAnsi="Calibri" w:eastAsia="楷体_GB2312" w:cs="Calibri"/>
                <w:b/>
                <w:color w:val="000000"/>
                <w:sz w:val="15"/>
                <w:szCs w:val="15"/>
              </w:rPr>
            </w:pPr>
            <w:r>
              <w:rPr>
                <w:rFonts w:hint="default" w:ascii="Calibri" w:hAnsi="Calibri" w:eastAsia="楷体_GB2312" w:cs="Calibri"/>
                <w:b/>
                <w:color w:val="000000"/>
                <w:sz w:val="15"/>
                <w:szCs w:val="15"/>
              </w:rPr>
              <w:drawing>
                <wp:inline distT="0" distB="0" distL="114300" distR="114300">
                  <wp:extent cx="2850515" cy="2375535"/>
                  <wp:effectExtent l="0" t="0" r="6985" b="12065"/>
                  <wp:docPr id="41" name="图片 41" descr="d7a01d47220725ce0bf166247bf26c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d7a01d47220725ce0bf166247bf26cd2"/>
                          <pic:cNvPicPr>
                            <a:picLocks noChangeAspect="1"/>
                          </pic:cNvPicPr>
                        </pic:nvPicPr>
                        <pic:blipFill>
                          <a:blip r:embed="rId37"/>
                          <a:stretch>
                            <a:fillRect/>
                          </a:stretch>
                        </pic:blipFill>
                        <pic:spPr>
                          <a:xfrm>
                            <a:off x="0" y="0"/>
                            <a:ext cx="2850515" cy="2375535"/>
                          </a:xfrm>
                          <a:prstGeom prst="rect">
                            <a:avLst/>
                          </a:prstGeom>
                        </pic:spPr>
                      </pic:pic>
                    </a:graphicData>
                  </a:graphic>
                </wp:inline>
              </w:drawing>
            </w:r>
          </w:p>
        </w:tc>
        <w:tc>
          <w:tcPr>
            <w:tcW w:w="238" w:type="dxa"/>
            <w:tcBorders>
              <w:top w:val="nil"/>
              <w:left w:val="nil"/>
              <w:bottom w:val="nil"/>
              <w:right w:val="nil"/>
            </w:tcBorders>
            <w:tcMar>
              <w:top w:w="0" w:type="dxa"/>
              <w:left w:w="0" w:type="dxa"/>
              <w:bottom w:w="0" w:type="dxa"/>
              <w:right w:w="28" w:type="dxa"/>
            </w:tcMar>
          </w:tcPr>
          <w:p w14:paraId="5DAD0022">
            <w:pPr>
              <w:overflowPunct w:val="0"/>
              <w:spacing w:before="48" w:beforeLines="20" w:after="48" w:afterLines="20"/>
              <w:rPr>
                <w:rFonts w:hint="default" w:ascii="Calibri" w:hAnsi="Calibri" w:eastAsia="楷体_GB2312" w:cs="Calibri"/>
                <w:sz w:val="15"/>
                <w:szCs w:val="15"/>
              </w:rPr>
            </w:pPr>
          </w:p>
        </w:tc>
        <w:tc>
          <w:tcPr>
            <w:tcW w:w="5149" w:type="dxa"/>
            <w:tcBorders>
              <w:top w:val="single" w:color="auto" w:sz="4" w:space="0"/>
              <w:left w:val="nil"/>
              <w:bottom w:val="single" w:color="auto" w:sz="4" w:space="0"/>
              <w:right w:val="nil"/>
            </w:tcBorders>
            <w:tcMar>
              <w:top w:w="0" w:type="dxa"/>
              <w:left w:w="0" w:type="dxa"/>
              <w:bottom w:w="0" w:type="dxa"/>
              <w:right w:w="28" w:type="dxa"/>
            </w:tcMar>
          </w:tcPr>
          <w:p w14:paraId="50EAFFFA">
            <w:pPr>
              <w:overflowPunct w:val="0"/>
              <w:spacing w:before="48" w:beforeLines="20" w:after="48" w:afterLines="20"/>
              <w:jc w:val="center"/>
              <w:rPr>
                <w:rFonts w:hint="default" w:ascii="Calibri" w:hAnsi="Calibri" w:eastAsia="楷体_GB2312" w:cs="Calibri"/>
                <w:b/>
                <w:sz w:val="15"/>
                <w:szCs w:val="15"/>
              </w:rPr>
            </w:pPr>
            <w:r>
              <w:rPr>
                <w:rFonts w:hint="default" w:ascii="Calibri" w:hAnsi="Calibri" w:eastAsia="楷体_GB2312" w:cs="Calibri"/>
                <w:b/>
                <w:sz w:val="15"/>
                <w:szCs w:val="15"/>
              </w:rPr>
              <w:drawing>
                <wp:inline distT="0" distB="0" distL="114300" distR="114300">
                  <wp:extent cx="2802255" cy="2335530"/>
                  <wp:effectExtent l="0" t="0" r="4445" b="1270"/>
                  <wp:docPr id="42" name="图片 42" descr="c598b1931ca94c00d1b86b4255613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c598b1931ca94c00d1b86b4255613325"/>
                          <pic:cNvPicPr>
                            <a:picLocks noChangeAspect="1"/>
                          </pic:cNvPicPr>
                        </pic:nvPicPr>
                        <pic:blipFill>
                          <a:blip r:embed="rId38"/>
                          <a:stretch>
                            <a:fillRect/>
                          </a:stretch>
                        </pic:blipFill>
                        <pic:spPr>
                          <a:xfrm>
                            <a:off x="0" y="0"/>
                            <a:ext cx="2802255" cy="2335530"/>
                          </a:xfrm>
                          <a:prstGeom prst="rect">
                            <a:avLst/>
                          </a:prstGeom>
                        </pic:spPr>
                      </pic:pic>
                    </a:graphicData>
                  </a:graphic>
                </wp:inline>
              </w:drawing>
            </w:r>
          </w:p>
        </w:tc>
      </w:tr>
      <w:tr w14:paraId="68883F27">
        <w:tblPrEx>
          <w:tblCellMar>
            <w:top w:w="0" w:type="dxa"/>
            <w:left w:w="108" w:type="dxa"/>
            <w:bottom w:w="0" w:type="dxa"/>
            <w:right w:w="108" w:type="dxa"/>
          </w:tblCellMar>
        </w:tblPrEx>
        <w:tc>
          <w:tcPr>
            <w:tcW w:w="5103" w:type="dxa"/>
            <w:tcBorders>
              <w:top w:val="single" w:color="auto" w:sz="4" w:space="0"/>
              <w:left w:val="nil"/>
              <w:bottom w:val="nil"/>
              <w:right w:val="nil"/>
            </w:tcBorders>
            <w:tcMar>
              <w:top w:w="0" w:type="dxa"/>
              <w:left w:w="0" w:type="dxa"/>
              <w:bottom w:w="0" w:type="dxa"/>
              <w:right w:w="28" w:type="dxa"/>
            </w:tcMar>
            <w:vAlign w:val="center"/>
          </w:tcPr>
          <w:p w14:paraId="3D45FE3B">
            <w:pPr>
              <w:overflowPunct w:val="0"/>
              <w:spacing w:before="48" w:beforeLines="20" w:after="48" w:afterLines="20"/>
              <w:textAlignment w:val="center"/>
              <w:rPr>
                <w:rFonts w:hint="default" w:ascii="Calibri" w:hAnsi="Calibri" w:eastAsia="楷体_GB2312" w:cs="Calibri"/>
                <w:sz w:val="10"/>
                <w:szCs w:val="10"/>
                <w:lang w:eastAsia="zh-CN"/>
              </w:rPr>
            </w:pPr>
            <w:r>
              <w:rPr>
                <w:rFonts w:hint="default" w:ascii="Calibri" w:hAnsi="Calibri" w:eastAsia="楷体_GB2312" w:cs="Calibri"/>
                <w:i/>
                <w:iCs/>
                <w:lang w:val="zh-CN" w:eastAsia="zh-CN"/>
              </w:rPr>
              <w:t>资料来源：EIA，HFI</w:t>
            </w:r>
          </w:p>
        </w:tc>
        <w:tc>
          <w:tcPr>
            <w:tcW w:w="238" w:type="dxa"/>
            <w:tcBorders>
              <w:top w:val="nil"/>
              <w:left w:val="nil"/>
              <w:bottom w:val="nil"/>
              <w:right w:val="nil"/>
            </w:tcBorders>
            <w:tcMar>
              <w:top w:w="0" w:type="dxa"/>
              <w:left w:w="0" w:type="dxa"/>
              <w:bottom w:w="0" w:type="dxa"/>
              <w:right w:w="28" w:type="dxa"/>
            </w:tcMar>
          </w:tcPr>
          <w:p w14:paraId="4136E3DE">
            <w:pPr>
              <w:overflowPunct w:val="0"/>
              <w:spacing w:before="48" w:beforeLines="20" w:after="48" w:afterLines="20"/>
              <w:rPr>
                <w:rFonts w:hint="default" w:ascii="Calibri" w:hAnsi="Calibri" w:eastAsia="楷体_GB2312" w:cs="Calibri"/>
                <w:sz w:val="15"/>
                <w:szCs w:val="15"/>
                <w:lang w:eastAsia="zh-CN"/>
              </w:rPr>
            </w:pPr>
          </w:p>
        </w:tc>
        <w:tc>
          <w:tcPr>
            <w:tcW w:w="5149" w:type="dxa"/>
            <w:tcBorders>
              <w:top w:val="single" w:color="auto" w:sz="4" w:space="0"/>
              <w:left w:val="nil"/>
              <w:bottom w:val="nil"/>
              <w:right w:val="nil"/>
            </w:tcBorders>
            <w:tcMar>
              <w:top w:w="0" w:type="dxa"/>
              <w:left w:w="0" w:type="dxa"/>
              <w:bottom w:w="0" w:type="dxa"/>
              <w:right w:w="28" w:type="dxa"/>
            </w:tcMar>
          </w:tcPr>
          <w:p w14:paraId="71D08B98">
            <w:pPr>
              <w:overflowPunct w:val="0"/>
              <w:spacing w:before="48" w:beforeLines="20" w:after="48" w:afterLines="20"/>
              <w:rPr>
                <w:rFonts w:hint="default" w:ascii="Calibri" w:hAnsi="Calibri" w:eastAsia="楷体_GB2312" w:cs="Calibri"/>
                <w:sz w:val="10"/>
                <w:szCs w:val="10"/>
                <w:lang w:eastAsia="zh-CN"/>
              </w:rPr>
            </w:pPr>
            <w:r>
              <w:rPr>
                <w:rFonts w:hint="default" w:ascii="Calibri" w:hAnsi="Calibri" w:eastAsia="楷体_GB2312" w:cs="Calibri"/>
                <w:i/>
                <w:iCs/>
                <w:lang w:val="zh-CN" w:eastAsia="zh-CN"/>
              </w:rPr>
              <w:t>资料来源：EIA，HFI</w:t>
            </w:r>
          </w:p>
        </w:tc>
      </w:tr>
    </w:tbl>
    <w:p w14:paraId="4DEB9B9A">
      <w:pPr>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br w:type="page"/>
      </w:r>
    </w:p>
    <w:tbl>
      <w:tblPr>
        <w:tblStyle w:val="26"/>
        <w:tblpPr w:leftFromText="180" w:rightFromText="180" w:vertAnchor="text" w:horzAnchor="margin" w:tblpXSpec="right" w:tblpY="249"/>
        <w:tblW w:w="10490" w:type="dxa"/>
        <w:jc w:val="right"/>
        <w:tblLayout w:type="fixed"/>
        <w:tblCellMar>
          <w:top w:w="0" w:type="dxa"/>
          <w:left w:w="108" w:type="dxa"/>
          <w:bottom w:w="0" w:type="dxa"/>
          <w:right w:w="108" w:type="dxa"/>
        </w:tblCellMar>
      </w:tblPr>
      <w:tblGrid>
        <w:gridCol w:w="5103"/>
        <w:gridCol w:w="238"/>
        <w:gridCol w:w="5149"/>
      </w:tblGrid>
      <w:tr w14:paraId="1F26CBCE">
        <w:tblPrEx>
          <w:tblCellMar>
            <w:top w:w="0" w:type="dxa"/>
            <w:left w:w="108" w:type="dxa"/>
            <w:bottom w:w="0" w:type="dxa"/>
            <w:right w:w="108" w:type="dxa"/>
          </w:tblCellMar>
        </w:tblPrEx>
        <w:trPr>
          <w:trHeight w:val="227" w:hRule="atLeast"/>
          <w:jc w:val="right"/>
        </w:trPr>
        <w:tc>
          <w:tcPr>
            <w:tcW w:w="5103" w:type="dxa"/>
            <w:tcBorders>
              <w:top w:val="nil"/>
              <w:left w:val="nil"/>
              <w:bottom w:val="single" w:color="auto" w:sz="4" w:space="0"/>
              <w:right w:val="nil"/>
            </w:tcBorders>
            <w:tcMar>
              <w:top w:w="0" w:type="dxa"/>
              <w:left w:w="0" w:type="dxa"/>
              <w:bottom w:w="0" w:type="dxa"/>
              <w:right w:w="28" w:type="dxa"/>
            </w:tcMar>
          </w:tcPr>
          <w:p w14:paraId="62BD3404">
            <w:pPr>
              <w:overflowPunct w:val="0"/>
              <w:rPr>
                <w:rFonts w:hint="default" w:ascii="Calibri" w:hAnsi="Calibri" w:eastAsia="楷体_GB2312" w:cs="Calibri"/>
                <w:b/>
                <w:sz w:val="18"/>
                <w:szCs w:val="18"/>
                <w:lang w:val="zh-CN" w:eastAsia="zh-CN"/>
              </w:rPr>
            </w:pPr>
            <w:r>
              <w:rPr>
                <w:rFonts w:hint="default" w:ascii="Calibri" w:hAnsi="Calibri" w:eastAsia="楷体_GB2312" w:cs="Calibri"/>
                <w:b/>
                <w:sz w:val="18"/>
                <w:szCs w:val="18"/>
                <w:lang w:val="zh-CN" w:eastAsia="zh-CN"/>
              </w:rPr>
              <w:t>图</w:t>
            </w:r>
            <w:r>
              <w:rPr>
                <w:rFonts w:hint="default" w:ascii="Calibri" w:hAnsi="Calibri" w:eastAsia="楷体_GB2312" w:cs="Calibri"/>
                <w:b/>
                <w:sz w:val="18"/>
                <w:szCs w:val="18"/>
                <w:lang w:eastAsia="zh-CN"/>
              </w:rPr>
              <w:t>2</w:t>
            </w:r>
            <w:r>
              <w:rPr>
                <w:rFonts w:hint="default" w:ascii="Calibri" w:hAnsi="Calibri" w:eastAsia="楷体_GB2312" w:cs="Calibri"/>
                <w:b/>
                <w:sz w:val="18"/>
                <w:szCs w:val="18"/>
                <w:lang w:val="en-US" w:eastAsia="zh-CN"/>
              </w:rPr>
              <w:t>6</w:t>
            </w:r>
            <w:r>
              <w:rPr>
                <w:rFonts w:hint="default" w:ascii="Calibri" w:hAnsi="Calibri" w:eastAsia="楷体_GB2312" w:cs="Calibri"/>
                <w:b/>
                <w:sz w:val="18"/>
                <w:szCs w:val="18"/>
                <w:lang w:val="zh-CN" w:eastAsia="zh-CN"/>
              </w:rPr>
              <w:t>：2025年</w:t>
            </w:r>
            <w:r>
              <w:rPr>
                <w:rFonts w:hint="default" w:ascii="Calibri" w:hAnsi="Calibri" w:eastAsia="楷体_GB2312" w:cs="Calibri"/>
                <w:b/>
                <w:sz w:val="18"/>
                <w:szCs w:val="18"/>
                <w:lang w:val="en-US" w:eastAsia="zh-CN"/>
              </w:rPr>
              <w:t>12</w:t>
            </w:r>
            <w:r>
              <w:rPr>
                <w:rFonts w:hint="default" w:ascii="Calibri" w:hAnsi="Calibri" w:eastAsia="楷体_GB2312" w:cs="Calibri"/>
                <w:b/>
                <w:sz w:val="18"/>
                <w:szCs w:val="18"/>
                <w:lang w:val="zh-CN" w:eastAsia="zh-CN"/>
              </w:rPr>
              <w:t>月-2026年</w:t>
            </w:r>
            <w:r>
              <w:rPr>
                <w:rFonts w:hint="default" w:ascii="Calibri" w:hAnsi="Calibri" w:eastAsia="楷体_GB2312" w:cs="Calibri"/>
                <w:b/>
                <w:sz w:val="18"/>
                <w:szCs w:val="18"/>
                <w:lang w:val="en-US" w:eastAsia="zh-CN"/>
              </w:rPr>
              <w:t>11</w:t>
            </w:r>
            <w:r>
              <w:rPr>
                <w:rFonts w:hint="default" w:ascii="Calibri" w:hAnsi="Calibri" w:eastAsia="楷体_GB2312" w:cs="Calibri"/>
                <w:b/>
                <w:sz w:val="18"/>
                <w:szCs w:val="18"/>
                <w:lang w:val="zh-CN" w:eastAsia="zh-CN"/>
              </w:rPr>
              <w:t>月退役装机计划</w:t>
            </w:r>
          </w:p>
        </w:tc>
        <w:tc>
          <w:tcPr>
            <w:tcW w:w="238" w:type="dxa"/>
            <w:tcBorders>
              <w:top w:val="nil"/>
              <w:left w:val="nil"/>
              <w:bottom w:val="nil"/>
              <w:right w:val="nil"/>
            </w:tcBorders>
            <w:tcMar>
              <w:top w:w="0" w:type="dxa"/>
              <w:left w:w="0" w:type="dxa"/>
              <w:bottom w:w="0" w:type="dxa"/>
              <w:right w:w="28" w:type="dxa"/>
            </w:tcMar>
          </w:tcPr>
          <w:p w14:paraId="0F816BD3">
            <w:pPr>
              <w:overflowPunct w:val="0"/>
              <w:rPr>
                <w:rFonts w:hint="default" w:ascii="Calibri" w:hAnsi="Calibri" w:eastAsia="楷体_GB2312" w:cs="Calibri"/>
                <w:b/>
                <w:sz w:val="18"/>
                <w:szCs w:val="18"/>
                <w:lang w:val="zh-CN" w:eastAsia="zh-CN"/>
              </w:rPr>
            </w:pPr>
          </w:p>
        </w:tc>
        <w:tc>
          <w:tcPr>
            <w:tcW w:w="5149" w:type="dxa"/>
            <w:tcBorders>
              <w:top w:val="nil"/>
              <w:left w:val="nil"/>
              <w:bottom w:val="single" w:color="auto" w:sz="4" w:space="0"/>
              <w:right w:val="nil"/>
            </w:tcBorders>
            <w:tcMar>
              <w:top w:w="0" w:type="dxa"/>
              <w:left w:w="0" w:type="dxa"/>
              <w:bottom w:w="0" w:type="dxa"/>
              <w:right w:w="28" w:type="dxa"/>
            </w:tcMar>
          </w:tcPr>
          <w:p w14:paraId="7312467B">
            <w:pPr>
              <w:overflowPunct w:val="0"/>
              <w:rPr>
                <w:rFonts w:hint="default" w:ascii="Calibri" w:hAnsi="Calibri" w:eastAsia="楷体_GB2312" w:cs="Calibri"/>
                <w:b/>
                <w:sz w:val="18"/>
                <w:szCs w:val="18"/>
                <w:lang w:val="zh-CN"/>
              </w:rPr>
            </w:pPr>
            <w:r>
              <w:rPr>
                <w:rFonts w:hint="default" w:ascii="Calibri" w:hAnsi="Calibri" w:eastAsia="楷体_GB2312" w:cs="Calibri"/>
                <w:b/>
                <w:sz w:val="18"/>
                <w:szCs w:val="18"/>
                <w:lang w:val="zh-CN"/>
              </w:rPr>
              <w:t>图</w:t>
            </w:r>
            <w:r>
              <w:rPr>
                <w:rFonts w:hint="default" w:ascii="Calibri" w:hAnsi="Calibri" w:eastAsia="楷体_GB2312" w:cs="Calibri"/>
                <w:b/>
                <w:sz w:val="18"/>
                <w:szCs w:val="18"/>
                <w:lang w:val="en-US" w:eastAsia="zh-CN"/>
              </w:rPr>
              <w:t>27</w:t>
            </w:r>
            <w:r>
              <w:rPr>
                <w:rFonts w:hint="default" w:ascii="Calibri" w:hAnsi="Calibri" w:eastAsia="楷体_GB2312" w:cs="Calibri"/>
                <w:b/>
                <w:sz w:val="18"/>
                <w:szCs w:val="18"/>
                <w:lang w:val="zh-CN"/>
              </w:rPr>
              <w:t>：2025年</w:t>
            </w:r>
            <w:r>
              <w:rPr>
                <w:rFonts w:hint="default" w:ascii="Calibri" w:hAnsi="Calibri" w:eastAsia="楷体_GB2312" w:cs="Calibri"/>
                <w:b/>
                <w:sz w:val="18"/>
                <w:szCs w:val="18"/>
                <w:lang w:val="en-US" w:eastAsia="zh-CN"/>
              </w:rPr>
              <w:t>11</w:t>
            </w:r>
            <w:r>
              <w:rPr>
                <w:rFonts w:hint="default" w:ascii="Calibri" w:hAnsi="Calibri" w:eastAsia="楷体_GB2312" w:cs="Calibri"/>
                <w:b/>
                <w:sz w:val="18"/>
                <w:szCs w:val="18"/>
                <w:lang w:val="zh-CN"/>
              </w:rPr>
              <w:t>月退役装机</w:t>
            </w:r>
          </w:p>
        </w:tc>
      </w:tr>
      <w:tr w14:paraId="23DA7919">
        <w:tblPrEx>
          <w:tblCellMar>
            <w:top w:w="0" w:type="dxa"/>
            <w:left w:w="108" w:type="dxa"/>
            <w:bottom w:w="0" w:type="dxa"/>
            <w:right w:w="108" w:type="dxa"/>
          </w:tblCellMar>
        </w:tblPrEx>
        <w:trPr>
          <w:trHeight w:val="3109" w:hRule="atLeast"/>
          <w:jc w:val="right"/>
        </w:trPr>
        <w:tc>
          <w:tcPr>
            <w:tcW w:w="5103" w:type="dxa"/>
            <w:tcBorders>
              <w:top w:val="single" w:color="auto" w:sz="4" w:space="0"/>
              <w:left w:val="nil"/>
              <w:bottom w:val="single" w:color="auto" w:sz="4" w:space="0"/>
              <w:right w:val="nil"/>
            </w:tcBorders>
            <w:tcMar>
              <w:top w:w="0" w:type="dxa"/>
              <w:left w:w="0" w:type="dxa"/>
              <w:bottom w:w="0" w:type="dxa"/>
              <w:right w:w="28" w:type="dxa"/>
            </w:tcMar>
            <w:vAlign w:val="center"/>
          </w:tcPr>
          <w:p w14:paraId="2E655FB3">
            <w:pPr>
              <w:overflowPunct w:val="0"/>
              <w:spacing w:before="48" w:beforeLines="20" w:after="48" w:afterLines="20"/>
              <w:jc w:val="center"/>
              <w:textAlignment w:val="center"/>
              <w:rPr>
                <w:rFonts w:hint="default" w:ascii="Calibri" w:hAnsi="Calibri" w:eastAsia="楷体_GB2312" w:cs="Calibri"/>
                <w:b/>
                <w:color w:val="000000"/>
                <w:sz w:val="15"/>
                <w:szCs w:val="15"/>
              </w:rPr>
            </w:pPr>
            <w:r>
              <w:rPr>
                <w:rFonts w:hint="default" w:ascii="Calibri" w:hAnsi="Calibri" w:eastAsia="楷体_GB2312" w:cs="Calibri"/>
                <w:b/>
                <w:color w:val="000000"/>
                <w:sz w:val="15"/>
                <w:szCs w:val="15"/>
              </w:rPr>
              <w:drawing>
                <wp:inline distT="0" distB="0" distL="114300" distR="114300">
                  <wp:extent cx="2921000" cy="2434590"/>
                  <wp:effectExtent l="0" t="0" r="5080" b="3810"/>
                  <wp:docPr id="43" name="图片 43" descr="502882e8320e3d8856c371980377f6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descr="502882e8320e3d8856c371980377f602"/>
                          <pic:cNvPicPr>
                            <a:picLocks noChangeAspect="1"/>
                          </pic:cNvPicPr>
                        </pic:nvPicPr>
                        <pic:blipFill>
                          <a:blip r:embed="rId39"/>
                          <a:stretch>
                            <a:fillRect/>
                          </a:stretch>
                        </pic:blipFill>
                        <pic:spPr>
                          <a:xfrm>
                            <a:off x="0" y="0"/>
                            <a:ext cx="2921000" cy="2434590"/>
                          </a:xfrm>
                          <a:prstGeom prst="rect">
                            <a:avLst/>
                          </a:prstGeom>
                        </pic:spPr>
                      </pic:pic>
                    </a:graphicData>
                  </a:graphic>
                </wp:inline>
              </w:drawing>
            </w:r>
          </w:p>
        </w:tc>
        <w:tc>
          <w:tcPr>
            <w:tcW w:w="238" w:type="dxa"/>
            <w:tcBorders>
              <w:top w:val="nil"/>
              <w:left w:val="nil"/>
              <w:bottom w:val="nil"/>
              <w:right w:val="nil"/>
            </w:tcBorders>
            <w:tcMar>
              <w:top w:w="0" w:type="dxa"/>
              <w:left w:w="0" w:type="dxa"/>
              <w:bottom w:w="0" w:type="dxa"/>
              <w:right w:w="28" w:type="dxa"/>
            </w:tcMar>
          </w:tcPr>
          <w:p w14:paraId="021522E8">
            <w:pPr>
              <w:overflowPunct w:val="0"/>
              <w:spacing w:before="48" w:beforeLines="20" w:after="48" w:afterLines="20"/>
              <w:rPr>
                <w:rFonts w:hint="default" w:ascii="Calibri" w:hAnsi="Calibri" w:eastAsia="楷体_GB2312" w:cs="Calibri"/>
                <w:sz w:val="15"/>
                <w:szCs w:val="15"/>
              </w:rPr>
            </w:pPr>
          </w:p>
        </w:tc>
        <w:tc>
          <w:tcPr>
            <w:tcW w:w="5149" w:type="dxa"/>
            <w:tcBorders>
              <w:top w:val="single" w:color="auto" w:sz="4" w:space="0"/>
              <w:left w:val="nil"/>
              <w:bottom w:val="single" w:color="auto" w:sz="4" w:space="0"/>
              <w:right w:val="nil"/>
            </w:tcBorders>
            <w:tcMar>
              <w:top w:w="0" w:type="dxa"/>
              <w:left w:w="0" w:type="dxa"/>
              <w:bottom w:w="0" w:type="dxa"/>
              <w:right w:w="28" w:type="dxa"/>
            </w:tcMar>
          </w:tcPr>
          <w:p w14:paraId="7FE8DFB1">
            <w:pPr>
              <w:overflowPunct w:val="0"/>
              <w:spacing w:before="48" w:beforeLines="20" w:after="48" w:afterLines="20"/>
              <w:jc w:val="center"/>
              <w:rPr>
                <w:rFonts w:hint="default" w:ascii="Calibri" w:hAnsi="Calibri" w:eastAsia="楷体_GB2312" w:cs="Calibri"/>
                <w:b/>
                <w:sz w:val="15"/>
                <w:szCs w:val="15"/>
              </w:rPr>
            </w:pPr>
            <w:r>
              <w:rPr>
                <w:rFonts w:hint="default" w:ascii="Calibri" w:hAnsi="Calibri" w:eastAsia="楷体_GB2312" w:cs="Calibri"/>
                <w:b/>
                <w:sz w:val="15"/>
                <w:szCs w:val="15"/>
              </w:rPr>
              <w:drawing>
                <wp:inline distT="0" distB="0" distL="114300" distR="114300">
                  <wp:extent cx="2865755" cy="2388235"/>
                  <wp:effectExtent l="0" t="0" r="14605" b="4445"/>
                  <wp:docPr id="44" name="图片 44" descr="e178506fbc6268571181f61e53469a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e178506fbc6268571181f61e53469a9b"/>
                          <pic:cNvPicPr>
                            <a:picLocks noChangeAspect="1"/>
                          </pic:cNvPicPr>
                        </pic:nvPicPr>
                        <pic:blipFill>
                          <a:blip r:embed="rId40"/>
                          <a:stretch>
                            <a:fillRect/>
                          </a:stretch>
                        </pic:blipFill>
                        <pic:spPr>
                          <a:xfrm>
                            <a:off x="0" y="0"/>
                            <a:ext cx="2865755" cy="2388235"/>
                          </a:xfrm>
                          <a:prstGeom prst="rect">
                            <a:avLst/>
                          </a:prstGeom>
                        </pic:spPr>
                      </pic:pic>
                    </a:graphicData>
                  </a:graphic>
                </wp:inline>
              </w:drawing>
            </w:r>
          </w:p>
        </w:tc>
      </w:tr>
      <w:tr w14:paraId="27E9B8A8">
        <w:tblPrEx>
          <w:tblCellMar>
            <w:top w:w="0" w:type="dxa"/>
            <w:left w:w="108" w:type="dxa"/>
            <w:bottom w:w="0" w:type="dxa"/>
            <w:right w:w="108" w:type="dxa"/>
          </w:tblCellMar>
        </w:tblPrEx>
        <w:trPr>
          <w:jc w:val="right"/>
        </w:trPr>
        <w:tc>
          <w:tcPr>
            <w:tcW w:w="5103" w:type="dxa"/>
            <w:tcBorders>
              <w:top w:val="single" w:color="auto" w:sz="4" w:space="0"/>
              <w:left w:val="nil"/>
              <w:bottom w:val="nil"/>
              <w:right w:val="nil"/>
            </w:tcBorders>
            <w:tcMar>
              <w:top w:w="0" w:type="dxa"/>
              <w:left w:w="0" w:type="dxa"/>
              <w:bottom w:w="0" w:type="dxa"/>
              <w:right w:w="28" w:type="dxa"/>
            </w:tcMar>
            <w:vAlign w:val="center"/>
          </w:tcPr>
          <w:p w14:paraId="0F647EF0">
            <w:pPr>
              <w:overflowPunct w:val="0"/>
              <w:spacing w:before="48" w:beforeLines="20" w:after="48" w:afterLines="20"/>
              <w:textAlignment w:val="center"/>
              <w:rPr>
                <w:rFonts w:hint="default" w:ascii="Calibri" w:hAnsi="Calibri" w:eastAsia="楷体_GB2312" w:cs="Calibri"/>
                <w:sz w:val="10"/>
                <w:szCs w:val="10"/>
                <w:lang w:eastAsia="zh-CN"/>
              </w:rPr>
            </w:pPr>
            <w:r>
              <w:rPr>
                <w:rFonts w:hint="default" w:ascii="Calibri" w:hAnsi="Calibri" w:eastAsia="楷体_GB2312" w:cs="Calibri"/>
                <w:i/>
                <w:iCs/>
                <w:lang w:val="zh-CN" w:eastAsia="zh-CN"/>
              </w:rPr>
              <w:t>资料来源：EIA，HFI</w:t>
            </w:r>
          </w:p>
        </w:tc>
        <w:tc>
          <w:tcPr>
            <w:tcW w:w="238" w:type="dxa"/>
            <w:tcBorders>
              <w:top w:val="nil"/>
              <w:left w:val="nil"/>
              <w:bottom w:val="nil"/>
              <w:right w:val="nil"/>
            </w:tcBorders>
            <w:tcMar>
              <w:top w:w="0" w:type="dxa"/>
              <w:left w:w="0" w:type="dxa"/>
              <w:bottom w:w="0" w:type="dxa"/>
              <w:right w:w="28" w:type="dxa"/>
            </w:tcMar>
          </w:tcPr>
          <w:p w14:paraId="1D668246">
            <w:pPr>
              <w:overflowPunct w:val="0"/>
              <w:spacing w:before="48" w:beforeLines="20" w:after="48" w:afterLines="20"/>
              <w:rPr>
                <w:rFonts w:hint="default" w:ascii="Calibri" w:hAnsi="Calibri" w:eastAsia="楷体_GB2312" w:cs="Calibri"/>
                <w:sz w:val="15"/>
                <w:szCs w:val="15"/>
                <w:lang w:eastAsia="zh-CN"/>
              </w:rPr>
            </w:pPr>
          </w:p>
        </w:tc>
        <w:tc>
          <w:tcPr>
            <w:tcW w:w="5149" w:type="dxa"/>
            <w:tcBorders>
              <w:top w:val="single" w:color="auto" w:sz="4" w:space="0"/>
              <w:left w:val="nil"/>
              <w:bottom w:val="nil"/>
              <w:right w:val="nil"/>
            </w:tcBorders>
            <w:tcMar>
              <w:top w:w="0" w:type="dxa"/>
              <w:left w:w="0" w:type="dxa"/>
              <w:bottom w:w="0" w:type="dxa"/>
              <w:right w:w="28" w:type="dxa"/>
            </w:tcMar>
          </w:tcPr>
          <w:p w14:paraId="00A07D0B">
            <w:pPr>
              <w:overflowPunct w:val="0"/>
              <w:spacing w:before="48" w:beforeLines="20" w:after="48" w:afterLines="20"/>
              <w:rPr>
                <w:rFonts w:hint="default" w:ascii="Calibri" w:hAnsi="Calibri" w:eastAsia="楷体_GB2312" w:cs="Calibri"/>
                <w:sz w:val="10"/>
                <w:szCs w:val="10"/>
                <w:lang w:eastAsia="zh-CN"/>
              </w:rPr>
            </w:pPr>
            <w:r>
              <w:rPr>
                <w:rFonts w:hint="default" w:ascii="Calibri" w:hAnsi="Calibri" w:eastAsia="楷体_GB2312" w:cs="Calibri"/>
                <w:i/>
                <w:iCs/>
                <w:lang w:val="zh-CN" w:eastAsia="zh-CN"/>
              </w:rPr>
              <w:t>资料来源：EIA，HFI</w:t>
            </w:r>
          </w:p>
        </w:tc>
      </w:tr>
    </w:tbl>
    <w:p w14:paraId="4C5DDE92">
      <w:pPr>
        <w:overflowPunct w:val="0"/>
        <w:ind w:left="3200" w:leftChars="2000"/>
        <w:jc w:val="both"/>
        <w:rPr>
          <w:rFonts w:hint="default" w:ascii="Calibri" w:hAnsi="Calibri" w:eastAsia="楷体_GB2312" w:cs="Calibri"/>
          <w:sz w:val="20"/>
          <w:szCs w:val="20"/>
          <w:lang w:val="en-US" w:eastAsia="zh-CN"/>
        </w:rPr>
      </w:pPr>
    </w:p>
    <w:p w14:paraId="48306EB4">
      <w:pPr>
        <w:overflowPunct w:val="0"/>
        <w:ind w:left="3200" w:leftChars="2000"/>
        <w:jc w:val="both"/>
        <w:rPr>
          <w:rFonts w:hint="default" w:ascii="Calibri" w:hAnsi="Calibri" w:eastAsia="楷体_GB2312" w:cs="Calibri"/>
          <w:sz w:val="20"/>
          <w:szCs w:val="20"/>
          <w:lang w:eastAsia="zh-CN"/>
        </w:rPr>
      </w:pPr>
    </w:p>
    <w:p w14:paraId="0513C184">
      <w:pPr>
        <w:overflowPunct w:val="0"/>
        <w:ind w:left="3200" w:leftChars="2000"/>
        <w:jc w:val="both"/>
        <w:rPr>
          <w:rFonts w:hint="default" w:ascii="Calibri" w:hAnsi="Calibri" w:eastAsia="楷体_GB2312" w:cs="Calibri"/>
          <w:b/>
          <w:bCs/>
          <w:sz w:val="20"/>
          <w:szCs w:val="20"/>
          <w:lang w:val="en-US" w:eastAsia="zh-CN"/>
        </w:rPr>
      </w:pPr>
      <w:r>
        <w:rPr>
          <w:rFonts w:hint="default" w:ascii="Calibri" w:hAnsi="Calibri" w:eastAsia="楷体_GB2312" w:cs="Calibri"/>
          <w:b/>
          <w:bCs/>
          <w:sz w:val="20"/>
          <w:szCs w:val="20"/>
          <w:lang w:val="en-US" w:eastAsia="zh-CN"/>
        </w:rPr>
        <w:t>各电力市场动态方面:</w:t>
      </w:r>
    </w:p>
    <w:p w14:paraId="61F39B6D">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CAISO：</w:t>
      </w:r>
      <w:r>
        <w:rPr>
          <w:rFonts w:hint="default" w:ascii="Calibri" w:hAnsi="Calibri" w:eastAsia="楷体_GB2312" w:cs="Calibri"/>
          <w:sz w:val="20"/>
          <w:szCs w:val="20"/>
          <w:lang w:val="en-US" w:eastAsia="zh-CN"/>
        </w:rPr>
        <w:t>2025年12月加州电网峰值负荷达31,455兆瓦（同比+2.9%），当月风光联合出力峰值11,078兆瓦；全年光伏最高21,774兆瓦，风光联合出力峰值25,744兆瓦，但风电峰值仍未突破2022年记录，凸显季节性风况制约。</w:t>
      </w:r>
    </w:p>
    <w:p w14:paraId="599E8075">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截至2026年1月，CAISO电池储能装机达15,809兆瓦（较2025年5月+22.6%），可再生能源总装机34,181兆瓦（太阳能占65.7%、风能24.4%），资源充足性净合格容量54,477兆瓦。</w:t>
      </w:r>
    </w:p>
    <w:p w14:paraId="30B2FCDE">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12月净进口电量峰值19,592兆瓦（同比+26.3%），冬季电力输入依赖度上升；10月录得3小时净负荷爬坡率24,378兆瓦历史新高，西部能源不平衡市场（WEIM）成为应对灵活性缺口的关键工具——目前覆盖11州22个参与方，自2014年累计创造经济效益78.2亿美元。</w:t>
      </w:r>
    </w:p>
    <w:p w14:paraId="5D9BADDC">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2025年三季度WEIM避免弃风弃光33,227兆瓦时，减排14,221吨CO₂；累计避免弃电266万兆瓦时，累计减排113.8万吨CO₂，支撑加州2045年碳中和目标。</w:t>
      </w:r>
    </w:p>
    <w:p w14:paraId="3869A943">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系统服务3,200万消费者（覆盖加州80%电力需求），2024年负荷服务总量241.8亿千瓦时，运营2.6万英里输电线路，协调333家市场参与者。</w:t>
      </w:r>
    </w:p>
    <w:tbl>
      <w:tblPr>
        <w:tblStyle w:val="26"/>
        <w:tblpPr w:leftFromText="180" w:rightFromText="180" w:vertAnchor="text" w:horzAnchor="margin" w:tblpXSpec="right" w:tblpY="252"/>
        <w:tblW w:w="10490" w:type="dxa"/>
        <w:tblInd w:w="0" w:type="dxa"/>
        <w:tblLayout w:type="fixed"/>
        <w:tblCellMar>
          <w:top w:w="0" w:type="dxa"/>
          <w:left w:w="108" w:type="dxa"/>
          <w:bottom w:w="0" w:type="dxa"/>
          <w:right w:w="108" w:type="dxa"/>
        </w:tblCellMar>
      </w:tblPr>
      <w:tblGrid>
        <w:gridCol w:w="5103"/>
        <w:gridCol w:w="238"/>
        <w:gridCol w:w="5149"/>
      </w:tblGrid>
      <w:tr w14:paraId="2F9C5985">
        <w:tblPrEx>
          <w:tblCellMar>
            <w:top w:w="0" w:type="dxa"/>
            <w:left w:w="108" w:type="dxa"/>
            <w:bottom w:w="0" w:type="dxa"/>
            <w:right w:w="108" w:type="dxa"/>
          </w:tblCellMar>
        </w:tblPrEx>
        <w:trPr>
          <w:trHeight w:val="227" w:hRule="atLeast"/>
        </w:trPr>
        <w:tc>
          <w:tcPr>
            <w:tcW w:w="5103" w:type="dxa"/>
            <w:tcBorders>
              <w:top w:val="nil"/>
              <w:left w:val="nil"/>
              <w:bottom w:val="single" w:color="auto" w:sz="4" w:space="0"/>
              <w:right w:val="nil"/>
            </w:tcBorders>
            <w:tcMar>
              <w:top w:w="0" w:type="dxa"/>
              <w:left w:w="0" w:type="dxa"/>
              <w:bottom w:w="0" w:type="dxa"/>
              <w:right w:w="28" w:type="dxa"/>
            </w:tcMar>
          </w:tcPr>
          <w:p w14:paraId="488F4F19">
            <w:pPr>
              <w:overflowPunct w:val="0"/>
              <w:rPr>
                <w:rFonts w:hint="default" w:ascii="Calibri" w:hAnsi="Calibri" w:eastAsia="楷体_GB2312" w:cs="Calibri"/>
                <w:b/>
                <w:sz w:val="18"/>
                <w:szCs w:val="18"/>
                <w:lang w:val="zh-CN" w:eastAsia="zh-CN"/>
              </w:rPr>
            </w:pPr>
            <w:r>
              <w:rPr>
                <w:rFonts w:hint="default" w:ascii="Calibri" w:hAnsi="Calibri" w:eastAsia="楷体_GB2312" w:cs="Calibri"/>
                <w:b/>
                <w:sz w:val="18"/>
                <w:szCs w:val="18"/>
                <w:lang w:val="zh-CN" w:eastAsia="zh-CN"/>
              </w:rPr>
              <w:t>图</w:t>
            </w:r>
            <w:r>
              <w:rPr>
                <w:rFonts w:hint="default" w:ascii="Calibri" w:hAnsi="Calibri" w:eastAsia="楷体_GB2312" w:cs="Calibri"/>
                <w:b/>
                <w:sz w:val="18"/>
                <w:szCs w:val="18"/>
                <w:lang w:val="en-US" w:eastAsia="zh-CN"/>
              </w:rPr>
              <w:t>28</w:t>
            </w:r>
            <w:r>
              <w:rPr>
                <w:rFonts w:hint="default" w:ascii="Calibri" w:hAnsi="Calibri" w:eastAsia="楷体_GB2312" w:cs="Calibri"/>
                <w:b/>
                <w:sz w:val="18"/>
                <w:szCs w:val="18"/>
                <w:lang w:val="zh-CN" w:eastAsia="zh-CN"/>
              </w:rPr>
              <w:t>：2025年</w:t>
            </w:r>
            <w:r>
              <w:rPr>
                <w:rFonts w:hint="default" w:ascii="Calibri" w:hAnsi="Calibri" w:eastAsia="楷体_GB2312" w:cs="Calibri"/>
                <w:b/>
                <w:sz w:val="18"/>
                <w:szCs w:val="18"/>
                <w:lang w:val="en-US" w:eastAsia="zh-CN"/>
              </w:rPr>
              <w:t>12</w:t>
            </w:r>
            <w:r>
              <w:rPr>
                <w:rFonts w:hint="default" w:ascii="Calibri" w:hAnsi="Calibri" w:eastAsia="楷体_GB2312" w:cs="Calibri"/>
                <w:b/>
                <w:sz w:val="18"/>
                <w:szCs w:val="18"/>
                <w:lang w:val="zh-CN" w:eastAsia="zh-CN"/>
              </w:rPr>
              <w:t>月各项峰值数据</w:t>
            </w:r>
          </w:p>
        </w:tc>
        <w:tc>
          <w:tcPr>
            <w:tcW w:w="238" w:type="dxa"/>
            <w:tcBorders>
              <w:top w:val="nil"/>
              <w:left w:val="nil"/>
              <w:bottom w:val="nil"/>
              <w:right w:val="nil"/>
            </w:tcBorders>
            <w:tcMar>
              <w:top w:w="0" w:type="dxa"/>
              <w:left w:w="0" w:type="dxa"/>
              <w:bottom w:w="0" w:type="dxa"/>
              <w:right w:w="28" w:type="dxa"/>
            </w:tcMar>
          </w:tcPr>
          <w:p w14:paraId="3CDA512B">
            <w:pPr>
              <w:overflowPunct w:val="0"/>
              <w:rPr>
                <w:rFonts w:hint="default" w:ascii="Calibri" w:hAnsi="Calibri" w:eastAsia="楷体_GB2312" w:cs="Calibri"/>
                <w:b/>
                <w:sz w:val="18"/>
                <w:szCs w:val="18"/>
                <w:lang w:val="zh-CN" w:eastAsia="zh-CN"/>
              </w:rPr>
            </w:pPr>
          </w:p>
        </w:tc>
        <w:tc>
          <w:tcPr>
            <w:tcW w:w="5149" w:type="dxa"/>
            <w:tcBorders>
              <w:top w:val="nil"/>
              <w:left w:val="nil"/>
              <w:bottom w:val="single" w:color="auto" w:sz="4" w:space="0"/>
              <w:right w:val="nil"/>
            </w:tcBorders>
            <w:tcMar>
              <w:top w:w="0" w:type="dxa"/>
              <w:left w:w="0" w:type="dxa"/>
              <w:bottom w:w="0" w:type="dxa"/>
              <w:right w:w="28" w:type="dxa"/>
            </w:tcMar>
          </w:tcPr>
          <w:p w14:paraId="1E68A55B">
            <w:pPr>
              <w:overflowPunct w:val="0"/>
              <w:rPr>
                <w:rFonts w:hint="default" w:ascii="Calibri" w:hAnsi="Calibri" w:eastAsia="楷体_GB2312" w:cs="Calibri"/>
                <w:b/>
                <w:sz w:val="18"/>
                <w:szCs w:val="18"/>
                <w:lang w:val="zh-CN" w:eastAsia="zh-CN"/>
              </w:rPr>
            </w:pPr>
            <w:r>
              <w:rPr>
                <w:rFonts w:hint="default" w:ascii="Calibri" w:hAnsi="Calibri" w:eastAsia="楷体_GB2312" w:cs="Calibri"/>
                <w:b/>
                <w:sz w:val="18"/>
                <w:szCs w:val="18"/>
                <w:lang w:val="zh-CN" w:eastAsia="zh-CN"/>
              </w:rPr>
              <w:t>图</w:t>
            </w:r>
            <w:r>
              <w:rPr>
                <w:rFonts w:hint="default" w:ascii="Calibri" w:hAnsi="Calibri" w:eastAsia="楷体_GB2312" w:cs="Calibri"/>
                <w:b/>
                <w:sz w:val="18"/>
                <w:szCs w:val="18"/>
                <w:lang w:val="en-US" w:eastAsia="zh-CN"/>
              </w:rPr>
              <w:t>29</w:t>
            </w:r>
            <w:r>
              <w:rPr>
                <w:rFonts w:hint="default" w:ascii="Calibri" w:hAnsi="Calibri" w:eastAsia="楷体_GB2312" w:cs="Calibri"/>
                <w:b/>
                <w:sz w:val="18"/>
                <w:szCs w:val="18"/>
                <w:lang w:val="zh-CN" w:eastAsia="zh-CN"/>
              </w:rPr>
              <w:t>：历史统计与纪录（截至202</w:t>
            </w:r>
            <w:r>
              <w:rPr>
                <w:rFonts w:hint="default" w:ascii="Calibri" w:hAnsi="Calibri" w:eastAsia="楷体_GB2312" w:cs="Calibri"/>
                <w:b/>
                <w:sz w:val="18"/>
                <w:szCs w:val="18"/>
                <w:lang w:val="en-US" w:eastAsia="zh-CN"/>
              </w:rPr>
              <w:t>6</w:t>
            </w:r>
            <w:r>
              <w:rPr>
                <w:rFonts w:hint="default" w:ascii="Calibri" w:hAnsi="Calibri" w:eastAsia="楷体_GB2312" w:cs="Calibri"/>
                <w:b/>
                <w:sz w:val="18"/>
                <w:szCs w:val="18"/>
                <w:lang w:val="zh-CN" w:eastAsia="zh-CN"/>
              </w:rPr>
              <w:t>年</w:t>
            </w:r>
            <w:r>
              <w:rPr>
                <w:rFonts w:hint="default" w:ascii="Calibri" w:hAnsi="Calibri" w:eastAsia="楷体_GB2312" w:cs="Calibri"/>
                <w:b/>
                <w:sz w:val="18"/>
                <w:szCs w:val="18"/>
                <w:lang w:val="en-US" w:eastAsia="zh-CN"/>
              </w:rPr>
              <w:t>1</w:t>
            </w:r>
            <w:r>
              <w:rPr>
                <w:rFonts w:hint="default" w:ascii="Calibri" w:hAnsi="Calibri" w:eastAsia="楷体_GB2312" w:cs="Calibri"/>
                <w:b/>
                <w:sz w:val="18"/>
                <w:szCs w:val="18"/>
                <w:lang w:val="zh-CN" w:eastAsia="zh-CN"/>
              </w:rPr>
              <w:t>月</w:t>
            </w:r>
            <w:r>
              <w:rPr>
                <w:rFonts w:hint="default" w:ascii="Calibri" w:hAnsi="Calibri" w:eastAsia="楷体_GB2312" w:cs="Calibri"/>
                <w:b/>
                <w:sz w:val="18"/>
                <w:szCs w:val="18"/>
                <w:lang w:val="en-US" w:eastAsia="zh-CN"/>
              </w:rPr>
              <w:t>15</w:t>
            </w:r>
            <w:r>
              <w:rPr>
                <w:rFonts w:hint="default" w:ascii="Calibri" w:hAnsi="Calibri" w:eastAsia="楷体_GB2312" w:cs="Calibri"/>
                <w:b/>
                <w:sz w:val="18"/>
                <w:szCs w:val="18"/>
                <w:lang w:val="zh-CN" w:eastAsia="zh-CN"/>
              </w:rPr>
              <w:t>日）</w:t>
            </w:r>
          </w:p>
        </w:tc>
      </w:tr>
      <w:tr w14:paraId="241CBD1B">
        <w:tblPrEx>
          <w:tblCellMar>
            <w:top w:w="0" w:type="dxa"/>
            <w:left w:w="108" w:type="dxa"/>
            <w:bottom w:w="0" w:type="dxa"/>
            <w:right w:w="108" w:type="dxa"/>
          </w:tblCellMar>
        </w:tblPrEx>
        <w:trPr>
          <w:trHeight w:val="2081" w:hRule="atLeast"/>
        </w:trPr>
        <w:tc>
          <w:tcPr>
            <w:tcW w:w="5103" w:type="dxa"/>
            <w:tcBorders>
              <w:top w:val="single" w:color="auto" w:sz="4" w:space="0"/>
              <w:left w:val="nil"/>
              <w:bottom w:val="single" w:color="auto" w:sz="4" w:space="0"/>
              <w:right w:val="nil"/>
            </w:tcBorders>
            <w:tcMar>
              <w:top w:w="0" w:type="dxa"/>
              <w:left w:w="0" w:type="dxa"/>
              <w:bottom w:w="0" w:type="dxa"/>
              <w:right w:w="28" w:type="dxa"/>
            </w:tcMar>
            <w:vAlign w:val="center"/>
          </w:tcPr>
          <w:p w14:paraId="1C230568">
            <w:pPr>
              <w:overflowPunct w:val="0"/>
              <w:spacing w:before="48" w:beforeLines="20" w:after="48" w:afterLines="20"/>
              <w:jc w:val="center"/>
              <w:textAlignment w:val="center"/>
              <w:rPr>
                <w:rFonts w:hint="default" w:ascii="Calibri" w:hAnsi="Calibri" w:eastAsia="楷体_GB2312" w:cs="Calibri"/>
                <w:b/>
                <w:color w:val="000000"/>
                <w:sz w:val="15"/>
                <w:szCs w:val="15"/>
              </w:rPr>
            </w:pPr>
            <w:r>
              <w:rPr>
                <w:rFonts w:hint="default" w:ascii="Calibri" w:hAnsi="Calibri" w:eastAsia="楷体_GB2312" w:cs="Calibri"/>
                <w:b/>
                <w:color w:val="000000"/>
                <w:sz w:val="15"/>
                <w:szCs w:val="15"/>
              </w:rPr>
              <w:drawing>
                <wp:inline distT="0" distB="0" distL="114300" distR="114300">
                  <wp:extent cx="2520315" cy="1492250"/>
                  <wp:effectExtent l="0" t="0" r="6985" b="6350"/>
                  <wp:docPr id="27" name="图片 27" descr="a28b4ac30890f0f7c67fc3202525fa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a28b4ac30890f0f7c67fc3202525faad"/>
                          <pic:cNvPicPr>
                            <a:picLocks noChangeAspect="1"/>
                          </pic:cNvPicPr>
                        </pic:nvPicPr>
                        <pic:blipFill>
                          <a:blip r:embed="rId41"/>
                          <a:stretch>
                            <a:fillRect/>
                          </a:stretch>
                        </pic:blipFill>
                        <pic:spPr>
                          <a:xfrm>
                            <a:off x="0" y="0"/>
                            <a:ext cx="2520315" cy="1492250"/>
                          </a:xfrm>
                          <a:prstGeom prst="rect">
                            <a:avLst/>
                          </a:prstGeom>
                        </pic:spPr>
                      </pic:pic>
                    </a:graphicData>
                  </a:graphic>
                </wp:inline>
              </w:drawing>
            </w:r>
          </w:p>
        </w:tc>
        <w:tc>
          <w:tcPr>
            <w:tcW w:w="238" w:type="dxa"/>
            <w:tcBorders>
              <w:top w:val="nil"/>
              <w:left w:val="nil"/>
              <w:bottom w:val="nil"/>
              <w:right w:val="nil"/>
            </w:tcBorders>
            <w:tcMar>
              <w:top w:w="0" w:type="dxa"/>
              <w:left w:w="0" w:type="dxa"/>
              <w:bottom w:w="0" w:type="dxa"/>
              <w:right w:w="28" w:type="dxa"/>
            </w:tcMar>
          </w:tcPr>
          <w:p w14:paraId="06932234">
            <w:pPr>
              <w:overflowPunct w:val="0"/>
              <w:spacing w:before="48" w:beforeLines="20" w:after="48" w:afterLines="20"/>
              <w:rPr>
                <w:rFonts w:hint="default" w:ascii="Calibri" w:hAnsi="Calibri" w:eastAsia="楷体_GB2312" w:cs="Calibri"/>
                <w:sz w:val="15"/>
                <w:szCs w:val="15"/>
              </w:rPr>
            </w:pPr>
          </w:p>
        </w:tc>
        <w:tc>
          <w:tcPr>
            <w:tcW w:w="5149" w:type="dxa"/>
            <w:tcBorders>
              <w:top w:val="single" w:color="auto" w:sz="4" w:space="0"/>
              <w:left w:val="nil"/>
              <w:bottom w:val="single" w:color="auto" w:sz="4" w:space="0"/>
              <w:right w:val="nil"/>
            </w:tcBorders>
            <w:tcMar>
              <w:top w:w="0" w:type="dxa"/>
              <w:left w:w="0" w:type="dxa"/>
              <w:bottom w:w="0" w:type="dxa"/>
              <w:right w:w="28" w:type="dxa"/>
            </w:tcMar>
          </w:tcPr>
          <w:p w14:paraId="5593D9F0">
            <w:pPr>
              <w:overflowPunct w:val="0"/>
              <w:spacing w:before="48" w:beforeLines="20" w:after="48" w:afterLines="20"/>
              <w:jc w:val="center"/>
              <w:rPr>
                <w:rFonts w:hint="default" w:ascii="Calibri" w:hAnsi="Calibri" w:eastAsia="楷体_GB2312" w:cs="Calibri"/>
                <w:b/>
                <w:sz w:val="15"/>
                <w:szCs w:val="15"/>
              </w:rPr>
            </w:pPr>
            <w:r>
              <w:rPr>
                <w:rFonts w:hint="default" w:ascii="Calibri" w:hAnsi="Calibri" w:eastAsia="楷体_GB2312" w:cs="Calibri"/>
                <w:b/>
                <w:sz w:val="15"/>
                <w:szCs w:val="15"/>
              </w:rPr>
              <w:drawing>
                <wp:inline distT="0" distB="0" distL="114300" distR="114300">
                  <wp:extent cx="3192780" cy="1359535"/>
                  <wp:effectExtent l="0" t="0" r="7620" b="12065"/>
                  <wp:docPr id="28" name="图片 28" descr="ee2719b50fa3ab4142dedba4ca5b21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ee2719b50fa3ab4142dedba4ca5b21a2"/>
                          <pic:cNvPicPr>
                            <a:picLocks noChangeAspect="1"/>
                          </pic:cNvPicPr>
                        </pic:nvPicPr>
                        <pic:blipFill>
                          <a:blip r:embed="rId42"/>
                          <a:stretch>
                            <a:fillRect/>
                          </a:stretch>
                        </pic:blipFill>
                        <pic:spPr>
                          <a:xfrm>
                            <a:off x="0" y="0"/>
                            <a:ext cx="3192780" cy="1359535"/>
                          </a:xfrm>
                          <a:prstGeom prst="rect">
                            <a:avLst/>
                          </a:prstGeom>
                        </pic:spPr>
                      </pic:pic>
                    </a:graphicData>
                  </a:graphic>
                </wp:inline>
              </w:drawing>
            </w:r>
          </w:p>
        </w:tc>
      </w:tr>
      <w:tr w14:paraId="086AA8F0">
        <w:tblPrEx>
          <w:tblCellMar>
            <w:top w:w="0" w:type="dxa"/>
            <w:left w:w="108" w:type="dxa"/>
            <w:bottom w:w="0" w:type="dxa"/>
            <w:right w:w="108" w:type="dxa"/>
          </w:tblCellMar>
        </w:tblPrEx>
        <w:trPr>
          <w:trHeight w:val="37" w:hRule="atLeast"/>
        </w:trPr>
        <w:tc>
          <w:tcPr>
            <w:tcW w:w="5103" w:type="dxa"/>
            <w:tcBorders>
              <w:top w:val="single" w:color="auto" w:sz="4" w:space="0"/>
              <w:left w:val="nil"/>
              <w:bottom w:val="nil"/>
              <w:right w:val="nil"/>
            </w:tcBorders>
            <w:tcMar>
              <w:top w:w="0" w:type="dxa"/>
              <w:left w:w="0" w:type="dxa"/>
              <w:bottom w:w="0" w:type="dxa"/>
              <w:right w:w="28" w:type="dxa"/>
            </w:tcMar>
            <w:vAlign w:val="center"/>
          </w:tcPr>
          <w:p w14:paraId="7D8F8461">
            <w:pPr>
              <w:overflowPunct w:val="0"/>
              <w:spacing w:before="48" w:beforeLines="20" w:after="48" w:afterLines="20"/>
              <w:textAlignment w:val="center"/>
              <w:rPr>
                <w:rFonts w:hint="default" w:ascii="Calibri" w:hAnsi="Calibri" w:eastAsia="楷体_GB2312" w:cs="Calibri"/>
                <w:sz w:val="10"/>
                <w:szCs w:val="10"/>
                <w:lang w:eastAsia="zh-CN"/>
              </w:rPr>
            </w:pPr>
            <w:r>
              <w:rPr>
                <w:rFonts w:hint="default" w:ascii="Calibri" w:hAnsi="Calibri" w:eastAsia="楷体_GB2312" w:cs="Calibri"/>
                <w:i/>
                <w:iCs/>
                <w:lang w:val="zh-CN" w:eastAsia="zh-CN"/>
              </w:rPr>
              <w:t>资料来源：PJM，HFI</w:t>
            </w:r>
          </w:p>
        </w:tc>
        <w:tc>
          <w:tcPr>
            <w:tcW w:w="238" w:type="dxa"/>
            <w:tcBorders>
              <w:top w:val="nil"/>
              <w:left w:val="nil"/>
              <w:bottom w:val="nil"/>
              <w:right w:val="nil"/>
            </w:tcBorders>
            <w:tcMar>
              <w:top w:w="0" w:type="dxa"/>
              <w:left w:w="0" w:type="dxa"/>
              <w:bottom w:w="0" w:type="dxa"/>
              <w:right w:w="28" w:type="dxa"/>
            </w:tcMar>
          </w:tcPr>
          <w:p w14:paraId="05D679B3">
            <w:pPr>
              <w:overflowPunct w:val="0"/>
              <w:spacing w:before="48" w:beforeLines="20" w:after="48" w:afterLines="20"/>
              <w:rPr>
                <w:rFonts w:hint="default" w:ascii="Calibri" w:hAnsi="Calibri" w:eastAsia="楷体_GB2312" w:cs="Calibri"/>
                <w:sz w:val="15"/>
                <w:szCs w:val="15"/>
                <w:lang w:eastAsia="zh-CN"/>
              </w:rPr>
            </w:pPr>
          </w:p>
        </w:tc>
        <w:tc>
          <w:tcPr>
            <w:tcW w:w="5149" w:type="dxa"/>
            <w:tcBorders>
              <w:top w:val="single" w:color="auto" w:sz="4" w:space="0"/>
              <w:left w:val="nil"/>
              <w:bottom w:val="nil"/>
              <w:right w:val="nil"/>
            </w:tcBorders>
            <w:tcMar>
              <w:top w:w="0" w:type="dxa"/>
              <w:left w:w="0" w:type="dxa"/>
              <w:bottom w:w="0" w:type="dxa"/>
              <w:right w:w="28" w:type="dxa"/>
            </w:tcMar>
          </w:tcPr>
          <w:p w14:paraId="10077044">
            <w:pPr>
              <w:overflowPunct w:val="0"/>
              <w:spacing w:before="48" w:beforeLines="20" w:after="48" w:afterLines="20"/>
              <w:rPr>
                <w:rFonts w:hint="default" w:ascii="Calibri" w:hAnsi="Calibri" w:eastAsia="楷体_GB2312" w:cs="Calibri"/>
                <w:sz w:val="10"/>
                <w:szCs w:val="10"/>
                <w:lang w:eastAsia="zh-CN"/>
              </w:rPr>
            </w:pPr>
            <w:r>
              <w:rPr>
                <w:rFonts w:hint="default" w:ascii="Calibri" w:hAnsi="Calibri" w:eastAsia="楷体_GB2312" w:cs="Calibri"/>
                <w:i/>
                <w:iCs/>
                <w:lang w:val="zh-CN" w:eastAsia="zh-CN"/>
              </w:rPr>
              <w:t>资料来源：PJM，HFI</w:t>
            </w:r>
          </w:p>
        </w:tc>
      </w:tr>
    </w:tbl>
    <w:p w14:paraId="7EDFB68E">
      <w:pPr>
        <w:overflowPunct w:val="0"/>
        <w:ind w:left="3200" w:leftChars="2000"/>
        <w:jc w:val="both"/>
        <w:rPr>
          <w:rFonts w:hint="default" w:ascii="Calibri" w:hAnsi="Calibri" w:eastAsia="楷体_GB2312" w:cs="Calibri"/>
          <w:sz w:val="20"/>
          <w:szCs w:val="20"/>
          <w:lang w:val="en-US" w:eastAsia="zh-CN"/>
        </w:rPr>
      </w:pPr>
    </w:p>
    <w:p w14:paraId="676B6EB4">
      <w:pPr>
        <w:overflowPunct w:val="0"/>
        <w:ind w:left="3200" w:leftChars="2000"/>
        <w:jc w:val="both"/>
        <w:rPr>
          <w:rFonts w:hint="default" w:ascii="Calibri" w:hAnsi="Calibri" w:eastAsia="楷体_GB2312" w:cs="Calibri"/>
          <w:sz w:val="20"/>
          <w:szCs w:val="20"/>
          <w:lang w:eastAsia="zh-CN"/>
        </w:rPr>
      </w:pPr>
    </w:p>
    <w:p w14:paraId="7EE59887">
      <w:pPr>
        <w:rPr>
          <w:rFonts w:hint="default" w:ascii="Calibri" w:hAnsi="Calibri" w:eastAsia="楷体_GB2312" w:cs="Calibri"/>
          <w:b/>
          <w:bCs/>
          <w:sz w:val="20"/>
          <w:szCs w:val="20"/>
          <w:lang w:val="en-US" w:eastAsia="zh-CN"/>
        </w:rPr>
      </w:pPr>
      <w:r>
        <w:rPr>
          <w:rFonts w:hint="default" w:ascii="Calibri" w:hAnsi="Calibri" w:eastAsia="楷体_GB2312" w:cs="Calibri"/>
          <w:b/>
          <w:bCs/>
          <w:sz w:val="20"/>
          <w:szCs w:val="20"/>
          <w:lang w:val="en-US" w:eastAsia="zh-CN"/>
        </w:rPr>
        <w:br w:type="page"/>
      </w:r>
    </w:p>
    <w:p w14:paraId="1F82D8D1">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PJM：</w:t>
      </w:r>
      <w:r>
        <w:rPr>
          <w:rFonts w:hint="default" w:ascii="Calibri" w:hAnsi="Calibri" w:eastAsia="楷体_GB2312" w:cs="Calibri"/>
          <w:sz w:val="20"/>
          <w:szCs w:val="20"/>
          <w:lang w:val="en-US" w:eastAsia="zh-CN"/>
        </w:rPr>
        <w:t>2月初PJM发布多个寒冷天气警报，旨在提前调度资源、强化防冻，应对供暖与用电需求激增。2月6日发布了1月寒冷天气运营回顾报告。</w:t>
      </w:r>
    </w:p>
    <w:p w14:paraId="79C49334">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2月12日，PJM董事会批准了多个输电项目，其中，俄亥俄州输电项目，基础设施计划包括超过300英里的新建765千伏输电线路和变电站升级，旨在提高哥伦布地区的服务可靠性。一条765千伏线路可为约200万户家庭供电，同时比多条低压替代方案占用更少的土地。</w:t>
      </w:r>
    </w:p>
    <w:p w14:paraId="05502476">
      <w:pPr>
        <w:overflowPunct w:val="0"/>
        <w:ind w:left="3200" w:leftChars="2000"/>
        <w:jc w:val="both"/>
        <w:rPr>
          <w:rFonts w:hint="default" w:ascii="Calibri" w:hAnsi="Calibri" w:eastAsia="楷体_GB2312" w:cs="Calibri"/>
          <w:sz w:val="20"/>
          <w:szCs w:val="20"/>
          <w:lang w:val="en-US" w:eastAsia="zh-CN"/>
        </w:rPr>
      </w:pPr>
    </w:p>
    <w:p w14:paraId="6E936C00">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2月18日，PJM提交了多项市场相关文件，"前瞻性豁免请求"要求将相关可变资源需求曲线的发布时间延长35天。2月20日，PJM代表AEP东部运营公司提交了退休后福利费用（PBOP）的四年度更新申报</w:t>
      </w:r>
      <w:r>
        <w:rPr>
          <w:rFonts w:hint="default" w:ascii="Calibri" w:hAnsi="Calibri" w:eastAsia="楷体_GB2312" w:cs="Calibri"/>
        </w:rPr>
        <w:fldChar w:fldCharType="begin"/>
      </w:r>
      <w:r>
        <w:rPr>
          <w:rFonts w:hint="default" w:ascii="Calibri" w:hAnsi="Calibri" w:eastAsia="楷体_GB2312" w:cs="Calibri"/>
        </w:rPr>
        <w:instrText xml:space="preserve">HYPERLINK "https://www.pjm.com/?mc_cid=dd7c3db3b0" \t "https://chat.deepseek.com/a/chat/s/_blank"</w:instrText>
      </w:r>
      <w:r>
        <w:rPr>
          <w:rFonts w:hint="default" w:ascii="Calibri" w:hAnsi="Calibri" w:eastAsia="楷体_GB2312" w:cs="Calibri"/>
        </w:rPr>
        <w:fldChar w:fldCharType="separate"/>
      </w:r>
      <w:r>
        <w:rPr>
          <w:rFonts w:hint="default" w:ascii="Calibri" w:hAnsi="Calibri" w:eastAsia="楷体_GB2312" w:cs="Calibri"/>
        </w:rPr>
        <w:fldChar w:fldCharType="end"/>
      </w:r>
      <w:r>
        <w:rPr>
          <w:rFonts w:hint="default" w:ascii="Calibri" w:hAnsi="Calibri" w:eastAsia="楷体_GB2312" w:cs="Calibri"/>
          <w:sz w:val="20"/>
          <w:szCs w:val="20"/>
          <w:lang w:val="en-US" w:eastAsia="zh-CN"/>
        </w:rPr>
        <w:t>。该更新依据FERC批准的公式费率进行，请求生效日期为2026年4月22日。</w:t>
      </w:r>
    </w:p>
    <w:p w14:paraId="28A3317D">
      <w:pPr>
        <w:overflowPunct w:val="0"/>
        <w:jc w:val="both"/>
        <w:rPr>
          <w:rFonts w:hint="default" w:ascii="Calibri" w:hAnsi="Calibri" w:eastAsia="楷体_GB2312" w:cs="Calibri"/>
          <w:sz w:val="20"/>
          <w:szCs w:val="20"/>
          <w:lang w:val="en-US" w:eastAsia="zh-CN"/>
        </w:rPr>
      </w:pPr>
    </w:p>
    <w:p w14:paraId="17AE5B0F">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ERCOT</w:t>
      </w:r>
      <w:r>
        <w:rPr>
          <w:rFonts w:hint="default" w:ascii="Calibri" w:hAnsi="Calibri" w:eastAsia="楷体_GB2312" w:cs="Calibri"/>
          <w:sz w:val="20"/>
          <w:szCs w:val="20"/>
          <w:lang w:val="en-US" w:eastAsia="zh-CN"/>
        </w:rPr>
        <w:t>：为应对CPS Energy Braunig燃气电站（1、2、3号机组，约60年历史）2025年3月退役对南德州电网可靠性的威胁，ERCOT制定临时与长期结合方案。Braunig 3执行RMR协议运行至2027年3月；Braunig 1和2改用15台天然气移动发电机组（总450MW，单台30MW，10分钟满发）替代，由CenterPoint Energy租赁至2027年3月。长期方案加速San Antonio South Reliability II输电项目，原定2028-2029年，提前至2026-2027年完成核心双回路改造，预计2027年6月投运，已获PUCT"关键状态指定"，CPS Energy投资1.75亿美元。</w:t>
      </w:r>
    </w:p>
    <w:p w14:paraId="16E80F57">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移动发电方案费用约5400万美元（ERCOT区域用户分摊），较Braunig 1和2执行RMR（5900万美元）节省500万美元。</w:t>
      </w:r>
    </w:p>
    <w:p w14:paraId="5FA13B9E">
      <w:pPr>
        <w:overflowPunct w:val="0"/>
        <w:ind w:left="3200" w:leftChars="2000"/>
        <w:jc w:val="both"/>
        <w:rPr>
          <w:rFonts w:hint="default" w:ascii="Calibri" w:hAnsi="Calibri" w:eastAsia="楷体_GB2312" w:cs="Calibri"/>
          <w:sz w:val="20"/>
          <w:szCs w:val="20"/>
          <w:lang w:val="en-US" w:eastAsia="zh-CN"/>
        </w:rPr>
      </w:pPr>
    </w:p>
    <w:p w14:paraId="47791362">
      <w:pPr>
        <w:overflowPunct w:val="0"/>
        <w:ind w:left="3200" w:leftChars="2000"/>
        <w:jc w:val="both"/>
        <w:outlineLvl w:val="2"/>
        <w:rPr>
          <w:rFonts w:hint="default" w:ascii="Calibri" w:hAnsi="Calibri" w:eastAsia="楷体_GB2312" w:cs="Calibri"/>
          <w:b/>
          <w:bCs/>
          <w:color w:val="1F497D" w:themeColor="text2"/>
          <w:sz w:val="24"/>
          <w:szCs w:val="24"/>
          <w:lang w:val="en-US" w:eastAsia="zh-CN"/>
          <w14:textFill>
            <w14:solidFill>
              <w14:schemeClr w14:val="tx2"/>
            </w14:solidFill>
          </w14:textFill>
        </w:rPr>
      </w:pPr>
      <w:bookmarkStart w:id="22" w:name="_Toc223082605"/>
      <w:r>
        <w:rPr>
          <w:rFonts w:hint="default" w:ascii="Calibri" w:hAnsi="Calibri" w:eastAsia="楷体_GB2312" w:cs="Calibri"/>
          <w:b/>
          <w:bCs/>
          <w:color w:val="1F497D" w:themeColor="text2"/>
          <w:sz w:val="24"/>
          <w:szCs w:val="24"/>
          <w:lang w:val="en-US" w:eastAsia="zh-CN"/>
          <w14:textFill>
            <w14:solidFill>
              <w14:schemeClr w14:val="tx2"/>
            </w14:solidFill>
          </w14:textFill>
        </w:rPr>
        <w:t>（2）欧洲电力市场</w:t>
      </w:r>
      <w:bookmarkEnd w:id="22"/>
    </w:p>
    <w:p w14:paraId="0AE98187">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欧洲地区电力市场日前交易价格整体走势上升。根据Nordpool数据，英国上周均价为82EUR/MWh（+2.46%）、德国均价为86.13EUR/MWh（+2.58%）、芬兰均价为94.82EUR/MWh（+2.67%）、荷兰均价为82.71EUR/MWh（+1.06%）、法国均价为28.32EUR/MWh（-3.85%）。</w:t>
      </w:r>
    </w:p>
    <w:p w14:paraId="3B066215">
      <w:pPr>
        <w:overflowPunct w:val="0"/>
        <w:jc w:val="both"/>
        <w:rPr>
          <w:rFonts w:hint="default" w:ascii="Calibri" w:hAnsi="Calibri" w:eastAsia="楷体_GB2312" w:cs="Calibri"/>
          <w:sz w:val="20"/>
          <w:szCs w:val="20"/>
          <w:lang w:val="en-US" w:eastAsia="zh-CN"/>
        </w:rPr>
      </w:pPr>
    </w:p>
    <w:tbl>
      <w:tblPr>
        <w:tblStyle w:val="27"/>
        <w:tblW w:w="9855" w:type="dxa"/>
        <w:jc w:val="right"/>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fixed"/>
        <w:tblCellMar>
          <w:top w:w="0" w:type="dxa"/>
          <w:left w:w="0" w:type="dxa"/>
          <w:bottom w:w="0" w:type="dxa"/>
          <w:right w:w="0" w:type="dxa"/>
        </w:tblCellMar>
      </w:tblPr>
      <w:tblGrid>
        <w:gridCol w:w="9855"/>
      </w:tblGrid>
      <w:tr w14:paraId="7D2AF67E">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rPr>
          <w:trHeight w:val="104" w:hRule="atLeast"/>
          <w:jc w:val="right"/>
        </w:trPr>
        <w:tc>
          <w:tcPr>
            <w:tcW w:w="9855" w:type="dxa"/>
            <w:tcBorders>
              <w:bottom w:val="single" w:color="auto" w:sz="4" w:space="0"/>
            </w:tcBorders>
          </w:tcPr>
          <w:p w14:paraId="7EEDA048">
            <w:pPr>
              <w:overflowPunct w:val="0"/>
              <w:rPr>
                <w:rFonts w:hint="default" w:ascii="Calibri" w:hAnsi="Calibri" w:eastAsia="楷体_GB2312" w:cs="Calibri"/>
                <w:b/>
                <w:sz w:val="18"/>
                <w:szCs w:val="20"/>
                <w:lang w:eastAsia="zh-CN"/>
              </w:rPr>
            </w:pPr>
            <w:r>
              <w:rPr>
                <w:rFonts w:hint="default" w:ascii="Calibri" w:hAnsi="Calibri" w:eastAsia="楷体_GB2312" w:cs="Calibri"/>
                <w:b/>
                <w:sz w:val="18"/>
                <w:szCs w:val="18"/>
                <w:lang w:eastAsia="zh-CN"/>
              </w:rPr>
              <w:t>表</w:t>
            </w:r>
            <w:r>
              <w:rPr>
                <w:rFonts w:hint="default" w:ascii="Calibri" w:hAnsi="Calibri" w:eastAsia="楷体_GB2312" w:cs="Calibri"/>
                <w:b/>
                <w:sz w:val="18"/>
                <w:szCs w:val="18"/>
                <w:lang w:val="en-US" w:eastAsia="zh-CN"/>
              </w:rPr>
              <w:t>6</w:t>
            </w:r>
            <w:r>
              <w:rPr>
                <w:rFonts w:hint="default" w:ascii="Calibri" w:hAnsi="Calibri" w:eastAsia="楷体_GB2312" w:cs="Calibri"/>
                <w:b/>
                <w:sz w:val="18"/>
                <w:szCs w:val="18"/>
                <w:lang w:eastAsia="zh-CN"/>
              </w:rPr>
              <w:t>：欧洲主要国家（2月1日- 2月7日）电力日前市场成交均价及环比变化</w:t>
            </w:r>
          </w:p>
        </w:tc>
      </w:tr>
      <w:tr w14:paraId="6D280DBA">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2031" w:hRule="atLeast"/>
          <w:jc w:val="right"/>
        </w:trPr>
        <w:tc>
          <w:tcPr>
            <w:tcW w:w="9855" w:type="dxa"/>
            <w:tcBorders>
              <w:top w:val="single" w:color="auto" w:sz="4" w:space="0"/>
              <w:bottom w:val="single" w:color="auto" w:sz="4" w:space="0"/>
            </w:tcBorders>
            <w:vAlign w:val="center"/>
          </w:tcPr>
          <w:tbl>
            <w:tblPr>
              <w:tblStyle w:val="26"/>
              <w:tblW w:w="9882" w:type="dxa"/>
              <w:jc w:val="center"/>
              <w:tblLayout w:type="fixed"/>
              <w:tblCellMar>
                <w:top w:w="0" w:type="dxa"/>
                <w:left w:w="108" w:type="dxa"/>
                <w:bottom w:w="0" w:type="dxa"/>
                <w:right w:w="108" w:type="dxa"/>
              </w:tblCellMar>
            </w:tblPr>
            <w:tblGrid>
              <w:gridCol w:w="1267"/>
              <w:gridCol w:w="4296"/>
              <w:gridCol w:w="4319"/>
            </w:tblGrid>
            <w:tr w14:paraId="51868B8C">
              <w:tblPrEx>
                <w:tblCellMar>
                  <w:top w:w="0" w:type="dxa"/>
                  <w:left w:w="108" w:type="dxa"/>
                  <w:bottom w:w="0" w:type="dxa"/>
                  <w:right w:w="108" w:type="dxa"/>
                </w:tblCellMar>
              </w:tblPrEx>
              <w:trPr>
                <w:trHeight w:val="283" w:hRule="atLeast"/>
                <w:jc w:val="center"/>
              </w:trPr>
              <w:tc>
                <w:tcPr>
                  <w:tcW w:w="1267" w:type="dxa"/>
                  <w:tcBorders>
                    <w:top w:val="single" w:color="auto" w:sz="4" w:space="0"/>
                    <w:left w:val="single" w:color="auto" w:sz="4" w:space="0"/>
                    <w:bottom w:val="nil"/>
                    <w:right w:val="nil"/>
                  </w:tcBorders>
                  <w:shd w:val="clear" w:color="auto" w:fill="0C2060"/>
                  <w:vAlign w:val="center"/>
                </w:tcPr>
                <w:p w14:paraId="743F4837">
                  <w:pPr>
                    <w:overflowPunct w:val="0"/>
                    <w:rPr>
                      <w:rFonts w:hint="default" w:ascii="Calibri" w:hAnsi="Calibri" w:eastAsia="楷体_GB2312" w:cs="Calibri"/>
                      <w:b/>
                      <w:bCs/>
                      <w:color w:val="FFFFFF"/>
                      <w:lang w:eastAsia="zh-CN"/>
                    </w:rPr>
                  </w:pPr>
                </w:p>
              </w:tc>
              <w:tc>
                <w:tcPr>
                  <w:tcW w:w="4296" w:type="dxa"/>
                  <w:tcBorders>
                    <w:top w:val="single" w:color="auto" w:sz="4" w:space="0"/>
                    <w:left w:val="single" w:color="auto" w:sz="4" w:space="0"/>
                    <w:bottom w:val="nil"/>
                    <w:right w:val="nil"/>
                  </w:tcBorders>
                  <w:shd w:val="clear" w:color="auto" w:fill="0C2060"/>
                  <w:vAlign w:val="center"/>
                </w:tcPr>
                <w:p w14:paraId="3AC25D58">
                  <w:pPr>
                    <w:overflowPunct w:val="0"/>
                    <w:jc w:val="center"/>
                    <w:rPr>
                      <w:rFonts w:hint="default" w:ascii="Calibri" w:hAnsi="Calibri" w:eastAsia="楷体_GB2312" w:cs="Calibri"/>
                      <w:b/>
                      <w:bCs/>
                      <w:color w:val="FFFFFF"/>
                    </w:rPr>
                  </w:pPr>
                  <w:r>
                    <w:rPr>
                      <w:rFonts w:hint="default" w:ascii="Calibri" w:hAnsi="Calibri" w:eastAsia="楷体_GB2312" w:cs="Calibri"/>
                      <w:b/>
                      <w:bCs/>
                      <w:color w:val="FFFFFF"/>
                    </w:rPr>
                    <w:t>上周均价（EUR/MWh）</w:t>
                  </w:r>
                </w:p>
              </w:tc>
              <w:tc>
                <w:tcPr>
                  <w:tcW w:w="4319" w:type="dxa"/>
                  <w:tcBorders>
                    <w:top w:val="single" w:color="auto" w:sz="4" w:space="0"/>
                    <w:left w:val="nil"/>
                    <w:bottom w:val="nil"/>
                    <w:right w:val="nil"/>
                  </w:tcBorders>
                  <w:shd w:val="clear" w:color="auto" w:fill="0C2060"/>
                  <w:vAlign w:val="center"/>
                </w:tcPr>
                <w:p w14:paraId="4D83BA15">
                  <w:pPr>
                    <w:overflowPunct w:val="0"/>
                    <w:jc w:val="center"/>
                    <w:rPr>
                      <w:rFonts w:hint="default" w:ascii="Calibri" w:hAnsi="Calibri" w:eastAsia="楷体_GB2312" w:cs="Calibri"/>
                      <w:b/>
                      <w:bCs/>
                      <w:color w:val="FFFFFF"/>
                    </w:rPr>
                  </w:pPr>
                  <w:r>
                    <w:rPr>
                      <w:rFonts w:hint="default" w:ascii="Calibri" w:hAnsi="Calibri" w:eastAsia="楷体_GB2312" w:cs="Calibri"/>
                      <w:b/>
                      <w:bCs/>
                      <w:color w:val="FFFFFF"/>
                    </w:rPr>
                    <w:t>周环比变化</w:t>
                  </w:r>
                </w:p>
              </w:tc>
            </w:tr>
            <w:tr w14:paraId="7315E383">
              <w:tblPrEx>
                <w:tblCellMar>
                  <w:top w:w="0" w:type="dxa"/>
                  <w:left w:w="108" w:type="dxa"/>
                  <w:bottom w:w="0" w:type="dxa"/>
                  <w:right w:w="108" w:type="dxa"/>
                </w:tblCellMar>
              </w:tblPrEx>
              <w:trPr>
                <w:trHeight w:val="283" w:hRule="atLeast"/>
                <w:jc w:val="center"/>
              </w:trPr>
              <w:tc>
                <w:tcPr>
                  <w:tcW w:w="1267" w:type="dxa"/>
                  <w:tcBorders>
                    <w:top w:val="nil"/>
                    <w:left w:val="single" w:color="auto" w:sz="4" w:space="0"/>
                    <w:bottom w:val="single" w:color="000000" w:sz="4" w:space="0"/>
                    <w:right w:val="nil"/>
                  </w:tcBorders>
                  <w:vAlign w:val="center"/>
                </w:tcPr>
                <w:p w14:paraId="31A4647C">
                  <w:pPr>
                    <w:overflowPunct w:val="0"/>
                    <w:jc w:val="center"/>
                    <w:rPr>
                      <w:rFonts w:hint="default" w:ascii="Calibri" w:hAnsi="Calibri" w:eastAsia="楷体_GB2312" w:cs="Calibri"/>
                      <w:color w:val="000000"/>
                      <w:sz w:val="18"/>
                      <w:szCs w:val="18"/>
                    </w:rPr>
                  </w:pPr>
                  <w:r>
                    <w:rPr>
                      <w:rFonts w:hint="default" w:ascii="Calibri" w:hAnsi="Calibri" w:eastAsia="楷体_GB2312" w:cs="Calibri"/>
                      <w:color w:val="000000"/>
                      <w:sz w:val="18"/>
                      <w:szCs w:val="18"/>
                    </w:rPr>
                    <w:t>英国</w:t>
                  </w:r>
                </w:p>
              </w:tc>
              <w:tc>
                <w:tcPr>
                  <w:tcW w:w="4296" w:type="dxa"/>
                  <w:tcBorders>
                    <w:top w:val="nil"/>
                    <w:left w:val="single" w:color="auto" w:sz="4" w:space="0"/>
                    <w:bottom w:val="single" w:color="000000" w:sz="4" w:space="0"/>
                    <w:right w:val="nil"/>
                  </w:tcBorders>
                  <w:noWrap/>
                </w:tcPr>
                <w:p w14:paraId="0AAFAEBC">
                  <w:pPr>
                    <w:overflowPunct w:val="0"/>
                    <w:jc w:val="center"/>
                    <w:rPr>
                      <w:rFonts w:hint="default" w:ascii="Calibri" w:hAnsi="Calibri" w:eastAsia="楷体_GB2312" w:cs="Calibri"/>
                      <w:color w:val="000000"/>
                      <w:highlight w:val="yellow"/>
                    </w:rPr>
                  </w:pPr>
                  <w:r>
                    <w:rPr>
                      <w:rFonts w:hint="default" w:ascii="Calibri" w:hAnsi="Calibri" w:eastAsia="楷体_GB2312" w:cs="Calibri"/>
                      <w:lang w:val="en-US" w:eastAsia="zh-CN"/>
                    </w:rPr>
                    <w:t>109</w:t>
                  </w:r>
                </w:p>
              </w:tc>
              <w:tc>
                <w:tcPr>
                  <w:tcW w:w="4319" w:type="dxa"/>
                  <w:tcBorders>
                    <w:top w:val="nil"/>
                    <w:left w:val="single" w:color="auto" w:sz="4" w:space="0"/>
                    <w:bottom w:val="single" w:color="000000" w:sz="4" w:space="0"/>
                    <w:right w:val="nil"/>
                  </w:tcBorders>
                  <w:noWrap/>
                </w:tcPr>
                <w:p w14:paraId="10CF12EE">
                  <w:pPr>
                    <w:overflowPunct w:val="0"/>
                    <w:jc w:val="center"/>
                    <w:rPr>
                      <w:rFonts w:hint="default" w:ascii="Calibri" w:hAnsi="Calibri" w:eastAsia="楷体_GB2312" w:cs="Calibri"/>
                      <w:color w:val="000000"/>
                      <w:highlight w:val="yellow"/>
                    </w:rPr>
                  </w:pPr>
                  <w:r>
                    <w:rPr>
                      <w:rFonts w:hint="default" w:ascii="Calibri" w:hAnsi="Calibri" w:eastAsia="楷体_GB2312" w:cs="Calibri"/>
                      <w:lang w:val="en-US" w:eastAsia="zh-CN"/>
                    </w:rPr>
                    <w:t>2.38</w:t>
                  </w:r>
                  <w:r>
                    <w:rPr>
                      <w:rFonts w:hint="default" w:ascii="Calibri" w:hAnsi="Calibri" w:eastAsia="楷体_GB2312" w:cs="Calibri"/>
                    </w:rPr>
                    <w:t>%</w:t>
                  </w:r>
                </w:p>
              </w:tc>
            </w:tr>
            <w:tr w14:paraId="42BD00C1">
              <w:tblPrEx>
                <w:tblCellMar>
                  <w:top w:w="0" w:type="dxa"/>
                  <w:left w:w="108" w:type="dxa"/>
                  <w:bottom w:w="0" w:type="dxa"/>
                  <w:right w:w="108" w:type="dxa"/>
                </w:tblCellMar>
              </w:tblPrEx>
              <w:trPr>
                <w:trHeight w:val="283" w:hRule="atLeast"/>
                <w:jc w:val="center"/>
              </w:trPr>
              <w:tc>
                <w:tcPr>
                  <w:tcW w:w="1267" w:type="dxa"/>
                  <w:tcBorders>
                    <w:top w:val="single" w:color="000000" w:sz="4" w:space="0"/>
                    <w:left w:val="single" w:color="auto" w:sz="4" w:space="0"/>
                    <w:bottom w:val="single" w:color="000000" w:sz="4" w:space="0"/>
                    <w:right w:val="nil"/>
                  </w:tcBorders>
                  <w:vAlign w:val="center"/>
                </w:tcPr>
                <w:p w14:paraId="29C61B7E">
                  <w:pPr>
                    <w:overflowPunct w:val="0"/>
                    <w:jc w:val="center"/>
                    <w:rPr>
                      <w:rFonts w:hint="default" w:ascii="Calibri" w:hAnsi="Calibri" w:eastAsia="楷体_GB2312" w:cs="Calibri"/>
                      <w:color w:val="000000"/>
                      <w:sz w:val="18"/>
                      <w:szCs w:val="18"/>
                    </w:rPr>
                  </w:pPr>
                  <w:r>
                    <w:rPr>
                      <w:rFonts w:hint="default" w:ascii="Calibri" w:hAnsi="Calibri" w:eastAsia="楷体_GB2312" w:cs="Calibri"/>
                      <w:color w:val="000000"/>
                      <w:sz w:val="18"/>
                      <w:szCs w:val="18"/>
                    </w:rPr>
                    <w:t>德国</w:t>
                  </w:r>
                </w:p>
              </w:tc>
              <w:tc>
                <w:tcPr>
                  <w:tcW w:w="4296" w:type="dxa"/>
                  <w:tcBorders>
                    <w:top w:val="single" w:color="000000" w:sz="4" w:space="0"/>
                    <w:left w:val="single" w:color="auto" w:sz="4" w:space="0"/>
                    <w:bottom w:val="single" w:color="000000" w:sz="4" w:space="0"/>
                    <w:right w:val="nil"/>
                  </w:tcBorders>
                  <w:noWrap/>
                </w:tcPr>
                <w:p w14:paraId="301970D7">
                  <w:pPr>
                    <w:overflowPunct w:val="0"/>
                    <w:jc w:val="center"/>
                    <w:rPr>
                      <w:rFonts w:hint="default" w:ascii="Calibri" w:hAnsi="Calibri" w:eastAsia="楷体_GB2312" w:cs="Calibri"/>
                      <w:color w:val="000000"/>
                    </w:rPr>
                  </w:pPr>
                  <w:r>
                    <w:rPr>
                      <w:rFonts w:hint="default" w:ascii="Calibri" w:hAnsi="Calibri" w:eastAsia="楷体_GB2312" w:cs="Calibri"/>
                      <w:color w:val="000000"/>
                      <w:lang w:val="en-US" w:eastAsia="zh-CN"/>
                    </w:rPr>
                    <w:t>108.24</w:t>
                  </w:r>
                </w:p>
              </w:tc>
              <w:tc>
                <w:tcPr>
                  <w:tcW w:w="4319" w:type="dxa"/>
                  <w:tcBorders>
                    <w:top w:val="single" w:color="000000" w:sz="4" w:space="0"/>
                    <w:left w:val="single" w:color="auto" w:sz="4" w:space="0"/>
                    <w:bottom w:val="single" w:color="000000" w:sz="4" w:space="0"/>
                    <w:right w:val="nil"/>
                  </w:tcBorders>
                  <w:noWrap/>
                </w:tcPr>
                <w:p w14:paraId="5B0AA732">
                  <w:pPr>
                    <w:overflowPunct w:val="0"/>
                    <w:jc w:val="center"/>
                    <w:rPr>
                      <w:rFonts w:hint="default" w:ascii="Calibri" w:hAnsi="Calibri" w:eastAsia="楷体_GB2312" w:cs="Calibri"/>
                      <w:color w:val="000000"/>
                    </w:rPr>
                  </w:pPr>
                  <w:r>
                    <w:rPr>
                      <w:rFonts w:hint="default" w:ascii="Calibri" w:hAnsi="Calibri" w:eastAsia="楷体_GB2312" w:cs="Calibri"/>
                      <w:lang w:val="en-US" w:eastAsia="zh-CN"/>
                    </w:rPr>
                    <w:t>2.33</w:t>
                  </w:r>
                  <w:r>
                    <w:rPr>
                      <w:rFonts w:hint="default" w:ascii="Calibri" w:hAnsi="Calibri" w:eastAsia="楷体_GB2312" w:cs="Calibri"/>
                    </w:rPr>
                    <w:t>%</w:t>
                  </w:r>
                </w:p>
              </w:tc>
            </w:tr>
            <w:tr w14:paraId="5A9FEC71">
              <w:tblPrEx>
                <w:tblCellMar>
                  <w:top w:w="0" w:type="dxa"/>
                  <w:left w:w="108" w:type="dxa"/>
                  <w:bottom w:w="0" w:type="dxa"/>
                  <w:right w:w="108" w:type="dxa"/>
                </w:tblCellMar>
              </w:tblPrEx>
              <w:trPr>
                <w:trHeight w:val="283" w:hRule="atLeast"/>
                <w:jc w:val="center"/>
              </w:trPr>
              <w:tc>
                <w:tcPr>
                  <w:tcW w:w="1267" w:type="dxa"/>
                  <w:tcBorders>
                    <w:top w:val="single" w:color="000000" w:sz="4" w:space="0"/>
                    <w:left w:val="single" w:color="auto" w:sz="4" w:space="0"/>
                    <w:bottom w:val="single" w:color="000000" w:sz="4" w:space="0"/>
                    <w:right w:val="nil"/>
                  </w:tcBorders>
                  <w:vAlign w:val="center"/>
                </w:tcPr>
                <w:p w14:paraId="67D2D2EA">
                  <w:pPr>
                    <w:overflowPunct w:val="0"/>
                    <w:jc w:val="center"/>
                    <w:rPr>
                      <w:rFonts w:hint="default" w:ascii="Calibri" w:hAnsi="Calibri" w:eastAsia="楷体_GB2312" w:cs="Calibri"/>
                      <w:color w:val="000000"/>
                      <w:sz w:val="18"/>
                      <w:szCs w:val="18"/>
                    </w:rPr>
                  </w:pPr>
                  <w:r>
                    <w:rPr>
                      <w:rFonts w:hint="default" w:ascii="Calibri" w:hAnsi="Calibri" w:eastAsia="楷体_GB2312" w:cs="Calibri"/>
                      <w:color w:val="000000"/>
                      <w:sz w:val="18"/>
                      <w:szCs w:val="18"/>
                    </w:rPr>
                    <w:t>芬兰</w:t>
                  </w:r>
                </w:p>
              </w:tc>
              <w:tc>
                <w:tcPr>
                  <w:tcW w:w="4296" w:type="dxa"/>
                  <w:tcBorders>
                    <w:top w:val="single" w:color="000000" w:sz="4" w:space="0"/>
                    <w:left w:val="single" w:color="auto" w:sz="4" w:space="0"/>
                    <w:bottom w:val="single" w:color="000000" w:sz="4" w:space="0"/>
                    <w:right w:val="nil"/>
                  </w:tcBorders>
                  <w:noWrap/>
                </w:tcPr>
                <w:p w14:paraId="1DF23CF1">
                  <w:pPr>
                    <w:overflowPunct w:val="0"/>
                    <w:jc w:val="center"/>
                    <w:rPr>
                      <w:rFonts w:hint="default" w:ascii="Calibri" w:hAnsi="Calibri" w:eastAsia="楷体_GB2312" w:cs="Calibri"/>
                      <w:color w:val="000000"/>
                    </w:rPr>
                  </w:pPr>
                  <w:r>
                    <w:rPr>
                      <w:rFonts w:hint="default" w:ascii="Calibri" w:hAnsi="Calibri" w:eastAsia="楷体_GB2312" w:cs="Calibri"/>
                      <w:color w:val="000000"/>
                      <w:lang w:val="en-US" w:eastAsia="zh-CN"/>
                    </w:rPr>
                    <w:t>211.36</w:t>
                  </w:r>
                </w:p>
              </w:tc>
              <w:tc>
                <w:tcPr>
                  <w:tcW w:w="4319" w:type="dxa"/>
                  <w:tcBorders>
                    <w:top w:val="single" w:color="000000" w:sz="4" w:space="0"/>
                    <w:left w:val="single" w:color="auto" w:sz="4" w:space="0"/>
                    <w:bottom w:val="single" w:color="000000" w:sz="4" w:space="0"/>
                    <w:right w:val="nil"/>
                  </w:tcBorders>
                  <w:noWrap/>
                </w:tcPr>
                <w:p w14:paraId="7118AC89">
                  <w:pPr>
                    <w:overflowPunct w:val="0"/>
                    <w:jc w:val="center"/>
                    <w:rPr>
                      <w:rFonts w:hint="default" w:ascii="Calibri" w:hAnsi="Calibri" w:eastAsia="楷体_GB2312" w:cs="Calibri"/>
                      <w:color w:val="000000"/>
                    </w:rPr>
                  </w:pPr>
                  <w:r>
                    <w:rPr>
                      <w:rFonts w:hint="default" w:ascii="Calibri" w:hAnsi="Calibri" w:eastAsia="楷体_GB2312" w:cs="Calibri"/>
                      <w:lang w:val="en-US" w:eastAsia="zh-CN"/>
                    </w:rPr>
                    <w:t>101.64</w:t>
                  </w:r>
                  <w:r>
                    <w:rPr>
                      <w:rFonts w:hint="default" w:ascii="Calibri" w:hAnsi="Calibri" w:eastAsia="楷体_GB2312" w:cs="Calibri"/>
                    </w:rPr>
                    <w:t>%</w:t>
                  </w:r>
                </w:p>
              </w:tc>
            </w:tr>
            <w:tr w14:paraId="3434E252">
              <w:tblPrEx>
                <w:tblCellMar>
                  <w:top w:w="0" w:type="dxa"/>
                  <w:left w:w="108" w:type="dxa"/>
                  <w:bottom w:w="0" w:type="dxa"/>
                  <w:right w:w="108" w:type="dxa"/>
                </w:tblCellMar>
              </w:tblPrEx>
              <w:trPr>
                <w:trHeight w:val="283" w:hRule="atLeast"/>
                <w:jc w:val="center"/>
              </w:trPr>
              <w:tc>
                <w:tcPr>
                  <w:tcW w:w="1267" w:type="dxa"/>
                  <w:tcBorders>
                    <w:top w:val="single" w:color="000000" w:sz="4" w:space="0"/>
                    <w:left w:val="single" w:color="auto" w:sz="4" w:space="0"/>
                    <w:bottom w:val="single" w:color="000000" w:sz="4" w:space="0"/>
                    <w:right w:val="nil"/>
                  </w:tcBorders>
                  <w:vAlign w:val="center"/>
                </w:tcPr>
                <w:p w14:paraId="443EA1D0">
                  <w:pPr>
                    <w:overflowPunct w:val="0"/>
                    <w:jc w:val="center"/>
                    <w:rPr>
                      <w:rFonts w:hint="default" w:ascii="Calibri" w:hAnsi="Calibri" w:eastAsia="楷体_GB2312" w:cs="Calibri"/>
                      <w:color w:val="000000"/>
                      <w:sz w:val="18"/>
                      <w:szCs w:val="18"/>
                    </w:rPr>
                  </w:pPr>
                  <w:r>
                    <w:rPr>
                      <w:rFonts w:hint="default" w:ascii="Calibri" w:hAnsi="Calibri" w:eastAsia="楷体_GB2312" w:cs="Calibri"/>
                      <w:color w:val="000000"/>
                      <w:sz w:val="18"/>
                      <w:szCs w:val="18"/>
                    </w:rPr>
                    <w:t>荷兰</w:t>
                  </w:r>
                </w:p>
              </w:tc>
              <w:tc>
                <w:tcPr>
                  <w:tcW w:w="4296" w:type="dxa"/>
                  <w:tcBorders>
                    <w:top w:val="single" w:color="000000" w:sz="4" w:space="0"/>
                    <w:left w:val="single" w:color="auto" w:sz="4" w:space="0"/>
                    <w:bottom w:val="single" w:color="000000" w:sz="4" w:space="0"/>
                    <w:right w:val="nil"/>
                  </w:tcBorders>
                  <w:noWrap/>
                </w:tcPr>
                <w:p w14:paraId="31D27E95">
                  <w:pPr>
                    <w:overflowPunct w:val="0"/>
                    <w:jc w:val="center"/>
                    <w:rPr>
                      <w:rFonts w:hint="default" w:ascii="Calibri" w:hAnsi="Calibri" w:eastAsia="楷体_GB2312" w:cs="Calibri"/>
                      <w:color w:val="000000"/>
                      <w:highlight w:val="yellow"/>
                    </w:rPr>
                  </w:pPr>
                  <w:r>
                    <w:rPr>
                      <w:rFonts w:hint="default" w:ascii="Calibri" w:hAnsi="Calibri" w:eastAsia="楷体_GB2312" w:cs="Calibri"/>
                      <w:lang w:val="en-US" w:eastAsia="zh-CN"/>
                    </w:rPr>
                    <w:t>105.57</w:t>
                  </w:r>
                </w:p>
              </w:tc>
              <w:tc>
                <w:tcPr>
                  <w:tcW w:w="4319" w:type="dxa"/>
                  <w:tcBorders>
                    <w:top w:val="single" w:color="000000" w:sz="4" w:space="0"/>
                    <w:left w:val="single" w:color="auto" w:sz="4" w:space="0"/>
                    <w:bottom w:val="single" w:color="000000" w:sz="4" w:space="0"/>
                    <w:right w:val="nil"/>
                  </w:tcBorders>
                  <w:noWrap/>
                </w:tcPr>
                <w:p w14:paraId="734EE1AF">
                  <w:pPr>
                    <w:overflowPunct w:val="0"/>
                    <w:jc w:val="center"/>
                    <w:rPr>
                      <w:rFonts w:hint="default" w:ascii="Calibri" w:hAnsi="Calibri" w:eastAsia="楷体_GB2312" w:cs="Calibri"/>
                      <w:color w:val="000000"/>
                      <w:highlight w:val="yellow"/>
                    </w:rPr>
                  </w:pPr>
                  <w:r>
                    <w:rPr>
                      <w:rFonts w:hint="default" w:ascii="Calibri" w:hAnsi="Calibri" w:eastAsia="楷体_GB2312" w:cs="Calibri"/>
                      <w:lang w:val="en-US" w:eastAsia="zh-CN"/>
                    </w:rPr>
                    <w:t>3.16</w:t>
                  </w:r>
                  <w:r>
                    <w:rPr>
                      <w:rFonts w:hint="default" w:ascii="Calibri" w:hAnsi="Calibri" w:eastAsia="楷体_GB2312" w:cs="Calibri"/>
                    </w:rPr>
                    <w:t>%</w:t>
                  </w:r>
                </w:p>
              </w:tc>
            </w:tr>
            <w:tr w14:paraId="68548C92">
              <w:tblPrEx>
                <w:tblCellMar>
                  <w:top w:w="0" w:type="dxa"/>
                  <w:left w:w="108" w:type="dxa"/>
                  <w:bottom w:w="0" w:type="dxa"/>
                  <w:right w:w="108" w:type="dxa"/>
                </w:tblCellMar>
              </w:tblPrEx>
              <w:trPr>
                <w:trHeight w:val="283" w:hRule="atLeast"/>
                <w:jc w:val="center"/>
              </w:trPr>
              <w:tc>
                <w:tcPr>
                  <w:tcW w:w="1267" w:type="dxa"/>
                  <w:tcBorders>
                    <w:top w:val="single" w:color="000000" w:sz="4" w:space="0"/>
                    <w:left w:val="single" w:color="auto" w:sz="4" w:space="0"/>
                    <w:bottom w:val="nil"/>
                    <w:right w:val="nil"/>
                  </w:tcBorders>
                  <w:vAlign w:val="center"/>
                </w:tcPr>
                <w:p w14:paraId="6BDB456B">
                  <w:pPr>
                    <w:overflowPunct w:val="0"/>
                    <w:jc w:val="center"/>
                    <w:rPr>
                      <w:rFonts w:hint="default" w:ascii="Calibri" w:hAnsi="Calibri" w:eastAsia="楷体_GB2312" w:cs="Calibri"/>
                      <w:color w:val="000000"/>
                      <w:sz w:val="18"/>
                      <w:szCs w:val="18"/>
                    </w:rPr>
                  </w:pPr>
                  <w:r>
                    <w:rPr>
                      <w:rFonts w:hint="default" w:ascii="Calibri" w:hAnsi="Calibri" w:eastAsia="楷体_GB2312" w:cs="Calibri"/>
                      <w:color w:val="000000"/>
                      <w:sz w:val="18"/>
                      <w:szCs w:val="18"/>
                    </w:rPr>
                    <w:t>法国</w:t>
                  </w:r>
                </w:p>
              </w:tc>
              <w:tc>
                <w:tcPr>
                  <w:tcW w:w="4296" w:type="dxa"/>
                  <w:tcBorders>
                    <w:top w:val="single" w:color="000000" w:sz="4" w:space="0"/>
                    <w:left w:val="single" w:color="auto" w:sz="4" w:space="0"/>
                    <w:bottom w:val="nil"/>
                    <w:right w:val="nil"/>
                  </w:tcBorders>
                  <w:noWrap/>
                </w:tcPr>
                <w:p w14:paraId="56030DB6">
                  <w:pPr>
                    <w:overflowPunct w:val="0"/>
                    <w:jc w:val="center"/>
                    <w:rPr>
                      <w:rFonts w:hint="default" w:ascii="Calibri" w:hAnsi="Calibri" w:eastAsia="楷体_GB2312" w:cs="Calibri"/>
                      <w:color w:val="000000"/>
                      <w:highlight w:val="yellow"/>
                    </w:rPr>
                  </w:pPr>
                  <w:r>
                    <w:rPr>
                      <w:rFonts w:hint="default" w:ascii="Calibri" w:hAnsi="Calibri" w:eastAsia="楷体_GB2312" w:cs="Calibri"/>
                      <w:lang w:val="en-US" w:eastAsia="zh-CN"/>
                    </w:rPr>
                    <w:t>85.4</w:t>
                  </w:r>
                </w:p>
              </w:tc>
              <w:tc>
                <w:tcPr>
                  <w:tcW w:w="4319" w:type="dxa"/>
                  <w:tcBorders>
                    <w:top w:val="single" w:color="000000" w:sz="4" w:space="0"/>
                    <w:left w:val="single" w:color="auto" w:sz="4" w:space="0"/>
                    <w:bottom w:val="nil"/>
                    <w:right w:val="nil"/>
                  </w:tcBorders>
                  <w:noWrap/>
                </w:tcPr>
                <w:p w14:paraId="4E31D210">
                  <w:pPr>
                    <w:overflowPunct w:val="0"/>
                    <w:jc w:val="center"/>
                    <w:rPr>
                      <w:rFonts w:hint="default" w:ascii="Calibri" w:hAnsi="Calibri" w:eastAsia="楷体_GB2312" w:cs="Calibri"/>
                      <w:color w:val="000000"/>
                      <w:highlight w:val="yellow"/>
                    </w:rPr>
                  </w:pPr>
                  <w:r>
                    <w:rPr>
                      <w:rFonts w:hint="default" w:ascii="Calibri" w:hAnsi="Calibri" w:eastAsia="楷体_GB2312" w:cs="Calibri"/>
                      <w:lang w:val="en-US" w:eastAsia="zh-CN"/>
                    </w:rPr>
                    <w:t>-7.32</w:t>
                  </w:r>
                  <w:r>
                    <w:rPr>
                      <w:rFonts w:hint="default" w:ascii="Calibri" w:hAnsi="Calibri" w:eastAsia="楷体_GB2312" w:cs="Calibri"/>
                    </w:rPr>
                    <w:t>%</w:t>
                  </w:r>
                </w:p>
              </w:tc>
            </w:tr>
          </w:tbl>
          <w:p w14:paraId="0EA1B84D">
            <w:pPr>
              <w:overflowPunct w:val="0"/>
              <w:rPr>
                <w:rFonts w:hint="default" w:ascii="Calibri" w:hAnsi="Calibri" w:eastAsia="楷体_GB2312" w:cs="Calibri"/>
                <w:sz w:val="10"/>
                <w:lang w:eastAsia="zh-CN"/>
              </w:rPr>
            </w:pPr>
          </w:p>
        </w:tc>
      </w:tr>
      <w:tr w14:paraId="039BB082">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rPr>
          <w:jc w:val="right"/>
        </w:trPr>
        <w:tc>
          <w:tcPr>
            <w:tcW w:w="9855" w:type="dxa"/>
            <w:tcBorders>
              <w:top w:val="single" w:color="auto" w:sz="4" w:space="0"/>
            </w:tcBorders>
          </w:tcPr>
          <w:p w14:paraId="34A39BC5">
            <w:pPr>
              <w:rPr>
                <w:rFonts w:hint="default" w:ascii="Calibri" w:hAnsi="Calibri" w:eastAsia="楷体_GB2312" w:cs="Calibri"/>
                <w:i/>
                <w:iCs/>
                <w:sz w:val="15"/>
                <w:szCs w:val="15"/>
              </w:rPr>
            </w:pPr>
            <w:r>
              <w:rPr>
                <w:rFonts w:hint="default" w:ascii="Calibri" w:hAnsi="Calibri" w:eastAsia="楷体_GB2312" w:cs="Calibri"/>
                <w:i/>
                <w:iCs/>
              </w:rPr>
              <w:t>资料来源：</w:t>
            </w:r>
            <w:r>
              <w:rPr>
                <w:rFonts w:hint="default" w:ascii="Calibri" w:hAnsi="Calibri" w:eastAsia="楷体_GB2312" w:cs="Calibri"/>
                <w:i/>
                <w:iCs/>
                <w:lang w:eastAsia="zh-CN"/>
              </w:rPr>
              <w:t>NORDPOOL</w:t>
            </w:r>
            <w:r>
              <w:rPr>
                <w:rFonts w:hint="default" w:ascii="Calibri" w:hAnsi="Calibri" w:eastAsia="楷体_GB2312" w:cs="Calibri"/>
                <w:i/>
                <w:iCs/>
              </w:rPr>
              <w:t>，</w:t>
            </w:r>
            <w:r>
              <w:rPr>
                <w:rFonts w:hint="default" w:ascii="Calibri" w:hAnsi="Calibri" w:eastAsia="楷体_GB2312" w:cs="Calibri"/>
                <w:i/>
                <w:iCs/>
                <w:lang w:eastAsia="zh-CN"/>
              </w:rPr>
              <w:t>HFI</w:t>
            </w:r>
          </w:p>
        </w:tc>
      </w:tr>
    </w:tbl>
    <w:p w14:paraId="06CF19D6">
      <w:pPr>
        <w:overflowPunct w:val="0"/>
        <w:ind w:left="3200" w:leftChars="2000"/>
        <w:jc w:val="both"/>
        <w:rPr>
          <w:rFonts w:hint="default" w:ascii="Calibri" w:hAnsi="Calibri" w:eastAsia="楷体_GB2312" w:cs="Calibri"/>
          <w:sz w:val="20"/>
          <w:szCs w:val="20"/>
          <w:lang w:val="en-US" w:eastAsia="zh-CN"/>
        </w:rPr>
      </w:pPr>
    </w:p>
    <w:p w14:paraId="521ED978">
      <w:pPr>
        <w:overflowPunct w:val="0"/>
        <w:jc w:val="both"/>
        <w:rPr>
          <w:rFonts w:hint="default" w:ascii="Calibri" w:hAnsi="Calibri" w:eastAsia="楷体_GB2312" w:cs="Calibri"/>
          <w:sz w:val="20"/>
          <w:szCs w:val="20"/>
          <w:lang w:val="en-US" w:eastAsia="zh-CN"/>
        </w:rPr>
      </w:pPr>
    </w:p>
    <w:p w14:paraId="0489A950">
      <w:pPr>
        <w:overflowPunct w:val="0"/>
        <w:ind w:left="3200" w:leftChars="2000"/>
        <w:jc w:val="both"/>
        <w:outlineLvl w:val="2"/>
        <w:rPr>
          <w:rFonts w:hint="default" w:ascii="Calibri" w:hAnsi="Calibri" w:eastAsia="楷体_GB2312" w:cs="Calibri"/>
          <w:b/>
          <w:bCs/>
          <w:color w:val="1F497D" w:themeColor="text2"/>
          <w:sz w:val="24"/>
          <w:szCs w:val="24"/>
          <w:lang w:val="en-US" w:eastAsia="zh-CN"/>
          <w14:textFill>
            <w14:solidFill>
              <w14:schemeClr w14:val="tx2"/>
            </w14:solidFill>
          </w14:textFill>
        </w:rPr>
      </w:pPr>
      <w:bookmarkStart w:id="23" w:name="_Toc223082606"/>
      <w:r>
        <w:rPr>
          <w:rFonts w:hint="default" w:ascii="Calibri" w:hAnsi="Calibri" w:eastAsia="楷体_GB2312" w:cs="Calibri"/>
          <w:b/>
          <w:bCs/>
          <w:color w:val="1F497D" w:themeColor="text2"/>
          <w:sz w:val="24"/>
          <w:szCs w:val="24"/>
          <w:lang w:val="en-US" w:eastAsia="zh-CN"/>
          <w14:textFill>
            <w14:solidFill>
              <w14:schemeClr w14:val="tx2"/>
            </w14:solidFill>
          </w14:textFill>
        </w:rPr>
        <w:t>（3）石油天然气</w:t>
      </w:r>
      <w:bookmarkEnd w:id="23"/>
      <w:r>
        <w:rPr>
          <w:rFonts w:hint="default" w:ascii="Calibri" w:hAnsi="Calibri" w:eastAsia="楷体_GB2312" w:cs="Calibri"/>
          <w:b/>
          <w:bCs/>
          <w:color w:val="1F497D" w:themeColor="text2"/>
          <w:sz w:val="24"/>
          <w:szCs w:val="24"/>
          <w:lang w:val="en-US" w:eastAsia="zh-CN"/>
          <w14:textFill>
            <w14:solidFill>
              <w14:schemeClr w14:val="tx2"/>
            </w14:solidFill>
          </w14:textFill>
        </w:rPr>
        <w:tab/>
      </w:r>
    </w:p>
    <w:p w14:paraId="303117F0">
      <w:pPr>
        <w:overflowPunct w:val="0"/>
        <w:ind w:left="3200" w:leftChars="2000"/>
        <w:jc w:val="both"/>
        <w:rPr>
          <w:rFonts w:hint="default" w:ascii="Calibri" w:hAnsi="Calibri" w:eastAsia="楷体_GB2312" w:cs="Calibri"/>
          <w:sz w:val="20"/>
          <w:szCs w:val="20"/>
          <w:lang w:val="en-US" w:eastAsia="zh-CN"/>
        </w:rPr>
      </w:pPr>
    </w:p>
    <w:p w14:paraId="66701CAA">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美国天然气期现价格周环比明显下行，总持仓小幅回落。截至2026年2月23日，亨利枢纽现货价格报3.13美元/百万英热，周环比小幅下降；截至2月26日，NYMEX HH近月期货价格报约2.85美元/百万英热，周环比下降约9%。截至2月17日（最新CFTC报告），纽约商品交易所（NYMEX）Henry Hub天然气期货合约总持仓量为163.4万张，周环比小幅下降。根据最新持仓数据，非商业多头持仓量约为16.31万张，周环比小幅减少；非商业空头持仓量约为18.99万张，周环比增加，投机者净空头仓位进一步扩大。</w:t>
      </w:r>
    </w:p>
    <w:p w14:paraId="760894B9">
      <w:pPr>
        <w:overflowPunct w:val="0"/>
        <w:ind w:left="3200" w:leftChars="2000"/>
        <w:jc w:val="both"/>
        <w:rPr>
          <w:rFonts w:hint="default" w:ascii="Calibri" w:hAnsi="Calibri" w:eastAsia="楷体_GB2312" w:cs="Calibri"/>
          <w:sz w:val="20"/>
          <w:szCs w:val="20"/>
          <w:lang w:val="en-US" w:eastAsia="zh-CN"/>
        </w:rPr>
      </w:pPr>
    </w:p>
    <w:p w14:paraId="400DB0AA">
      <w:pPr>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br w:type="page"/>
      </w:r>
    </w:p>
    <w:tbl>
      <w:tblPr>
        <w:tblStyle w:val="26"/>
        <w:tblW w:w="10490" w:type="dxa"/>
        <w:tblInd w:w="384" w:type="dxa"/>
        <w:tblLayout w:type="fixed"/>
        <w:tblCellMar>
          <w:top w:w="0" w:type="dxa"/>
          <w:left w:w="108" w:type="dxa"/>
          <w:bottom w:w="0" w:type="dxa"/>
          <w:right w:w="108" w:type="dxa"/>
        </w:tblCellMar>
      </w:tblPr>
      <w:tblGrid>
        <w:gridCol w:w="5103"/>
        <w:gridCol w:w="238"/>
        <w:gridCol w:w="5149"/>
      </w:tblGrid>
      <w:tr w14:paraId="3497E502">
        <w:tblPrEx>
          <w:tblCellMar>
            <w:top w:w="0" w:type="dxa"/>
            <w:left w:w="108" w:type="dxa"/>
            <w:bottom w:w="0" w:type="dxa"/>
            <w:right w:w="108" w:type="dxa"/>
          </w:tblCellMar>
        </w:tblPrEx>
        <w:trPr>
          <w:trHeight w:val="227" w:hRule="atLeast"/>
        </w:trPr>
        <w:tc>
          <w:tcPr>
            <w:tcW w:w="5103" w:type="dxa"/>
            <w:tcBorders>
              <w:top w:val="nil"/>
              <w:left w:val="nil"/>
              <w:bottom w:val="single" w:color="auto" w:sz="4" w:space="0"/>
              <w:right w:val="nil"/>
            </w:tcBorders>
            <w:tcMar>
              <w:top w:w="0" w:type="dxa"/>
              <w:left w:w="0" w:type="dxa"/>
              <w:bottom w:w="0" w:type="dxa"/>
              <w:right w:w="28" w:type="dxa"/>
            </w:tcMar>
          </w:tcPr>
          <w:p w14:paraId="726C562B">
            <w:pPr>
              <w:overflowPunct w:val="0"/>
              <w:rPr>
                <w:rFonts w:hint="default" w:ascii="Calibri" w:hAnsi="Calibri" w:eastAsia="楷体_GB2312" w:cs="Calibri"/>
                <w:b/>
                <w:sz w:val="18"/>
                <w:szCs w:val="18"/>
                <w:lang w:val="zh-CN" w:eastAsia="zh-CN"/>
              </w:rPr>
            </w:pPr>
            <w:r>
              <w:rPr>
                <w:rFonts w:hint="default" w:ascii="Calibri" w:hAnsi="Calibri" w:eastAsia="楷体_GB2312" w:cs="Calibri"/>
                <w:b/>
                <w:sz w:val="18"/>
                <w:szCs w:val="18"/>
                <w:lang w:val="zh-CN" w:eastAsia="zh-CN"/>
              </w:rPr>
              <w:t>图</w:t>
            </w:r>
            <w:r>
              <w:rPr>
                <w:rFonts w:hint="default" w:ascii="Calibri" w:hAnsi="Calibri" w:eastAsia="楷体_GB2312" w:cs="Calibri"/>
                <w:b/>
                <w:sz w:val="18"/>
                <w:szCs w:val="18"/>
                <w:lang w:val="en-US" w:eastAsia="zh-CN"/>
              </w:rPr>
              <w:t>30</w:t>
            </w:r>
            <w:r>
              <w:rPr>
                <w:rFonts w:hint="default" w:ascii="Calibri" w:hAnsi="Calibri" w:eastAsia="楷体_GB2312" w:cs="Calibri"/>
                <w:b/>
                <w:sz w:val="18"/>
                <w:szCs w:val="18"/>
                <w:lang w:val="zh-CN" w:eastAsia="zh-CN"/>
              </w:rPr>
              <w:t>：亨利港天然气现货价格（美元/百万英热）</w:t>
            </w:r>
          </w:p>
        </w:tc>
        <w:tc>
          <w:tcPr>
            <w:tcW w:w="238" w:type="dxa"/>
            <w:tcBorders>
              <w:top w:val="nil"/>
              <w:left w:val="nil"/>
              <w:bottom w:val="nil"/>
              <w:right w:val="nil"/>
            </w:tcBorders>
            <w:tcMar>
              <w:top w:w="0" w:type="dxa"/>
              <w:left w:w="0" w:type="dxa"/>
              <w:bottom w:w="0" w:type="dxa"/>
              <w:right w:w="28" w:type="dxa"/>
            </w:tcMar>
          </w:tcPr>
          <w:p w14:paraId="41329AC5">
            <w:pPr>
              <w:overflowPunct w:val="0"/>
              <w:rPr>
                <w:rFonts w:hint="default" w:ascii="Calibri" w:hAnsi="Calibri" w:eastAsia="楷体_GB2312" w:cs="Calibri"/>
                <w:b/>
                <w:sz w:val="18"/>
                <w:szCs w:val="18"/>
                <w:lang w:val="zh-CN" w:eastAsia="zh-CN"/>
              </w:rPr>
            </w:pPr>
            <w:r>
              <w:rPr>
                <w:rFonts w:hint="default" w:ascii="Calibri" w:hAnsi="Calibri" w:eastAsia="楷体_GB2312" w:cs="Calibri"/>
                <w:b/>
                <w:sz w:val="18"/>
                <w:szCs w:val="18"/>
                <w:lang w:val="zh-CN" w:eastAsia="zh-CN"/>
              </w:rPr>
              <w:t xml:space="preserve">         </w:t>
            </w:r>
          </w:p>
        </w:tc>
        <w:tc>
          <w:tcPr>
            <w:tcW w:w="5149" w:type="dxa"/>
            <w:tcBorders>
              <w:top w:val="nil"/>
              <w:left w:val="nil"/>
              <w:bottom w:val="single" w:color="auto" w:sz="4" w:space="0"/>
              <w:right w:val="nil"/>
            </w:tcBorders>
            <w:tcMar>
              <w:top w:w="0" w:type="dxa"/>
              <w:left w:w="0" w:type="dxa"/>
              <w:bottom w:w="0" w:type="dxa"/>
              <w:right w:w="28" w:type="dxa"/>
            </w:tcMar>
          </w:tcPr>
          <w:p w14:paraId="4D6847D0">
            <w:pPr>
              <w:overflowPunct w:val="0"/>
              <w:rPr>
                <w:rFonts w:hint="default" w:ascii="Calibri" w:hAnsi="Calibri" w:eastAsia="楷体_GB2312" w:cs="Calibri"/>
                <w:b/>
                <w:sz w:val="18"/>
                <w:szCs w:val="18"/>
                <w:lang w:val="zh-CN"/>
              </w:rPr>
            </w:pPr>
            <w:r>
              <w:rPr>
                <w:rFonts w:hint="default" w:ascii="Calibri" w:hAnsi="Calibri" w:eastAsia="楷体_GB2312" w:cs="Calibri"/>
                <w:b/>
                <w:sz w:val="18"/>
                <w:szCs w:val="18"/>
                <w:lang w:val="zh-CN"/>
              </w:rPr>
              <w:t>图</w:t>
            </w:r>
            <w:r>
              <w:rPr>
                <w:rFonts w:hint="default" w:ascii="Calibri" w:hAnsi="Calibri" w:eastAsia="楷体_GB2312" w:cs="Calibri"/>
                <w:b/>
                <w:sz w:val="18"/>
                <w:szCs w:val="18"/>
                <w:lang w:val="en-US" w:eastAsia="zh-CN"/>
              </w:rPr>
              <w:t>31</w:t>
            </w:r>
            <w:r>
              <w:rPr>
                <w:rFonts w:hint="default" w:ascii="Calibri" w:hAnsi="Calibri" w:eastAsia="楷体_GB2312" w:cs="Calibri"/>
                <w:b/>
                <w:sz w:val="18"/>
                <w:szCs w:val="18"/>
                <w:lang w:val="zh-CN"/>
              </w:rPr>
              <w:t>：美国气温预期</w:t>
            </w:r>
          </w:p>
        </w:tc>
      </w:tr>
      <w:tr w14:paraId="1DCF67A2">
        <w:tblPrEx>
          <w:tblCellMar>
            <w:top w:w="0" w:type="dxa"/>
            <w:left w:w="108" w:type="dxa"/>
            <w:bottom w:w="0" w:type="dxa"/>
            <w:right w:w="108" w:type="dxa"/>
          </w:tblCellMar>
        </w:tblPrEx>
        <w:trPr>
          <w:trHeight w:val="2902" w:hRule="atLeast"/>
        </w:trPr>
        <w:tc>
          <w:tcPr>
            <w:tcW w:w="5103" w:type="dxa"/>
            <w:tcBorders>
              <w:top w:val="single" w:color="auto" w:sz="4" w:space="0"/>
              <w:left w:val="nil"/>
              <w:bottom w:val="single" w:color="auto" w:sz="4" w:space="0"/>
              <w:right w:val="nil"/>
            </w:tcBorders>
            <w:vAlign w:val="center"/>
          </w:tcPr>
          <w:p w14:paraId="42394D86">
            <w:pPr>
              <w:overflowPunct w:val="0"/>
              <w:spacing w:before="48" w:beforeLines="20" w:after="48" w:afterLines="20"/>
              <w:jc w:val="center"/>
              <w:textAlignment w:val="center"/>
              <w:rPr>
                <w:rFonts w:hint="default" w:ascii="Calibri" w:hAnsi="Calibri" w:eastAsia="楷体_GB2312" w:cs="Calibri"/>
                <w:b/>
                <w:color w:val="000000"/>
                <w:sz w:val="15"/>
                <w:szCs w:val="15"/>
              </w:rPr>
            </w:pPr>
            <w:r>
              <w:rPr>
                <w:rFonts w:hint="default" w:ascii="Calibri" w:hAnsi="Calibri" w:eastAsia="楷体_GB2312" w:cs="Calibri"/>
                <w:b/>
                <w:color w:val="000000"/>
                <w:sz w:val="15"/>
                <w:szCs w:val="15"/>
              </w:rPr>
              <w:drawing>
                <wp:inline distT="0" distB="0" distL="0" distR="0">
                  <wp:extent cx="3103245" cy="2278380"/>
                  <wp:effectExtent l="0" t="0" r="1905" b="7620"/>
                  <wp:docPr id="20061806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80620" name="图片 1"/>
                          <pic:cNvPicPr>
                            <a:picLocks noChangeAspect="1"/>
                          </pic:cNvPicPr>
                        </pic:nvPicPr>
                        <pic:blipFill>
                          <a:blip r:embed="rId43"/>
                          <a:stretch>
                            <a:fillRect/>
                          </a:stretch>
                        </pic:blipFill>
                        <pic:spPr>
                          <a:xfrm>
                            <a:off x="0" y="0"/>
                            <a:ext cx="3103245" cy="2278380"/>
                          </a:xfrm>
                          <a:prstGeom prst="rect">
                            <a:avLst/>
                          </a:prstGeom>
                        </pic:spPr>
                      </pic:pic>
                    </a:graphicData>
                  </a:graphic>
                </wp:inline>
              </w:drawing>
            </w:r>
          </w:p>
        </w:tc>
        <w:tc>
          <w:tcPr>
            <w:tcW w:w="238" w:type="dxa"/>
            <w:tcBorders>
              <w:top w:val="nil"/>
              <w:left w:val="nil"/>
              <w:bottom w:val="nil"/>
              <w:right w:val="nil"/>
            </w:tcBorders>
          </w:tcPr>
          <w:p w14:paraId="2B5FF8AE">
            <w:pPr>
              <w:overflowPunct w:val="0"/>
              <w:spacing w:before="48" w:beforeLines="20" w:after="48" w:afterLines="20"/>
              <w:rPr>
                <w:rFonts w:hint="default" w:ascii="Calibri" w:hAnsi="Calibri" w:eastAsia="楷体_GB2312" w:cs="Calibri"/>
                <w:sz w:val="15"/>
                <w:szCs w:val="15"/>
              </w:rPr>
            </w:pPr>
          </w:p>
        </w:tc>
        <w:tc>
          <w:tcPr>
            <w:tcW w:w="5149" w:type="dxa"/>
            <w:tcBorders>
              <w:top w:val="single" w:color="auto" w:sz="4" w:space="0"/>
              <w:left w:val="nil"/>
              <w:bottom w:val="single" w:color="auto" w:sz="4" w:space="0"/>
              <w:right w:val="nil"/>
            </w:tcBorders>
          </w:tcPr>
          <w:p w14:paraId="1BD3ED60">
            <w:pPr>
              <w:overflowPunct w:val="0"/>
              <w:spacing w:before="48" w:beforeLines="20" w:after="48" w:afterLines="20"/>
              <w:rPr>
                <w:rFonts w:hint="default" w:ascii="Calibri" w:hAnsi="Calibri" w:eastAsia="楷体_GB2312" w:cs="Calibri"/>
                <w:b/>
                <w:sz w:val="15"/>
                <w:szCs w:val="15"/>
              </w:rPr>
            </w:pPr>
          </w:p>
          <w:p w14:paraId="2C463E43">
            <w:pPr>
              <w:overflowPunct w:val="0"/>
              <w:spacing w:before="48" w:beforeLines="20" w:after="48" w:afterLines="20"/>
              <w:jc w:val="center"/>
              <w:rPr>
                <w:rFonts w:hint="default" w:ascii="Calibri" w:hAnsi="Calibri" w:eastAsia="楷体_GB2312" w:cs="Calibri"/>
                <w:b/>
                <w:sz w:val="15"/>
                <w:szCs w:val="15"/>
                <w:lang w:eastAsia="zh-CN"/>
              </w:rPr>
            </w:pPr>
            <w:r>
              <w:rPr>
                <w:rFonts w:hint="default" w:ascii="Calibri" w:hAnsi="Calibri" w:eastAsia="楷体_GB2312" w:cs="Calibri"/>
              </w:rPr>
              <w:drawing>
                <wp:inline distT="0" distB="0" distL="0" distR="0">
                  <wp:extent cx="3132455" cy="2015490"/>
                  <wp:effectExtent l="0" t="0" r="0" b="3810"/>
                  <wp:docPr id="41417434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174341" name="图片 7"/>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a:xfrm>
                            <a:off x="0" y="0"/>
                            <a:ext cx="3132455" cy="2015490"/>
                          </a:xfrm>
                          <a:prstGeom prst="rect">
                            <a:avLst/>
                          </a:prstGeom>
                          <a:noFill/>
                          <a:ln>
                            <a:noFill/>
                          </a:ln>
                        </pic:spPr>
                      </pic:pic>
                    </a:graphicData>
                  </a:graphic>
                </wp:inline>
              </w:drawing>
            </w:r>
          </w:p>
        </w:tc>
      </w:tr>
      <w:tr w14:paraId="35C5E5B5">
        <w:tblPrEx>
          <w:tblCellMar>
            <w:top w:w="0" w:type="dxa"/>
            <w:left w:w="108" w:type="dxa"/>
            <w:bottom w:w="0" w:type="dxa"/>
            <w:right w:w="108" w:type="dxa"/>
          </w:tblCellMar>
        </w:tblPrEx>
        <w:tc>
          <w:tcPr>
            <w:tcW w:w="5103" w:type="dxa"/>
            <w:tcBorders>
              <w:top w:val="single" w:color="auto" w:sz="4" w:space="0"/>
              <w:left w:val="nil"/>
              <w:bottom w:val="nil"/>
              <w:right w:val="nil"/>
            </w:tcBorders>
            <w:tcMar>
              <w:top w:w="0" w:type="dxa"/>
              <w:left w:w="0" w:type="dxa"/>
              <w:bottom w:w="0" w:type="dxa"/>
              <w:right w:w="28" w:type="dxa"/>
            </w:tcMar>
            <w:vAlign w:val="center"/>
          </w:tcPr>
          <w:p w14:paraId="38C77CC8">
            <w:pPr>
              <w:overflowPunct w:val="0"/>
              <w:spacing w:before="48" w:beforeLines="20" w:after="48" w:afterLines="20"/>
              <w:textAlignment w:val="center"/>
              <w:rPr>
                <w:rFonts w:hint="default" w:ascii="Calibri" w:hAnsi="Calibri" w:eastAsia="楷体_GB2312" w:cs="Calibri"/>
                <w:sz w:val="10"/>
                <w:szCs w:val="10"/>
              </w:rPr>
            </w:pPr>
            <w:r>
              <w:rPr>
                <w:rFonts w:hint="default" w:ascii="Calibri" w:hAnsi="Calibri" w:eastAsia="楷体_GB2312" w:cs="Calibri"/>
                <w:i/>
                <w:iCs/>
                <w:lang w:val="zh-CN"/>
              </w:rPr>
              <w:t>资料来源：</w:t>
            </w:r>
            <w:r>
              <w:rPr>
                <w:rFonts w:hint="default" w:ascii="Calibri" w:hAnsi="Calibri" w:eastAsia="楷体_GB2312" w:cs="Calibri"/>
                <w:i/>
                <w:iCs/>
              </w:rPr>
              <w:t>Wind</w:t>
            </w:r>
            <w:r>
              <w:rPr>
                <w:rFonts w:hint="default" w:ascii="Calibri" w:hAnsi="Calibri" w:eastAsia="楷体_GB2312" w:cs="Calibri"/>
                <w:i/>
                <w:iCs/>
                <w:lang w:val="zh-CN"/>
              </w:rPr>
              <w:t>，HFI</w:t>
            </w:r>
          </w:p>
        </w:tc>
        <w:tc>
          <w:tcPr>
            <w:tcW w:w="238" w:type="dxa"/>
            <w:tcBorders>
              <w:top w:val="nil"/>
              <w:left w:val="nil"/>
              <w:bottom w:val="nil"/>
              <w:right w:val="nil"/>
            </w:tcBorders>
            <w:tcMar>
              <w:top w:w="0" w:type="dxa"/>
              <w:left w:w="0" w:type="dxa"/>
              <w:bottom w:w="0" w:type="dxa"/>
              <w:right w:w="28" w:type="dxa"/>
            </w:tcMar>
          </w:tcPr>
          <w:p w14:paraId="580AD0B5">
            <w:pPr>
              <w:overflowPunct w:val="0"/>
              <w:spacing w:before="48" w:beforeLines="20" w:after="48" w:afterLines="20"/>
              <w:rPr>
                <w:rFonts w:hint="default" w:ascii="Calibri" w:hAnsi="Calibri" w:eastAsia="楷体_GB2312" w:cs="Calibri"/>
                <w:sz w:val="15"/>
                <w:szCs w:val="15"/>
              </w:rPr>
            </w:pPr>
          </w:p>
        </w:tc>
        <w:tc>
          <w:tcPr>
            <w:tcW w:w="5149" w:type="dxa"/>
            <w:tcBorders>
              <w:top w:val="single" w:color="auto" w:sz="4" w:space="0"/>
              <w:left w:val="nil"/>
              <w:bottom w:val="nil"/>
              <w:right w:val="nil"/>
            </w:tcBorders>
            <w:tcMar>
              <w:top w:w="0" w:type="dxa"/>
              <w:left w:w="0" w:type="dxa"/>
              <w:bottom w:w="0" w:type="dxa"/>
              <w:right w:w="28" w:type="dxa"/>
            </w:tcMar>
          </w:tcPr>
          <w:p w14:paraId="31F5979B">
            <w:pPr>
              <w:overflowPunct w:val="0"/>
              <w:spacing w:before="48" w:beforeLines="20" w:after="48" w:afterLines="20"/>
              <w:rPr>
                <w:rFonts w:hint="default" w:ascii="Calibri" w:hAnsi="Calibri" w:eastAsia="楷体_GB2312" w:cs="Calibri"/>
                <w:sz w:val="10"/>
                <w:szCs w:val="10"/>
                <w:lang w:eastAsia="zh-CN"/>
              </w:rPr>
            </w:pPr>
            <w:r>
              <w:rPr>
                <w:rFonts w:hint="default" w:ascii="Calibri" w:hAnsi="Calibri" w:eastAsia="楷体_GB2312" w:cs="Calibri"/>
                <w:i/>
                <w:iCs/>
                <w:lang w:val="zh-CN" w:eastAsia="zh-CN"/>
              </w:rPr>
              <w:t>资料来源：</w:t>
            </w:r>
            <w:r>
              <w:rPr>
                <w:rFonts w:hint="default" w:ascii="Calibri" w:hAnsi="Calibri" w:eastAsia="楷体_GB2312" w:cs="Calibri"/>
                <w:i/>
                <w:iCs/>
                <w:lang w:eastAsia="zh-CN"/>
              </w:rPr>
              <w:t>NDFD</w:t>
            </w:r>
            <w:r>
              <w:rPr>
                <w:rFonts w:hint="default" w:ascii="Calibri" w:hAnsi="Calibri" w:eastAsia="楷体_GB2312" w:cs="Calibri"/>
                <w:i/>
                <w:iCs/>
                <w:lang w:val="zh-CN" w:eastAsia="zh-CN"/>
              </w:rPr>
              <w:t>，HFI</w:t>
            </w:r>
          </w:p>
        </w:tc>
      </w:tr>
    </w:tbl>
    <w:p w14:paraId="040A26C7">
      <w:pPr>
        <w:overflowPunct w:val="0"/>
        <w:rPr>
          <w:rFonts w:hint="default" w:ascii="Calibri" w:hAnsi="Calibri" w:eastAsia="楷体_GB2312" w:cs="Calibri"/>
          <w:b/>
          <w:sz w:val="18"/>
          <w:szCs w:val="18"/>
          <w:lang w:val="zh-CN" w:eastAsia="zh-CN"/>
        </w:rPr>
      </w:pPr>
    </w:p>
    <w:p w14:paraId="147E417D">
      <w:pPr>
        <w:overflowPunct w:val="0"/>
        <w:rPr>
          <w:rFonts w:hint="default" w:ascii="Calibri" w:hAnsi="Calibri" w:eastAsia="楷体_GB2312" w:cs="Calibri"/>
          <w:b/>
          <w:sz w:val="18"/>
          <w:szCs w:val="18"/>
          <w:lang w:val="zh-CN" w:eastAsia="zh-CN"/>
        </w:rPr>
      </w:pPr>
    </w:p>
    <w:p w14:paraId="4AA31DCB">
      <w:pPr>
        <w:overflowPunct w:val="0"/>
        <w:rPr>
          <w:rFonts w:hint="default" w:ascii="Calibri" w:hAnsi="Calibri" w:eastAsia="楷体_GB2312" w:cs="Calibri"/>
          <w:b/>
          <w:sz w:val="18"/>
          <w:szCs w:val="18"/>
          <w:lang w:val="zh-CN" w:eastAsia="zh-CN"/>
        </w:rPr>
      </w:pPr>
    </w:p>
    <w:tbl>
      <w:tblPr>
        <w:tblStyle w:val="26"/>
        <w:tblW w:w="10490" w:type="dxa"/>
        <w:tblInd w:w="384" w:type="dxa"/>
        <w:tblLayout w:type="fixed"/>
        <w:tblCellMar>
          <w:top w:w="0" w:type="dxa"/>
          <w:left w:w="108" w:type="dxa"/>
          <w:bottom w:w="0" w:type="dxa"/>
          <w:right w:w="108" w:type="dxa"/>
        </w:tblCellMar>
      </w:tblPr>
      <w:tblGrid>
        <w:gridCol w:w="5103"/>
        <w:gridCol w:w="238"/>
        <w:gridCol w:w="5149"/>
      </w:tblGrid>
      <w:tr w14:paraId="0F426937">
        <w:tblPrEx>
          <w:tblCellMar>
            <w:top w:w="0" w:type="dxa"/>
            <w:left w:w="108" w:type="dxa"/>
            <w:bottom w:w="0" w:type="dxa"/>
            <w:right w:w="108" w:type="dxa"/>
          </w:tblCellMar>
        </w:tblPrEx>
        <w:trPr>
          <w:trHeight w:val="227" w:hRule="atLeast"/>
        </w:trPr>
        <w:tc>
          <w:tcPr>
            <w:tcW w:w="5103" w:type="dxa"/>
            <w:tcBorders>
              <w:top w:val="nil"/>
              <w:left w:val="nil"/>
              <w:bottom w:val="single" w:color="auto" w:sz="4" w:space="0"/>
              <w:right w:val="nil"/>
            </w:tcBorders>
            <w:tcMar>
              <w:top w:w="0" w:type="dxa"/>
              <w:left w:w="0" w:type="dxa"/>
              <w:bottom w:w="0" w:type="dxa"/>
              <w:right w:w="28" w:type="dxa"/>
            </w:tcMar>
          </w:tcPr>
          <w:p w14:paraId="6EBAD63A">
            <w:pPr>
              <w:overflowPunct w:val="0"/>
              <w:rPr>
                <w:rFonts w:hint="default" w:ascii="Calibri" w:hAnsi="Calibri" w:eastAsia="楷体_GB2312" w:cs="Calibri"/>
                <w:b/>
                <w:sz w:val="18"/>
                <w:szCs w:val="18"/>
                <w:lang w:val="zh-CN" w:eastAsia="zh-CN"/>
              </w:rPr>
            </w:pPr>
            <w:r>
              <w:rPr>
                <w:rFonts w:hint="default" w:ascii="Calibri" w:hAnsi="Calibri" w:eastAsia="楷体_GB2312" w:cs="Calibri"/>
                <w:b/>
                <w:sz w:val="18"/>
                <w:szCs w:val="18"/>
                <w:lang w:val="zh-CN" w:eastAsia="zh-CN"/>
              </w:rPr>
              <w:t>图</w:t>
            </w:r>
            <w:r>
              <w:rPr>
                <w:rFonts w:hint="default" w:ascii="Calibri" w:hAnsi="Calibri" w:eastAsia="楷体_GB2312" w:cs="Calibri"/>
                <w:b/>
                <w:sz w:val="18"/>
                <w:szCs w:val="18"/>
                <w:lang w:val="en-US" w:eastAsia="zh-CN"/>
              </w:rPr>
              <w:t>32</w:t>
            </w:r>
            <w:r>
              <w:rPr>
                <w:rFonts w:hint="default" w:ascii="Calibri" w:hAnsi="Calibri" w:eastAsia="楷体_GB2312" w:cs="Calibri"/>
                <w:b/>
                <w:sz w:val="18"/>
                <w:szCs w:val="18"/>
                <w:lang w:val="zh-CN" w:eastAsia="zh-CN"/>
              </w:rPr>
              <w:t>：美国天然气亨利港期货价格 （美元/百万英热）</w:t>
            </w:r>
          </w:p>
        </w:tc>
        <w:tc>
          <w:tcPr>
            <w:tcW w:w="238" w:type="dxa"/>
            <w:tcBorders>
              <w:top w:val="nil"/>
              <w:left w:val="nil"/>
              <w:bottom w:val="nil"/>
              <w:right w:val="nil"/>
            </w:tcBorders>
            <w:tcMar>
              <w:top w:w="0" w:type="dxa"/>
              <w:left w:w="0" w:type="dxa"/>
              <w:bottom w:w="0" w:type="dxa"/>
              <w:right w:w="28" w:type="dxa"/>
            </w:tcMar>
          </w:tcPr>
          <w:p w14:paraId="10B954FA">
            <w:pPr>
              <w:overflowPunct w:val="0"/>
              <w:rPr>
                <w:rFonts w:hint="default" w:ascii="Calibri" w:hAnsi="Calibri" w:eastAsia="楷体_GB2312" w:cs="Calibri"/>
                <w:b/>
                <w:sz w:val="18"/>
                <w:szCs w:val="18"/>
                <w:lang w:val="zh-CN" w:eastAsia="zh-CN"/>
              </w:rPr>
            </w:pPr>
            <w:r>
              <w:rPr>
                <w:rFonts w:hint="default" w:ascii="Calibri" w:hAnsi="Calibri" w:eastAsia="楷体_GB2312" w:cs="Calibri"/>
                <w:b/>
                <w:sz w:val="18"/>
                <w:szCs w:val="18"/>
                <w:lang w:val="zh-CN" w:eastAsia="zh-CN"/>
              </w:rPr>
              <w:t xml:space="preserve">         </w:t>
            </w:r>
          </w:p>
        </w:tc>
        <w:tc>
          <w:tcPr>
            <w:tcW w:w="5149" w:type="dxa"/>
            <w:tcBorders>
              <w:top w:val="nil"/>
              <w:left w:val="nil"/>
              <w:bottom w:val="single" w:color="auto" w:sz="4" w:space="0"/>
              <w:right w:val="nil"/>
            </w:tcBorders>
            <w:tcMar>
              <w:top w:w="0" w:type="dxa"/>
              <w:left w:w="0" w:type="dxa"/>
              <w:bottom w:w="0" w:type="dxa"/>
              <w:right w:w="28" w:type="dxa"/>
            </w:tcMar>
          </w:tcPr>
          <w:p w14:paraId="30FDAF7F">
            <w:pPr>
              <w:overflowPunct w:val="0"/>
              <w:rPr>
                <w:rFonts w:hint="default" w:ascii="Calibri" w:hAnsi="Calibri" w:eastAsia="楷体_GB2312" w:cs="Calibri"/>
                <w:b/>
                <w:sz w:val="18"/>
                <w:szCs w:val="18"/>
                <w:lang w:val="zh-CN" w:eastAsia="zh-CN"/>
              </w:rPr>
            </w:pPr>
            <w:r>
              <w:rPr>
                <w:rFonts w:hint="default" w:ascii="Calibri" w:hAnsi="Calibri" w:eastAsia="楷体_GB2312" w:cs="Calibri"/>
                <w:b/>
                <w:sz w:val="18"/>
                <w:szCs w:val="18"/>
                <w:lang w:val="zh-CN" w:eastAsia="zh-CN"/>
              </w:rPr>
              <w:t>图</w:t>
            </w:r>
            <w:r>
              <w:rPr>
                <w:rFonts w:hint="default" w:ascii="Calibri" w:hAnsi="Calibri" w:eastAsia="楷体_GB2312" w:cs="Calibri"/>
                <w:b/>
                <w:sz w:val="18"/>
                <w:szCs w:val="18"/>
                <w:lang w:val="en-US" w:eastAsia="zh-CN"/>
              </w:rPr>
              <w:t>33</w:t>
            </w:r>
            <w:r>
              <w:rPr>
                <w:rFonts w:hint="default" w:ascii="Calibri" w:hAnsi="Calibri" w:eastAsia="楷体_GB2312" w:cs="Calibri"/>
                <w:b/>
                <w:sz w:val="18"/>
                <w:szCs w:val="18"/>
                <w:lang w:val="zh-CN" w:eastAsia="zh-CN"/>
              </w:rPr>
              <w:t>：美国天然气期货合约成交量</w:t>
            </w:r>
          </w:p>
        </w:tc>
      </w:tr>
      <w:tr w14:paraId="6471486F">
        <w:tblPrEx>
          <w:tblCellMar>
            <w:top w:w="0" w:type="dxa"/>
            <w:left w:w="108" w:type="dxa"/>
            <w:bottom w:w="0" w:type="dxa"/>
            <w:right w:w="108" w:type="dxa"/>
          </w:tblCellMar>
        </w:tblPrEx>
        <w:trPr>
          <w:trHeight w:val="90" w:hRule="atLeast"/>
        </w:trPr>
        <w:tc>
          <w:tcPr>
            <w:tcW w:w="5103" w:type="dxa"/>
            <w:tcBorders>
              <w:top w:val="single" w:color="auto" w:sz="4" w:space="0"/>
              <w:left w:val="nil"/>
              <w:bottom w:val="single" w:color="auto" w:sz="4" w:space="0"/>
              <w:right w:val="nil"/>
            </w:tcBorders>
            <w:vAlign w:val="center"/>
          </w:tcPr>
          <w:p w14:paraId="01CB20CD">
            <w:pPr>
              <w:overflowPunct w:val="0"/>
              <w:spacing w:before="48" w:beforeLines="20" w:after="48" w:afterLines="20"/>
              <w:jc w:val="center"/>
              <w:textAlignment w:val="center"/>
              <w:rPr>
                <w:rFonts w:hint="default" w:ascii="Calibri" w:hAnsi="Calibri" w:eastAsia="楷体_GB2312" w:cs="Calibri"/>
                <w:b/>
                <w:color w:val="000000"/>
                <w:sz w:val="15"/>
                <w:szCs w:val="15"/>
              </w:rPr>
            </w:pPr>
            <w:r>
              <w:rPr>
                <w:rFonts w:hint="default" w:ascii="Calibri" w:hAnsi="Calibri" w:eastAsia="楷体_GB2312" w:cs="Calibri"/>
                <w:b/>
                <w:color w:val="000000"/>
                <w:sz w:val="15"/>
                <w:szCs w:val="15"/>
              </w:rPr>
              <w:drawing>
                <wp:inline distT="0" distB="0" distL="0" distR="0">
                  <wp:extent cx="3103245" cy="1473200"/>
                  <wp:effectExtent l="0" t="0" r="1905" b="0"/>
                  <wp:docPr id="168566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613" name="图片 1"/>
                          <pic:cNvPicPr>
                            <a:picLocks noChangeAspect="1"/>
                          </pic:cNvPicPr>
                        </pic:nvPicPr>
                        <pic:blipFill>
                          <a:blip r:embed="rId45"/>
                          <a:stretch>
                            <a:fillRect/>
                          </a:stretch>
                        </pic:blipFill>
                        <pic:spPr>
                          <a:xfrm>
                            <a:off x="0" y="0"/>
                            <a:ext cx="3103245" cy="1473200"/>
                          </a:xfrm>
                          <a:prstGeom prst="rect">
                            <a:avLst/>
                          </a:prstGeom>
                        </pic:spPr>
                      </pic:pic>
                    </a:graphicData>
                  </a:graphic>
                </wp:inline>
              </w:drawing>
            </w:r>
          </w:p>
        </w:tc>
        <w:tc>
          <w:tcPr>
            <w:tcW w:w="238" w:type="dxa"/>
            <w:tcBorders>
              <w:top w:val="nil"/>
              <w:left w:val="nil"/>
              <w:bottom w:val="nil"/>
              <w:right w:val="nil"/>
            </w:tcBorders>
          </w:tcPr>
          <w:p w14:paraId="68B60654">
            <w:pPr>
              <w:overflowPunct w:val="0"/>
              <w:spacing w:before="48" w:beforeLines="20" w:after="48" w:afterLines="20"/>
              <w:rPr>
                <w:rFonts w:hint="default" w:ascii="Calibri" w:hAnsi="Calibri" w:eastAsia="楷体_GB2312" w:cs="Calibri"/>
                <w:sz w:val="15"/>
                <w:szCs w:val="15"/>
              </w:rPr>
            </w:pPr>
          </w:p>
        </w:tc>
        <w:tc>
          <w:tcPr>
            <w:tcW w:w="5149" w:type="dxa"/>
            <w:tcBorders>
              <w:top w:val="single" w:color="auto" w:sz="4" w:space="0"/>
              <w:left w:val="nil"/>
              <w:bottom w:val="single" w:color="auto" w:sz="4" w:space="0"/>
              <w:right w:val="nil"/>
            </w:tcBorders>
          </w:tcPr>
          <w:p w14:paraId="2A1DA4A7">
            <w:pPr>
              <w:overflowPunct w:val="0"/>
              <w:spacing w:before="48" w:beforeLines="20" w:after="48" w:afterLines="20"/>
              <w:rPr>
                <w:rFonts w:hint="default" w:ascii="Calibri" w:hAnsi="Calibri" w:eastAsia="楷体_GB2312" w:cs="Calibri"/>
                <w:b/>
                <w:sz w:val="15"/>
                <w:szCs w:val="15"/>
              </w:rPr>
            </w:pPr>
          </w:p>
          <w:p w14:paraId="4E4266DF">
            <w:pPr>
              <w:overflowPunct w:val="0"/>
              <w:spacing w:before="48" w:beforeLines="20" w:after="48" w:afterLines="20"/>
              <w:jc w:val="center"/>
              <w:rPr>
                <w:rFonts w:hint="default" w:ascii="Calibri" w:hAnsi="Calibri" w:eastAsia="楷体_GB2312" w:cs="Calibri"/>
                <w:b/>
                <w:sz w:val="15"/>
                <w:szCs w:val="15"/>
              </w:rPr>
            </w:pPr>
            <w:r>
              <w:rPr>
                <w:rFonts w:hint="default" w:ascii="Calibri" w:hAnsi="Calibri" w:eastAsia="楷体_GB2312" w:cs="Calibri"/>
                <w:b/>
                <w:sz w:val="15"/>
                <w:szCs w:val="15"/>
              </w:rPr>
              <w:drawing>
                <wp:inline distT="0" distB="0" distL="0" distR="0">
                  <wp:extent cx="3132455" cy="1088390"/>
                  <wp:effectExtent l="0" t="0" r="0" b="0"/>
                  <wp:docPr id="2323392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339236" name="图片 1"/>
                          <pic:cNvPicPr>
                            <a:picLocks noChangeAspect="1"/>
                          </pic:cNvPicPr>
                        </pic:nvPicPr>
                        <pic:blipFill>
                          <a:blip r:embed="rId46"/>
                          <a:stretch>
                            <a:fillRect/>
                          </a:stretch>
                        </pic:blipFill>
                        <pic:spPr>
                          <a:xfrm>
                            <a:off x="0" y="0"/>
                            <a:ext cx="3132455" cy="1088390"/>
                          </a:xfrm>
                          <a:prstGeom prst="rect">
                            <a:avLst/>
                          </a:prstGeom>
                        </pic:spPr>
                      </pic:pic>
                    </a:graphicData>
                  </a:graphic>
                </wp:inline>
              </w:drawing>
            </w:r>
          </w:p>
        </w:tc>
      </w:tr>
      <w:tr w14:paraId="5819B862">
        <w:tblPrEx>
          <w:tblCellMar>
            <w:top w:w="0" w:type="dxa"/>
            <w:left w:w="108" w:type="dxa"/>
            <w:bottom w:w="0" w:type="dxa"/>
            <w:right w:w="108" w:type="dxa"/>
          </w:tblCellMar>
        </w:tblPrEx>
        <w:tc>
          <w:tcPr>
            <w:tcW w:w="5103" w:type="dxa"/>
            <w:tcBorders>
              <w:top w:val="single" w:color="auto" w:sz="4" w:space="0"/>
              <w:left w:val="nil"/>
              <w:bottom w:val="nil"/>
              <w:right w:val="nil"/>
            </w:tcBorders>
            <w:tcMar>
              <w:top w:w="0" w:type="dxa"/>
              <w:left w:w="0" w:type="dxa"/>
              <w:bottom w:w="0" w:type="dxa"/>
              <w:right w:w="28" w:type="dxa"/>
            </w:tcMar>
            <w:vAlign w:val="center"/>
          </w:tcPr>
          <w:p w14:paraId="68F4B8D7">
            <w:pPr>
              <w:overflowPunct w:val="0"/>
              <w:spacing w:before="48" w:beforeLines="20" w:after="48" w:afterLines="20"/>
              <w:textAlignment w:val="center"/>
              <w:rPr>
                <w:rFonts w:hint="default" w:ascii="Calibri" w:hAnsi="Calibri" w:eastAsia="楷体_GB2312" w:cs="Calibri"/>
                <w:sz w:val="10"/>
                <w:szCs w:val="10"/>
              </w:rPr>
            </w:pPr>
            <w:r>
              <w:rPr>
                <w:rFonts w:hint="default" w:ascii="Calibri" w:hAnsi="Calibri" w:eastAsia="楷体_GB2312" w:cs="Calibri"/>
                <w:i/>
                <w:iCs/>
                <w:lang w:val="zh-CN"/>
              </w:rPr>
              <w:t>资料来源：</w:t>
            </w:r>
            <w:r>
              <w:rPr>
                <w:rFonts w:hint="default" w:ascii="Calibri" w:hAnsi="Calibri" w:eastAsia="楷体_GB2312" w:cs="Calibri"/>
                <w:i/>
                <w:iCs/>
              </w:rPr>
              <w:t>Wind</w:t>
            </w:r>
            <w:r>
              <w:rPr>
                <w:rFonts w:hint="default" w:ascii="Calibri" w:hAnsi="Calibri" w:eastAsia="楷体_GB2312" w:cs="Calibri"/>
                <w:i/>
                <w:iCs/>
                <w:lang w:val="zh-CN"/>
              </w:rPr>
              <w:t>，HFI</w:t>
            </w:r>
          </w:p>
        </w:tc>
        <w:tc>
          <w:tcPr>
            <w:tcW w:w="238" w:type="dxa"/>
            <w:tcBorders>
              <w:top w:val="nil"/>
              <w:left w:val="nil"/>
              <w:bottom w:val="nil"/>
              <w:right w:val="nil"/>
            </w:tcBorders>
            <w:tcMar>
              <w:top w:w="0" w:type="dxa"/>
              <w:left w:w="0" w:type="dxa"/>
              <w:bottom w:w="0" w:type="dxa"/>
              <w:right w:w="28" w:type="dxa"/>
            </w:tcMar>
          </w:tcPr>
          <w:p w14:paraId="0F640D3D">
            <w:pPr>
              <w:overflowPunct w:val="0"/>
              <w:spacing w:before="48" w:beforeLines="20" w:after="48" w:afterLines="20"/>
              <w:rPr>
                <w:rFonts w:hint="default" w:ascii="Calibri" w:hAnsi="Calibri" w:eastAsia="楷体_GB2312" w:cs="Calibri"/>
                <w:sz w:val="15"/>
                <w:szCs w:val="15"/>
              </w:rPr>
            </w:pPr>
          </w:p>
        </w:tc>
        <w:tc>
          <w:tcPr>
            <w:tcW w:w="5149" w:type="dxa"/>
            <w:tcBorders>
              <w:top w:val="single" w:color="auto" w:sz="4" w:space="0"/>
              <w:left w:val="nil"/>
              <w:bottom w:val="nil"/>
              <w:right w:val="nil"/>
            </w:tcBorders>
            <w:tcMar>
              <w:top w:w="0" w:type="dxa"/>
              <w:left w:w="0" w:type="dxa"/>
              <w:bottom w:w="0" w:type="dxa"/>
              <w:right w:w="28" w:type="dxa"/>
            </w:tcMar>
          </w:tcPr>
          <w:p w14:paraId="0C5C9DAD">
            <w:pPr>
              <w:overflowPunct w:val="0"/>
              <w:spacing w:before="48" w:beforeLines="20" w:after="48" w:afterLines="20"/>
              <w:rPr>
                <w:rFonts w:hint="default" w:ascii="Calibri" w:hAnsi="Calibri" w:eastAsia="楷体_GB2312" w:cs="Calibri"/>
                <w:sz w:val="10"/>
                <w:szCs w:val="10"/>
              </w:rPr>
            </w:pPr>
            <w:r>
              <w:rPr>
                <w:rFonts w:hint="default" w:ascii="Calibri" w:hAnsi="Calibri" w:eastAsia="楷体_GB2312" w:cs="Calibri"/>
                <w:i/>
                <w:iCs/>
                <w:lang w:val="zh-CN"/>
              </w:rPr>
              <w:t>资料来源：</w:t>
            </w:r>
            <w:r>
              <w:rPr>
                <w:rFonts w:hint="default" w:ascii="Calibri" w:hAnsi="Calibri" w:eastAsia="楷体_GB2312" w:cs="Calibri"/>
                <w:i/>
                <w:iCs/>
              </w:rPr>
              <w:t>Wind</w:t>
            </w:r>
            <w:r>
              <w:rPr>
                <w:rFonts w:hint="default" w:ascii="Calibri" w:hAnsi="Calibri" w:eastAsia="楷体_GB2312" w:cs="Calibri"/>
                <w:i/>
                <w:iCs/>
                <w:lang w:val="zh-CN"/>
              </w:rPr>
              <w:t>，HFI</w:t>
            </w:r>
          </w:p>
        </w:tc>
      </w:tr>
    </w:tbl>
    <w:p w14:paraId="6DC36CD4">
      <w:pPr>
        <w:overflowPunct w:val="0"/>
        <w:ind w:left="3200" w:leftChars="2000"/>
        <w:jc w:val="both"/>
        <w:rPr>
          <w:rFonts w:hint="default" w:ascii="Calibri" w:hAnsi="Calibri" w:eastAsia="楷体_GB2312" w:cs="Calibri"/>
          <w:sz w:val="20"/>
          <w:szCs w:val="20"/>
          <w:lang w:val="en-US" w:eastAsia="zh-CN"/>
        </w:rPr>
      </w:pPr>
    </w:p>
    <w:p w14:paraId="7D32EA10">
      <w:pPr>
        <w:overflowPunct w:val="0"/>
        <w:ind w:left="3200" w:leftChars="2000"/>
        <w:jc w:val="both"/>
        <w:rPr>
          <w:rFonts w:hint="default" w:ascii="Calibri" w:hAnsi="Calibri" w:eastAsia="楷体_GB2312" w:cs="Calibri"/>
          <w:sz w:val="20"/>
          <w:szCs w:val="20"/>
          <w:lang w:val="en-US" w:eastAsia="zh-CN"/>
        </w:rPr>
      </w:pPr>
    </w:p>
    <w:p w14:paraId="23BAE6B1">
      <w:pPr>
        <w:overflowPunct w:val="0"/>
        <w:jc w:val="both"/>
        <w:rPr>
          <w:rFonts w:hint="default" w:ascii="Calibri" w:hAnsi="Calibri" w:eastAsia="楷体_GB2312" w:cs="Calibri"/>
          <w:sz w:val="20"/>
          <w:szCs w:val="20"/>
          <w:lang w:val="en-US" w:eastAsia="zh-CN"/>
        </w:rPr>
      </w:pPr>
    </w:p>
    <w:tbl>
      <w:tblPr>
        <w:tblStyle w:val="27"/>
        <w:tblW w:w="7555" w:type="dxa"/>
        <w:tblInd w:w="2935"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autofit"/>
        <w:tblCellMar>
          <w:top w:w="0" w:type="dxa"/>
          <w:left w:w="0" w:type="dxa"/>
          <w:bottom w:w="0" w:type="dxa"/>
          <w:right w:w="0" w:type="dxa"/>
        </w:tblCellMar>
      </w:tblPr>
      <w:tblGrid>
        <w:gridCol w:w="7555"/>
      </w:tblGrid>
      <w:tr w14:paraId="73A872B2">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7555" w:type="dxa"/>
            <w:tcBorders>
              <w:bottom w:val="single" w:color="auto" w:sz="4" w:space="0"/>
            </w:tcBorders>
          </w:tcPr>
          <w:p w14:paraId="5430EAB1">
            <w:pPr>
              <w:overflowPunct w:val="0"/>
              <w:rPr>
                <w:rFonts w:hint="default" w:ascii="Calibri" w:hAnsi="Calibri" w:eastAsia="楷体_GB2312" w:cs="Calibri"/>
                <w:b/>
                <w:szCs w:val="20"/>
                <w:lang w:eastAsia="zh-CN"/>
              </w:rPr>
            </w:pPr>
            <w:r>
              <w:rPr>
                <w:rFonts w:hint="default" w:ascii="Calibri" w:hAnsi="Calibri" w:eastAsia="楷体_GB2312" w:cs="Calibri"/>
                <w:b/>
                <w:sz w:val="18"/>
                <w:szCs w:val="18"/>
                <w:lang w:val="zh-CN" w:eastAsia="zh-CN"/>
              </w:rPr>
              <w:t>图</w:t>
            </w:r>
            <w:r>
              <w:rPr>
                <w:rFonts w:hint="default" w:ascii="Calibri" w:hAnsi="Calibri" w:eastAsia="楷体_GB2312" w:cs="Calibri"/>
                <w:b/>
                <w:sz w:val="18"/>
                <w:szCs w:val="18"/>
                <w:lang w:val="en-US" w:eastAsia="zh-CN"/>
              </w:rPr>
              <w:t>34</w:t>
            </w:r>
            <w:r>
              <w:rPr>
                <w:rFonts w:hint="default" w:ascii="Calibri" w:hAnsi="Calibri" w:eastAsia="楷体_GB2312" w:cs="Calibri"/>
                <w:b/>
                <w:sz w:val="18"/>
                <w:szCs w:val="18"/>
                <w:lang w:val="zh-CN" w:eastAsia="zh-CN"/>
              </w:rPr>
              <w:t>：全球市场天然气期货价格</w:t>
            </w:r>
          </w:p>
        </w:tc>
      </w:tr>
      <w:tr w14:paraId="1523990E">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2526" w:hRule="atLeast"/>
        </w:trPr>
        <w:tc>
          <w:tcPr>
            <w:tcW w:w="7555" w:type="dxa"/>
            <w:tcBorders>
              <w:top w:val="single" w:color="auto" w:sz="4" w:space="0"/>
              <w:bottom w:val="single" w:color="auto" w:sz="4" w:space="0"/>
            </w:tcBorders>
            <w:vAlign w:val="center"/>
          </w:tcPr>
          <w:p w14:paraId="2045142C">
            <w:pPr>
              <w:overflowPunct w:val="0"/>
              <w:jc w:val="center"/>
              <w:rPr>
                <w:rFonts w:hint="default" w:ascii="Calibri" w:hAnsi="Calibri" w:eastAsia="楷体_GB2312" w:cs="Calibri"/>
                <w:sz w:val="10"/>
                <w:lang w:eastAsia="zh-CN"/>
              </w:rPr>
            </w:pPr>
            <w:r>
              <w:rPr>
                <w:rFonts w:hint="default" w:ascii="Calibri" w:hAnsi="Calibri" w:eastAsia="楷体_GB2312" w:cs="Calibri"/>
                <w:sz w:val="10"/>
                <w:lang w:eastAsia="zh-CN"/>
              </w:rPr>
              <w:drawing>
                <wp:inline distT="0" distB="0" distL="0" distR="0">
                  <wp:extent cx="4629150" cy="1496695"/>
                  <wp:effectExtent l="0" t="0" r="0" b="0"/>
                  <wp:docPr id="158432915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329150" name="图片 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4651391" cy="1504280"/>
                          </a:xfrm>
                          <a:prstGeom prst="rect">
                            <a:avLst/>
                          </a:prstGeom>
                          <a:noFill/>
                          <a:ln>
                            <a:noFill/>
                          </a:ln>
                        </pic:spPr>
                      </pic:pic>
                    </a:graphicData>
                  </a:graphic>
                </wp:inline>
              </w:drawing>
            </w:r>
          </w:p>
        </w:tc>
      </w:tr>
      <w:tr w14:paraId="29E94087">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7555" w:type="dxa"/>
            <w:tcBorders>
              <w:top w:val="single" w:color="auto" w:sz="4" w:space="0"/>
            </w:tcBorders>
          </w:tcPr>
          <w:p w14:paraId="11B362FD">
            <w:pPr>
              <w:overflowPunct w:val="0"/>
              <w:rPr>
                <w:rFonts w:hint="default" w:ascii="Calibri" w:hAnsi="Calibri" w:eastAsia="楷体_GB2312" w:cs="Calibri"/>
                <w:i/>
                <w:iCs/>
                <w:sz w:val="15"/>
                <w:szCs w:val="15"/>
                <w:lang w:eastAsia="zh-CN"/>
              </w:rPr>
            </w:pPr>
            <w:r>
              <w:rPr>
                <w:rFonts w:hint="default" w:ascii="Calibri" w:hAnsi="Calibri" w:eastAsia="楷体_GB2312" w:cs="Calibri"/>
                <w:i/>
                <w:iCs/>
                <w:sz w:val="15"/>
                <w:szCs w:val="15"/>
              </w:rPr>
              <w:t>资料来源：</w:t>
            </w:r>
            <w:r>
              <w:rPr>
                <w:rFonts w:hint="default" w:ascii="Calibri" w:hAnsi="Calibri" w:eastAsia="楷体_GB2312" w:cs="Calibri"/>
                <w:i/>
                <w:iCs/>
              </w:rPr>
              <w:t>Wind</w:t>
            </w:r>
            <w:r>
              <w:rPr>
                <w:rFonts w:hint="default" w:ascii="Calibri" w:hAnsi="Calibri" w:eastAsia="楷体_GB2312" w:cs="Calibri"/>
                <w:i/>
                <w:iCs/>
                <w:sz w:val="15"/>
                <w:szCs w:val="15"/>
              </w:rPr>
              <w:t>，</w:t>
            </w:r>
            <w:r>
              <w:rPr>
                <w:rFonts w:hint="default" w:ascii="Calibri" w:hAnsi="Calibri" w:eastAsia="楷体_GB2312" w:cs="Calibri"/>
                <w:i/>
                <w:iCs/>
                <w:sz w:val="15"/>
                <w:szCs w:val="15"/>
                <w:lang w:eastAsia="zh-CN"/>
              </w:rPr>
              <w:t>HFI</w:t>
            </w:r>
          </w:p>
        </w:tc>
      </w:tr>
    </w:tbl>
    <w:p w14:paraId="745D52DB">
      <w:pPr>
        <w:overflowPunct w:val="0"/>
        <w:ind w:left="3200" w:leftChars="2000"/>
        <w:jc w:val="both"/>
        <w:rPr>
          <w:rFonts w:hint="default" w:ascii="Calibri" w:hAnsi="Calibri" w:eastAsia="楷体_GB2312" w:cs="Calibri"/>
          <w:sz w:val="20"/>
          <w:szCs w:val="20"/>
          <w:lang w:val="en-US" w:eastAsia="zh-CN"/>
        </w:rPr>
      </w:pPr>
    </w:p>
    <w:p w14:paraId="3B409744">
      <w:pPr>
        <w:overflowPunct w:val="0"/>
        <w:jc w:val="both"/>
        <w:rPr>
          <w:rFonts w:hint="default" w:ascii="Calibri" w:hAnsi="Calibri" w:eastAsia="楷体_GB2312" w:cs="Calibri"/>
          <w:sz w:val="20"/>
          <w:szCs w:val="20"/>
          <w:lang w:val="en-US" w:eastAsia="zh-CN"/>
        </w:rPr>
      </w:pPr>
    </w:p>
    <w:p w14:paraId="2C8C00C0">
      <w:pPr>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br w:type="page"/>
      </w:r>
    </w:p>
    <w:p w14:paraId="3B8CDE69">
      <w:pPr>
        <w:overflowPunct w:val="0"/>
        <w:ind w:left="3200" w:leftChars="2000"/>
        <w:jc w:val="both"/>
        <w:outlineLvl w:val="0"/>
        <w:rPr>
          <w:rFonts w:hint="default" w:ascii="Calibri" w:hAnsi="Calibri" w:eastAsia="楷体_GB2312" w:cs="Calibri"/>
          <w:b/>
          <w:bCs/>
          <w:color w:val="1F497D" w:themeColor="text2"/>
          <w:sz w:val="24"/>
          <w:szCs w:val="24"/>
          <w:lang w:val="en-US" w:eastAsia="zh-CN"/>
          <w14:textFill>
            <w14:solidFill>
              <w14:schemeClr w14:val="tx2"/>
            </w14:solidFill>
          </w14:textFill>
        </w:rPr>
      </w:pPr>
      <w:bookmarkStart w:id="24" w:name="_Toc223082607"/>
      <w:r>
        <w:rPr>
          <w:rFonts w:hint="default" w:ascii="Calibri" w:hAnsi="Calibri" w:eastAsia="楷体_GB2312" w:cs="Calibri"/>
          <w:b/>
          <w:bCs/>
          <w:color w:val="1F497D" w:themeColor="text2"/>
          <w:sz w:val="24"/>
          <w:szCs w:val="24"/>
          <w:lang w:val="en-US" w:eastAsia="zh-CN"/>
          <w14:textFill>
            <w14:solidFill>
              <w14:schemeClr w14:val="tx2"/>
            </w14:solidFill>
          </w14:textFill>
        </w:rPr>
        <w:t>五、 全球新材料</w:t>
      </w:r>
      <w:bookmarkEnd w:id="24"/>
    </w:p>
    <w:p w14:paraId="263D3C23">
      <w:pPr>
        <w:overflowPunct w:val="0"/>
        <w:ind w:left="3200" w:leftChars="2000"/>
        <w:jc w:val="both"/>
        <w:outlineLvl w:val="1"/>
        <w:rPr>
          <w:rFonts w:hint="default" w:ascii="Calibri" w:hAnsi="Calibri" w:eastAsia="楷体_GB2312" w:cs="Calibri"/>
          <w:b/>
          <w:bCs/>
          <w:color w:val="1F497D" w:themeColor="text2"/>
          <w:sz w:val="24"/>
          <w:szCs w:val="24"/>
          <w:lang w:val="en-US" w:eastAsia="zh-CN"/>
          <w14:textFill>
            <w14:solidFill>
              <w14:schemeClr w14:val="tx2"/>
            </w14:solidFill>
          </w14:textFill>
        </w:rPr>
      </w:pPr>
      <w:bookmarkStart w:id="25" w:name="_Toc223082608"/>
      <w:bookmarkStart w:id="26" w:name="_Toc80654777"/>
      <w:r>
        <w:rPr>
          <w:rFonts w:hint="default" w:ascii="Calibri" w:hAnsi="Calibri" w:eastAsia="楷体_GB2312" w:cs="Calibri"/>
          <w:b/>
          <w:bCs/>
          <w:color w:val="1F497D" w:themeColor="text2"/>
          <w:sz w:val="24"/>
          <w:szCs w:val="24"/>
          <w:lang w:val="en-US" w:eastAsia="zh-CN"/>
          <w14:textFill>
            <w14:solidFill>
              <w14:schemeClr w14:val="tx2"/>
            </w14:solidFill>
          </w14:textFill>
        </w:rPr>
        <w:t>（一）天然铀</w:t>
      </w:r>
      <w:bookmarkEnd w:id="25"/>
      <w:bookmarkEnd w:id="26"/>
    </w:p>
    <w:p w14:paraId="1638C3F7">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12月全球铀实际市场价格稳中微增。根据国际货币基金组织统计，2025年12月全球铀实际市场价格为63.51美元/磅，环比+2.0%，同比+5.5%。根据Global Electricity预测，全球铀需求预计在2026年增长27%，主要受能源安全需求和核能扩张驱动，全球范围内新反应堆建设规划加速，以及现有反应堆延寿带来的需求增加都将成为推动铀价的积极因素。</w:t>
      </w:r>
    </w:p>
    <w:p w14:paraId="1AC28584">
      <w:pPr>
        <w:overflowPunct w:val="0"/>
        <w:ind w:left="3200" w:leftChars="2000"/>
        <w:jc w:val="both"/>
        <w:rPr>
          <w:rFonts w:hint="default" w:ascii="Calibri" w:hAnsi="Calibri" w:eastAsia="楷体_GB2312" w:cs="Calibri"/>
          <w:sz w:val="20"/>
          <w:szCs w:val="20"/>
          <w:lang w:val="en-US" w:eastAsia="zh-CN"/>
        </w:rPr>
      </w:pPr>
    </w:p>
    <w:p w14:paraId="3388E7EE">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全球约90%的反应堆铀需求和地缘政治因素交织，供应链安全的复杂性凸显，而产业链自主可控将是美国核电全产业链中长期发展的核心主题。根据世界核能协会WNA统计，目前全球有20余个国家从事铀矿开采，CR5超过90%，其中哈萨克斯坦铀产量占全球供应的39%，占比第一。俄罗斯拥有全球约5%的铀产量和约44%的核浓缩能力，美国三分之一的浓缩铀来自俄罗斯，复杂的地缘政治因素或将推动美国政府加速发展核电产业链自主可控。</w:t>
      </w:r>
    </w:p>
    <w:p w14:paraId="26365A2C">
      <w:pPr>
        <w:overflowPunct w:val="0"/>
        <w:jc w:val="both"/>
        <w:rPr>
          <w:rFonts w:hint="default" w:ascii="Calibri" w:hAnsi="Calibri" w:eastAsia="楷体_GB2312" w:cs="Calibri"/>
          <w:b/>
          <w:bCs/>
          <w:color w:val="1F497D" w:themeColor="text2"/>
          <w:sz w:val="24"/>
          <w:szCs w:val="24"/>
          <w:lang w:val="en-US" w:eastAsia="zh-CN"/>
          <w14:textFill>
            <w14:solidFill>
              <w14:schemeClr w14:val="tx2"/>
            </w14:solidFill>
          </w14:textFill>
        </w:rPr>
      </w:pPr>
    </w:p>
    <w:tbl>
      <w:tblPr>
        <w:tblStyle w:val="26"/>
        <w:tblW w:w="10490" w:type="dxa"/>
        <w:tblInd w:w="0" w:type="dxa"/>
        <w:tblLayout w:type="fixed"/>
        <w:tblCellMar>
          <w:top w:w="0" w:type="dxa"/>
          <w:left w:w="108" w:type="dxa"/>
          <w:bottom w:w="0" w:type="dxa"/>
          <w:right w:w="108" w:type="dxa"/>
        </w:tblCellMar>
      </w:tblPr>
      <w:tblGrid>
        <w:gridCol w:w="5103"/>
        <w:gridCol w:w="238"/>
        <w:gridCol w:w="5149"/>
      </w:tblGrid>
      <w:tr w14:paraId="347FE981">
        <w:tblPrEx>
          <w:tblCellMar>
            <w:top w:w="0" w:type="dxa"/>
            <w:left w:w="108" w:type="dxa"/>
            <w:bottom w:w="0" w:type="dxa"/>
            <w:right w:w="108" w:type="dxa"/>
          </w:tblCellMar>
        </w:tblPrEx>
        <w:trPr>
          <w:trHeight w:val="227" w:hRule="atLeast"/>
        </w:trPr>
        <w:tc>
          <w:tcPr>
            <w:tcW w:w="5103" w:type="dxa"/>
            <w:tcBorders>
              <w:top w:val="nil"/>
              <w:left w:val="nil"/>
              <w:bottom w:val="single" w:color="auto" w:sz="4" w:space="0"/>
              <w:right w:val="nil"/>
            </w:tcBorders>
            <w:tcMar>
              <w:top w:w="0" w:type="dxa"/>
              <w:left w:w="0" w:type="dxa"/>
              <w:bottom w:w="0" w:type="dxa"/>
              <w:right w:w="28" w:type="dxa"/>
            </w:tcMar>
          </w:tcPr>
          <w:p w14:paraId="0E2E131E">
            <w:pPr>
              <w:overflowPunct w:val="0"/>
              <w:rPr>
                <w:rFonts w:hint="default" w:ascii="Calibri" w:hAnsi="Calibri" w:eastAsia="楷体_GB2312" w:cs="Calibri"/>
                <w:b/>
                <w:sz w:val="18"/>
                <w:szCs w:val="18"/>
                <w:lang w:val="zh-CN" w:eastAsia="zh-CN"/>
              </w:rPr>
            </w:pPr>
            <w:r>
              <w:rPr>
                <w:rFonts w:hint="default" w:ascii="Calibri" w:hAnsi="Calibri" w:eastAsia="楷体_GB2312" w:cs="Calibri"/>
                <w:b/>
                <w:sz w:val="18"/>
                <w:szCs w:val="18"/>
                <w:lang w:val="zh-CN" w:eastAsia="zh-CN"/>
              </w:rPr>
              <w:t>图</w:t>
            </w:r>
            <w:r>
              <w:rPr>
                <w:rFonts w:hint="default" w:ascii="Calibri" w:hAnsi="Calibri" w:eastAsia="楷体_GB2312" w:cs="Calibri"/>
                <w:b/>
                <w:sz w:val="18"/>
                <w:szCs w:val="18"/>
                <w:lang w:val="en-US" w:eastAsia="zh-CN"/>
              </w:rPr>
              <w:t>35</w:t>
            </w:r>
            <w:r>
              <w:rPr>
                <w:rFonts w:hint="default" w:ascii="Calibri" w:hAnsi="Calibri" w:eastAsia="楷体_GB2312" w:cs="Calibri"/>
                <w:b/>
                <w:sz w:val="18"/>
                <w:szCs w:val="18"/>
                <w:lang w:val="zh-CN" w:eastAsia="zh-CN"/>
              </w:rPr>
              <w:t>： 全球铀实际市场价格（美元/磅）</w:t>
            </w:r>
          </w:p>
        </w:tc>
        <w:tc>
          <w:tcPr>
            <w:tcW w:w="238" w:type="dxa"/>
            <w:tcBorders>
              <w:top w:val="nil"/>
              <w:left w:val="nil"/>
              <w:bottom w:val="nil"/>
              <w:right w:val="nil"/>
            </w:tcBorders>
            <w:tcMar>
              <w:top w:w="0" w:type="dxa"/>
              <w:left w:w="0" w:type="dxa"/>
              <w:bottom w:w="0" w:type="dxa"/>
              <w:right w:w="28" w:type="dxa"/>
            </w:tcMar>
          </w:tcPr>
          <w:p w14:paraId="18A0242B">
            <w:pPr>
              <w:overflowPunct w:val="0"/>
              <w:rPr>
                <w:rFonts w:hint="default" w:ascii="Calibri" w:hAnsi="Calibri" w:eastAsia="楷体_GB2312" w:cs="Calibri"/>
                <w:b/>
                <w:sz w:val="18"/>
                <w:szCs w:val="18"/>
                <w:lang w:val="zh-CN" w:eastAsia="zh-CN"/>
              </w:rPr>
            </w:pPr>
            <w:r>
              <w:rPr>
                <w:rFonts w:hint="default" w:ascii="Calibri" w:hAnsi="Calibri" w:eastAsia="楷体_GB2312" w:cs="Calibri"/>
                <w:b/>
                <w:sz w:val="18"/>
                <w:szCs w:val="18"/>
                <w:lang w:val="zh-CN" w:eastAsia="zh-CN"/>
              </w:rPr>
              <w:t xml:space="preserve">         </w:t>
            </w:r>
          </w:p>
        </w:tc>
        <w:tc>
          <w:tcPr>
            <w:tcW w:w="5149" w:type="dxa"/>
            <w:tcBorders>
              <w:top w:val="nil"/>
              <w:left w:val="nil"/>
              <w:bottom w:val="single" w:color="auto" w:sz="4" w:space="0"/>
              <w:right w:val="nil"/>
            </w:tcBorders>
            <w:tcMar>
              <w:top w:w="0" w:type="dxa"/>
              <w:left w:w="0" w:type="dxa"/>
              <w:bottom w:w="0" w:type="dxa"/>
              <w:right w:w="28" w:type="dxa"/>
            </w:tcMar>
          </w:tcPr>
          <w:p w14:paraId="529836EC">
            <w:pPr>
              <w:overflowPunct w:val="0"/>
              <w:rPr>
                <w:rFonts w:hint="default" w:ascii="Calibri" w:hAnsi="Calibri" w:eastAsia="楷体_GB2312" w:cs="Calibri"/>
                <w:b/>
                <w:sz w:val="18"/>
                <w:szCs w:val="18"/>
                <w:lang w:val="zh-CN" w:eastAsia="zh-CN"/>
              </w:rPr>
            </w:pPr>
            <w:r>
              <w:rPr>
                <w:rFonts w:hint="default" w:ascii="Calibri" w:hAnsi="Calibri" w:eastAsia="楷体_GB2312" w:cs="Calibri"/>
                <w:b/>
                <w:sz w:val="18"/>
                <w:szCs w:val="18"/>
                <w:lang w:val="zh-CN" w:eastAsia="zh-CN"/>
              </w:rPr>
              <w:t>图</w:t>
            </w:r>
            <w:r>
              <w:rPr>
                <w:rFonts w:hint="default" w:ascii="Calibri" w:hAnsi="Calibri" w:eastAsia="楷体_GB2312" w:cs="Calibri"/>
                <w:b/>
                <w:sz w:val="18"/>
                <w:szCs w:val="18"/>
                <w:lang w:val="en-US" w:eastAsia="zh-CN"/>
              </w:rPr>
              <w:t>36</w:t>
            </w:r>
            <w:r>
              <w:rPr>
                <w:rFonts w:hint="default" w:ascii="Calibri" w:hAnsi="Calibri" w:eastAsia="楷体_GB2312" w:cs="Calibri"/>
                <w:b/>
                <w:sz w:val="18"/>
                <w:szCs w:val="18"/>
                <w:lang w:val="zh-CN" w:eastAsia="zh-CN"/>
              </w:rPr>
              <w:t>：</w:t>
            </w:r>
            <w:r>
              <w:rPr>
                <w:rFonts w:hint="default" w:ascii="Calibri" w:hAnsi="Calibri" w:eastAsia="楷体_GB2312" w:cs="Calibri"/>
                <w:b/>
                <w:sz w:val="18"/>
                <w:szCs w:val="18"/>
                <w:lang w:val="en-US" w:eastAsia="zh-CN"/>
              </w:rPr>
              <w:t>2024年全球铀产量分布</w:t>
            </w:r>
            <w:r>
              <w:rPr>
                <w:rFonts w:hint="default" w:ascii="Calibri" w:hAnsi="Calibri" w:eastAsia="楷体_GB2312" w:cs="Calibri"/>
                <w:b/>
                <w:sz w:val="18"/>
                <w:szCs w:val="18"/>
                <w:lang w:val="zh-CN" w:eastAsia="zh-CN"/>
              </w:rPr>
              <w:t>（%）</w:t>
            </w:r>
          </w:p>
        </w:tc>
      </w:tr>
      <w:tr w14:paraId="129F98DE">
        <w:tblPrEx>
          <w:tblCellMar>
            <w:top w:w="0" w:type="dxa"/>
            <w:left w:w="108" w:type="dxa"/>
            <w:bottom w:w="0" w:type="dxa"/>
            <w:right w:w="108" w:type="dxa"/>
          </w:tblCellMar>
        </w:tblPrEx>
        <w:trPr>
          <w:trHeight w:val="2219" w:hRule="atLeast"/>
        </w:trPr>
        <w:tc>
          <w:tcPr>
            <w:tcW w:w="5103" w:type="dxa"/>
            <w:tcBorders>
              <w:top w:val="single" w:color="auto" w:sz="4" w:space="0"/>
              <w:left w:val="nil"/>
              <w:bottom w:val="single" w:color="auto" w:sz="4" w:space="0"/>
              <w:right w:val="nil"/>
            </w:tcBorders>
            <w:tcMar>
              <w:top w:w="0" w:type="dxa"/>
              <w:left w:w="0" w:type="dxa"/>
              <w:bottom w:w="0" w:type="dxa"/>
              <w:right w:w="28" w:type="dxa"/>
            </w:tcMar>
            <w:vAlign w:val="center"/>
          </w:tcPr>
          <w:p w14:paraId="2A2DD7AD">
            <w:pPr>
              <w:overflowPunct w:val="0"/>
              <w:spacing w:before="48" w:beforeLines="20" w:after="48" w:afterLines="20"/>
              <w:jc w:val="center"/>
              <w:textAlignment w:val="center"/>
              <w:rPr>
                <w:rFonts w:hint="default" w:ascii="Calibri" w:hAnsi="Calibri" w:eastAsia="楷体_GB2312" w:cs="Calibri"/>
                <w:b/>
                <w:color w:val="000000"/>
                <w:sz w:val="15"/>
                <w:szCs w:val="15"/>
              </w:rPr>
            </w:pPr>
            <w:r>
              <w:rPr>
                <w:rFonts w:hint="default" w:ascii="Calibri" w:hAnsi="Calibri" w:eastAsia="楷体_GB2312" w:cs="Calibri"/>
              </w:rPr>
              <w:drawing>
                <wp:inline distT="0" distB="0" distL="114300" distR="114300">
                  <wp:extent cx="3220085" cy="1819275"/>
                  <wp:effectExtent l="0" t="0" r="8890" b="0"/>
                  <wp:docPr id="25595623" name="图片 25595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95623" name="图片 25595623"/>
                          <pic:cNvPicPr>
                            <a:picLocks noChangeAspect="1"/>
                          </pic:cNvPicPr>
                        </pic:nvPicPr>
                        <pic:blipFill>
                          <a:blip r:embed="rId48"/>
                          <a:stretch>
                            <a:fillRect/>
                          </a:stretch>
                        </pic:blipFill>
                        <pic:spPr>
                          <a:xfrm>
                            <a:off x="0" y="0"/>
                            <a:ext cx="3220085" cy="1819275"/>
                          </a:xfrm>
                          <a:prstGeom prst="rect">
                            <a:avLst/>
                          </a:prstGeom>
                          <a:noFill/>
                          <a:ln>
                            <a:noFill/>
                          </a:ln>
                        </pic:spPr>
                      </pic:pic>
                    </a:graphicData>
                  </a:graphic>
                </wp:inline>
              </w:drawing>
            </w:r>
          </w:p>
        </w:tc>
        <w:tc>
          <w:tcPr>
            <w:tcW w:w="238" w:type="dxa"/>
            <w:tcBorders>
              <w:top w:val="nil"/>
              <w:left w:val="nil"/>
              <w:bottom w:val="nil"/>
              <w:right w:val="nil"/>
            </w:tcBorders>
            <w:tcMar>
              <w:top w:w="0" w:type="dxa"/>
              <w:left w:w="0" w:type="dxa"/>
              <w:bottom w:w="0" w:type="dxa"/>
              <w:right w:w="28" w:type="dxa"/>
            </w:tcMar>
          </w:tcPr>
          <w:p w14:paraId="3BB7CB35">
            <w:pPr>
              <w:overflowPunct w:val="0"/>
              <w:spacing w:before="48" w:beforeLines="20" w:after="48" w:afterLines="20"/>
              <w:rPr>
                <w:rFonts w:hint="default" w:ascii="Calibri" w:hAnsi="Calibri" w:eastAsia="楷体_GB2312" w:cs="Calibri"/>
                <w:sz w:val="15"/>
                <w:szCs w:val="15"/>
              </w:rPr>
            </w:pPr>
          </w:p>
        </w:tc>
        <w:tc>
          <w:tcPr>
            <w:tcW w:w="5149" w:type="dxa"/>
            <w:tcBorders>
              <w:top w:val="single" w:color="auto" w:sz="4" w:space="0"/>
              <w:left w:val="nil"/>
              <w:bottom w:val="single" w:color="auto" w:sz="4" w:space="0"/>
              <w:right w:val="nil"/>
            </w:tcBorders>
            <w:tcMar>
              <w:top w:w="0" w:type="dxa"/>
              <w:left w:w="0" w:type="dxa"/>
              <w:bottom w:w="0" w:type="dxa"/>
              <w:right w:w="28" w:type="dxa"/>
            </w:tcMar>
          </w:tcPr>
          <w:p w14:paraId="14FB9569">
            <w:pPr>
              <w:overflowPunct w:val="0"/>
              <w:spacing w:before="48" w:beforeLines="20" w:after="48" w:afterLines="20"/>
              <w:jc w:val="center"/>
              <w:rPr>
                <w:rFonts w:hint="default" w:ascii="Calibri" w:hAnsi="Calibri" w:eastAsia="楷体_GB2312" w:cs="Calibri"/>
                <w:b/>
                <w:sz w:val="15"/>
                <w:szCs w:val="15"/>
              </w:rPr>
            </w:pPr>
            <w:r>
              <w:rPr>
                <w:rFonts w:hint="default" w:ascii="Calibri" w:hAnsi="Calibri" w:eastAsia="楷体_GB2312" w:cs="Calibri"/>
              </w:rPr>
              <w:drawing>
                <wp:inline distT="0" distB="0" distL="114300" distR="114300">
                  <wp:extent cx="2986405" cy="1941830"/>
                  <wp:effectExtent l="0" t="0" r="4445" b="127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49"/>
                          <a:stretch>
                            <a:fillRect/>
                          </a:stretch>
                        </pic:blipFill>
                        <pic:spPr>
                          <a:xfrm>
                            <a:off x="0" y="0"/>
                            <a:ext cx="2986405" cy="1941830"/>
                          </a:xfrm>
                          <a:prstGeom prst="rect">
                            <a:avLst/>
                          </a:prstGeom>
                          <a:noFill/>
                          <a:ln>
                            <a:noFill/>
                          </a:ln>
                        </pic:spPr>
                      </pic:pic>
                    </a:graphicData>
                  </a:graphic>
                </wp:inline>
              </w:drawing>
            </w:r>
          </w:p>
        </w:tc>
      </w:tr>
      <w:tr w14:paraId="2C45E419">
        <w:tblPrEx>
          <w:tblCellMar>
            <w:top w:w="0" w:type="dxa"/>
            <w:left w:w="108" w:type="dxa"/>
            <w:bottom w:w="0" w:type="dxa"/>
            <w:right w:w="108" w:type="dxa"/>
          </w:tblCellMar>
        </w:tblPrEx>
        <w:tc>
          <w:tcPr>
            <w:tcW w:w="5103" w:type="dxa"/>
            <w:tcBorders>
              <w:top w:val="single" w:color="auto" w:sz="4" w:space="0"/>
              <w:left w:val="nil"/>
              <w:bottom w:val="nil"/>
              <w:right w:val="nil"/>
            </w:tcBorders>
            <w:tcMar>
              <w:top w:w="0" w:type="dxa"/>
              <w:left w:w="0" w:type="dxa"/>
              <w:bottom w:w="0" w:type="dxa"/>
              <w:right w:w="28" w:type="dxa"/>
            </w:tcMar>
            <w:vAlign w:val="center"/>
          </w:tcPr>
          <w:p w14:paraId="0FB82736">
            <w:pPr>
              <w:overflowPunct w:val="0"/>
              <w:spacing w:before="48" w:beforeLines="20" w:after="48" w:afterLines="20"/>
              <w:textAlignment w:val="center"/>
              <w:rPr>
                <w:rFonts w:hint="default" w:ascii="Calibri" w:hAnsi="Calibri" w:eastAsia="楷体_GB2312" w:cs="Calibri"/>
                <w:sz w:val="10"/>
                <w:szCs w:val="10"/>
              </w:rPr>
            </w:pPr>
            <w:r>
              <w:rPr>
                <w:rFonts w:hint="default" w:ascii="Calibri" w:hAnsi="Calibri" w:eastAsia="楷体_GB2312" w:cs="Calibri"/>
                <w:i/>
                <w:iCs/>
                <w:lang w:val="zh-CN"/>
              </w:rPr>
              <w:t>资料来源：</w:t>
            </w:r>
            <w:r>
              <w:rPr>
                <w:rFonts w:hint="default" w:ascii="Calibri" w:hAnsi="Calibri" w:eastAsia="楷体_GB2312" w:cs="Calibri"/>
                <w:i/>
                <w:iCs/>
                <w:lang w:val="en-US" w:eastAsia="zh-CN"/>
              </w:rPr>
              <w:t>iFinD</w:t>
            </w:r>
            <w:r>
              <w:rPr>
                <w:rFonts w:hint="default" w:ascii="Calibri" w:hAnsi="Calibri" w:eastAsia="楷体_GB2312" w:cs="Calibri"/>
                <w:i/>
                <w:iCs/>
                <w:lang w:val="zh-CN"/>
              </w:rPr>
              <w:t>，HFI</w:t>
            </w:r>
          </w:p>
        </w:tc>
        <w:tc>
          <w:tcPr>
            <w:tcW w:w="238" w:type="dxa"/>
            <w:tcBorders>
              <w:top w:val="nil"/>
              <w:left w:val="nil"/>
              <w:bottom w:val="nil"/>
              <w:right w:val="nil"/>
            </w:tcBorders>
            <w:tcMar>
              <w:top w:w="0" w:type="dxa"/>
              <w:left w:w="0" w:type="dxa"/>
              <w:bottom w:w="0" w:type="dxa"/>
              <w:right w:w="28" w:type="dxa"/>
            </w:tcMar>
          </w:tcPr>
          <w:p w14:paraId="26C4FCB0">
            <w:pPr>
              <w:overflowPunct w:val="0"/>
              <w:spacing w:before="48" w:beforeLines="20" w:after="48" w:afterLines="20"/>
              <w:rPr>
                <w:rFonts w:hint="default" w:ascii="Calibri" w:hAnsi="Calibri" w:eastAsia="楷体_GB2312" w:cs="Calibri"/>
                <w:sz w:val="15"/>
                <w:szCs w:val="15"/>
              </w:rPr>
            </w:pPr>
          </w:p>
        </w:tc>
        <w:tc>
          <w:tcPr>
            <w:tcW w:w="5149" w:type="dxa"/>
            <w:tcBorders>
              <w:top w:val="single" w:color="auto" w:sz="4" w:space="0"/>
              <w:left w:val="nil"/>
              <w:bottom w:val="nil"/>
              <w:right w:val="nil"/>
            </w:tcBorders>
            <w:tcMar>
              <w:top w:w="0" w:type="dxa"/>
              <w:left w:w="0" w:type="dxa"/>
              <w:bottom w:w="0" w:type="dxa"/>
              <w:right w:w="28" w:type="dxa"/>
            </w:tcMar>
          </w:tcPr>
          <w:p w14:paraId="6E1EBD02">
            <w:pPr>
              <w:overflowPunct w:val="0"/>
              <w:spacing w:before="48" w:beforeLines="20" w:after="48" w:afterLines="20"/>
              <w:rPr>
                <w:rFonts w:hint="default" w:ascii="Calibri" w:hAnsi="Calibri" w:eastAsia="楷体_GB2312" w:cs="Calibri"/>
                <w:sz w:val="10"/>
                <w:szCs w:val="10"/>
                <w:lang w:eastAsia="zh-CN"/>
              </w:rPr>
            </w:pPr>
            <w:r>
              <w:rPr>
                <w:rFonts w:hint="default" w:ascii="Calibri" w:hAnsi="Calibri" w:eastAsia="楷体_GB2312" w:cs="Calibri"/>
                <w:i/>
                <w:iCs/>
                <w:lang w:val="zh-CN" w:eastAsia="zh-CN"/>
              </w:rPr>
              <w:t>资料来源：</w:t>
            </w:r>
            <w:r>
              <w:rPr>
                <w:rFonts w:hint="default" w:ascii="Calibri" w:hAnsi="Calibri" w:eastAsia="楷体_GB2312" w:cs="Calibri"/>
                <w:i/>
                <w:iCs/>
                <w:lang w:val="en-US" w:eastAsia="zh-CN"/>
              </w:rPr>
              <w:t>WNA</w:t>
            </w:r>
            <w:r>
              <w:rPr>
                <w:rFonts w:hint="default" w:ascii="Calibri" w:hAnsi="Calibri" w:eastAsia="楷体_GB2312" w:cs="Calibri"/>
                <w:i/>
                <w:iCs/>
                <w:lang w:val="zh-CN" w:eastAsia="zh-CN"/>
              </w:rPr>
              <w:t>，HFI</w:t>
            </w:r>
          </w:p>
        </w:tc>
      </w:tr>
    </w:tbl>
    <w:p w14:paraId="104C5BFE">
      <w:pPr>
        <w:overflowPunct w:val="0"/>
        <w:ind w:left="3200" w:leftChars="2000"/>
        <w:jc w:val="both"/>
        <w:rPr>
          <w:rFonts w:hint="default" w:ascii="Calibri" w:hAnsi="Calibri" w:eastAsia="楷体_GB2312" w:cs="Calibri"/>
          <w:b/>
          <w:bCs/>
          <w:color w:val="1F497D" w:themeColor="text2"/>
          <w:sz w:val="24"/>
          <w:szCs w:val="24"/>
          <w:lang w:eastAsia="zh-CN"/>
          <w14:textFill>
            <w14:solidFill>
              <w14:schemeClr w14:val="tx2"/>
            </w14:solidFill>
          </w14:textFill>
        </w:rPr>
      </w:pPr>
    </w:p>
    <w:p w14:paraId="5C71C8A2">
      <w:pPr>
        <w:overflowPunct w:val="0"/>
        <w:jc w:val="both"/>
        <w:rPr>
          <w:rFonts w:hint="default" w:ascii="Calibri" w:hAnsi="Calibri" w:eastAsia="楷体_GB2312" w:cs="Calibri"/>
          <w:b/>
          <w:bCs/>
          <w:color w:val="1F497D" w:themeColor="text2"/>
          <w:sz w:val="24"/>
          <w:szCs w:val="24"/>
          <w:lang w:val="en-US" w:eastAsia="zh-CN"/>
          <w14:textFill>
            <w14:solidFill>
              <w14:schemeClr w14:val="tx2"/>
            </w14:solidFill>
          </w14:textFill>
        </w:rPr>
      </w:pPr>
    </w:p>
    <w:p w14:paraId="142AD2E2">
      <w:pPr>
        <w:overflowPunct w:val="0"/>
        <w:ind w:left="3200" w:leftChars="2000"/>
        <w:jc w:val="both"/>
        <w:outlineLvl w:val="1"/>
        <w:rPr>
          <w:rFonts w:hint="default" w:ascii="Calibri" w:hAnsi="Calibri" w:eastAsia="楷体_GB2312" w:cs="Calibri"/>
          <w:b/>
          <w:bCs/>
          <w:color w:val="1F497D" w:themeColor="text2"/>
          <w:sz w:val="24"/>
          <w:szCs w:val="24"/>
          <w:lang w:val="en-US" w:eastAsia="zh-CN"/>
          <w14:textFill>
            <w14:solidFill>
              <w14:schemeClr w14:val="tx2"/>
            </w14:solidFill>
          </w14:textFill>
        </w:rPr>
      </w:pPr>
      <w:bookmarkStart w:id="27" w:name="_Toc223082609"/>
      <w:r>
        <w:rPr>
          <w:rFonts w:hint="default" w:ascii="Calibri" w:hAnsi="Calibri" w:eastAsia="楷体_GB2312" w:cs="Calibri"/>
          <w:b/>
          <w:bCs/>
          <w:color w:val="1F497D" w:themeColor="text2"/>
          <w:sz w:val="24"/>
          <w:szCs w:val="24"/>
          <w:lang w:val="en-US" w:eastAsia="zh-CN"/>
          <w14:textFill>
            <w14:solidFill>
              <w14:schemeClr w14:val="tx2"/>
            </w14:solidFill>
          </w14:textFill>
        </w:rPr>
        <w:t>（二）全球稀土市场动态追踪</w:t>
      </w:r>
      <w:bookmarkEnd w:id="27"/>
    </w:p>
    <w:p w14:paraId="49E8EE62">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本周稀土市场价格持续走强。</w:t>
      </w:r>
      <w:r>
        <w:rPr>
          <w:rFonts w:hint="default" w:ascii="Calibri" w:hAnsi="Calibri" w:eastAsia="楷体_GB2312" w:cs="Calibri"/>
          <w:sz w:val="20"/>
          <w:szCs w:val="20"/>
          <w:lang w:val="en-US" w:eastAsia="zh-CN"/>
        </w:rPr>
        <w:t>缅甸局势导致稀土出口持续收紧，越南亦修订法律，禁止稀土原矿出口，这些因素共同加剧了全球市场，尤其是中重稀土品种的供应紧张局面。本周氧化镨钕（850,000元/吨）涨幅领先，周度环比+13.8%，月度环比+33.4%，其余品种周度环比涨幅在2-5%区间。我们预计航空航天与国防（A&amp;D）领域在发动机、制导及雷达系统等关键组件中，对掺杂镝、铽元素的高性能耐高温永磁材料具有不可替代的刚性需求，该领域持续稳定的采购需求将成为支撑重稀土价格中枢的基石，预计其价格表现将优于轻稀土品种。</w:t>
      </w:r>
    </w:p>
    <w:p w14:paraId="080E0DFB">
      <w:pPr>
        <w:overflowPunct w:val="0"/>
        <w:ind w:left="3200" w:leftChars="2000"/>
        <w:jc w:val="both"/>
        <w:rPr>
          <w:rFonts w:hint="default" w:ascii="Calibri" w:hAnsi="Calibri" w:eastAsia="楷体_GB2312" w:cs="Calibri"/>
          <w:b/>
          <w:bCs/>
          <w:color w:val="1F497D" w:themeColor="text2"/>
          <w:sz w:val="24"/>
          <w:szCs w:val="24"/>
          <w:lang w:val="en-US" w:eastAsia="zh-CN"/>
          <w14:textFill>
            <w14:solidFill>
              <w14:schemeClr w14:val="tx2"/>
            </w14:solidFill>
          </w14:textFill>
        </w:rPr>
      </w:pPr>
    </w:p>
    <w:p w14:paraId="1E3B0AA3">
      <w:pPr>
        <w:rPr>
          <w:rFonts w:hint="default" w:ascii="Calibri" w:hAnsi="Calibri" w:eastAsia="楷体_GB2312" w:cs="Calibri"/>
          <w:b/>
          <w:bCs/>
          <w:color w:val="1F497D" w:themeColor="text2"/>
          <w:sz w:val="24"/>
          <w:szCs w:val="24"/>
          <w:lang w:val="en-US" w:eastAsia="zh-CN"/>
          <w14:textFill>
            <w14:solidFill>
              <w14:schemeClr w14:val="tx2"/>
            </w14:solidFill>
          </w14:textFill>
        </w:rPr>
      </w:pPr>
      <w:r>
        <w:rPr>
          <w:rFonts w:hint="default" w:ascii="Calibri" w:hAnsi="Calibri" w:eastAsia="楷体_GB2312" w:cs="Calibri"/>
          <w:b/>
          <w:bCs/>
          <w:color w:val="1F497D" w:themeColor="text2"/>
          <w:sz w:val="24"/>
          <w:szCs w:val="24"/>
          <w:lang w:val="en-US" w:eastAsia="zh-CN"/>
          <w14:textFill>
            <w14:solidFill>
              <w14:schemeClr w14:val="tx2"/>
            </w14:solidFill>
          </w14:textFill>
        </w:rPr>
        <w:br w:type="page"/>
      </w:r>
    </w:p>
    <w:tbl>
      <w:tblPr>
        <w:tblStyle w:val="27"/>
        <w:tblW w:w="7555" w:type="dxa"/>
        <w:tblInd w:w="2935"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autofit"/>
        <w:tblCellMar>
          <w:top w:w="0" w:type="dxa"/>
          <w:left w:w="0" w:type="dxa"/>
          <w:bottom w:w="0" w:type="dxa"/>
          <w:right w:w="0" w:type="dxa"/>
        </w:tblCellMar>
      </w:tblPr>
      <w:tblGrid>
        <w:gridCol w:w="7555"/>
      </w:tblGrid>
      <w:tr w14:paraId="43FB4825">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7555" w:type="dxa"/>
            <w:tcBorders>
              <w:bottom w:val="single" w:color="auto" w:sz="4" w:space="0"/>
            </w:tcBorders>
          </w:tcPr>
          <w:p w14:paraId="5A13C862">
            <w:pPr>
              <w:overflowPunct w:val="0"/>
              <w:rPr>
                <w:rFonts w:hint="default" w:ascii="Calibri" w:hAnsi="Calibri" w:eastAsia="楷体_GB2312" w:cs="Calibri"/>
                <w:b/>
                <w:szCs w:val="20"/>
                <w:lang w:eastAsia="zh-CN"/>
              </w:rPr>
            </w:pPr>
            <w:r>
              <w:rPr>
                <w:rFonts w:hint="default" w:ascii="Calibri" w:hAnsi="Calibri" w:eastAsia="楷体_GB2312" w:cs="Calibri"/>
                <w:b/>
                <w:sz w:val="18"/>
                <w:szCs w:val="18"/>
                <w:lang w:val="zh-CN" w:eastAsia="zh-CN"/>
              </w:rPr>
              <w:t>图</w:t>
            </w:r>
            <w:r>
              <w:rPr>
                <w:rFonts w:hint="default" w:ascii="Calibri" w:hAnsi="Calibri" w:eastAsia="楷体_GB2312" w:cs="Calibri"/>
                <w:b/>
                <w:sz w:val="18"/>
                <w:szCs w:val="18"/>
                <w:lang w:val="en-US" w:eastAsia="zh-CN"/>
              </w:rPr>
              <w:t>37</w:t>
            </w:r>
            <w:r>
              <w:rPr>
                <w:rFonts w:hint="default" w:ascii="Calibri" w:hAnsi="Calibri" w:eastAsia="楷体_GB2312" w:cs="Calibri"/>
                <w:b/>
                <w:sz w:val="18"/>
                <w:szCs w:val="18"/>
                <w:lang w:val="zh-CN" w:eastAsia="zh-CN"/>
              </w:rPr>
              <w:t>: 核心追踪指标（截止于</w:t>
            </w:r>
            <w:r>
              <w:rPr>
                <w:rFonts w:hint="default" w:ascii="Calibri" w:hAnsi="Calibri" w:eastAsia="楷体_GB2312" w:cs="Calibri"/>
                <w:b/>
                <w:sz w:val="18"/>
                <w:szCs w:val="18"/>
                <w:lang w:val="en-US" w:eastAsia="zh-CN"/>
              </w:rPr>
              <w:t>02/11</w:t>
            </w:r>
            <w:r>
              <w:rPr>
                <w:rFonts w:hint="default" w:ascii="Calibri" w:hAnsi="Calibri" w:eastAsia="楷体_GB2312" w:cs="Calibri"/>
                <w:b/>
                <w:sz w:val="18"/>
                <w:szCs w:val="18"/>
                <w:lang w:val="zh-CN" w:eastAsia="zh-CN"/>
              </w:rPr>
              <w:t>/2</w:t>
            </w:r>
            <w:r>
              <w:rPr>
                <w:rFonts w:hint="default" w:ascii="Calibri" w:hAnsi="Calibri" w:eastAsia="楷体_GB2312" w:cs="Calibri"/>
                <w:b/>
                <w:sz w:val="18"/>
                <w:szCs w:val="18"/>
                <w:lang w:val="en-US" w:eastAsia="zh-CN"/>
              </w:rPr>
              <w:t>6</w:t>
            </w:r>
            <w:r>
              <w:rPr>
                <w:rFonts w:hint="default" w:ascii="Calibri" w:hAnsi="Calibri" w:eastAsia="楷体_GB2312" w:cs="Calibri"/>
                <w:b/>
                <w:sz w:val="18"/>
                <w:szCs w:val="18"/>
                <w:lang w:val="zh-CN" w:eastAsia="zh-CN"/>
              </w:rPr>
              <w:t>）</w:t>
            </w:r>
          </w:p>
        </w:tc>
      </w:tr>
      <w:tr w14:paraId="6C070D44">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2526" w:hRule="atLeast"/>
        </w:trPr>
        <w:tc>
          <w:tcPr>
            <w:tcW w:w="7555" w:type="dxa"/>
            <w:tcBorders>
              <w:top w:val="single" w:color="auto" w:sz="4" w:space="0"/>
              <w:bottom w:val="single" w:color="auto" w:sz="4" w:space="0"/>
            </w:tcBorders>
            <w:vAlign w:val="center"/>
          </w:tcPr>
          <w:tbl>
            <w:tblPr>
              <w:tblStyle w:val="27"/>
              <w:tblW w:w="73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2"/>
              <w:gridCol w:w="1832"/>
              <w:gridCol w:w="1832"/>
              <w:gridCol w:w="1833"/>
            </w:tblGrid>
            <w:tr w14:paraId="420EE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1832" w:type="dxa"/>
                  <w:shd w:val="clear" w:color="auto" w:fill="002060"/>
                </w:tcPr>
                <w:p w14:paraId="1A0B868A">
                  <w:pPr>
                    <w:overflowPunct w:val="0"/>
                    <w:jc w:val="center"/>
                    <w:rPr>
                      <w:rFonts w:hint="default" w:ascii="Calibri" w:hAnsi="Calibri" w:eastAsia="楷体_GB2312" w:cs="Calibri"/>
                      <w:b/>
                      <w:bCs/>
                      <w:sz w:val="18"/>
                      <w:szCs w:val="18"/>
                    </w:rPr>
                  </w:pPr>
                  <w:r>
                    <w:rPr>
                      <w:rFonts w:hint="default" w:ascii="Calibri" w:hAnsi="Calibri" w:eastAsia="楷体_GB2312" w:cs="Calibri"/>
                      <w:b/>
                      <w:bCs/>
                      <w:sz w:val="18"/>
                      <w:szCs w:val="18"/>
                    </w:rPr>
                    <w:t>产品</w:t>
                  </w:r>
                </w:p>
              </w:tc>
              <w:tc>
                <w:tcPr>
                  <w:tcW w:w="1832" w:type="dxa"/>
                  <w:shd w:val="clear" w:color="auto" w:fill="002060"/>
                </w:tcPr>
                <w:p w14:paraId="47352078">
                  <w:pPr>
                    <w:overflowPunct w:val="0"/>
                    <w:jc w:val="center"/>
                    <w:rPr>
                      <w:rFonts w:hint="default" w:ascii="Calibri" w:hAnsi="Calibri" w:eastAsia="楷体_GB2312" w:cs="Calibri"/>
                      <w:b/>
                      <w:bCs/>
                      <w:sz w:val="8"/>
                      <w:szCs w:val="22"/>
                    </w:rPr>
                  </w:pPr>
                  <w:r>
                    <w:rPr>
                      <w:rFonts w:hint="default" w:ascii="Calibri" w:hAnsi="Calibri" w:eastAsia="楷体_GB2312" w:cs="Calibri"/>
                      <w:b/>
                      <w:bCs/>
                      <w:sz w:val="18"/>
                      <w:szCs w:val="18"/>
                    </w:rPr>
                    <w:t>本周均价</w:t>
                  </w:r>
                </w:p>
              </w:tc>
              <w:tc>
                <w:tcPr>
                  <w:tcW w:w="1832" w:type="dxa"/>
                  <w:shd w:val="clear" w:color="auto" w:fill="002060"/>
                </w:tcPr>
                <w:p w14:paraId="5C2B683E">
                  <w:pPr>
                    <w:overflowPunct w:val="0"/>
                    <w:jc w:val="center"/>
                    <w:rPr>
                      <w:rFonts w:hint="default" w:ascii="Calibri" w:hAnsi="Calibri" w:eastAsia="楷体_GB2312" w:cs="Calibri"/>
                      <w:b/>
                      <w:bCs/>
                      <w:sz w:val="8"/>
                      <w:szCs w:val="22"/>
                    </w:rPr>
                  </w:pPr>
                  <w:r>
                    <w:rPr>
                      <w:rFonts w:hint="default" w:ascii="Calibri" w:hAnsi="Calibri" w:eastAsia="楷体_GB2312" w:cs="Calibri"/>
                      <w:b/>
                      <w:bCs/>
                      <w:sz w:val="18"/>
                      <w:szCs w:val="18"/>
                    </w:rPr>
                    <w:t>周度环比（%）</w:t>
                  </w:r>
                </w:p>
              </w:tc>
              <w:tc>
                <w:tcPr>
                  <w:tcW w:w="1833" w:type="dxa"/>
                  <w:shd w:val="clear" w:color="auto" w:fill="002060"/>
                </w:tcPr>
                <w:p w14:paraId="084B0BC3">
                  <w:pPr>
                    <w:overflowPunct w:val="0"/>
                    <w:jc w:val="center"/>
                    <w:rPr>
                      <w:rFonts w:hint="default" w:ascii="Calibri" w:hAnsi="Calibri" w:eastAsia="楷体_GB2312" w:cs="Calibri"/>
                      <w:b/>
                      <w:bCs/>
                      <w:sz w:val="8"/>
                      <w:szCs w:val="22"/>
                    </w:rPr>
                  </w:pPr>
                  <w:r>
                    <w:rPr>
                      <w:rFonts w:hint="default" w:ascii="Calibri" w:hAnsi="Calibri" w:eastAsia="楷体_GB2312" w:cs="Calibri"/>
                      <w:b/>
                      <w:bCs/>
                      <w:sz w:val="18"/>
                      <w:szCs w:val="18"/>
                    </w:rPr>
                    <w:t>月度环比（%）</w:t>
                  </w:r>
                </w:p>
              </w:tc>
            </w:tr>
            <w:tr w14:paraId="36772E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1832" w:type="dxa"/>
                  <w:shd w:val="clear" w:color="auto" w:fill="C6D9F0" w:themeFill="text2" w:themeFillTint="33"/>
                </w:tcPr>
                <w:p w14:paraId="50CB1B15">
                  <w:pPr>
                    <w:overflowPunct w:val="0"/>
                    <w:jc w:val="center"/>
                    <w:rPr>
                      <w:rFonts w:hint="default" w:ascii="Calibri" w:hAnsi="Calibri" w:eastAsia="楷体_GB2312" w:cs="Calibri"/>
                      <w:b/>
                      <w:bCs/>
                      <w:sz w:val="18"/>
                      <w:szCs w:val="18"/>
                    </w:rPr>
                  </w:pPr>
                  <w:r>
                    <w:rPr>
                      <w:rFonts w:hint="default" w:ascii="Calibri" w:hAnsi="Calibri" w:eastAsia="楷体_GB2312" w:cs="Calibri"/>
                      <w:b/>
                      <w:bCs/>
                      <w:sz w:val="18"/>
                      <w:szCs w:val="18"/>
                    </w:rPr>
                    <w:t xml:space="preserve">氧化镨钕 </w:t>
                  </w:r>
                </w:p>
              </w:tc>
              <w:tc>
                <w:tcPr>
                  <w:tcW w:w="1832" w:type="dxa"/>
                </w:tcPr>
                <w:p w14:paraId="1ADAC661">
                  <w:pPr>
                    <w:overflowPunct w:val="0"/>
                    <w:jc w:val="center"/>
                    <w:rPr>
                      <w:rFonts w:hint="default" w:ascii="Calibri" w:hAnsi="Calibri" w:eastAsia="楷体_GB2312" w:cs="Calibri"/>
                      <w:sz w:val="18"/>
                      <w:szCs w:val="18"/>
                    </w:rPr>
                  </w:pPr>
                  <w:r>
                    <w:rPr>
                      <w:rFonts w:hint="default" w:ascii="Calibri" w:hAnsi="Calibri" w:eastAsia="楷体_GB2312" w:cs="Calibri"/>
                      <w:sz w:val="18"/>
                      <w:szCs w:val="18"/>
                      <w:lang w:val="en-US" w:eastAsia="zh-CN"/>
                    </w:rPr>
                    <w:t>850</w:t>
                  </w:r>
                  <w:r>
                    <w:rPr>
                      <w:rFonts w:hint="default" w:ascii="Calibri" w:hAnsi="Calibri" w:eastAsia="楷体_GB2312" w:cs="Calibri"/>
                      <w:sz w:val="18"/>
                      <w:szCs w:val="18"/>
                    </w:rPr>
                    <w:t>,</w:t>
                  </w:r>
                  <w:r>
                    <w:rPr>
                      <w:rFonts w:hint="default" w:ascii="Calibri" w:hAnsi="Calibri" w:eastAsia="楷体_GB2312" w:cs="Calibri"/>
                      <w:sz w:val="18"/>
                      <w:szCs w:val="18"/>
                      <w:lang w:val="en-US" w:eastAsia="zh-CN"/>
                    </w:rPr>
                    <w:t>0</w:t>
                  </w:r>
                  <w:r>
                    <w:rPr>
                      <w:rFonts w:hint="default" w:ascii="Calibri" w:hAnsi="Calibri" w:eastAsia="楷体_GB2312" w:cs="Calibri"/>
                      <w:sz w:val="18"/>
                      <w:szCs w:val="18"/>
                    </w:rPr>
                    <w:t>00元/吨</w:t>
                  </w:r>
                </w:p>
              </w:tc>
              <w:tc>
                <w:tcPr>
                  <w:tcW w:w="1832" w:type="dxa"/>
                </w:tcPr>
                <w:p w14:paraId="55F9313B">
                  <w:pPr>
                    <w:overflowPunct w:val="0"/>
                    <w:jc w:val="center"/>
                    <w:rPr>
                      <w:rFonts w:hint="default" w:ascii="Calibri" w:hAnsi="Calibri" w:eastAsia="楷体_GB2312" w:cs="Calibri"/>
                      <w:sz w:val="18"/>
                      <w:szCs w:val="18"/>
                    </w:rPr>
                  </w:pPr>
                  <w:r>
                    <w:rPr>
                      <w:rFonts w:hint="default" w:ascii="Calibri" w:hAnsi="Calibri" w:eastAsia="楷体_GB2312" w:cs="Calibri"/>
                      <w:sz w:val="18"/>
                      <w:szCs w:val="18"/>
                      <w:lang w:val="en-US" w:eastAsia="zh-CN"/>
                    </w:rPr>
                    <w:t>13.8</w:t>
                  </w:r>
                  <w:r>
                    <w:rPr>
                      <w:rFonts w:hint="default" w:ascii="Calibri" w:hAnsi="Calibri" w:eastAsia="楷体_GB2312" w:cs="Calibri"/>
                      <w:sz w:val="18"/>
                      <w:szCs w:val="18"/>
                    </w:rPr>
                    <w:t>%</w:t>
                  </w:r>
                </w:p>
              </w:tc>
              <w:tc>
                <w:tcPr>
                  <w:tcW w:w="1833" w:type="dxa"/>
                </w:tcPr>
                <w:p w14:paraId="53E294E6">
                  <w:pPr>
                    <w:overflowPunct w:val="0"/>
                    <w:jc w:val="center"/>
                    <w:rPr>
                      <w:rFonts w:hint="default" w:ascii="Calibri" w:hAnsi="Calibri" w:eastAsia="楷体_GB2312" w:cs="Calibri"/>
                      <w:sz w:val="18"/>
                      <w:szCs w:val="18"/>
                    </w:rPr>
                  </w:pPr>
                  <w:r>
                    <w:rPr>
                      <w:rFonts w:hint="default" w:ascii="Calibri" w:hAnsi="Calibri" w:eastAsia="楷体_GB2312" w:cs="Calibri"/>
                      <w:sz w:val="18"/>
                      <w:szCs w:val="18"/>
                      <w:lang w:val="en-US" w:eastAsia="zh-CN"/>
                    </w:rPr>
                    <w:t>33.4</w:t>
                  </w:r>
                  <w:r>
                    <w:rPr>
                      <w:rFonts w:hint="default" w:ascii="Calibri" w:hAnsi="Calibri" w:eastAsia="楷体_GB2312" w:cs="Calibri"/>
                      <w:sz w:val="18"/>
                      <w:szCs w:val="18"/>
                    </w:rPr>
                    <w:t>%</w:t>
                  </w:r>
                </w:p>
              </w:tc>
            </w:tr>
            <w:tr w14:paraId="7862E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1832" w:type="dxa"/>
                  <w:shd w:val="clear" w:color="auto" w:fill="C6D9F0" w:themeFill="text2" w:themeFillTint="33"/>
                </w:tcPr>
                <w:p w14:paraId="152E4AD1">
                  <w:pPr>
                    <w:overflowPunct w:val="0"/>
                    <w:jc w:val="center"/>
                    <w:rPr>
                      <w:rFonts w:hint="default" w:ascii="Calibri" w:hAnsi="Calibri" w:eastAsia="楷体_GB2312" w:cs="Calibri"/>
                      <w:b/>
                      <w:bCs/>
                      <w:sz w:val="18"/>
                      <w:szCs w:val="18"/>
                    </w:rPr>
                  </w:pPr>
                  <w:r>
                    <w:rPr>
                      <w:rFonts w:hint="default" w:ascii="Calibri" w:hAnsi="Calibri" w:eastAsia="楷体_GB2312" w:cs="Calibri"/>
                      <w:b/>
                      <w:bCs/>
                      <w:sz w:val="18"/>
                      <w:szCs w:val="18"/>
                    </w:rPr>
                    <w:t>氧化镝</w:t>
                  </w:r>
                </w:p>
              </w:tc>
              <w:tc>
                <w:tcPr>
                  <w:tcW w:w="1832" w:type="dxa"/>
                </w:tcPr>
                <w:p w14:paraId="2BF90034">
                  <w:pPr>
                    <w:overflowPunct w:val="0"/>
                    <w:jc w:val="center"/>
                    <w:rPr>
                      <w:rFonts w:hint="default" w:ascii="Calibri" w:hAnsi="Calibri" w:eastAsia="楷体_GB2312" w:cs="Calibri"/>
                      <w:sz w:val="18"/>
                      <w:szCs w:val="18"/>
                    </w:rPr>
                  </w:pPr>
                  <w:r>
                    <w:rPr>
                      <w:rFonts w:hint="default" w:ascii="Calibri" w:hAnsi="Calibri" w:eastAsia="楷体_GB2312" w:cs="Calibri"/>
                      <w:sz w:val="18"/>
                      <w:szCs w:val="18"/>
                    </w:rPr>
                    <w:t>1</w:t>
                  </w:r>
                  <w:r>
                    <w:rPr>
                      <w:rFonts w:hint="default" w:ascii="Calibri" w:hAnsi="Calibri" w:eastAsia="楷体_GB2312" w:cs="Calibri"/>
                      <w:sz w:val="18"/>
                      <w:szCs w:val="18"/>
                      <w:lang w:val="en-US" w:eastAsia="zh-CN"/>
                    </w:rPr>
                    <w:t>,470</w:t>
                  </w:r>
                  <w:r>
                    <w:rPr>
                      <w:rFonts w:hint="default" w:ascii="Calibri" w:hAnsi="Calibri" w:eastAsia="楷体_GB2312" w:cs="Calibri"/>
                      <w:sz w:val="18"/>
                      <w:szCs w:val="18"/>
                    </w:rPr>
                    <w:t>,000元/吨</w:t>
                  </w:r>
                </w:p>
              </w:tc>
              <w:tc>
                <w:tcPr>
                  <w:tcW w:w="1832" w:type="dxa"/>
                </w:tcPr>
                <w:p w14:paraId="0A89A149">
                  <w:pPr>
                    <w:overflowPunct w:val="0"/>
                    <w:jc w:val="center"/>
                    <w:rPr>
                      <w:rFonts w:hint="default" w:ascii="Calibri" w:hAnsi="Calibri" w:eastAsia="楷体_GB2312" w:cs="Calibri"/>
                      <w:sz w:val="18"/>
                      <w:szCs w:val="18"/>
                    </w:rPr>
                  </w:pPr>
                  <w:r>
                    <w:rPr>
                      <w:rFonts w:hint="default" w:ascii="Calibri" w:hAnsi="Calibri" w:eastAsia="楷体_GB2312" w:cs="Calibri"/>
                      <w:sz w:val="18"/>
                      <w:szCs w:val="18"/>
                      <w:lang w:val="en-US" w:eastAsia="zh-CN"/>
                    </w:rPr>
                    <w:t>5.4</w:t>
                  </w:r>
                  <w:r>
                    <w:rPr>
                      <w:rFonts w:hint="default" w:ascii="Calibri" w:hAnsi="Calibri" w:eastAsia="楷体_GB2312" w:cs="Calibri"/>
                      <w:sz w:val="18"/>
                      <w:szCs w:val="18"/>
                    </w:rPr>
                    <w:t>%</w:t>
                  </w:r>
                </w:p>
              </w:tc>
              <w:tc>
                <w:tcPr>
                  <w:tcW w:w="1833" w:type="dxa"/>
                </w:tcPr>
                <w:p w14:paraId="5CFD318E">
                  <w:pPr>
                    <w:overflowPunct w:val="0"/>
                    <w:jc w:val="center"/>
                    <w:rPr>
                      <w:rFonts w:hint="default" w:ascii="Calibri" w:hAnsi="Calibri" w:eastAsia="楷体_GB2312" w:cs="Calibri"/>
                      <w:sz w:val="18"/>
                      <w:szCs w:val="18"/>
                    </w:rPr>
                  </w:pPr>
                  <w:r>
                    <w:rPr>
                      <w:rFonts w:hint="default" w:ascii="Calibri" w:hAnsi="Calibri" w:eastAsia="楷体_GB2312" w:cs="Calibri"/>
                      <w:sz w:val="18"/>
                      <w:szCs w:val="18"/>
                      <w:lang w:val="en-US" w:eastAsia="zh-CN"/>
                    </w:rPr>
                    <w:t>2.1</w:t>
                  </w:r>
                  <w:r>
                    <w:rPr>
                      <w:rFonts w:hint="default" w:ascii="Calibri" w:hAnsi="Calibri" w:eastAsia="楷体_GB2312" w:cs="Calibri"/>
                      <w:sz w:val="18"/>
                      <w:szCs w:val="18"/>
                    </w:rPr>
                    <w:t>%</w:t>
                  </w:r>
                </w:p>
              </w:tc>
            </w:tr>
            <w:tr w14:paraId="0B57F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1832" w:type="dxa"/>
                  <w:shd w:val="clear" w:color="auto" w:fill="C6D9F0" w:themeFill="text2" w:themeFillTint="33"/>
                </w:tcPr>
                <w:p w14:paraId="05FA21EE">
                  <w:pPr>
                    <w:overflowPunct w:val="0"/>
                    <w:jc w:val="center"/>
                    <w:rPr>
                      <w:rFonts w:hint="default" w:ascii="Calibri" w:hAnsi="Calibri" w:eastAsia="楷体_GB2312" w:cs="Calibri"/>
                      <w:b/>
                      <w:bCs/>
                      <w:sz w:val="18"/>
                      <w:szCs w:val="18"/>
                    </w:rPr>
                  </w:pPr>
                  <w:r>
                    <w:rPr>
                      <w:rFonts w:hint="default" w:ascii="Calibri" w:hAnsi="Calibri" w:eastAsia="楷体_GB2312" w:cs="Calibri"/>
                      <w:b/>
                      <w:bCs/>
                      <w:sz w:val="18"/>
                      <w:szCs w:val="18"/>
                    </w:rPr>
                    <w:t>镝铁合金</w:t>
                  </w:r>
                </w:p>
              </w:tc>
              <w:tc>
                <w:tcPr>
                  <w:tcW w:w="1832" w:type="dxa"/>
                </w:tcPr>
                <w:p w14:paraId="67F4558A">
                  <w:pPr>
                    <w:overflowPunct w:val="0"/>
                    <w:jc w:val="center"/>
                    <w:rPr>
                      <w:rFonts w:hint="default" w:ascii="Calibri" w:hAnsi="Calibri" w:eastAsia="楷体_GB2312" w:cs="Calibri"/>
                      <w:sz w:val="18"/>
                      <w:szCs w:val="18"/>
                    </w:rPr>
                  </w:pPr>
                  <w:r>
                    <w:rPr>
                      <w:rFonts w:hint="default" w:ascii="Calibri" w:hAnsi="Calibri" w:eastAsia="楷体_GB2312" w:cs="Calibri"/>
                      <w:sz w:val="18"/>
                      <w:szCs w:val="18"/>
                    </w:rPr>
                    <w:t>1,</w:t>
                  </w:r>
                  <w:r>
                    <w:rPr>
                      <w:rFonts w:hint="default" w:ascii="Calibri" w:hAnsi="Calibri" w:eastAsia="楷体_GB2312" w:cs="Calibri"/>
                      <w:sz w:val="18"/>
                      <w:szCs w:val="18"/>
                      <w:lang w:val="en-US" w:eastAsia="zh-CN"/>
                    </w:rPr>
                    <w:t>401</w:t>
                  </w:r>
                  <w:r>
                    <w:rPr>
                      <w:rFonts w:hint="default" w:ascii="Calibri" w:hAnsi="Calibri" w:eastAsia="楷体_GB2312" w:cs="Calibri"/>
                      <w:sz w:val="18"/>
                      <w:szCs w:val="18"/>
                    </w:rPr>
                    <w:t>,</w:t>
                  </w:r>
                  <w:r>
                    <w:rPr>
                      <w:rFonts w:hint="default" w:ascii="Calibri" w:hAnsi="Calibri" w:eastAsia="楷体_GB2312" w:cs="Calibri"/>
                      <w:sz w:val="18"/>
                      <w:szCs w:val="18"/>
                      <w:lang w:val="en-US" w:eastAsia="zh-CN"/>
                    </w:rPr>
                    <w:t>000</w:t>
                  </w:r>
                  <w:r>
                    <w:rPr>
                      <w:rFonts w:hint="default" w:ascii="Calibri" w:hAnsi="Calibri" w:eastAsia="楷体_GB2312" w:cs="Calibri"/>
                      <w:sz w:val="18"/>
                      <w:szCs w:val="18"/>
                    </w:rPr>
                    <w:t>元/吨</w:t>
                  </w:r>
                </w:p>
              </w:tc>
              <w:tc>
                <w:tcPr>
                  <w:tcW w:w="1832" w:type="dxa"/>
                </w:tcPr>
                <w:p w14:paraId="2382842C">
                  <w:pPr>
                    <w:overflowPunct w:val="0"/>
                    <w:jc w:val="center"/>
                    <w:rPr>
                      <w:rFonts w:hint="default" w:ascii="Calibri" w:hAnsi="Calibri" w:eastAsia="楷体_GB2312" w:cs="Calibri"/>
                      <w:sz w:val="18"/>
                      <w:szCs w:val="18"/>
                    </w:rPr>
                  </w:pPr>
                  <w:r>
                    <w:rPr>
                      <w:rFonts w:hint="default" w:ascii="Calibri" w:hAnsi="Calibri" w:eastAsia="楷体_GB2312" w:cs="Calibri"/>
                      <w:sz w:val="18"/>
                      <w:szCs w:val="18"/>
                      <w:lang w:val="en-US" w:eastAsia="zh-CN"/>
                    </w:rPr>
                    <w:t>4.0</w:t>
                  </w:r>
                  <w:r>
                    <w:rPr>
                      <w:rFonts w:hint="default" w:ascii="Calibri" w:hAnsi="Calibri" w:eastAsia="楷体_GB2312" w:cs="Calibri"/>
                      <w:sz w:val="18"/>
                      <w:szCs w:val="18"/>
                    </w:rPr>
                    <w:t>%</w:t>
                  </w:r>
                </w:p>
              </w:tc>
              <w:tc>
                <w:tcPr>
                  <w:tcW w:w="1833" w:type="dxa"/>
                </w:tcPr>
                <w:p w14:paraId="61155B2F">
                  <w:pPr>
                    <w:overflowPunct w:val="0"/>
                    <w:jc w:val="center"/>
                    <w:rPr>
                      <w:rFonts w:hint="default" w:ascii="Calibri" w:hAnsi="Calibri" w:eastAsia="楷体_GB2312" w:cs="Calibri"/>
                      <w:sz w:val="18"/>
                      <w:szCs w:val="18"/>
                    </w:rPr>
                  </w:pPr>
                  <w:r>
                    <w:rPr>
                      <w:rFonts w:hint="default" w:ascii="Calibri" w:hAnsi="Calibri" w:eastAsia="楷体_GB2312" w:cs="Calibri"/>
                      <w:sz w:val="18"/>
                      <w:szCs w:val="18"/>
                    </w:rPr>
                    <w:t>-</w:t>
                  </w:r>
                  <w:r>
                    <w:rPr>
                      <w:rFonts w:hint="default" w:ascii="Calibri" w:hAnsi="Calibri" w:eastAsia="楷体_GB2312" w:cs="Calibri"/>
                      <w:sz w:val="18"/>
                      <w:szCs w:val="18"/>
                      <w:lang w:val="en-US" w:eastAsia="zh-CN"/>
                    </w:rPr>
                    <w:t>2.0</w:t>
                  </w:r>
                  <w:r>
                    <w:rPr>
                      <w:rFonts w:hint="default" w:ascii="Calibri" w:hAnsi="Calibri" w:eastAsia="楷体_GB2312" w:cs="Calibri"/>
                      <w:sz w:val="18"/>
                      <w:szCs w:val="18"/>
                    </w:rPr>
                    <w:t>%</w:t>
                  </w:r>
                </w:p>
              </w:tc>
            </w:tr>
            <w:tr w14:paraId="4EC4B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1832" w:type="dxa"/>
                  <w:shd w:val="clear" w:color="auto" w:fill="C6D9F0" w:themeFill="text2" w:themeFillTint="33"/>
                </w:tcPr>
                <w:p w14:paraId="482C8A11">
                  <w:pPr>
                    <w:overflowPunct w:val="0"/>
                    <w:jc w:val="center"/>
                    <w:rPr>
                      <w:rFonts w:hint="default" w:ascii="Calibri" w:hAnsi="Calibri" w:eastAsia="楷体_GB2312" w:cs="Calibri"/>
                      <w:b/>
                      <w:bCs/>
                      <w:sz w:val="18"/>
                      <w:szCs w:val="18"/>
                    </w:rPr>
                  </w:pPr>
                  <w:r>
                    <w:rPr>
                      <w:rFonts w:hint="default" w:ascii="Calibri" w:hAnsi="Calibri" w:eastAsia="楷体_GB2312" w:cs="Calibri"/>
                      <w:b/>
                      <w:bCs/>
                      <w:sz w:val="18"/>
                      <w:szCs w:val="18"/>
                    </w:rPr>
                    <w:t>氧化铽</w:t>
                  </w:r>
                </w:p>
              </w:tc>
              <w:tc>
                <w:tcPr>
                  <w:tcW w:w="1832" w:type="dxa"/>
                </w:tcPr>
                <w:p w14:paraId="6FB993ED">
                  <w:pPr>
                    <w:overflowPunct w:val="0"/>
                    <w:jc w:val="center"/>
                    <w:rPr>
                      <w:rFonts w:hint="default" w:ascii="Calibri" w:hAnsi="Calibri" w:eastAsia="楷体_GB2312" w:cs="Calibri"/>
                      <w:sz w:val="18"/>
                      <w:szCs w:val="18"/>
                    </w:rPr>
                  </w:pPr>
                  <w:r>
                    <w:rPr>
                      <w:rFonts w:hint="default" w:ascii="Calibri" w:hAnsi="Calibri" w:eastAsia="楷体_GB2312" w:cs="Calibri"/>
                      <w:sz w:val="18"/>
                      <w:szCs w:val="18"/>
                      <w:lang w:val="en-US" w:eastAsia="zh-CN"/>
                    </w:rPr>
                    <w:t>6</w:t>
                  </w:r>
                  <w:r>
                    <w:rPr>
                      <w:rFonts w:hint="default" w:ascii="Calibri" w:hAnsi="Calibri" w:eastAsia="楷体_GB2312" w:cs="Calibri"/>
                      <w:sz w:val="18"/>
                      <w:szCs w:val="18"/>
                    </w:rPr>
                    <w:t>,</w:t>
                  </w:r>
                  <w:r>
                    <w:rPr>
                      <w:rFonts w:hint="default" w:ascii="Calibri" w:hAnsi="Calibri" w:eastAsia="楷体_GB2312" w:cs="Calibri"/>
                      <w:sz w:val="18"/>
                      <w:szCs w:val="18"/>
                      <w:lang w:val="en-US" w:eastAsia="zh-CN"/>
                    </w:rPr>
                    <w:t>370</w:t>
                  </w:r>
                  <w:r>
                    <w:rPr>
                      <w:rFonts w:hint="default" w:ascii="Calibri" w:hAnsi="Calibri" w:eastAsia="楷体_GB2312" w:cs="Calibri"/>
                      <w:sz w:val="18"/>
                      <w:szCs w:val="18"/>
                    </w:rPr>
                    <w:t xml:space="preserve"> 元/千克</w:t>
                  </w:r>
                </w:p>
              </w:tc>
              <w:tc>
                <w:tcPr>
                  <w:tcW w:w="1832" w:type="dxa"/>
                </w:tcPr>
                <w:p w14:paraId="3D6CDE90">
                  <w:pPr>
                    <w:overflowPunct w:val="0"/>
                    <w:jc w:val="center"/>
                    <w:rPr>
                      <w:rFonts w:hint="default" w:ascii="Calibri" w:hAnsi="Calibri" w:eastAsia="楷体_GB2312" w:cs="Calibri"/>
                      <w:sz w:val="18"/>
                      <w:szCs w:val="18"/>
                    </w:rPr>
                  </w:pPr>
                  <w:r>
                    <w:rPr>
                      <w:rFonts w:hint="default" w:ascii="Calibri" w:hAnsi="Calibri" w:eastAsia="楷体_GB2312" w:cs="Calibri"/>
                      <w:sz w:val="18"/>
                      <w:szCs w:val="18"/>
                      <w:lang w:val="en-US" w:eastAsia="zh-CN"/>
                    </w:rPr>
                    <w:t>3.6</w:t>
                  </w:r>
                  <w:r>
                    <w:rPr>
                      <w:rFonts w:hint="default" w:ascii="Calibri" w:hAnsi="Calibri" w:eastAsia="楷体_GB2312" w:cs="Calibri"/>
                      <w:sz w:val="18"/>
                      <w:szCs w:val="18"/>
                    </w:rPr>
                    <w:t>%</w:t>
                  </w:r>
                </w:p>
              </w:tc>
              <w:tc>
                <w:tcPr>
                  <w:tcW w:w="1833" w:type="dxa"/>
                </w:tcPr>
                <w:p w14:paraId="14A310B5">
                  <w:pPr>
                    <w:overflowPunct w:val="0"/>
                    <w:jc w:val="center"/>
                    <w:rPr>
                      <w:rFonts w:hint="default" w:ascii="Calibri" w:hAnsi="Calibri" w:eastAsia="楷体_GB2312" w:cs="Calibri"/>
                      <w:sz w:val="18"/>
                      <w:szCs w:val="18"/>
                    </w:rPr>
                  </w:pPr>
                  <w:r>
                    <w:rPr>
                      <w:rFonts w:hint="default" w:ascii="Calibri" w:hAnsi="Calibri" w:eastAsia="楷体_GB2312" w:cs="Calibri"/>
                      <w:sz w:val="18"/>
                      <w:szCs w:val="18"/>
                      <w:lang w:val="en-US" w:eastAsia="zh-CN"/>
                    </w:rPr>
                    <w:t>2.2</w:t>
                  </w:r>
                  <w:r>
                    <w:rPr>
                      <w:rFonts w:hint="default" w:ascii="Calibri" w:hAnsi="Calibri" w:eastAsia="楷体_GB2312" w:cs="Calibri"/>
                      <w:sz w:val="18"/>
                      <w:szCs w:val="18"/>
                    </w:rPr>
                    <w:t>%</w:t>
                  </w:r>
                </w:p>
              </w:tc>
            </w:tr>
            <w:tr w14:paraId="7B37DC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1832" w:type="dxa"/>
                  <w:shd w:val="clear" w:color="auto" w:fill="C6D9F0" w:themeFill="text2" w:themeFillTint="33"/>
                </w:tcPr>
                <w:p w14:paraId="6B322386">
                  <w:pPr>
                    <w:overflowPunct w:val="0"/>
                    <w:jc w:val="center"/>
                    <w:rPr>
                      <w:rFonts w:hint="default" w:ascii="Calibri" w:hAnsi="Calibri" w:eastAsia="楷体_GB2312" w:cs="Calibri"/>
                      <w:b/>
                      <w:bCs/>
                      <w:sz w:val="18"/>
                      <w:szCs w:val="18"/>
                    </w:rPr>
                  </w:pPr>
                  <w:r>
                    <w:rPr>
                      <w:rFonts w:hint="default" w:ascii="Calibri" w:hAnsi="Calibri" w:eastAsia="楷体_GB2312" w:cs="Calibri"/>
                      <w:b/>
                      <w:bCs/>
                      <w:sz w:val="18"/>
                      <w:szCs w:val="18"/>
                    </w:rPr>
                    <w:t>金属铽</w:t>
                  </w:r>
                </w:p>
              </w:tc>
              <w:tc>
                <w:tcPr>
                  <w:tcW w:w="1832" w:type="dxa"/>
                </w:tcPr>
                <w:p w14:paraId="7D89AF08">
                  <w:pPr>
                    <w:overflowPunct w:val="0"/>
                    <w:jc w:val="center"/>
                    <w:rPr>
                      <w:rFonts w:hint="default" w:ascii="Calibri" w:hAnsi="Calibri" w:eastAsia="楷体_GB2312" w:cs="Calibri"/>
                      <w:sz w:val="18"/>
                      <w:szCs w:val="18"/>
                    </w:rPr>
                  </w:pPr>
                  <w:r>
                    <w:rPr>
                      <w:rFonts w:hint="default" w:ascii="Calibri" w:hAnsi="Calibri" w:eastAsia="楷体_GB2312" w:cs="Calibri"/>
                      <w:sz w:val="18"/>
                      <w:szCs w:val="18"/>
                      <w:lang w:val="en-US" w:eastAsia="zh-CN"/>
                    </w:rPr>
                    <w:t>7</w:t>
                  </w:r>
                  <w:r>
                    <w:rPr>
                      <w:rFonts w:hint="default" w:ascii="Calibri" w:hAnsi="Calibri" w:eastAsia="楷体_GB2312" w:cs="Calibri"/>
                      <w:sz w:val="18"/>
                      <w:szCs w:val="18"/>
                    </w:rPr>
                    <w:t>,7</w:t>
                  </w:r>
                  <w:r>
                    <w:rPr>
                      <w:rFonts w:hint="default" w:ascii="Calibri" w:hAnsi="Calibri" w:eastAsia="楷体_GB2312" w:cs="Calibri"/>
                      <w:sz w:val="18"/>
                      <w:szCs w:val="18"/>
                      <w:lang w:val="en-US" w:eastAsia="zh-CN"/>
                    </w:rPr>
                    <w:t>13</w:t>
                  </w:r>
                  <w:r>
                    <w:rPr>
                      <w:rFonts w:hint="default" w:ascii="Calibri" w:hAnsi="Calibri" w:eastAsia="楷体_GB2312" w:cs="Calibri"/>
                      <w:sz w:val="18"/>
                      <w:szCs w:val="18"/>
                    </w:rPr>
                    <w:t xml:space="preserve"> 元/千克</w:t>
                  </w:r>
                </w:p>
              </w:tc>
              <w:tc>
                <w:tcPr>
                  <w:tcW w:w="1832" w:type="dxa"/>
                </w:tcPr>
                <w:p w14:paraId="260CC0B7">
                  <w:pPr>
                    <w:overflowPunct w:val="0"/>
                    <w:jc w:val="center"/>
                    <w:rPr>
                      <w:rFonts w:hint="default" w:ascii="Calibri" w:hAnsi="Calibri" w:eastAsia="楷体_GB2312" w:cs="Calibri"/>
                      <w:sz w:val="18"/>
                      <w:szCs w:val="18"/>
                    </w:rPr>
                  </w:pPr>
                  <w:r>
                    <w:rPr>
                      <w:rFonts w:hint="default" w:ascii="Calibri" w:hAnsi="Calibri" w:eastAsia="楷体_GB2312" w:cs="Calibri"/>
                      <w:sz w:val="18"/>
                      <w:szCs w:val="18"/>
                      <w:lang w:val="en-US" w:eastAsia="zh-CN"/>
                    </w:rPr>
                    <w:t>2.2</w:t>
                  </w:r>
                  <w:r>
                    <w:rPr>
                      <w:rFonts w:hint="default" w:ascii="Calibri" w:hAnsi="Calibri" w:eastAsia="楷体_GB2312" w:cs="Calibri"/>
                      <w:sz w:val="18"/>
                      <w:szCs w:val="18"/>
                    </w:rPr>
                    <w:t>%</w:t>
                  </w:r>
                </w:p>
              </w:tc>
              <w:tc>
                <w:tcPr>
                  <w:tcW w:w="1833" w:type="dxa"/>
                </w:tcPr>
                <w:p w14:paraId="5249FB3B">
                  <w:pPr>
                    <w:overflowPunct w:val="0"/>
                    <w:jc w:val="center"/>
                    <w:rPr>
                      <w:rFonts w:hint="default" w:ascii="Calibri" w:hAnsi="Calibri" w:eastAsia="楷体_GB2312" w:cs="Calibri"/>
                      <w:sz w:val="18"/>
                      <w:szCs w:val="18"/>
                    </w:rPr>
                  </w:pPr>
                  <w:r>
                    <w:rPr>
                      <w:rFonts w:hint="default" w:ascii="Calibri" w:hAnsi="Calibri" w:eastAsia="楷体_GB2312" w:cs="Calibri"/>
                      <w:sz w:val="18"/>
                      <w:szCs w:val="18"/>
                      <w:lang w:val="en-US" w:eastAsia="zh-CN"/>
                    </w:rPr>
                    <w:t>2.2</w:t>
                  </w:r>
                  <w:r>
                    <w:rPr>
                      <w:rFonts w:hint="default" w:ascii="Calibri" w:hAnsi="Calibri" w:eastAsia="楷体_GB2312" w:cs="Calibri"/>
                      <w:sz w:val="18"/>
                      <w:szCs w:val="18"/>
                    </w:rPr>
                    <w:t>%</w:t>
                  </w:r>
                </w:p>
              </w:tc>
            </w:tr>
          </w:tbl>
          <w:p w14:paraId="2916D571">
            <w:pPr>
              <w:overflowPunct w:val="0"/>
              <w:jc w:val="center"/>
              <w:rPr>
                <w:rFonts w:hint="default" w:ascii="Calibri" w:hAnsi="Calibri" w:eastAsia="楷体_GB2312" w:cs="Calibri"/>
                <w:sz w:val="10"/>
              </w:rPr>
            </w:pPr>
          </w:p>
        </w:tc>
      </w:tr>
      <w:tr w14:paraId="196BC2A9">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7555" w:type="dxa"/>
            <w:tcBorders>
              <w:top w:val="single" w:color="auto" w:sz="4" w:space="0"/>
            </w:tcBorders>
          </w:tcPr>
          <w:p w14:paraId="6594D2E7">
            <w:pPr>
              <w:overflowPunct w:val="0"/>
              <w:rPr>
                <w:rFonts w:hint="default" w:ascii="Calibri" w:hAnsi="Calibri" w:eastAsia="楷体_GB2312" w:cs="Calibri"/>
                <w:i/>
                <w:iCs/>
                <w:sz w:val="15"/>
                <w:szCs w:val="15"/>
                <w:lang w:eastAsia="zh-CN"/>
              </w:rPr>
            </w:pPr>
            <w:r>
              <w:rPr>
                <w:rFonts w:hint="default" w:ascii="Calibri" w:hAnsi="Calibri" w:eastAsia="楷体_GB2312" w:cs="Calibri"/>
                <w:i/>
                <w:iCs/>
                <w:sz w:val="15"/>
                <w:szCs w:val="15"/>
              </w:rPr>
              <w:t>资料来源：Wind，</w:t>
            </w:r>
            <w:r>
              <w:rPr>
                <w:rFonts w:hint="default" w:ascii="Calibri" w:hAnsi="Calibri" w:eastAsia="楷体_GB2312" w:cs="Calibri"/>
                <w:i/>
                <w:iCs/>
                <w:sz w:val="15"/>
                <w:szCs w:val="15"/>
                <w:lang w:eastAsia="zh-CN"/>
              </w:rPr>
              <w:t>HFI</w:t>
            </w:r>
          </w:p>
        </w:tc>
      </w:tr>
    </w:tbl>
    <w:p w14:paraId="56177F98">
      <w:pPr>
        <w:overflowPunct w:val="0"/>
        <w:ind w:left="3200" w:leftChars="2000"/>
        <w:jc w:val="both"/>
        <w:rPr>
          <w:rFonts w:hint="default" w:ascii="Calibri" w:hAnsi="Calibri" w:eastAsia="楷体_GB2312" w:cs="Calibri"/>
          <w:b/>
          <w:bCs/>
          <w:color w:val="1F497D" w:themeColor="text2"/>
          <w:sz w:val="24"/>
          <w:szCs w:val="24"/>
          <w:lang w:val="en-US" w:eastAsia="zh-CN"/>
          <w14:textFill>
            <w14:solidFill>
              <w14:schemeClr w14:val="tx2"/>
            </w14:solidFill>
          </w14:textFill>
        </w:rPr>
      </w:pPr>
    </w:p>
    <w:p w14:paraId="5E86DEE1">
      <w:pPr>
        <w:overflowPunct w:val="0"/>
        <w:ind w:left="3200" w:leftChars="2000"/>
        <w:jc w:val="both"/>
        <w:rPr>
          <w:rFonts w:hint="default" w:ascii="Calibri" w:hAnsi="Calibri" w:eastAsia="楷体_GB2312" w:cs="Calibri"/>
          <w:b/>
          <w:bCs/>
          <w:color w:val="1F497D" w:themeColor="text2"/>
          <w:sz w:val="24"/>
          <w:szCs w:val="24"/>
          <w:lang w:val="en-US" w:eastAsia="zh-CN"/>
          <w14:textFill>
            <w14:solidFill>
              <w14:schemeClr w14:val="tx2"/>
            </w14:solidFill>
          </w14:textFill>
        </w:rPr>
      </w:pPr>
    </w:p>
    <w:p w14:paraId="772156D2">
      <w:pPr>
        <w:overflowPunct w:val="0"/>
        <w:ind w:left="3200" w:leftChars="2000"/>
        <w:jc w:val="both"/>
        <w:outlineLvl w:val="0"/>
        <w:rPr>
          <w:rFonts w:hint="default" w:ascii="Calibri" w:hAnsi="Calibri" w:eastAsia="楷体_GB2312" w:cs="Calibri"/>
          <w:b/>
          <w:bCs/>
          <w:color w:val="1F497D" w:themeColor="text2"/>
          <w:sz w:val="24"/>
          <w:szCs w:val="24"/>
          <w:lang w:val="en-US" w:eastAsia="zh-CN"/>
          <w14:textFill>
            <w14:solidFill>
              <w14:schemeClr w14:val="tx2"/>
            </w14:solidFill>
          </w14:textFill>
        </w:rPr>
      </w:pPr>
      <w:r>
        <w:rPr>
          <w:rFonts w:hint="default" w:ascii="Calibri" w:hAnsi="Calibri" w:eastAsia="楷体_GB2312" w:cs="Calibri"/>
        </w:rPr>
        <w:fldChar w:fldCharType="begin"/>
      </w:r>
      <w:r>
        <w:rPr>
          <w:rFonts w:hint="default" w:ascii="Calibri" w:hAnsi="Calibri" w:eastAsia="楷体_GB2312" w:cs="Calibri"/>
        </w:rPr>
        <w:instrText xml:space="preserve"> HYPERLINK \l "_Toc192787055" </w:instrText>
      </w:r>
      <w:r>
        <w:rPr>
          <w:rFonts w:hint="default" w:ascii="Calibri" w:hAnsi="Calibri" w:eastAsia="楷体_GB2312" w:cs="Calibri"/>
        </w:rPr>
        <w:fldChar w:fldCharType="separate"/>
      </w:r>
      <w:bookmarkStart w:id="28" w:name="_Toc223082610"/>
      <w:bookmarkStart w:id="29" w:name="_Toc2082544423"/>
      <w:r>
        <w:rPr>
          <w:rFonts w:hint="default" w:ascii="Calibri" w:hAnsi="Calibri" w:eastAsia="楷体_GB2312" w:cs="Calibri"/>
          <w:b/>
          <w:bCs/>
          <w:color w:val="1F497D" w:themeColor="text2"/>
          <w:sz w:val="24"/>
          <w:szCs w:val="24"/>
          <w:lang w:val="en-US" w:eastAsia="zh-CN"/>
          <w14:textFill>
            <w14:solidFill>
              <w14:schemeClr w14:val="tx2"/>
            </w14:solidFill>
          </w14:textFill>
        </w:rPr>
        <w:t>六、全球国防与航空航天</w:t>
      </w:r>
      <w:bookmarkEnd w:id="28"/>
      <w:bookmarkEnd w:id="29"/>
      <w:r>
        <w:rPr>
          <w:rFonts w:hint="default" w:ascii="Calibri" w:hAnsi="Calibri" w:eastAsia="楷体_GB2312" w:cs="Calibri"/>
          <w:b/>
          <w:bCs/>
          <w:color w:val="1F497D" w:themeColor="text2"/>
          <w:sz w:val="24"/>
          <w:szCs w:val="24"/>
          <w:lang w:val="en-US" w:eastAsia="zh-CN"/>
          <w14:textFill>
            <w14:solidFill>
              <w14:schemeClr w14:val="tx2"/>
            </w14:solidFill>
          </w14:textFill>
        </w:rPr>
        <w:fldChar w:fldCharType="end"/>
      </w:r>
      <w:bookmarkStart w:id="30" w:name="_Toc1635638555"/>
    </w:p>
    <w:p w14:paraId="550CA482">
      <w:pPr>
        <w:overflowPunct w:val="0"/>
        <w:ind w:left="3200" w:leftChars="2000"/>
        <w:jc w:val="both"/>
        <w:outlineLvl w:val="1"/>
        <w:rPr>
          <w:rFonts w:hint="default" w:ascii="Calibri" w:hAnsi="Calibri" w:eastAsia="楷体_GB2312" w:cs="Calibri"/>
          <w:b/>
          <w:bCs/>
          <w:color w:val="1F497D" w:themeColor="text2"/>
          <w:sz w:val="24"/>
          <w:szCs w:val="24"/>
          <w:lang w:val="en-US" w:eastAsia="zh-CN"/>
          <w14:textFill>
            <w14:solidFill>
              <w14:schemeClr w14:val="tx2"/>
            </w14:solidFill>
          </w14:textFill>
        </w:rPr>
      </w:pPr>
      <w:bookmarkStart w:id="31" w:name="_Toc223082611"/>
      <w:r>
        <w:rPr>
          <w:rFonts w:hint="default" w:ascii="Calibri" w:hAnsi="Calibri" w:eastAsia="楷体_GB2312" w:cs="Calibri"/>
          <w:b/>
          <w:bCs/>
          <w:color w:val="1F497D" w:themeColor="text2"/>
          <w:sz w:val="24"/>
          <w:szCs w:val="24"/>
          <w:lang w:val="en-US" w:eastAsia="zh-CN"/>
          <w14:textFill>
            <w14:solidFill>
              <w14:schemeClr w14:val="tx2"/>
            </w14:solidFill>
          </w14:textFill>
        </w:rPr>
        <w:t>（一</w:t>
      </w:r>
      <w:r>
        <w:rPr>
          <w:rFonts w:hint="default" w:ascii="Calibri" w:hAnsi="Calibri" w:eastAsia="楷体_GB2312" w:cs="Calibri"/>
        </w:rPr>
        <w:fldChar w:fldCharType="begin"/>
      </w:r>
      <w:r>
        <w:rPr>
          <w:rFonts w:hint="default" w:ascii="Calibri" w:hAnsi="Calibri" w:eastAsia="楷体_GB2312" w:cs="Calibri"/>
        </w:rPr>
        <w:instrText xml:space="preserve">HYPERLINK \l "_Toc192787048"</w:instrText>
      </w:r>
      <w:r>
        <w:rPr>
          <w:rFonts w:hint="default" w:ascii="Calibri" w:hAnsi="Calibri" w:eastAsia="楷体_GB2312" w:cs="Calibri"/>
        </w:rPr>
        <w:fldChar w:fldCharType="separate"/>
      </w:r>
      <w:r>
        <w:rPr>
          <w:rFonts w:hint="default" w:ascii="Calibri" w:hAnsi="Calibri" w:eastAsia="楷体_GB2312" w:cs="Calibri"/>
          <w:b/>
          <w:bCs/>
          <w:color w:val="1F497D" w:themeColor="text2"/>
          <w:sz w:val="24"/>
          <w:szCs w:val="24"/>
          <w:lang w:val="en-US" w:eastAsia="zh-CN"/>
          <w14:textFill>
            <w14:solidFill>
              <w14:schemeClr w14:val="tx2"/>
            </w14:solidFill>
          </w14:textFill>
        </w:rPr>
        <w:t>）航空航天</w:t>
      </w:r>
      <w:bookmarkEnd w:id="31"/>
      <w:r>
        <w:rPr>
          <w:rFonts w:hint="default" w:ascii="Calibri" w:hAnsi="Calibri" w:eastAsia="楷体_GB2312" w:cs="Calibri"/>
        </w:rPr>
        <w:fldChar w:fldCharType="end"/>
      </w:r>
      <w:bookmarkEnd w:id="30"/>
      <w:bookmarkStart w:id="32" w:name="_Toc239028638"/>
    </w:p>
    <w:p w14:paraId="610FF08F">
      <w:pPr>
        <w:pStyle w:val="45"/>
        <w:numPr>
          <w:ilvl w:val="0"/>
          <w:numId w:val="14"/>
        </w:numPr>
        <w:overflowPunct w:val="0"/>
        <w:jc w:val="both"/>
        <w:outlineLvl w:val="2"/>
        <w:rPr>
          <w:rFonts w:hint="default" w:ascii="Calibri" w:hAnsi="Calibri" w:eastAsia="楷体_GB2312" w:cs="Calibri"/>
          <w:b/>
          <w:bCs/>
          <w:color w:val="1F497D" w:themeColor="text2"/>
          <w:sz w:val="24"/>
          <w:szCs w:val="24"/>
          <w:lang w:val="en-US" w:eastAsia="zh-CN"/>
          <w14:textFill>
            <w14:solidFill>
              <w14:schemeClr w14:val="tx2"/>
            </w14:solidFill>
          </w14:textFill>
        </w:rPr>
      </w:pPr>
      <w:bookmarkStart w:id="33" w:name="_Toc223082612"/>
      <w:r>
        <w:rPr>
          <w:rFonts w:hint="default" w:ascii="Calibri" w:hAnsi="Calibri" w:eastAsia="楷体_GB2312" w:cs="Calibri"/>
          <w:b/>
          <w:bCs/>
          <w:color w:val="1F497D" w:themeColor="text2"/>
          <w:sz w:val="24"/>
          <w:szCs w:val="24"/>
          <w:lang w:val="en-US" w:eastAsia="zh-CN"/>
          <w14:textFill>
            <w14:solidFill>
              <w14:schemeClr w14:val="tx2"/>
            </w14:solidFill>
          </w14:textFill>
        </w:rPr>
        <w:t>航空航天行业动态</w:t>
      </w:r>
      <w:bookmarkEnd w:id="32"/>
      <w:bookmarkEnd w:id="33"/>
    </w:p>
    <w:p w14:paraId="3B8C75EA">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2月11日，FAA突然短暂关闭得克萨斯州埃尔帕索空域。2月12日的详细报道揭开了事件真相：这起事件是美国海关与边境保护局（CBP）在未与FAA协调的情况下，使用军方提供的反无人机激光设备，误将数只派对气球当作目标击落所致。</w:t>
      </w:r>
    </w:p>
    <w:p w14:paraId="1694754A">
      <w:pPr>
        <w:overflowPunct w:val="0"/>
        <w:ind w:left="3200" w:leftChars="2000"/>
        <w:jc w:val="both"/>
        <w:rPr>
          <w:rFonts w:hint="default" w:ascii="Calibri" w:hAnsi="Calibri" w:eastAsia="楷体_GB2312" w:cs="Calibri"/>
          <w:sz w:val="20"/>
          <w:szCs w:val="20"/>
          <w:lang w:val="en-US" w:eastAsia="zh-CN"/>
        </w:rPr>
      </w:pPr>
    </w:p>
    <w:p w14:paraId="58646535">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2月12日，Arianespace阿里安6号火箭和俄罗斯质子-M火箭原计划有发射任务，后续无确切结果公开报道。</w:t>
      </w:r>
    </w:p>
    <w:p w14:paraId="1E8B8D7B">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2月24日，NASA因氦气加压系统故障，将SLS火箭从发射台撤回总装大楼（VAB）进行维修，此举是为了对火箭的氦气加压系统故障进行更多维修。此前，该火箭已因氢气泄漏问题推迟了一个月。此次最新故障导致原本瞄准3月的发射窗口再次延后，搭载四名宇航员进行绕月飞行的Artemis II任务现在被推迟到至少4月。</w:t>
      </w:r>
    </w:p>
    <w:p w14:paraId="6ABF5862">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2月25日，Firefly Aerospace Alpha火箭第7次任务（Flight 7）旨在验证Block II升级技术，包括加长箭体、自主航电和热防护系统。尽管此前已完成静态点火测试并计划不早于2月18日发射，但截至2月25日，该任务仍在待命状态新的发射窗口调整为2月27日。</w:t>
      </w:r>
    </w:p>
    <w:p w14:paraId="49AEAA5A">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2月27日，SpaceX计划执行Starlink 6-108任务，从佛州卡纳维拉尔角发射29颗星链卫星。</w:t>
      </w:r>
    </w:p>
    <w:p w14:paraId="4CCA171C">
      <w:pPr>
        <w:overflowPunct w:val="0"/>
        <w:ind w:left="3200" w:leftChars="2000"/>
        <w:jc w:val="both"/>
        <w:rPr>
          <w:rFonts w:hint="default" w:ascii="Calibri" w:hAnsi="Calibri" w:eastAsia="楷体_GB2312" w:cs="Calibri"/>
          <w:sz w:val="20"/>
          <w:szCs w:val="20"/>
          <w:lang w:val="en-US" w:eastAsia="zh-CN"/>
        </w:rPr>
      </w:pPr>
    </w:p>
    <w:p w14:paraId="7FE573E5">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总体而言，商业航天快速迭代和地缘政治影响两大特点，在本周期内依然显著。SpaceX和Firefly正按计划推进下一次发射，而NASA的载人登月计划则再次显示出大型太空探索项目所面临的巨大工程挑战。</w:t>
      </w:r>
    </w:p>
    <w:p w14:paraId="209C1985">
      <w:pPr>
        <w:overflowPunct w:val="0"/>
        <w:ind w:left="3200" w:leftChars="2000"/>
        <w:jc w:val="both"/>
        <w:rPr>
          <w:rFonts w:hint="default" w:ascii="Calibri" w:hAnsi="Calibri" w:eastAsia="楷体_GB2312" w:cs="Calibri"/>
          <w:b/>
          <w:bCs/>
          <w:color w:val="1F497D" w:themeColor="text2"/>
          <w:sz w:val="24"/>
          <w:szCs w:val="24"/>
          <w:lang w:eastAsia="zh-CN"/>
          <w14:textFill>
            <w14:solidFill>
              <w14:schemeClr w14:val="tx2"/>
            </w14:solidFill>
          </w14:textFill>
        </w:rPr>
      </w:pPr>
    </w:p>
    <w:p w14:paraId="1F8BCA93">
      <w:pPr>
        <w:overflowPunct w:val="0"/>
        <w:ind w:left="3200" w:leftChars="2000"/>
        <w:jc w:val="both"/>
        <w:outlineLvl w:val="2"/>
        <w:rPr>
          <w:rFonts w:hint="default" w:ascii="Calibri" w:hAnsi="Calibri" w:eastAsia="楷体_GB2312" w:cs="Calibri"/>
          <w:b/>
          <w:bCs/>
          <w:color w:val="1F497D" w:themeColor="text2"/>
          <w:sz w:val="24"/>
          <w:szCs w:val="24"/>
          <w:lang w:val="en-US" w:eastAsia="zh-CN"/>
          <w14:textFill>
            <w14:solidFill>
              <w14:schemeClr w14:val="tx2"/>
            </w14:solidFill>
          </w14:textFill>
        </w:rPr>
      </w:pPr>
      <w:bookmarkStart w:id="34" w:name="_Toc1559898976"/>
      <w:bookmarkStart w:id="35" w:name="_Toc223082613"/>
      <w:r>
        <w:rPr>
          <w:rFonts w:hint="default" w:ascii="Calibri" w:hAnsi="Calibri" w:eastAsia="楷体_GB2312" w:cs="Calibri"/>
          <w:b/>
          <w:bCs/>
          <w:color w:val="1F497D" w:themeColor="text2"/>
          <w:sz w:val="24"/>
          <w:szCs w:val="24"/>
          <w:lang w:val="en-US" w:eastAsia="zh-CN"/>
          <w14:textFill>
            <w14:solidFill>
              <w14:schemeClr w14:val="tx2"/>
            </w14:solidFill>
          </w14:textFill>
        </w:rPr>
        <w:t>（2）</w:t>
      </w:r>
      <w:bookmarkEnd w:id="34"/>
      <w:r>
        <w:rPr>
          <w:rFonts w:hint="default" w:ascii="Calibri" w:hAnsi="Calibri" w:eastAsia="楷体_GB2312" w:cs="Calibri"/>
          <w:b/>
          <w:bCs/>
          <w:color w:val="1F497D" w:themeColor="text2"/>
          <w:sz w:val="24"/>
          <w:szCs w:val="24"/>
          <w:lang w:val="en-US" w:eastAsia="zh-CN"/>
          <w14:textFill>
            <w14:solidFill>
              <w14:schemeClr w14:val="tx2"/>
            </w14:solidFill>
          </w14:textFill>
        </w:rPr>
        <w:t>航空航天价格指数</w:t>
      </w:r>
      <w:bookmarkEnd w:id="35"/>
    </w:p>
    <w:p w14:paraId="50E73946">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美国飞机发动机和发动机部件制造价格指数月环比稳定。</w:t>
      </w:r>
      <w:r>
        <w:rPr>
          <w:rFonts w:hint="default" w:ascii="Calibri" w:hAnsi="Calibri" w:eastAsia="楷体_GB2312" w:cs="Calibri"/>
          <w:sz w:val="20"/>
          <w:szCs w:val="20"/>
          <w:lang w:val="en-US" w:eastAsia="zh-CN"/>
        </w:rPr>
        <w:t>飞机发动机和发动机部件制造价格指数2025年12月为275.942，环比+0.35%，同比增长1.44%。</w:t>
      </w:r>
    </w:p>
    <w:p w14:paraId="518D2465">
      <w:pPr>
        <w:overflowPunct w:val="0"/>
        <w:jc w:val="both"/>
        <w:rPr>
          <w:rFonts w:hint="default" w:ascii="Calibri" w:hAnsi="Calibri" w:eastAsia="楷体_GB2312" w:cs="Calibri"/>
          <w:sz w:val="20"/>
          <w:szCs w:val="20"/>
          <w:lang w:val="en-US" w:eastAsia="zh-CN"/>
        </w:rPr>
      </w:pPr>
    </w:p>
    <w:p w14:paraId="4A414775">
      <w:pPr>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br w:type="page"/>
      </w:r>
    </w:p>
    <w:tbl>
      <w:tblPr>
        <w:tblStyle w:val="27"/>
        <w:tblW w:w="7555" w:type="dxa"/>
        <w:tblInd w:w="2935"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autofit"/>
        <w:tblCellMar>
          <w:top w:w="0" w:type="dxa"/>
          <w:left w:w="0" w:type="dxa"/>
          <w:bottom w:w="0" w:type="dxa"/>
          <w:right w:w="0" w:type="dxa"/>
        </w:tblCellMar>
      </w:tblPr>
      <w:tblGrid>
        <w:gridCol w:w="7555"/>
      </w:tblGrid>
      <w:tr w14:paraId="1E60423E">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PrEx>
        <w:tc>
          <w:tcPr>
            <w:tcW w:w="7555" w:type="dxa"/>
            <w:tcBorders>
              <w:bottom w:val="single" w:color="auto" w:sz="4" w:space="0"/>
            </w:tcBorders>
          </w:tcPr>
          <w:p w14:paraId="34AE50D8">
            <w:pPr>
              <w:overflowPunct w:val="0"/>
              <w:rPr>
                <w:rFonts w:hint="default" w:ascii="Calibri" w:hAnsi="Calibri" w:eastAsia="楷体_GB2312" w:cs="Calibri"/>
                <w:b/>
                <w:szCs w:val="20"/>
                <w:lang w:eastAsia="zh-CN"/>
              </w:rPr>
            </w:pPr>
            <w:r>
              <w:rPr>
                <w:rFonts w:hint="default" w:ascii="Calibri" w:hAnsi="Calibri" w:eastAsia="楷体_GB2312" w:cs="Calibri"/>
                <w:b/>
                <w:sz w:val="18"/>
                <w:szCs w:val="18"/>
                <w:lang w:val="zh-CN" w:eastAsia="zh-CN"/>
              </w:rPr>
              <w:t>图</w:t>
            </w:r>
            <w:r>
              <w:rPr>
                <w:rFonts w:hint="default" w:ascii="Calibri" w:hAnsi="Calibri" w:eastAsia="楷体_GB2312" w:cs="Calibri"/>
                <w:b/>
                <w:sz w:val="18"/>
                <w:szCs w:val="18"/>
                <w:lang w:val="en-US" w:eastAsia="zh-CN"/>
              </w:rPr>
              <w:t>38</w:t>
            </w:r>
            <w:r>
              <w:rPr>
                <w:rFonts w:hint="default" w:ascii="Calibri" w:hAnsi="Calibri" w:eastAsia="楷体_GB2312" w:cs="Calibri"/>
                <w:b/>
                <w:sz w:val="18"/>
                <w:szCs w:val="18"/>
                <w:lang w:val="zh-CN" w:eastAsia="zh-CN"/>
              </w:rPr>
              <w:t>:美国飞机发动机和发动机部件制造价格指数</w:t>
            </w:r>
          </w:p>
        </w:tc>
      </w:tr>
      <w:tr w14:paraId="5E7924C2">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2526" w:hRule="atLeast"/>
        </w:trPr>
        <w:tc>
          <w:tcPr>
            <w:tcW w:w="7555" w:type="dxa"/>
            <w:tcBorders>
              <w:top w:val="single" w:color="auto" w:sz="4" w:space="0"/>
              <w:bottom w:val="single" w:color="auto" w:sz="4" w:space="0"/>
            </w:tcBorders>
            <w:vAlign w:val="center"/>
          </w:tcPr>
          <w:p w14:paraId="6DD9FAD8">
            <w:pPr>
              <w:overflowPunct w:val="0"/>
              <w:jc w:val="center"/>
              <w:rPr>
                <w:rFonts w:hint="default" w:ascii="Calibri" w:hAnsi="Calibri" w:eastAsia="楷体_GB2312" w:cs="Calibri"/>
                <w:sz w:val="10"/>
              </w:rPr>
            </w:pPr>
            <w:r>
              <w:rPr>
                <w:rFonts w:hint="default" w:ascii="Calibri" w:hAnsi="Calibri" w:eastAsia="楷体_GB2312" w:cs="Calibri"/>
              </w:rPr>
              <w:drawing>
                <wp:inline distT="0" distB="0" distL="114300" distR="114300">
                  <wp:extent cx="4596765" cy="1851025"/>
                  <wp:effectExtent l="0" t="0" r="635" b="3175"/>
                  <wp:docPr id="1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2"/>
                          <pic:cNvPicPr>
                            <a:picLocks noChangeAspect="1"/>
                          </pic:cNvPicPr>
                        </pic:nvPicPr>
                        <pic:blipFill>
                          <a:blip r:embed="rId50"/>
                          <a:stretch>
                            <a:fillRect/>
                          </a:stretch>
                        </pic:blipFill>
                        <pic:spPr>
                          <a:xfrm>
                            <a:off x="0" y="0"/>
                            <a:ext cx="4596765" cy="1851025"/>
                          </a:xfrm>
                          <a:prstGeom prst="rect">
                            <a:avLst/>
                          </a:prstGeom>
                          <a:noFill/>
                          <a:ln>
                            <a:noFill/>
                          </a:ln>
                        </pic:spPr>
                      </pic:pic>
                    </a:graphicData>
                  </a:graphic>
                </wp:inline>
              </w:drawing>
            </w:r>
          </w:p>
        </w:tc>
      </w:tr>
      <w:tr w14:paraId="2A82FB4F">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7555" w:type="dxa"/>
            <w:tcBorders>
              <w:top w:val="single" w:color="auto" w:sz="4" w:space="0"/>
            </w:tcBorders>
          </w:tcPr>
          <w:p w14:paraId="6883FCB8">
            <w:pPr>
              <w:overflowPunct w:val="0"/>
              <w:rPr>
                <w:rFonts w:hint="default" w:ascii="Calibri" w:hAnsi="Calibri" w:eastAsia="楷体_GB2312" w:cs="Calibri"/>
                <w:i/>
                <w:iCs/>
                <w:sz w:val="15"/>
                <w:szCs w:val="15"/>
                <w:lang w:eastAsia="zh-CN"/>
              </w:rPr>
            </w:pPr>
            <w:r>
              <w:rPr>
                <w:rFonts w:hint="default" w:ascii="Calibri" w:hAnsi="Calibri" w:eastAsia="楷体_GB2312" w:cs="Calibri"/>
                <w:i/>
                <w:iCs/>
                <w:sz w:val="15"/>
                <w:szCs w:val="15"/>
              </w:rPr>
              <w:t>资料来源：U.S. Bureau of Labor Statistics，</w:t>
            </w:r>
            <w:r>
              <w:rPr>
                <w:rFonts w:hint="default" w:ascii="Calibri" w:hAnsi="Calibri" w:eastAsia="楷体_GB2312" w:cs="Calibri"/>
                <w:i/>
                <w:iCs/>
                <w:sz w:val="15"/>
                <w:szCs w:val="15"/>
                <w:lang w:eastAsia="zh-CN"/>
              </w:rPr>
              <w:t>HFI</w:t>
            </w:r>
          </w:p>
        </w:tc>
      </w:tr>
    </w:tbl>
    <w:p w14:paraId="7DEFBEB7">
      <w:pPr>
        <w:overflowPunct w:val="0"/>
        <w:ind w:left="3200" w:leftChars="2000"/>
        <w:jc w:val="both"/>
        <w:rPr>
          <w:rFonts w:hint="default" w:ascii="Calibri" w:hAnsi="Calibri" w:eastAsia="楷体_GB2312" w:cs="Calibri"/>
          <w:b/>
          <w:bCs/>
          <w:sz w:val="20"/>
          <w:szCs w:val="20"/>
          <w:lang w:val="en-US" w:eastAsia="zh-CN"/>
        </w:rPr>
      </w:pPr>
    </w:p>
    <w:p w14:paraId="71747B72">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美国飞机发动机和发动机零部件制造：飞机发动机零部件价格指数月环比稳定。</w:t>
      </w:r>
      <w:r>
        <w:rPr>
          <w:rFonts w:hint="default" w:ascii="Calibri" w:hAnsi="Calibri" w:eastAsia="楷体_GB2312" w:cs="Calibri"/>
          <w:sz w:val="20"/>
          <w:szCs w:val="20"/>
          <w:lang w:val="en-US" w:eastAsia="zh-CN"/>
        </w:rPr>
        <w:t>飞机发动机和发动机零部件制造：飞机发动机零部件价格指数2025年12月为292.545，环比+0.7%，同比增长3.7%。</w:t>
      </w:r>
    </w:p>
    <w:p w14:paraId="1CB0C61E">
      <w:pPr>
        <w:overflowPunct w:val="0"/>
        <w:ind w:left="3200" w:leftChars="2000"/>
        <w:jc w:val="both"/>
        <w:rPr>
          <w:rFonts w:hint="default" w:ascii="Calibri" w:hAnsi="Calibri" w:eastAsia="楷体_GB2312" w:cs="Calibri"/>
          <w:sz w:val="20"/>
          <w:szCs w:val="20"/>
          <w:lang w:val="en-US" w:eastAsia="zh-CN"/>
        </w:rPr>
      </w:pPr>
    </w:p>
    <w:tbl>
      <w:tblPr>
        <w:tblStyle w:val="27"/>
        <w:tblW w:w="7555" w:type="dxa"/>
        <w:tblInd w:w="2935"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autofit"/>
        <w:tblCellMar>
          <w:top w:w="0" w:type="dxa"/>
          <w:left w:w="0" w:type="dxa"/>
          <w:bottom w:w="0" w:type="dxa"/>
          <w:right w:w="0" w:type="dxa"/>
        </w:tblCellMar>
      </w:tblPr>
      <w:tblGrid>
        <w:gridCol w:w="7555"/>
      </w:tblGrid>
      <w:tr w14:paraId="432CB89D">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PrEx>
        <w:tc>
          <w:tcPr>
            <w:tcW w:w="7555" w:type="dxa"/>
            <w:tcBorders>
              <w:bottom w:val="single" w:color="auto" w:sz="4" w:space="0"/>
            </w:tcBorders>
          </w:tcPr>
          <w:p w14:paraId="44AD308F">
            <w:pPr>
              <w:overflowPunct w:val="0"/>
              <w:rPr>
                <w:rFonts w:hint="default" w:ascii="Calibri" w:hAnsi="Calibri" w:eastAsia="楷体_GB2312" w:cs="Calibri"/>
                <w:b/>
                <w:szCs w:val="20"/>
                <w:lang w:eastAsia="zh-CN"/>
              </w:rPr>
            </w:pPr>
            <w:r>
              <w:rPr>
                <w:rFonts w:hint="default" w:ascii="Calibri" w:hAnsi="Calibri" w:eastAsia="楷体_GB2312" w:cs="Calibri"/>
                <w:b/>
                <w:sz w:val="18"/>
                <w:szCs w:val="18"/>
                <w:lang w:val="zh-CN" w:eastAsia="zh-CN"/>
              </w:rPr>
              <w:t>图</w:t>
            </w:r>
            <w:r>
              <w:rPr>
                <w:rFonts w:hint="default" w:ascii="Calibri" w:hAnsi="Calibri" w:eastAsia="楷体_GB2312" w:cs="Calibri"/>
                <w:b/>
                <w:sz w:val="18"/>
                <w:szCs w:val="18"/>
                <w:lang w:val="en-US" w:eastAsia="zh-CN"/>
              </w:rPr>
              <w:t>39</w:t>
            </w:r>
            <w:r>
              <w:rPr>
                <w:rFonts w:hint="default" w:ascii="Calibri" w:hAnsi="Calibri" w:eastAsia="楷体_GB2312" w:cs="Calibri"/>
                <w:b/>
                <w:sz w:val="18"/>
                <w:szCs w:val="18"/>
                <w:lang w:val="zh-CN" w:eastAsia="zh-CN"/>
              </w:rPr>
              <w:t>: 美国飞机发动机和发动机零部件制造： 飞机发动机零部件价格指数</w:t>
            </w:r>
          </w:p>
        </w:tc>
      </w:tr>
      <w:tr w14:paraId="665D8945">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2526" w:hRule="atLeast"/>
        </w:trPr>
        <w:tc>
          <w:tcPr>
            <w:tcW w:w="7555" w:type="dxa"/>
            <w:tcBorders>
              <w:top w:val="single" w:color="auto" w:sz="4" w:space="0"/>
              <w:bottom w:val="single" w:color="auto" w:sz="4" w:space="0"/>
            </w:tcBorders>
            <w:vAlign w:val="center"/>
          </w:tcPr>
          <w:p w14:paraId="25B330A2">
            <w:pPr>
              <w:overflowPunct w:val="0"/>
              <w:jc w:val="center"/>
              <w:rPr>
                <w:rFonts w:hint="default" w:ascii="Calibri" w:hAnsi="Calibri" w:eastAsia="楷体_GB2312" w:cs="Calibri"/>
                <w:sz w:val="10"/>
              </w:rPr>
            </w:pPr>
            <w:r>
              <w:rPr>
                <w:rFonts w:hint="default" w:ascii="Calibri" w:hAnsi="Calibri" w:eastAsia="楷体_GB2312" w:cs="Calibri"/>
              </w:rPr>
              <w:drawing>
                <wp:inline distT="0" distB="0" distL="114300" distR="114300">
                  <wp:extent cx="4596765" cy="1851025"/>
                  <wp:effectExtent l="0" t="0" r="635" b="3175"/>
                  <wp:docPr id="102239230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92309" name="图片 2"/>
                          <pic:cNvPicPr>
                            <a:picLocks noChangeAspect="1"/>
                          </pic:cNvPicPr>
                        </pic:nvPicPr>
                        <pic:blipFill>
                          <a:blip r:embed="rId50"/>
                          <a:stretch>
                            <a:fillRect/>
                          </a:stretch>
                        </pic:blipFill>
                        <pic:spPr>
                          <a:xfrm>
                            <a:off x="0" y="0"/>
                            <a:ext cx="4596765" cy="1851025"/>
                          </a:xfrm>
                          <a:prstGeom prst="rect">
                            <a:avLst/>
                          </a:prstGeom>
                          <a:noFill/>
                          <a:ln>
                            <a:noFill/>
                          </a:ln>
                        </pic:spPr>
                      </pic:pic>
                    </a:graphicData>
                  </a:graphic>
                </wp:inline>
              </w:drawing>
            </w:r>
          </w:p>
        </w:tc>
      </w:tr>
      <w:tr w14:paraId="0CF1E1AD">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7555" w:type="dxa"/>
            <w:tcBorders>
              <w:top w:val="single" w:color="auto" w:sz="4" w:space="0"/>
            </w:tcBorders>
          </w:tcPr>
          <w:p w14:paraId="2D6814C7">
            <w:pPr>
              <w:overflowPunct w:val="0"/>
              <w:rPr>
                <w:rFonts w:hint="default" w:ascii="Calibri" w:hAnsi="Calibri" w:eastAsia="楷体_GB2312" w:cs="Calibri"/>
                <w:i/>
                <w:iCs/>
                <w:sz w:val="15"/>
                <w:szCs w:val="15"/>
                <w:lang w:eastAsia="zh-CN"/>
              </w:rPr>
            </w:pPr>
            <w:r>
              <w:rPr>
                <w:rFonts w:hint="default" w:ascii="Calibri" w:hAnsi="Calibri" w:eastAsia="楷体_GB2312" w:cs="Calibri"/>
                <w:i/>
                <w:iCs/>
                <w:sz w:val="15"/>
                <w:szCs w:val="15"/>
              </w:rPr>
              <w:t>资料来源：U.S. Bureau of Labor Statistics，</w:t>
            </w:r>
            <w:r>
              <w:rPr>
                <w:rFonts w:hint="default" w:ascii="Calibri" w:hAnsi="Calibri" w:eastAsia="楷体_GB2312" w:cs="Calibri"/>
                <w:i/>
                <w:iCs/>
                <w:sz w:val="15"/>
                <w:szCs w:val="15"/>
                <w:lang w:eastAsia="zh-CN"/>
              </w:rPr>
              <w:t>HFI</w:t>
            </w:r>
          </w:p>
        </w:tc>
      </w:tr>
    </w:tbl>
    <w:p w14:paraId="366B52FC">
      <w:pPr>
        <w:overflowPunct w:val="0"/>
        <w:ind w:left="3200" w:leftChars="2000"/>
        <w:jc w:val="both"/>
        <w:rPr>
          <w:rFonts w:hint="default" w:ascii="Calibri" w:hAnsi="Calibri" w:eastAsia="楷体_GB2312" w:cs="Calibri"/>
          <w:sz w:val="20"/>
          <w:szCs w:val="20"/>
          <w:lang w:val="en-US" w:eastAsia="zh-CN"/>
        </w:rPr>
      </w:pPr>
    </w:p>
    <w:p w14:paraId="4E5B5CAC">
      <w:pPr>
        <w:overflowPunct w:val="0"/>
        <w:ind w:left="3200" w:leftChars="2000"/>
        <w:jc w:val="both"/>
        <w:outlineLvl w:val="2"/>
        <w:rPr>
          <w:rFonts w:hint="default" w:ascii="Calibri" w:hAnsi="Calibri" w:eastAsia="楷体_GB2312" w:cs="Calibri"/>
          <w:b/>
          <w:bCs/>
          <w:color w:val="1F497D" w:themeColor="text2"/>
          <w:sz w:val="24"/>
          <w:szCs w:val="24"/>
          <w:lang w:val="en-US" w:eastAsia="zh-CN"/>
          <w14:textFill>
            <w14:solidFill>
              <w14:schemeClr w14:val="tx2"/>
            </w14:solidFill>
          </w14:textFill>
        </w:rPr>
      </w:pPr>
      <w:bookmarkStart w:id="36" w:name="_Toc223082614"/>
      <w:r>
        <w:rPr>
          <w:rFonts w:hint="default" w:ascii="Calibri" w:hAnsi="Calibri" w:eastAsia="楷体_GB2312" w:cs="Calibri"/>
          <w:b/>
          <w:bCs/>
          <w:color w:val="1F497D" w:themeColor="text2"/>
          <w:sz w:val="24"/>
          <w:szCs w:val="24"/>
          <w:lang w:val="en-US" w:eastAsia="zh-CN"/>
          <w14:textFill>
            <w14:solidFill>
              <w14:schemeClr w14:val="tx2"/>
            </w14:solidFill>
          </w14:textFill>
        </w:rPr>
        <w:t>（3）航空航天空中流量</w:t>
      </w:r>
      <w:bookmarkEnd w:id="36"/>
    </w:p>
    <w:p w14:paraId="21FF0522">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2025年12月全球总收益客公里（RPK）同比增长5.6%，可用座位公里（ASK）同比增长5.9%。</w:t>
      </w:r>
    </w:p>
    <w:p w14:paraId="2B7F4DA4">
      <w:pPr>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br w:type="page"/>
      </w:r>
    </w:p>
    <w:tbl>
      <w:tblPr>
        <w:tblStyle w:val="27"/>
        <w:tblW w:w="7555" w:type="dxa"/>
        <w:tblInd w:w="2935"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autofit"/>
        <w:tblCellMar>
          <w:top w:w="0" w:type="dxa"/>
          <w:left w:w="0" w:type="dxa"/>
          <w:bottom w:w="0" w:type="dxa"/>
          <w:right w:w="0" w:type="dxa"/>
        </w:tblCellMar>
      </w:tblPr>
      <w:tblGrid>
        <w:gridCol w:w="7555"/>
      </w:tblGrid>
      <w:tr w14:paraId="11943DC2">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7555" w:type="dxa"/>
            <w:tcBorders>
              <w:bottom w:val="single" w:color="auto" w:sz="4" w:space="0"/>
            </w:tcBorders>
          </w:tcPr>
          <w:p w14:paraId="49B3CB8A">
            <w:pPr>
              <w:overflowPunct w:val="0"/>
              <w:rPr>
                <w:rFonts w:hint="default" w:ascii="Calibri" w:hAnsi="Calibri" w:eastAsia="楷体_GB2312" w:cs="Calibri"/>
                <w:b/>
                <w:szCs w:val="20"/>
                <w:lang w:eastAsia="zh-CN"/>
              </w:rPr>
            </w:pPr>
            <w:r>
              <w:rPr>
                <w:rFonts w:hint="default" w:ascii="Calibri" w:hAnsi="Calibri" w:eastAsia="楷体_GB2312" w:cs="Calibri"/>
                <w:b/>
                <w:sz w:val="18"/>
                <w:szCs w:val="18"/>
                <w:lang w:val="zh-CN" w:eastAsia="zh-CN"/>
              </w:rPr>
              <w:t>图</w:t>
            </w:r>
            <w:r>
              <w:rPr>
                <w:rFonts w:hint="default" w:ascii="Calibri" w:hAnsi="Calibri" w:eastAsia="楷体_GB2312" w:cs="Calibri"/>
                <w:b/>
                <w:sz w:val="18"/>
                <w:szCs w:val="18"/>
                <w:lang w:val="en-US" w:eastAsia="zh-CN"/>
              </w:rPr>
              <w:t>40</w:t>
            </w:r>
            <w:r>
              <w:rPr>
                <w:rFonts w:hint="default" w:ascii="Calibri" w:hAnsi="Calibri" w:eastAsia="楷体_GB2312" w:cs="Calibri"/>
                <w:b/>
                <w:sz w:val="18"/>
                <w:szCs w:val="18"/>
                <w:lang w:val="zh-CN" w:eastAsia="zh-CN"/>
              </w:rPr>
              <w:t>:</w:t>
            </w:r>
            <w:r>
              <w:rPr>
                <w:rFonts w:hint="default" w:ascii="Calibri" w:hAnsi="Calibri" w:eastAsia="楷体_GB2312" w:cs="Calibri"/>
                <w:lang w:eastAsia="zh-CN"/>
              </w:rPr>
              <w:t xml:space="preserve"> </w:t>
            </w:r>
            <w:r>
              <w:rPr>
                <w:rFonts w:hint="default" w:ascii="Calibri" w:hAnsi="Calibri" w:eastAsia="楷体_GB2312" w:cs="Calibri"/>
                <w:b/>
                <w:sz w:val="18"/>
                <w:szCs w:val="18"/>
                <w:lang w:val="zh-CN" w:eastAsia="zh-CN"/>
              </w:rPr>
              <w:t xml:space="preserve">全球空中流量（2025年12月） </w:t>
            </w:r>
          </w:p>
        </w:tc>
      </w:tr>
      <w:tr w14:paraId="70983AD3">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2526" w:hRule="atLeast"/>
        </w:trPr>
        <w:tc>
          <w:tcPr>
            <w:tcW w:w="7555" w:type="dxa"/>
            <w:tcBorders>
              <w:top w:val="single" w:color="auto" w:sz="4" w:space="0"/>
              <w:bottom w:val="single" w:color="auto" w:sz="4" w:space="0"/>
            </w:tcBorders>
            <w:vAlign w:val="center"/>
          </w:tcPr>
          <w:p w14:paraId="7F120008">
            <w:pPr>
              <w:overflowPunct w:val="0"/>
              <w:jc w:val="center"/>
              <w:rPr>
                <w:rFonts w:hint="default" w:ascii="Calibri" w:hAnsi="Calibri" w:eastAsia="楷体_GB2312" w:cs="Calibri"/>
                <w:sz w:val="10"/>
              </w:rPr>
            </w:pPr>
            <w:r>
              <w:rPr>
                <w:rFonts w:hint="default" w:ascii="Calibri" w:hAnsi="Calibri" w:eastAsia="楷体_GB2312" w:cs="Calibri"/>
              </w:rPr>
              <w:drawing>
                <wp:inline distT="0" distB="0" distL="114300" distR="114300">
                  <wp:extent cx="4603750" cy="3943350"/>
                  <wp:effectExtent l="0" t="0" r="6350" b="635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4"/>
                          <pic:cNvPicPr>
                            <a:picLocks noChangeAspect="1"/>
                          </pic:cNvPicPr>
                        </pic:nvPicPr>
                        <pic:blipFill>
                          <a:blip r:embed="rId51"/>
                          <a:stretch>
                            <a:fillRect/>
                          </a:stretch>
                        </pic:blipFill>
                        <pic:spPr>
                          <a:xfrm>
                            <a:off x="0" y="0"/>
                            <a:ext cx="4603750" cy="3943350"/>
                          </a:xfrm>
                          <a:prstGeom prst="rect">
                            <a:avLst/>
                          </a:prstGeom>
                          <a:noFill/>
                          <a:ln>
                            <a:noFill/>
                          </a:ln>
                        </pic:spPr>
                      </pic:pic>
                    </a:graphicData>
                  </a:graphic>
                </wp:inline>
              </w:drawing>
            </w:r>
          </w:p>
        </w:tc>
      </w:tr>
      <w:tr w14:paraId="274EB46A">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7555" w:type="dxa"/>
            <w:tcBorders>
              <w:top w:val="single" w:color="auto" w:sz="4" w:space="0"/>
            </w:tcBorders>
          </w:tcPr>
          <w:p w14:paraId="1B159DAD">
            <w:pPr>
              <w:overflowPunct w:val="0"/>
              <w:rPr>
                <w:rFonts w:hint="default" w:ascii="Calibri" w:hAnsi="Calibri" w:eastAsia="楷体_GB2312" w:cs="Calibri"/>
                <w:i/>
                <w:iCs/>
                <w:sz w:val="15"/>
                <w:szCs w:val="15"/>
                <w:lang w:eastAsia="zh-CN"/>
              </w:rPr>
            </w:pPr>
            <w:r>
              <w:rPr>
                <w:rFonts w:hint="default" w:ascii="Calibri" w:hAnsi="Calibri" w:eastAsia="楷体_GB2312" w:cs="Calibri"/>
                <w:i/>
                <w:iCs/>
                <w:sz w:val="15"/>
                <w:szCs w:val="15"/>
              </w:rPr>
              <w:t>资料来源：</w:t>
            </w:r>
            <w:r>
              <w:rPr>
                <w:rFonts w:hint="default" w:ascii="Calibri" w:hAnsi="Calibri" w:eastAsia="楷体_GB2312" w:cs="Calibri"/>
                <w:i/>
                <w:iCs/>
                <w:sz w:val="15"/>
                <w:szCs w:val="15"/>
                <w:lang w:eastAsia="zh-CN"/>
              </w:rPr>
              <w:t>AITA</w:t>
            </w:r>
            <w:r>
              <w:rPr>
                <w:rFonts w:hint="default" w:ascii="Calibri" w:hAnsi="Calibri" w:eastAsia="楷体_GB2312" w:cs="Calibri"/>
                <w:i/>
                <w:iCs/>
                <w:sz w:val="15"/>
                <w:szCs w:val="15"/>
              </w:rPr>
              <w:t>，</w:t>
            </w:r>
            <w:r>
              <w:rPr>
                <w:rFonts w:hint="default" w:ascii="Calibri" w:hAnsi="Calibri" w:eastAsia="楷体_GB2312" w:cs="Calibri"/>
                <w:i/>
                <w:iCs/>
                <w:sz w:val="15"/>
                <w:szCs w:val="15"/>
                <w:lang w:eastAsia="zh-CN"/>
              </w:rPr>
              <w:t>HFI</w:t>
            </w:r>
          </w:p>
        </w:tc>
      </w:tr>
    </w:tbl>
    <w:p w14:paraId="116C13B0">
      <w:pPr>
        <w:overflowPunct w:val="0"/>
        <w:ind w:left="3200" w:leftChars="2000"/>
        <w:jc w:val="both"/>
        <w:rPr>
          <w:rFonts w:hint="default" w:ascii="Calibri" w:hAnsi="Calibri" w:eastAsia="楷体_GB2312" w:cs="Calibri"/>
          <w:sz w:val="20"/>
          <w:szCs w:val="20"/>
          <w:lang w:val="en-US" w:eastAsia="zh-CN"/>
        </w:rPr>
      </w:pPr>
    </w:p>
    <w:p w14:paraId="7A3BFDDB">
      <w:pPr>
        <w:overflowPunct w:val="0"/>
        <w:ind w:left="3200" w:leftChars="2000"/>
        <w:jc w:val="both"/>
        <w:rPr>
          <w:rFonts w:hint="default" w:ascii="Calibri" w:hAnsi="Calibri" w:eastAsia="楷体_GB2312" w:cs="Calibri"/>
          <w:sz w:val="20"/>
          <w:szCs w:val="20"/>
          <w:lang w:val="en-US" w:eastAsia="zh-CN"/>
        </w:rPr>
      </w:pPr>
    </w:p>
    <w:p w14:paraId="6A86C03A">
      <w:pPr>
        <w:overflowPunct w:val="0"/>
        <w:ind w:left="3200" w:leftChars="2000"/>
        <w:jc w:val="both"/>
        <w:rPr>
          <w:rFonts w:hint="default" w:ascii="Calibri" w:hAnsi="Calibri" w:eastAsia="楷体_GB2312" w:cs="Calibri"/>
          <w:sz w:val="20"/>
          <w:szCs w:val="20"/>
          <w:lang w:val="en-US" w:eastAsia="zh-CN"/>
        </w:rPr>
      </w:pPr>
    </w:p>
    <w:tbl>
      <w:tblPr>
        <w:tblStyle w:val="27"/>
        <w:tblW w:w="7706" w:type="dxa"/>
        <w:tblInd w:w="2935"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autofit"/>
        <w:tblCellMar>
          <w:top w:w="0" w:type="dxa"/>
          <w:left w:w="0" w:type="dxa"/>
          <w:bottom w:w="0" w:type="dxa"/>
          <w:right w:w="0" w:type="dxa"/>
        </w:tblCellMar>
      </w:tblPr>
      <w:tblGrid>
        <w:gridCol w:w="7706"/>
      </w:tblGrid>
      <w:tr w14:paraId="0A105900">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7706" w:type="dxa"/>
            <w:tcBorders>
              <w:bottom w:val="single" w:color="auto" w:sz="4" w:space="0"/>
            </w:tcBorders>
          </w:tcPr>
          <w:p w14:paraId="4E897312">
            <w:pPr>
              <w:overflowPunct w:val="0"/>
              <w:rPr>
                <w:rFonts w:hint="default" w:ascii="Calibri" w:hAnsi="Calibri" w:eastAsia="楷体_GB2312" w:cs="Calibri"/>
                <w:b/>
                <w:szCs w:val="20"/>
                <w:lang w:eastAsia="zh-CN"/>
              </w:rPr>
            </w:pPr>
            <w:r>
              <w:rPr>
                <w:rFonts w:hint="default" w:ascii="Calibri" w:hAnsi="Calibri" w:eastAsia="楷体_GB2312" w:cs="Calibri"/>
                <w:b/>
                <w:sz w:val="18"/>
                <w:szCs w:val="18"/>
                <w:lang w:val="zh-CN" w:eastAsia="zh-CN"/>
              </w:rPr>
              <w:t>图</w:t>
            </w:r>
            <w:r>
              <w:rPr>
                <w:rFonts w:hint="default" w:ascii="Calibri" w:hAnsi="Calibri" w:eastAsia="楷体_GB2312" w:cs="Calibri"/>
                <w:b/>
                <w:sz w:val="18"/>
                <w:szCs w:val="18"/>
                <w:lang w:val="en-US" w:eastAsia="zh-CN"/>
              </w:rPr>
              <w:t>41</w:t>
            </w:r>
            <w:r>
              <w:rPr>
                <w:rFonts w:hint="default" w:ascii="Calibri" w:hAnsi="Calibri" w:eastAsia="楷体_GB2312" w:cs="Calibri"/>
                <w:b/>
                <w:sz w:val="18"/>
                <w:szCs w:val="18"/>
                <w:lang w:val="zh-CN" w:eastAsia="zh-CN"/>
              </w:rPr>
              <w:t>:</w:t>
            </w:r>
            <w:r>
              <w:rPr>
                <w:rFonts w:hint="default" w:ascii="Calibri" w:hAnsi="Calibri" w:eastAsia="楷体_GB2312" w:cs="Calibri"/>
                <w:lang w:eastAsia="zh-CN"/>
              </w:rPr>
              <w:t xml:space="preserve"> </w:t>
            </w:r>
            <w:r>
              <w:rPr>
                <w:rFonts w:hint="default" w:ascii="Calibri" w:hAnsi="Calibri" w:eastAsia="楷体_GB2312" w:cs="Calibri"/>
                <w:b/>
                <w:sz w:val="18"/>
                <w:szCs w:val="18"/>
                <w:lang w:val="zh-CN" w:eastAsia="zh-CN"/>
              </w:rPr>
              <w:t xml:space="preserve">本周主要公司情况更新 </w:t>
            </w:r>
          </w:p>
        </w:tc>
      </w:tr>
      <w:tr w14:paraId="55B969F3">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1074" w:hRule="atLeast"/>
        </w:trPr>
        <w:tc>
          <w:tcPr>
            <w:tcW w:w="7706" w:type="dxa"/>
            <w:tcBorders>
              <w:top w:val="single" w:color="auto" w:sz="4" w:space="0"/>
              <w:bottom w:val="single" w:color="auto" w:sz="4" w:space="0"/>
            </w:tcBorders>
            <w:vAlign w:val="center"/>
          </w:tcPr>
          <w:tbl>
            <w:tblPr>
              <w:tblStyle w:val="26"/>
              <w:tblW w:w="5177" w:type="pct"/>
              <w:jc w:val="center"/>
              <w:tblLayout w:type="autofit"/>
              <w:tblCellMar>
                <w:top w:w="0" w:type="dxa"/>
                <w:left w:w="108" w:type="dxa"/>
                <w:bottom w:w="0" w:type="dxa"/>
                <w:right w:w="108" w:type="dxa"/>
              </w:tblCellMar>
            </w:tblPr>
            <w:tblGrid>
              <w:gridCol w:w="991"/>
              <w:gridCol w:w="816"/>
              <w:gridCol w:w="5948"/>
            </w:tblGrid>
            <w:tr w14:paraId="0EF38091">
              <w:tblPrEx>
                <w:tblCellMar>
                  <w:top w:w="0" w:type="dxa"/>
                  <w:left w:w="108" w:type="dxa"/>
                  <w:bottom w:w="0" w:type="dxa"/>
                  <w:right w:w="108" w:type="dxa"/>
                </w:tblCellMar>
              </w:tblPrEx>
              <w:trPr>
                <w:trHeight w:val="269" w:hRule="atLeast"/>
                <w:jc w:val="center"/>
              </w:trPr>
              <w:tc>
                <w:tcPr>
                  <w:tcW w:w="715" w:type="pct"/>
                  <w:tcBorders>
                    <w:top w:val="single" w:color="auto" w:sz="4" w:space="0"/>
                    <w:left w:val="single" w:color="auto" w:sz="4" w:space="0"/>
                    <w:bottom w:val="single" w:color="auto" w:sz="4" w:space="0"/>
                    <w:right w:val="nil"/>
                  </w:tcBorders>
                  <w:shd w:val="clear" w:color="000000" w:fill="0C2060"/>
                  <w:vAlign w:val="center"/>
                </w:tcPr>
                <w:p w14:paraId="30331836">
                  <w:pPr>
                    <w:overflowPunct w:val="0"/>
                    <w:jc w:val="center"/>
                    <w:rPr>
                      <w:rFonts w:hint="default" w:ascii="Calibri" w:hAnsi="Calibri" w:eastAsia="楷体_GB2312" w:cs="Calibri"/>
                      <w:b/>
                      <w:bCs/>
                      <w:color w:val="FFFFFF"/>
                    </w:rPr>
                  </w:pPr>
                  <w:r>
                    <w:rPr>
                      <w:rFonts w:hint="default" w:ascii="Calibri" w:hAnsi="Calibri" w:eastAsia="楷体_GB2312" w:cs="Calibri"/>
                      <w:b/>
                      <w:bCs/>
                      <w:color w:val="FFFFFF"/>
                    </w:rPr>
                    <w:t>公司名称</w:t>
                  </w:r>
                </w:p>
              </w:tc>
              <w:tc>
                <w:tcPr>
                  <w:tcW w:w="602" w:type="pct"/>
                  <w:tcBorders>
                    <w:top w:val="single" w:color="auto" w:sz="4" w:space="0"/>
                    <w:left w:val="single" w:color="auto" w:sz="4" w:space="0"/>
                    <w:bottom w:val="single" w:color="auto" w:sz="4" w:space="0"/>
                    <w:right w:val="nil"/>
                  </w:tcBorders>
                  <w:shd w:val="clear" w:color="000000" w:fill="0C2060"/>
                  <w:vAlign w:val="center"/>
                </w:tcPr>
                <w:p w14:paraId="3334A6D6">
                  <w:pPr>
                    <w:overflowPunct w:val="0"/>
                    <w:jc w:val="center"/>
                    <w:rPr>
                      <w:rFonts w:hint="default" w:ascii="Calibri" w:hAnsi="Calibri" w:eastAsia="楷体_GB2312" w:cs="Calibri"/>
                      <w:b/>
                      <w:bCs/>
                      <w:color w:val="FFFFFF"/>
                    </w:rPr>
                  </w:pPr>
                  <w:r>
                    <w:rPr>
                      <w:rFonts w:hint="default" w:ascii="Calibri" w:hAnsi="Calibri" w:eastAsia="楷体_GB2312" w:cs="Calibri"/>
                      <w:b/>
                      <w:bCs/>
                      <w:color w:val="FFFFFF"/>
                    </w:rPr>
                    <w:t>时间</w:t>
                  </w:r>
                </w:p>
              </w:tc>
              <w:tc>
                <w:tcPr>
                  <w:tcW w:w="3682" w:type="pct"/>
                  <w:tcBorders>
                    <w:top w:val="single" w:color="auto" w:sz="4" w:space="0"/>
                    <w:left w:val="nil"/>
                    <w:bottom w:val="single" w:color="auto" w:sz="4" w:space="0"/>
                    <w:right w:val="single" w:color="auto" w:sz="4" w:space="0"/>
                  </w:tcBorders>
                  <w:shd w:val="clear" w:color="000000" w:fill="0C2060"/>
                  <w:vAlign w:val="center"/>
                </w:tcPr>
                <w:p w14:paraId="05F123B5">
                  <w:pPr>
                    <w:overflowPunct w:val="0"/>
                    <w:jc w:val="center"/>
                    <w:rPr>
                      <w:rFonts w:hint="default" w:ascii="Calibri" w:hAnsi="Calibri" w:eastAsia="楷体_GB2312" w:cs="Calibri"/>
                      <w:b/>
                      <w:bCs/>
                      <w:color w:val="FFFFFF"/>
                    </w:rPr>
                  </w:pPr>
                  <w:r>
                    <w:rPr>
                      <w:rFonts w:hint="default" w:ascii="Calibri" w:hAnsi="Calibri" w:eastAsia="楷体_GB2312" w:cs="Calibri"/>
                      <w:b/>
                      <w:bCs/>
                      <w:color w:val="FFFFFF"/>
                    </w:rPr>
                    <w:t>主要内容</w:t>
                  </w:r>
                </w:p>
              </w:tc>
            </w:tr>
            <w:tr w14:paraId="01E88AD9">
              <w:tblPrEx>
                <w:tblCellMar>
                  <w:top w:w="0" w:type="dxa"/>
                  <w:left w:w="108" w:type="dxa"/>
                  <w:bottom w:w="0" w:type="dxa"/>
                  <w:right w:w="108" w:type="dxa"/>
                </w:tblCellMar>
              </w:tblPrEx>
              <w:trPr>
                <w:trHeight w:val="416" w:hRule="atLeast"/>
                <w:jc w:val="center"/>
              </w:trPr>
              <w:tc>
                <w:tcPr>
                  <w:tcW w:w="715" w:type="pct"/>
                  <w:tcBorders>
                    <w:top w:val="single" w:color="auto" w:sz="4" w:space="0"/>
                    <w:left w:val="single" w:color="auto" w:sz="4" w:space="0"/>
                    <w:bottom w:val="single" w:color="auto" w:sz="4" w:space="0"/>
                    <w:right w:val="nil"/>
                  </w:tcBorders>
                  <w:vAlign w:val="center"/>
                </w:tcPr>
                <w:p w14:paraId="2E97FBCA">
                  <w:pPr>
                    <w:overflowPunct w:val="0"/>
                    <w:jc w:val="center"/>
                    <w:rPr>
                      <w:rFonts w:hint="default" w:ascii="Calibri" w:hAnsi="Calibri" w:eastAsia="楷体_GB2312" w:cs="Calibri"/>
                      <w:color w:val="000000"/>
                    </w:rPr>
                  </w:pPr>
                  <w:r>
                    <w:rPr>
                      <w:rFonts w:hint="default" w:ascii="Calibri" w:hAnsi="Calibri" w:eastAsia="楷体_GB2312" w:cs="Calibri"/>
                      <w:color w:val="000000"/>
                    </w:rPr>
                    <w:t>Howmet Aerospace</w:t>
                  </w:r>
                </w:p>
              </w:tc>
              <w:tc>
                <w:tcPr>
                  <w:tcW w:w="602" w:type="pct"/>
                  <w:tcBorders>
                    <w:top w:val="single" w:color="auto" w:sz="4" w:space="0"/>
                    <w:left w:val="single" w:color="auto" w:sz="4" w:space="0"/>
                    <w:bottom w:val="single" w:color="auto" w:sz="4" w:space="0"/>
                    <w:right w:val="nil"/>
                  </w:tcBorders>
                  <w:vAlign w:val="center"/>
                </w:tcPr>
                <w:p w14:paraId="17A3484E">
                  <w:pPr>
                    <w:overflowPunct w:val="0"/>
                    <w:rPr>
                      <w:rFonts w:hint="default" w:ascii="Calibri" w:hAnsi="Calibri" w:eastAsia="楷体_GB2312" w:cs="Calibri"/>
                      <w:color w:val="000000"/>
                      <w:lang w:eastAsia="zh-CN"/>
                    </w:rPr>
                  </w:pPr>
                  <w:r>
                    <w:rPr>
                      <w:rFonts w:hint="default" w:ascii="Calibri" w:hAnsi="Calibri" w:eastAsia="楷体_GB2312" w:cs="Calibri"/>
                      <w:color w:val="000000"/>
                      <w:lang w:eastAsia="zh-CN"/>
                    </w:rPr>
                    <w:t>2月12日</w:t>
                  </w:r>
                </w:p>
              </w:tc>
              <w:tc>
                <w:tcPr>
                  <w:tcW w:w="3682" w:type="pct"/>
                  <w:tcBorders>
                    <w:top w:val="single" w:color="auto" w:sz="4" w:space="0"/>
                    <w:left w:val="single" w:color="auto" w:sz="4" w:space="0"/>
                    <w:bottom w:val="single" w:color="auto" w:sz="4" w:space="0"/>
                    <w:right w:val="single" w:color="auto" w:sz="4" w:space="0"/>
                  </w:tcBorders>
                  <w:noWrap/>
                  <w:vAlign w:val="center"/>
                </w:tcPr>
                <w:p w14:paraId="6E199C98">
                  <w:pPr>
                    <w:overflowPunct w:val="0"/>
                    <w:rPr>
                      <w:rFonts w:hint="default" w:ascii="Calibri" w:hAnsi="Calibri" w:eastAsia="楷体_GB2312" w:cs="Calibri"/>
                      <w:color w:val="000000"/>
                      <w:lang w:eastAsia="zh-CN"/>
                    </w:rPr>
                  </w:pPr>
                  <w:r>
                    <w:rPr>
                      <w:rFonts w:hint="default" w:ascii="Calibri" w:hAnsi="Calibri" w:eastAsia="楷体_GB2312" w:cs="Calibri"/>
                      <w:color w:val="000000"/>
                      <w:lang w:eastAsia="zh-CN"/>
                    </w:rPr>
                    <w:t xml:space="preserve">发布了2025年第四季度及全年业绩。第四季度净利润达3.72亿美元，或每股收益 </w:t>
                  </w:r>
                </w:p>
                <w:p w14:paraId="67995F43">
                  <w:pPr>
                    <w:overflowPunct w:val="0"/>
                    <w:rPr>
                      <w:rFonts w:hint="default" w:ascii="Calibri" w:hAnsi="Calibri" w:eastAsia="楷体_GB2312" w:cs="Calibri"/>
                      <w:color w:val="000000"/>
                    </w:rPr>
                  </w:pPr>
                  <w:r>
                    <w:rPr>
                      <w:rFonts w:hint="default" w:ascii="Calibri" w:hAnsi="Calibri" w:eastAsia="楷体_GB2312" w:cs="Calibri"/>
                      <w:color w:val="000000"/>
                      <w:lang w:eastAsia="zh-CN"/>
                    </w:rPr>
                    <w:t xml:space="preserve"> </w:t>
                  </w:r>
                  <w:r>
                    <w:rPr>
                      <w:rFonts w:hint="default" w:ascii="Calibri" w:hAnsi="Calibri" w:eastAsia="楷体_GB2312" w:cs="Calibri"/>
                      <w:color w:val="000000"/>
                    </w:rPr>
                    <w:t>美元。</w:t>
                  </w:r>
                </w:p>
              </w:tc>
            </w:tr>
          </w:tbl>
          <w:p w14:paraId="512363D3">
            <w:pPr>
              <w:overflowPunct w:val="0"/>
              <w:jc w:val="center"/>
              <w:rPr>
                <w:rFonts w:hint="default" w:ascii="Calibri" w:hAnsi="Calibri" w:eastAsia="楷体_GB2312" w:cs="Calibri"/>
                <w:sz w:val="10"/>
              </w:rPr>
            </w:pPr>
          </w:p>
        </w:tc>
      </w:tr>
      <w:tr w14:paraId="53D6F931">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7706" w:type="dxa"/>
            <w:tcBorders>
              <w:top w:val="single" w:color="auto" w:sz="4" w:space="0"/>
            </w:tcBorders>
          </w:tcPr>
          <w:p w14:paraId="45226705">
            <w:pPr>
              <w:overflowPunct w:val="0"/>
              <w:rPr>
                <w:rFonts w:hint="default" w:ascii="Calibri" w:hAnsi="Calibri" w:eastAsia="楷体_GB2312" w:cs="Calibri"/>
                <w:i/>
                <w:iCs/>
                <w:sz w:val="15"/>
                <w:szCs w:val="15"/>
                <w:lang w:eastAsia="zh-CN"/>
              </w:rPr>
            </w:pPr>
            <w:r>
              <w:rPr>
                <w:rFonts w:hint="default" w:ascii="Calibri" w:hAnsi="Calibri" w:eastAsia="楷体_GB2312" w:cs="Calibri"/>
                <w:i/>
                <w:iCs/>
                <w:sz w:val="15"/>
                <w:szCs w:val="15"/>
                <w:lang w:eastAsia="zh-CN"/>
              </w:rPr>
              <w:t>资料来源：公司公告，HFI</w:t>
            </w:r>
          </w:p>
        </w:tc>
      </w:tr>
    </w:tbl>
    <w:p w14:paraId="7922A67D">
      <w:pPr>
        <w:overflowPunct w:val="0"/>
        <w:jc w:val="both"/>
        <w:rPr>
          <w:rFonts w:hint="default" w:ascii="Calibri" w:hAnsi="Calibri" w:eastAsia="楷体_GB2312" w:cs="Calibri"/>
          <w:b/>
          <w:bCs/>
          <w:color w:val="1F497D" w:themeColor="text2"/>
          <w:sz w:val="24"/>
          <w:szCs w:val="24"/>
          <w:lang w:val="en-US" w:eastAsia="zh-CN"/>
          <w14:textFill>
            <w14:solidFill>
              <w14:schemeClr w14:val="tx2"/>
            </w14:solidFill>
          </w14:textFill>
        </w:rPr>
      </w:pPr>
    </w:p>
    <w:p w14:paraId="4159F382">
      <w:pPr>
        <w:overflowPunct w:val="0"/>
        <w:ind w:left="3200" w:leftChars="2000"/>
        <w:jc w:val="both"/>
        <w:outlineLvl w:val="1"/>
        <w:rPr>
          <w:rFonts w:hint="default" w:ascii="Calibri" w:hAnsi="Calibri" w:eastAsia="楷体_GB2312" w:cs="Calibri"/>
          <w:b/>
          <w:bCs/>
          <w:color w:val="1F497D" w:themeColor="text2"/>
          <w:sz w:val="24"/>
          <w:szCs w:val="24"/>
          <w:lang w:val="en-US" w:eastAsia="zh-CN"/>
          <w14:textFill>
            <w14:solidFill>
              <w14:schemeClr w14:val="tx2"/>
            </w14:solidFill>
          </w14:textFill>
        </w:rPr>
      </w:pPr>
      <w:r>
        <w:rPr>
          <w:rFonts w:hint="default" w:ascii="Calibri" w:hAnsi="Calibri" w:eastAsia="楷体_GB2312" w:cs="Calibri"/>
        </w:rPr>
        <w:fldChar w:fldCharType="begin"/>
      </w:r>
      <w:r>
        <w:rPr>
          <w:rFonts w:hint="default" w:ascii="Calibri" w:hAnsi="Calibri" w:eastAsia="楷体_GB2312" w:cs="Calibri"/>
        </w:rPr>
        <w:instrText xml:space="preserve"> HYPERLINK \l "_Toc192787049" </w:instrText>
      </w:r>
      <w:r>
        <w:rPr>
          <w:rFonts w:hint="default" w:ascii="Calibri" w:hAnsi="Calibri" w:eastAsia="楷体_GB2312" w:cs="Calibri"/>
        </w:rPr>
        <w:fldChar w:fldCharType="separate"/>
      </w:r>
      <w:r>
        <w:rPr>
          <w:rFonts w:hint="default" w:ascii="Calibri" w:hAnsi="Calibri" w:eastAsia="楷体_GB2312" w:cs="Calibri"/>
        </w:rPr>
        <w:fldChar w:fldCharType="end"/>
      </w:r>
      <w:bookmarkStart w:id="37" w:name="_Toc64059357"/>
      <w:r>
        <w:rPr>
          <w:rFonts w:hint="default" w:ascii="Calibri" w:hAnsi="Calibri" w:eastAsia="楷体_GB2312" w:cs="Calibri"/>
          <w:b/>
          <w:bCs/>
          <w:color w:val="1F497D" w:themeColor="text2"/>
          <w:sz w:val="24"/>
          <w:szCs w:val="24"/>
          <w:lang w:val="en-US" w:eastAsia="zh-CN"/>
          <w14:textFill>
            <w14:solidFill>
              <w14:schemeClr w14:val="tx2"/>
            </w14:solidFill>
          </w14:textFill>
        </w:rPr>
        <w:fldChar w:fldCharType="begin"/>
      </w:r>
      <w:r>
        <w:rPr>
          <w:rFonts w:hint="default" w:ascii="Calibri" w:hAnsi="Calibri" w:eastAsia="楷体_GB2312" w:cs="Calibri"/>
          <w:b/>
          <w:bCs/>
          <w:color w:val="1F497D" w:themeColor="text2"/>
          <w:sz w:val="24"/>
          <w:szCs w:val="24"/>
          <w:lang w:val="en-US" w:eastAsia="zh-CN"/>
          <w14:textFill>
            <w14:solidFill>
              <w14:schemeClr w14:val="tx2"/>
            </w14:solidFill>
          </w14:textFill>
        </w:rPr>
        <w:instrText xml:space="preserve"> HYPERLINK \l "_Toc192787049" </w:instrText>
      </w:r>
      <w:r>
        <w:rPr>
          <w:rFonts w:hint="default" w:ascii="Calibri" w:hAnsi="Calibri" w:eastAsia="楷体_GB2312" w:cs="Calibri"/>
          <w:b/>
          <w:bCs/>
          <w:color w:val="1F497D" w:themeColor="text2"/>
          <w:sz w:val="24"/>
          <w:szCs w:val="24"/>
          <w:lang w:val="en-US" w:eastAsia="zh-CN"/>
          <w14:textFill>
            <w14:solidFill>
              <w14:schemeClr w14:val="tx2"/>
            </w14:solidFill>
          </w14:textFill>
        </w:rPr>
        <w:fldChar w:fldCharType="separate"/>
      </w:r>
      <w:bookmarkStart w:id="38" w:name="_Toc223082615"/>
      <w:r>
        <w:rPr>
          <w:rFonts w:hint="default" w:ascii="Calibri" w:hAnsi="Calibri" w:eastAsia="楷体_GB2312" w:cs="Calibri"/>
          <w:b/>
          <w:bCs/>
          <w:color w:val="1F497D" w:themeColor="text2"/>
          <w:sz w:val="24"/>
          <w:szCs w:val="24"/>
          <w:lang w:val="en-US" w:eastAsia="zh-CN"/>
          <w14:textFill>
            <w14:solidFill>
              <w14:schemeClr w14:val="tx2"/>
            </w14:solidFill>
          </w14:textFill>
        </w:rPr>
        <w:t>（二）国防</w:t>
      </w:r>
      <w:bookmarkEnd w:id="38"/>
      <w:r>
        <w:rPr>
          <w:rFonts w:hint="default" w:ascii="Calibri" w:hAnsi="Calibri" w:eastAsia="楷体_GB2312" w:cs="Calibri"/>
          <w:b/>
          <w:bCs/>
          <w:color w:val="1F497D" w:themeColor="text2"/>
          <w:sz w:val="24"/>
          <w:szCs w:val="24"/>
          <w:lang w:val="en-US" w:eastAsia="zh-CN"/>
          <w14:textFill>
            <w14:solidFill>
              <w14:schemeClr w14:val="tx2"/>
            </w14:solidFill>
          </w14:textFill>
        </w:rPr>
        <w:fldChar w:fldCharType="end"/>
      </w:r>
      <w:bookmarkEnd w:id="37"/>
    </w:p>
    <w:p w14:paraId="32DFA3DC">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2月16日、18日，美日两国在日本海、东海及台湾方向举行联合空中演习，美军从关岛出动4架B-52战略轰炸机，日本航空自卫队出动6架F-2和5架F-15战斗机参演</w:t>
      </w:r>
      <w:r>
        <w:rPr>
          <w:rFonts w:hint="default" w:ascii="Calibri" w:hAnsi="Calibri" w:eastAsia="楷体_GB2312" w:cs="Calibri"/>
        </w:rPr>
        <w:fldChar w:fldCharType="begin"/>
      </w:r>
      <w:r>
        <w:rPr>
          <w:rFonts w:hint="default" w:ascii="Calibri" w:hAnsi="Calibri" w:eastAsia="楷体_GB2312" w:cs="Calibri"/>
        </w:rPr>
        <w:instrText xml:space="preserve">HYPERLINK "https://gfjy.ahnews.com.cn/ywzx/con/2026-02/25/3607_1686366.html" \t "https://chat.deepseek.com/a/chat/s/_blank"</w:instrText>
      </w:r>
      <w:r>
        <w:rPr>
          <w:rFonts w:hint="default" w:ascii="Calibri" w:hAnsi="Calibri" w:eastAsia="楷体_GB2312" w:cs="Calibri"/>
        </w:rPr>
        <w:fldChar w:fldCharType="separate"/>
      </w:r>
      <w:r>
        <w:rPr>
          <w:rFonts w:hint="default" w:ascii="Calibri" w:hAnsi="Calibri" w:eastAsia="楷体_GB2312" w:cs="Calibri"/>
        </w:rPr>
        <w:fldChar w:fldCharType="end"/>
      </w:r>
      <w:r>
        <w:rPr>
          <w:rFonts w:hint="default" w:ascii="Calibri" w:hAnsi="Calibri" w:eastAsia="楷体_GB2312" w:cs="Calibri"/>
          <w:sz w:val="20"/>
          <w:szCs w:val="20"/>
          <w:lang w:val="en-US" w:eastAsia="zh-CN"/>
        </w:rPr>
        <w:t>。</w:t>
      </w:r>
    </w:p>
    <w:p w14:paraId="489DFC66">
      <w:pPr>
        <w:overflowPunct w:val="0"/>
        <w:ind w:left="3200" w:leftChars="2000"/>
        <w:jc w:val="both"/>
        <w:rPr>
          <w:rFonts w:hint="default" w:ascii="Calibri" w:hAnsi="Calibri" w:eastAsia="楷体_GB2312" w:cs="Calibri"/>
          <w:sz w:val="20"/>
          <w:szCs w:val="20"/>
          <w:lang w:val="en-US" w:eastAsia="zh-CN"/>
        </w:rPr>
      </w:pPr>
    </w:p>
    <w:p w14:paraId="6FE8A7D9">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2月18日，驻韩美军从乌山基地出动10余架F-16战斗机，在黄海公海上空举行"前所未有的大规模演习"，并接近中国防空识别区边缘，引发中美战机短暂对峙。中方战机依法依规进行查证、跟踪和驱离</w:t>
      </w:r>
      <w:r>
        <w:rPr>
          <w:rFonts w:hint="default" w:ascii="Calibri" w:hAnsi="Calibri" w:eastAsia="楷体_GB2312" w:cs="Calibri"/>
        </w:rPr>
        <w:fldChar w:fldCharType="begin"/>
      </w:r>
      <w:r>
        <w:rPr>
          <w:rFonts w:hint="default" w:ascii="Calibri" w:hAnsi="Calibri" w:eastAsia="楷体_GB2312" w:cs="Calibri"/>
        </w:rPr>
        <w:instrText xml:space="preserve">HYPERLINK "https://gfjy.ahnews.com.cn/ywzx/con/2026-02/25/3607_1686366.html" \t "https://chat.deepseek.com/a/chat/s/_blank"</w:instrText>
      </w:r>
      <w:r>
        <w:rPr>
          <w:rFonts w:hint="default" w:ascii="Calibri" w:hAnsi="Calibri" w:eastAsia="楷体_GB2312" w:cs="Calibri"/>
        </w:rPr>
        <w:fldChar w:fldCharType="separate"/>
      </w:r>
      <w:r>
        <w:rPr>
          <w:rFonts w:hint="default" w:ascii="Calibri" w:hAnsi="Calibri" w:eastAsia="楷体_GB2312" w:cs="Calibri"/>
        </w:rPr>
        <w:fldChar w:fldCharType="end"/>
      </w:r>
      <w:r>
        <w:rPr>
          <w:rFonts w:hint="default" w:ascii="Calibri" w:hAnsi="Calibri" w:eastAsia="楷体_GB2312" w:cs="Calibri"/>
        </w:rPr>
        <w:fldChar w:fldCharType="begin"/>
      </w:r>
      <w:r>
        <w:rPr>
          <w:rFonts w:hint="default" w:ascii="Calibri" w:hAnsi="Calibri" w:eastAsia="楷体_GB2312" w:cs="Calibri"/>
        </w:rPr>
        <w:instrText xml:space="preserve"> HYPERLINK "https://www.sohu.com/a/989830405_121629194?scm=10001.325_13-325_13.0.0-0-0-0-0.5_1334&amp;spm=smpc.channel_248.block3_308_NDdFbm_1_fd.2.1771997325640QnlGwss_324" \t "https://chat.deepseek.com/a/chat/s/_blank" </w:instrText>
      </w:r>
      <w:r>
        <w:rPr>
          <w:rFonts w:hint="default" w:ascii="Calibri" w:hAnsi="Calibri" w:eastAsia="楷体_GB2312" w:cs="Calibri"/>
        </w:rPr>
        <w:fldChar w:fldCharType="separate"/>
      </w:r>
      <w:r>
        <w:rPr>
          <w:rFonts w:hint="default" w:ascii="Calibri" w:hAnsi="Calibri" w:eastAsia="楷体_GB2312" w:cs="Calibri"/>
        </w:rPr>
        <w:fldChar w:fldCharType="end"/>
      </w:r>
      <w:r>
        <w:rPr>
          <w:rFonts w:hint="default" w:ascii="Calibri" w:hAnsi="Calibri" w:eastAsia="楷体_GB2312" w:cs="Calibri"/>
          <w:sz w:val="20"/>
          <w:szCs w:val="20"/>
          <w:lang w:val="en-US" w:eastAsia="zh-CN"/>
        </w:rPr>
        <w:t>。美日在四国本岛南部举行电磁机动战演习，日本海上自卫队"春雨"号驱逐舰、OP-3C侦察机与美军EA-18G"咆哮者"电子攻击机、E-2D"鹰眼"预警机、F/A-18E"超级大黄蜂"战斗机首次联合参演</w:t>
      </w:r>
      <w:r>
        <w:rPr>
          <w:rFonts w:hint="default" w:ascii="Calibri" w:hAnsi="Calibri" w:eastAsia="楷体_GB2312" w:cs="Calibri"/>
        </w:rPr>
        <w:fldChar w:fldCharType="begin"/>
      </w:r>
      <w:r>
        <w:rPr>
          <w:rFonts w:hint="default" w:ascii="Calibri" w:hAnsi="Calibri" w:eastAsia="楷体_GB2312" w:cs="Calibri"/>
        </w:rPr>
        <w:instrText xml:space="preserve">HYPERLINK "https://gfjy.ahnews.com.cn/ywzx/con/2026-02/25/3607_1686366.html" \t "https://chat.deepseek.com/a/chat/s/_blank"</w:instrText>
      </w:r>
      <w:r>
        <w:rPr>
          <w:rFonts w:hint="default" w:ascii="Calibri" w:hAnsi="Calibri" w:eastAsia="楷体_GB2312" w:cs="Calibri"/>
        </w:rPr>
        <w:fldChar w:fldCharType="separate"/>
      </w:r>
      <w:r>
        <w:rPr>
          <w:rFonts w:hint="default" w:ascii="Calibri" w:hAnsi="Calibri" w:eastAsia="楷体_GB2312" w:cs="Calibri"/>
        </w:rPr>
        <w:fldChar w:fldCharType="end"/>
      </w:r>
      <w:r>
        <w:rPr>
          <w:rFonts w:hint="default" w:ascii="Calibri" w:hAnsi="Calibri" w:eastAsia="楷体_GB2312" w:cs="Calibri"/>
          <w:sz w:val="20"/>
          <w:szCs w:val="20"/>
          <w:lang w:val="en-US" w:eastAsia="zh-CN"/>
        </w:rPr>
        <w:t>。</w:t>
      </w:r>
    </w:p>
    <w:p w14:paraId="4B7C2505">
      <w:pPr>
        <w:overflowPunct w:val="0"/>
        <w:ind w:left="3200" w:leftChars="2000"/>
        <w:jc w:val="both"/>
        <w:rPr>
          <w:rFonts w:hint="default" w:ascii="Calibri" w:hAnsi="Calibri" w:eastAsia="楷体_GB2312" w:cs="Calibri"/>
          <w:sz w:val="20"/>
          <w:szCs w:val="20"/>
          <w:lang w:val="en-US" w:eastAsia="zh-CN"/>
        </w:rPr>
      </w:pPr>
    </w:p>
    <w:p w14:paraId="74A50DF3">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2月19日：韩国国防部长安圭伯和联合参谋本部议长陈永承分别致电驻韩美军司令泽维尔·布伦森，就美军在黄海单方面演习引发中美战机对峙一事表示抗议</w:t>
      </w:r>
      <w:r>
        <w:rPr>
          <w:rFonts w:hint="default" w:ascii="Calibri" w:hAnsi="Calibri" w:eastAsia="楷体_GB2312" w:cs="Calibri"/>
        </w:rPr>
        <w:fldChar w:fldCharType="begin"/>
      </w:r>
      <w:r>
        <w:rPr>
          <w:rFonts w:hint="default" w:ascii="Calibri" w:hAnsi="Calibri" w:eastAsia="楷体_GB2312" w:cs="Calibri"/>
        </w:rPr>
        <w:instrText xml:space="preserve">HYPERLINK "https://gfjy.ahnews.com.cn/ywzx/con/2026-02/25/3607_1686366.html" \t "https://chat.deepseek.com/a/chat/s/_blank"</w:instrText>
      </w:r>
      <w:r>
        <w:rPr>
          <w:rFonts w:hint="default" w:ascii="Calibri" w:hAnsi="Calibri" w:eastAsia="楷体_GB2312" w:cs="Calibri"/>
        </w:rPr>
        <w:fldChar w:fldCharType="separate"/>
      </w:r>
      <w:r>
        <w:rPr>
          <w:rFonts w:hint="default" w:ascii="Calibri" w:hAnsi="Calibri" w:eastAsia="楷体_GB2312" w:cs="Calibri"/>
        </w:rPr>
        <w:fldChar w:fldCharType="end"/>
      </w:r>
      <w:r>
        <w:rPr>
          <w:rFonts w:hint="default" w:ascii="Calibri" w:hAnsi="Calibri" w:eastAsia="楷体_GB2312" w:cs="Calibri"/>
          <w:sz w:val="20"/>
          <w:szCs w:val="20"/>
          <w:lang w:val="en-US" w:eastAsia="zh-CN"/>
        </w:rPr>
        <w:t>。</w:t>
      </w:r>
    </w:p>
    <w:p w14:paraId="7B151B02">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rPr>
        <w:fldChar w:fldCharType="begin"/>
      </w:r>
      <w:r>
        <w:rPr>
          <w:rFonts w:hint="default" w:ascii="Calibri" w:hAnsi="Calibri" w:eastAsia="楷体_GB2312" w:cs="Calibri"/>
        </w:rPr>
        <w:instrText xml:space="preserve"> HYPERLINK "https://cbgc.scol.com.cn/news/7316804" \t "https://chat.deepseek.com/a/chat/s/_blank" </w:instrText>
      </w:r>
      <w:r>
        <w:rPr>
          <w:rFonts w:hint="default" w:ascii="Calibri" w:hAnsi="Calibri" w:eastAsia="楷体_GB2312" w:cs="Calibri"/>
        </w:rPr>
        <w:fldChar w:fldCharType="separate"/>
      </w:r>
      <w:r>
        <w:rPr>
          <w:rFonts w:hint="default" w:ascii="Calibri" w:hAnsi="Calibri" w:eastAsia="楷体_GB2312" w:cs="Calibri"/>
        </w:rPr>
        <w:fldChar w:fldCharType="end"/>
      </w:r>
      <w:r>
        <w:rPr>
          <w:rFonts w:hint="default" w:ascii="Calibri" w:hAnsi="Calibri" w:eastAsia="楷体_GB2312" w:cs="Calibri"/>
        </w:rPr>
        <w:fldChar w:fldCharType="begin"/>
      </w:r>
      <w:r>
        <w:rPr>
          <w:rFonts w:hint="default" w:ascii="Calibri" w:hAnsi="Calibri" w:eastAsia="楷体_GB2312" w:cs="Calibri"/>
        </w:rPr>
        <w:instrText xml:space="preserve"> HYPERLINK "https://cbgc.scol.com.cn/news/7317274" \t "https://chat.deepseek.com/a/chat/s/_blank" </w:instrText>
      </w:r>
      <w:r>
        <w:rPr>
          <w:rFonts w:hint="default" w:ascii="Calibri" w:hAnsi="Calibri" w:eastAsia="楷体_GB2312" w:cs="Calibri"/>
        </w:rPr>
        <w:fldChar w:fldCharType="separate"/>
      </w:r>
      <w:r>
        <w:rPr>
          <w:rFonts w:hint="default" w:ascii="Calibri" w:hAnsi="Calibri" w:eastAsia="楷体_GB2312" w:cs="Calibri"/>
        </w:rPr>
        <w:fldChar w:fldCharType="end"/>
      </w:r>
      <w:r>
        <w:rPr>
          <w:rFonts w:hint="default" w:ascii="Calibri" w:hAnsi="Calibri" w:eastAsia="楷体_GB2312" w:cs="Calibri"/>
        </w:rPr>
        <w:fldChar w:fldCharType="begin"/>
      </w:r>
      <w:r>
        <w:rPr>
          <w:rFonts w:hint="default" w:ascii="Calibri" w:hAnsi="Calibri" w:eastAsia="楷体_GB2312" w:cs="Calibri"/>
        </w:rPr>
        <w:instrText xml:space="preserve"> HYPERLINK "https://cbgc.scol.com.cn/news/7316571" \t "https://chat.deepseek.com/a/chat/s/_blank" </w:instrText>
      </w:r>
      <w:r>
        <w:rPr>
          <w:rFonts w:hint="default" w:ascii="Calibri" w:hAnsi="Calibri" w:eastAsia="楷体_GB2312" w:cs="Calibri"/>
        </w:rPr>
        <w:fldChar w:fldCharType="separate"/>
      </w:r>
      <w:r>
        <w:rPr>
          <w:rFonts w:hint="default" w:ascii="Calibri" w:hAnsi="Calibri" w:eastAsia="楷体_GB2312" w:cs="Calibri"/>
        </w:rPr>
        <w:fldChar w:fldCharType="end"/>
      </w:r>
    </w:p>
    <w:p w14:paraId="73BA261E">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2月24日：12架美军F-22"猛禽"隐形战斗机降落在以色列南部空军基地，这是美国在中东地区针对伊朗的军事集结的一部分。以色列同日更新了国家紧急状态下的"关键行业"界定范围</w:t>
      </w:r>
      <w:r>
        <w:rPr>
          <w:rFonts w:hint="default" w:ascii="Calibri" w:hAnsi="Calibri" w:eastAsia="楷体_GB2312" w:cs="Calibri"/>
        </w:rPr>
        <w:fldChar w:fldCharType="begin"/>
      </w:r>
      <w:r>
        <w:rPr>
          <w:rFonts w:hint="default" w:ascii="Calibri" w:hAnsi="Calibri" w:eastAsia="楷体_GB2312" w:cs="Calibri"/>
        </w:rPr>
        <w:instrText xml:space="preserve">HYPERLINK "https://english.news.cn/20260225/df16328dd45c424db3be5b05cc390e04/c.html" \t "https://chat.deepseek.com/a/chat/s/_blank"</w:instrText>
      </w:r>
      <w:r>
        <w:rPr>
          <w:rFonts w:hint="default" w:ascii="Calibri" w:hAnsi="Calibri" w:eastAsia="楷体_GB2312" w:cs="Calibri"/>
        </w:rPr>
        <w:fldChar w:fldCharType="separate"/>
      </w:r>
      <w:r>
        <w:rPr>
          <w:rFonts w:hint="default" w:ascii="Calibri" w:hAnsi="Calibri" w:eastAsia="楷体_GB2312" w:cs="Calibri"/>
        </w:rPr>
        <w:fldChar w:fldCharType="end"/>
      </w:r>
      <w:r>
        <w:rPr>
          <w:rFonts w:hint="default" w:ascii="Calibri" w:hAnsi="Calibri" w:eastAsia="楷体_GB2312" w:cs="Calibri"/>
          <w:sz w:val="20"/>
          <w:szCs w:val="20"/>
          <w:lang w:val="en-US" w:eastAsia="zh-CN"/>
        </w:rPr>
        <w:t>。</w:t>
      </w:r>
    </w:p>
    <w:p w14:paraId="4755399F">
      <w:pPr>
        <w:overflowPunct w:val="0"/>
        <w:ind w:left="3200" w:leftChars="2000"/>
        <w:jc w:val="both"/>
        <w:rPr>
          <w:rFonts w:hint="default" w:ascii="Calibri" w:hAnsi="Calibri" w:eastAsia="楷体_GB2312" w:cs="Calibri"/>
          <w:sz w:val="20"/>
          <w:szCs w:val="20"/>
          <w:lang w:val="en-US" w:eastAsia="zh-CN"/>
        </w:rPr>
      </w:pPr>
    </w:p>
    <w:p w14:paraId="2B9051D2">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2月24、25日：中国第24批赴黎巴嫩维和官兵成功销毁未爆弹</w:t>
      </w:r>
      <w:r>
        <w:rPr>
          <w:rFonts w:hint="default" w:ascii="Calibri" w:hAnsi="Calibri" w:eastAsia="楷体_GB2312" w:cs="Calibri"/>
        </w:rPr>
        <w:fldChar w:fldCharType="begin"/>
      </w:r>
      <w:r>
        <w:rPr>
          <w:rFonts w:hint="default" w:ascii="Calibri" w:hAnsi="Calibri" w:eastAsia="楷体_GB2312" w:cs="Calibri"/>
        </w:rPr>
        <w:instrText xml:space="preserve">HYPERLINK "https://tv.cctv.cn/2026/02/25/VIDEVWA2VHpvGGOeP6h3tceZ260225.shtml" \t "https://chat.deepseek.com/a/chat/s/_blank"</w:instrText>
      </w:r>
      <w:r>
        <w:rPr>
          <w:rFonts w:hint="default" w:ascii="Calibri" w:hAnsi="Calibri" w:eastAsia="楷体_GB2312" w:cs="Calibri"/>
        </w:rPr>
        <w:fldChar w:fldCharType="separate"/>
      </w:r>
      <w:r>
        <w:rPr>
          <w:rFonts w:hint="default" w:ascii="Calibri" w:hAnsi="Calibri" w:eastAsia="楷体_GB2312" w:cs="Calibri"/>
        </w:rPr>
        <w:fldChar w:fldCharType="end"/>
      </w:r>
      <w:r>
        <w:rPr>
          <w:rFonts w:hint="default" w:ascii="Calibri" w:hAnsi="Calibri" w:eastAsia="楷体_GB2312" w:cs="Calibri"/>
          <w:sz w:val="20"/>
          <w:szCs w:val="20"/>
          <w:lang w:val="en-US" w:eastAsia="zh-CN"/>
        </w:rPr>
        <w:t>。</w:t>
      </w:r>
    </w:p>
    <w:p w14:paraId="5A9F9C96">
      <w:pPr>
        <w:overflowPunct w:val="0"/>
        <w:ind w:left="3200" w:leftChars="2000"/>
        <w:jc w:val="both"/>
        <w:rPr>
          <w:rFonts w:hint="default" w:ascii="Calibri" w:hAnsi="Calibri" w:eastAsia="楷体_GB2312" w:cs="Calibri"/>
          <w:sz w:val="20"/>
          <w:szCs w:val="20"/>
          <w:lang w:val="en-US" w:eastAsia="zh-CN"/>
        </w:rPr>
      </w:pPr>
    </w:p>
    <w:p w14:paraId="38470248">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2025年Q4美国政府支出国防价格指数120.187，环比+0.9%，同比+2.95%。</w:t>
      </w:r>
    </w:p>
    <w:p w14:paraId="172F4B31">
      <w:pPr>
        <w:overflowPunct w:val="0"/>
        <w:ind w:left="3200" w:leftChars="2000"/>
        <w:jc w:val="both"/>
        <w:rPr>
          <w:rFonts w:hint="default" w:ascii="Calibri" w:hAnsi="Calibri" w:eastAsia="楷体_GB2312" w:cs="Calibri"/>
          <w:b/>
          <w:bCs/>
          <w:color w:val="1F497D" w:themeColor="text2"/>
          <w:sz w:val="24"/>
          <w:szCs w:val="24"/>
          <w:lang w:eastAsia="zh-CN"/>
          <w14:textFill>
            <w14:solidFill>
              <w14:schemeClr w14:val="tx2"/>
            </w14:solidFill>
          </w14:textFill>
        </w:rPr>
      </w:pPr>
    </w:p>
    <w:tbl>
      <w:tblPr>
        <w:tblStyle w:val="27"/>
        <w:tblW w:w="7459" w:type="dxa"/>
        <w:tblInd w:w="2868" w:type="dxa"/>
        <w:tblBorders>
          <w:top w:val="none" w:color="auto" w:sz="0" w:space="0"/>
          <w:left w:val="none" w:color="auto" w:sz="0" w:space="0"/>
          <w:bottom w:val="none" w:color="auto" w:sz="0" w:space="0"/>
          <w:right w:val="none" w:color="auto" w:sz="0" w:space="0"/>
          <w:insideH w:val="none" w:color="auto" w:sz="0" w:space="0"/>
          <w:insideV w:val="single" w:color="auto" w:sz="12" w:space="0"/>
        </w:tblBorders>
        <w:tblLayout w:type="autofit"/>
        <w:tblCellMar>
          <w:top w:w="0" w:type="dxa"/>
          <w:left w:w="0" w:type="dxa"/>
          <w:bottom w:w="0" w:type="dxa"/>
          <w:right w:w="0" w:type="dxa"/>
        </w:tblCellMar>
      </w:tblPr>
      <w:tblGrid>
        <w:gridCol w:w="7459"/>
      </w:tblGrid>
      <w:tr w14:paraId="7FA1CA87">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7459" w:type="dxa"/>
            <w:tcBorders>
              <w:bottom w:val="single" w:color="auto" w:sz="4" w:space="0"/>
            </w:tcBorders>
          </w:tcPr>
          <w:p w14:paraId="0C6451C6">
            <w:pPr>
              <w:overflowPunct w:val="0"/>
              <w:rPr>
                <w:rFonts w:hint="default" w:ascii="Calibri" w:hAnsi="Calibri" w:eastAsia="楷体_GB2312" w:cs="Calibri"/>
                <w:b/>
                <w:szCs w:val="20"/>
                <w:lang w:eastAsia="zh-CN"/>
              </w:rPr>
            </w:pPr>
            <w:r>
              <w:rPr>
                <w:rFonts w:hint="default" w:ascii="Calibri" w:hAnsi="Calibri" w:eastAsia="楷体_GB2312" w:cs="Calibri"/>
                <w:b/>
                <w:sz w:val="18"/>
                <w:szCs w:val="18"/>
                <w:lang w:val="zh-CN" w:eastAsia="zh-CN"/>
              </w:rPr>
              <w:t>图</w:t>
            </w:r>
            <w:r>
              <w:rPr>
                <w:rFonts w:hint="default" w:ascii="Calibri" w:hAnsi="Calibri" w:eastAsia="楷体_GB2312" w:cs="Calibri"/>
                <w:b/>
                <w:sz w:val="18"/>
                <w:szCs w:val="18"/>
                <w:lang w:eastAsia="zh-CN"/>
              </w:rPr>
              <w:t>4</w:t>
            </w:r>
            <w:r>
              <w:rPr>
                <w:rFonts w:hint="default" w:ascii="Calibri" w:hAnsi="Calibri" w:eastAsia="楷体_GB2312" w:cs="Calibri"/>
                <w:b/>
                <w:sz w:val="18"/>
                <w:szCs w:val="18"/>
                <w:lang w:val="en-US" w:eastAsia="zh-CN"/>
              </w:rPr>
              <w:t>2</w:t>
            </w:r>
            <w:r>
              <w:rPr>
                <w:rFonts w:hint="default" w:ascii="Calibri" w:hAnsi="Calibri" w:eastAsia="楷体_GB2312" w:cs="Calibri"/>
                <w:b/>
                <w:sz w:val="18"/>
                <w:szCs w:val="18"/>
                <w:lang w:eastAsia="zh-CN"/>
              </w:rPr>
              <w:t>:</w:t>
            </w:r>
            <w:r>
              <w:rPr>
                <w:rFonts w:hint="default" w:ascii="Calibri" w:hAnsi="Calibri" w:eastAsia="楷体_GB2312" w:cs="Calibri"/>
                <w:b/>
                <w:sz w:val="18"/>
                <w:szCs w:val="18"/>
                <w:lang w:val="zh-CN" w:eastAsia="zh-CN"/>
              </w:rPr>
              <w:t xml:space="preserve"> 美国政府支出国防价格指数</w:t>
            </w:r>
          </w:p>
        </w:tc>
      </w:tr>
      <w:tr w14:paraId="447E7B57">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108" w:type="dxa"/>
            <w:bottom w:w="0" w:type="dxa"/>
            <w:right w:w="108" w:type="dxa"/>
          </w:tblCellMar>
        </w:tblPrEx>
        <w:trPr>
          <w:trHeight w:val="3222" w:hRule="atLeast"/>
        </w:trPr>
        <w:tc>
          <w:tcPr>
            <w:tcW w:w="7459" w:type="dxa"/>
            <w:tcBorders>
              <w:top w:val="single" w:color="auto" w:sz="4" w:space="0"/>
              <w:bottom w:val="single" w:color="auto" w:sz="4" w:space="0"/>
            </w:tcBorders>
            <w:vAlign w:val="center"/>
          </w:tcPr>
          <w:p w14:paraId="7CE3A6AF">
            <w:pPr>
              <w:overflowPunct w:val="0"/>
              <w:jc w:val="center"/>
              <w:rPr>
                <w:rFonts w:hint="default" w:ascii="Calibri" w:hAnsi="Calibri" w:eastAsia="楷体_GB2312" w:cs="Calibri"/>
                <w:sz w:val="10"/>
              </w:rPr>
            </w:pPr>
            <w:r>
              <w:rPr>
                <w:rFonts w:hint="default" w:ascii="Calibri" w:hAnsi="Calibri" w:eastAsia="楷体_GB2312" w:cs="Calibri"/>
                <w:sz w:val="10"/>
                <w:lang w:eastAsia="zh-CN"/>
              </w:rPr>
              <w:drawing>
                <wp:inline distT="0" distB="0" distL="114300" distR="114300">
                  <wp:extent cx="4592955" cy="1812925"/>
                  <wp:effectExtent l="0" t="0" r="4445" b="15875"/>
                  <wp:docPr id="6" name="图片 6" descr="fredgrap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redgraph"/>
                          <pic:cNvPicPr>
                            <a:picLocks noChangeAspect="1"/>
                          </pic:cNvPicPr>
                        </pic:nvPicPr>
                        <pic:blipFill>
                          <a:blip r:embed="rId52"/>
                          <a:stretch>
                            <a:fillRect/>
                          </a:stretch>
                        </pic:blipFill>
                        <pic:spPr>
                          <a:xfrm>
                            <a:off x="0" y="0"/>
                            <a:ext cx="4592955" cy="1812925"/>
                          </a:xfrm>
                          <a:prstGeom prst="rect">
                            <a:avLst/>
                          </a:prstGeom>
                        </pic:spPr>
                      </pic:pic>
                    </a:graphicData>
                  </a:graphic>
                </wp:inline>
              </w:drawing>
            </w:r>
          </w:p>
        </w:tc>
      </w:tr>
      <w:tr w14:paraId="363E4924">
        <w:tblPrEx>
          <w:tblBorders>
            <w:top w:val="none" w:color="auto" w:sz="0" w:space="0"/>
            <w:left w:val="none" w:color="auto" w:sz="0" w:space="0"/>
            <w:bottom w:val="none" w:color="auto" w:sz="0" w:space="0"/>
            <w:right w:val="none" w:color="auto" w:sz="0" w:space="0"/>
            <w:insideH w:val="none" w:color="auto" w:sz="0" w:space="0"/>
            <w:insideV w:val="single" w:color="auto" w:sz="12" w:space="0"/>
          </w:tblBorders>
          <w:tblCellMar>
            <w:top w:w="0" w:type="dxa"/>
            <w:left w:w="0" w:type="dxa"/>
            <w:bottom w:w="0" w:type="dxa"/>
            <w:right w:w="0" w:type="dxa"/>
          </w:tblCellMar>
        </w:tblPrEx>
        <w:tc>
          <w:tcPr>
            <w:tcW w:w="7459" w:type="dxa"/>
            <w:tcBorders>
              <w:top w:val="single" w:color="auto" w:sz="4" w:space="0"/>
            </w:tcBorders>
          </w:tcPr>
          <w:p w14:paraId="434E8482">
            <w:pPr>
              <w:overflowPunct w:val="0"/>
              <w:rPr>
                <w:rFonts w:hint="default" w:ascii="Calibri" w:hAnsi="Calibri" w:eastAsia="楷体_GB2312" w:cs="Calibri"/>
                <w:i/>
                <w:iCs/>
                <w:sz w:val="15"/>
                <w:szCs w:val="15"/>
                <w:lang w:eastAsia="zh-CN"/>
              </w:rPr>
            </w:pPr>
            <w:r>
              <w:rPr>
                <w:rFonts w:hint="default" w:ascii="Calibri" w:hAnsi="Calibri" w:eastAsia="楷体_GB2312" w:cs="Calibri"/>
                <w:i/>
                <w:iCs/>
                <w:sz w:val="15"/>
                <w:szCs w:val="15"/>
              </w:rPr>
              <w:t>资料来源：U.S. Bureau of Economic Analysis，</w:t>
            </w:r>
            <w:r>
              <w:rPr>
                <w:rFonts w:hint="default" w:ascii="Calibri" w:hAnsi="Calibri" w:eastAsia="楷体_GB2312" w:cs="Calibri"/>
                <w:i/>
                <w:iCs/>
                <w:sz w:val="15"/>
                <w:szCs w:val="15"/>
                <w:lang w:eastAsia="zh-CN"/>
              </w:rPr>
              <w:t>HFI</w:t>
            </w:r>
          </w:p>
        </w:tc>
      </w:tr>
    </w:tbl>
    <w:p w14:paraId="0E88C2B9">
      <w:pPr>
        <w:overflowPunct w:val="0"/>
        <w:ind w:left="3200" w:leftChars="2000"/>
        <w:jc w:val="both"/>
        <w:rPr>
          <w:rFonts w:hint="default" w:ascii="Calibri" w:hAnsi="Calibri" w:eastAsia="楷体_GB2312" w:cs="Calibri"/>
          <w:b/>
          <w:bCs/>
          <w:color w:val="1F497D" w:themeColor="text2"/>
          <w:sz w:val="24"/>
          <w:szCs w:val="24"/>
          <w:lang w:val="en-US" w:eastAsia="zh-CN"/>
          <w14:textFill>
            <w14:solidFill>
              <w14:schemeClr w14:val="tx2"/>
            </w14:solidFill>
          </w14:textFill>
        </w:rPr>
      </w:pPr>
    </w:p>
    <w:p w14:paraId="2FA2E21D">
      <w:pPr>
        <w:overflowPunct w:val="0"/>
        <w:ind w:left="3200" w:leftChars="2000"/>
        <w:jc w:val="both"/>
        <w:rPr>
          <w:rFonts w:hint="default" w:ascii="Calibri" w:hAnsi="Calibri" w:eastAsia="楷体_GB2312" w:cs="Calibri"/>
          <w:b/>
          <w:bCs/>
          <w:color w:val="1F497D" w:themeColor="text2"/>
          <w:sz w:val="24"/>
          <w:szCs w:val="24"/>
          <w:lang w:val="en-US" w:eastAsia="zh-CN"/>
          <w14:textFill>
            <w14:solidFill>
              <w14:schemeClr w14:val="tx2"/>
            </w14:solidFill>
          </w14:textFill>
        </w:rPr>
      </w:pPr>
      <w:r>
        <w:rPr>
          <w:rFonts w:hint="default" w:ascii="Calibri" w:hAnsi="Calibri" w:eastAsia="楷体_GB2312" w:cs="Calibri"/>
        </w:rPr>
        <w:fldChar w:fldCharType="begin"/>
      </w:r>
      <w:r>
        <w:rPr>
          <w:rFonts w:hint="default" w:ascii="Calibri" w:hAnsi="Calibri" w:eastAsia="楷体_GB2312" w:cs="Calibri"/>
        </w:rPr>
        <w:instrText xml:space="preserve"> HYPERLINK \l "_Toc192787049" </w:instrText>
      </w:r>
      <w:r>
        <w:rPr>
          <w:rFonts w:hint="default" w:ascii="Calibri" w:hAnsi="Calibri" w:eastAsia="楷体_GB2312" w:cs="Calibri"/>
        </w:rPr>
        <w:fldChar w:fldCharType="separate"/>
      </w:r>
      <w:r>
        <w:rPr>
          <w:rFonts w:hint="default" w:ascii="Calibri" w:hAnsi="Calibri" w:eastAsia="楷体_GB2312" w:cs="Calibri"/>
        </w:rPr>
        <w:fldChar w:fldCharType="end"/>
      </w:r>
    </w:p>
    <w:p w14:paraId="16C94123">
      <w:pPr>
        <w:overflowPunct w:val="0"/>
        <w:ind w:left="3200" w:leftChars="2000"/>
        <w:jc w:val="both"/>
        <w:outlineLvl w:val="1"/>
        <w:rPr>
          <w:rFonts w:hint="default" w:ascii="Calibri" w:hAnsi="Calibri" w:eastAsia="楷体_GB2312" w:cs="Calibri"/>
          <w:b/>
          <w:bCs/>
          <w:color w:val="1F497D" w:themeColor="text2"/>
          <w:sz w:val="24"/>
          <w:szCs w:val="24"/>
          <w:lang w:val="en-US" w:eastAsia="zh-CN"/>
          <w14:textFill>
            <w14:solidFill>
              <w14:schemeClr w14:val="tx2"/>
            </w14:solidFill>
          </w14:textFill>
        </w:rPr>
      </w:pPr>
      <w:bookmarkStart w:id="39" w:name="_Toc223082616"/>
      <w:r>
        <w:rPr>
          <w:rFonts w:hint="default" w:ascii="Calibri" w:hAnsi="Calibri" w:eastAsia="楷体_GB2312" w:cs="Calibri"/>
          <w:b/>
          <w:bCs/>
          <w:color w:val="1F497D" w:themeColor="text2"/>
          <w:sz w:val="24"/>
          <w:szCs w:val="24"/>
          <w:lang w:val="en-US" w:eastAsia="zh-CN"/>
          <w14:textFill>
            <w14:solidFill>
              <w14:schemeClr w14:val="tx2"/>
            </w14:solidFill>
          </w14:textFill>
        </w:rPr>
        <w:t>（三）通用航空</w:t>
      </w:r>
      <w:bookmarkEnd w:id="39"/>
    </w:p>
    <w:p w14:paraId="41D4A3F2">
      <w:pPr>
        <w:overflowPunct w:val="0"/>
        <w:ind w:left="3200" w:leftChars="2000"/>
        <w:jc w:val="both"/>
        <w:rPr>
          <w:rFonts w:hint="default" w:ascii="Calibri" w:hAnsi="Calibri" w:eastAsia="楷体_GB2312" w:cs="Calibri"/>
          <w:sz w:val="20"/>
          <w:szCs w:val="20"/>
          <w:lang w:val="en-US" w:eastAsia="zh-CN"/>
        </w:rPr>
      </w:pPr>
    </w:p>
    <w:p w14:paraId="15A258A7">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全球通用航空器交付量呈现稳步增长态势。2024 年全球通用航空器交付量达到 3,126 架，同比增长 2.5%。2025年实际交付量已达到3,230架，同比增长3.3%；2026 年将进一步上升至 3,410 架，增幅 5.6%；2027 年和 2028 年预计分别达到 3,520 架和 3,650 架，对应增速 3.2% 和 3.5%。这一趋势表明，全球通用航空制造业在经历疫情后已实现全面恢复，市场需求持续释放，行业进入稳定增长的新阶段。</w:t>
      </w:r>
    </w:p>
    <w:p w14:paraId="102FBB10">
      <w:pPr>
        <w:overflowPunct w:val="0"/>
        <w:jc w:val="both"/>
        <w:rPr>
          <w:rFonts w:hint="default" w:ascii="Calibri" w:hAnsi="Calibri" w:eastAsia="楷体_GB2312" w:cs="Calibri"/>
          <w:b/>
          <w:bCs/>
          <w:color w:val="1F497D" w:themeColor="text2"/>
          <w:sz w:val="24"/>
          <w:szCs w:val="24"/>
          <w:lang w:eastAsia="zh-CN"/>
          <w14:textFill>
            <w14:solidFill>
              <w14:schemeClr w14:val="tx2"/>
            </w14:solidFill>
          </w14:textFill>
        </w:rPr>
      </w:pPr>
    </w:p>
    <w:tbl>
      <w:tblPr>
        <w:tblStyle w:val="26"/>
        <w:tblW w:w="10743" w:type="dxa"/>
        <w:tblInd w:w="0" w:type="dxa"/>
        <w:tblLayout w:type="fixed"/>
        <w:tblCellMar>
          <w:top w:w="0" w:type="dxa"/>
          <w:left w:w="108" w:type="dxa"/>
          <w:bottom w:w="0" w:type="dxa"/>
          <w:right w:w="108" w:type="dxa"/>
        </w:tblCellMar>
      </w:tblPr>
      <w:tblGrid>
        <w:gridCol w:w="5306"/>
        <w:gridCol w:w="240"/>
        <w:gridCol w:w="5197"/>
      </w:tblGrid>
      <w:tr w14:paraId="6BD5BED0">
        <w:tblPrEx>
          <w:tblCellMar>
            <w:top w:w="0" w:type="dxa"/>
            <w:left w:w="108" w:type="dxa"/>
            <w:bottom w:w="0" w:type="dxa"/>
            <w:right w:w="108" w:type="dxa"/>
          </w:tblCellMar>
        </w:tblPrEx>
        <w:trPr>
          <w:trHeight w:val="227" w:hRule="atLeast"/>
        </w:trPr>
        <w:tc>
          <w:tcPr>
            <w:tcW w:w="5306" w:type="dxa"/>
            <w:tcBorders>
              <w:bottom w:val="single" w:color="auto" w:sz="4" w:space="0"/>
            </w:tcBorders>
            <w:tcMar>
              <w:left w:w="0" w:type="dxa"/>
              <w:right w:w="28" w:type="dxa"/>
            </w:tcMar>
          </w:tcPr>
          <w:p w14:paraId="122817BA">
            <w:pPr>
              <w:spacing w:before="48" w:beforeLines="20" w:after="48" w:afterLines="20"/>
              <w:textAlignment w:val="center"/>
              <w:rPr>
                <w:rFonts w:hint="default" w:ascii="Calibri" w:hAnsi="Calibri" w:eastAsia="楷体_GB2312" w:cs="Calibri"/>
                <w:b/>
                <w:szCs w:val="20"/>
                <w:highlight w:val="yellow"/>
                <w:lang w:eastAsia="zh-CN"/>
              </w:rPr>
            </w:pPr>
            <w:r>
              <w:rPr>
                <w:rFonts w:hint="default" w:ascii="Calibri" w:hAnsi="Calibri" w:eastAsia="楷体_GB2312" w:cs="Calibri"/>
                <w:b/>
                <w:sz w:val="18"/>
                <w:szCs w:val="18"/>
                <w:lang w:val="zh-CN" w:eastAsia="zh-CN"/>
              </w:rPr>
              <w:t>图4</w:t>
            </w:r>
            <w:r>
              <w:rPr>
                <w:rFonts w:hint="default" w:ascii="Calibri" w:hAnsi="Calibri" w:eastAsia="楷体_GB2312" w:cs="Calibri"/>
                <w:b/>
                <w:sz w:val="18"/>
                <w:szCs w:val="18"/>
                <w:lang w:val="en-US" w:eastAsia="zh-CN"/>
              </w:rPr>
              <w:t>3</w:t>
            </w:r>
            <w:r>
              <w:rPr>
                <w:rFonts w:hint="default" w:ascii="Calibri" w:hAnsi="Calibri" w:eastAsia="楷体_GB2312" w:cs="Calibri"/>
                <w:b/>
                <w:sz w:val="18"/>
                <w:szCs w:val="18"/>
                <w:lang w:val="zh-CN" w:eastAsia="zh-CN"/>
              </w:rPr>
              <w:t>：全球通用航空器交付量（架）</w:t>
            </w:r>
          </w:p>
        </w:tc>
        <w:tc>
          <w:tcPr>
            <w:tcW w:w="240" w:type="dxa"/>
            <w:tcMar>
              <w:left w:w="0" w:type="dxa"/>
              <w:right w:w="28" w:type="dxa"/>
            </w:tcMar>
          </w:tcPr>
          <w:p w14:paraId="2722F5EA">
            <w:pPr>
              <w:spacing w:before="48" w:beforeLines="20" w:after="48" w:afterLines="20"/>
              <w:textAlignment w:val="center"/>
              <w:rPr>
                <w:rFonts w:hint="default" w:ascii="Calibri" w:hAnsi="Calibri" w:eastAsia="楷体_GB2312" w:cs="Calibri"/>
                <w:b/>
                <w:sz w:val="18"/>
                <w:szCs w:val="18"/>
                <w:lang w:val="zh-CN" w:eastAsia="zh-CN"/>
              </w:rPr>
            </w:pPr>
          </w:p>
        </w:tc>
        <w:tc>
          <w:tcPr>
            <w:tcW w:w="5197" w:type="dxa"/>
            <w:tcBorders>
              <w:bottom w:val="single" w:color="auto" w:sz="4" w:space="0"/>
            </w:tcBorders>
            <w:tcMar>
              <w:left w:w="0" w:type="dxa"/>
              <w:right w:w="28" w:type="dxa"/>
            </w:tcMar>
          </w:tcPr>
          <w:p w14:paraId="0340E675">
            <w:pPr>
              <w:spacing w:before="48" w:beforeLines="20" w:after="48" w:afterLines="20"/>
              <w:textAlignment w:val="center"/>
              <w:rPr>
                <w:rFonts w:hint="default" w:ascii="Calibri" w:hAnsi="Calibri" w:eastAsia="楷体_GB2312" w:cs="Calibri"/>
                <w:b/>
                <w:sz w:val="18"/>
                <w:szCs w:val="18"/>
                <w:lang w:val="zh-CN" w:eastAsia="zh-CN"/>
              </w:rPr>
            </w:pPr>
            <w:r>
              <w:rPr>
                <w:rFonts w:hint="default" w:ascii="Calibri" w:hAnsi="Calibri" w:eastAsia="楷体_GB2312" w:cs="Calibri"/>
                <w:b/>
                <w:sz w:val="18"/>
                <w:szCs w:val="18"/>
                <w:lang w:val="zh-CN" w:eastAsia="zh-CN"/>
              </w:rPr>
              <w:t>图4</w:t>
            </w:r>
            <w:r>
              <w:rPr>
                <w:rFonts w:hint="default" w:ascii="Calibri" w:hAnsi="Calibri" w:eastAsia="楷体_GB2312" w:cs="Calibri"/>
                <w:b/>
                <w:sz w:val="18"/>
                <w:szCs w:val="18"/>
                <w:lang w:val="en-US" w:eastAsia="zh-CN"/>
              </w:rPr>
              <w:t>4</w:t>
            </w:r>
            <w:r>
              <w:rPr>
                <w:rFonts w:hint="default" w:ascii="Calibri" w:hAnsi="Calibri" w:eastAsia="楷体_GB2312" w:cs="Calibri"/>
                <w:b/>
                <w:sz w:val="18"/>
                <w:szCs w:val="18"/>
                <w:lang w:val="zh-CN" w:eastAsia="zh-CN"/>
              </w:rPr>
              <w:t>：全球通用航空器交付量（美元）</w:t>
            </w:r>
          </w:p>
        </w:tc>
      </w:tr>
      <w:tr w14:paraId="55D5EB12">
        <w:tblPrEx>
          <w:tblCellMar>
            <w:top w:w="0" w:type="dxa"/>
            <w:left w:w="108" w:type="dxa"/>
            <w:bottom w:w="0" w:type="dxa"/>
            <w:right w:w="108" w:type="dxa"/>
          </w:tblCellMar>
        </w:tblPrEx>
        <w:trPr>
          <w:trHeight w:val="2300" w:hRule="atLeast"/>
        </w:trPr>
        <w:tc>
          <w:tcPr>
            <w:tcW w:w="5306" w:type="dxa"/>
            <w:tcBorders>
              <w:top w:val="single" w:color="auto" w:sz="4" w:space="0"/>
              <w:bottom w:val="single" w:color="auto" w:sz="4" w:space="0"/>
            </w:tcBorders>
            <w:vAlign w:val="center"/>
          </w:tcPr>
          <w:p w14:paraId="02062722">
            <w:pPr>
              <w:spacing w:before="48" w:beforeLines="20" w:after="48" w:afterLines="20"/>
              <w:textAlignment w:val="center"/>
              <w:rPr>
                <w:rFonts w:hint="default" w:ascii="Calibri" w:hAnsi="Calibri" w:eastAsia="楷体_GB2312" w:cs="Calibri"/>
                <w:b/>
                <w:color w:val="000000"/>
                <w:szCs w:val="20"/>
                <w:lang w:bidi="ar"/>
              </w:rPr>
            </w:pPr>
            <w:r>
              <w:rPr>
                <w:rFonts w:hint="default" w:ascii="Calibri" w:hAnsi="Calibri" w:eastAsia="楷体_GB2312" w:cs="Calibri"/>
                <w:snapToGrid/>
              </w:rPr>
              <w:drawing>
                <wp:inline distT="0" distB="0" distL="0" distR="0">
                  <wp:extent cx="3232150" cy="2190750"/>
                  <wp:effectExtent l="0" t="0" r="6350" b="0"/>
                  <wp:docPr id="174678017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3"/>
                    </a:graphicData>
                  </a:graphic>
                </wp:inline>
              </w:drawing>
            </w:r>
          </w:p>
        </w:tc>
        <w:tc>
          <w:tcPr>
            <w:tcW w:w="240" w:type="dxa"/>
          </w:tcPr>
          <w:p w14:paraId="4117E73E">
            <w:pPr>
              <w:spacing w:before="48" w:beforeLines="20" w:after="48" w:afterLines="20"/>
              <w:rPr>
                <w:rFonts w:hint="default" w:ascii="Calibri" w:hAnsi="Calibri" w:eastAsia="楷体_GB2312" w:cs="Calibri"/>
                <w:szCs w:val="20"/>
              </w:rPr>
            </w:pPr>
          </w:p>
        </w:tc>
        <w:tc>
          <w:tcPr>
            <w:tcW w:w="5197" w:type="dxa"/>
            <w:tcBorders>
              <w:top w:val="single" w:color="auto" w:sz="4" w:space="0"/>
              <w:bottom w:val="single" w:color="auto" w:sz="4" w:space="0"/>
            </w:tcBorders>
          </w:tcPr>
          <w:p w14:paraId="4D0F0F97">
            <w:pPr>
              <w:spacing w:before="48" w:beforeLines="20" w:after="48" w:afterLines="20"/>
              <w:rPr>
                <w:rFonts w:hint="default" w:ascii="Calibri" w:hAnsi="Calibri" w:eastAsia="楷体_GB2312" w:cs="Calibri"/>
                <w:b/>
                <w:szCs w:val="20"/>
              </w:rPr>
            </w:pPr>
            <w:r>
              <w:rPr>
                <w:rFonts w:hint="default" w:ascii="Calibri" w:hAnsi="Calibri" w:eastAsia="楷体_GB2312" w:cs="Calibri"/>
                <w:snapToGrid/>
              </w:rPr>
              <w:drawing>
                <wp:inline distT="0" distB="0" distL="0" distR="0">
                  <wp:extent cx="3162935" cy="2015490"/>
                  <wp:effectExtent l="0" t="0" r="0" b="3810"/>
                  <wp:docPr id="22162554"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4"/>
                    </a:graphicData>
                  </a:graphic>
                </wp:inline>
              </w:drawing>
            </w:r>
          </w:p>
        </w:tc>
      </w:tr>
      <w:tr w14:paraId="1DE0891B">
        <w:tblPrEx>
          <w:tblCellMar>
            <w:top w:w="0" w:type="dxa"/>
            <w:left w:w="108" w:type="dxa"/>
            <w:bottom w:w="0" w:type="dxa"/>
            <w:right w:w="108" w:type="dxa"/>
          </w:tblCellMar>
        </w:tblPrEx>
        <w:trPr>
          <w:trHeight w:val="227" w:hRule="atLeast"/>
        </w:trPr>
        <w:tc>
          <w:tcPr>
            <w:tcW w:w="5306" w:type="dxa"/>
            <w:tcBorders>
              <w:top w:val="single" w:color="auto" w:sz="4" w:space="0"/>
            </w:tcBorders>
            <w:tcMar>
              <w:left w:w="0" w:type="dxa"/>
              <w:right w:w="28" w:type="dxa"/>
            </w:tcMar>
            <w:vAlign w:val="center"/>
          </w:tcPr>
          <w:p w14:paraId="0AA7FBDE">
            <w:pPr>
              <w:overflowPunct w:val="0"/>
              <w:rPr>
                <w:rFonts w:hint="default" w:ascii="Calibri" w:hAnsi="Calibri" w:eastAsia="楷体_GB2312" w:cs="Calibri"/>
                <w:i/>
                <w:iCs/>
              </w:rPr>
            </w:pPr>
            <w:r>
              <w:rPr>
                <w:rFonts w:hint="default" w:ascii="Calibri" w:hAnsi="Calibri" w:eastAsia="楷体_GB2312" w:cs="Calibri"/>
                <w:i/>
                <w:iCs/>
              </w:rPr>
              <w:t>资料来源: GAMA, Wind, HFI</w:t>
            </w:r>
          </w:p>
        </w:tc>
        <w:tc>
          <w:tcPr>
            <w:tcW w:w="240" w:type="dxa"/>
            <w:tcMar>
              <w:left w:w="0" w:type="dxa"/>
              <w:right w:w="28" w:type="dxa"/>
            </w:tcMar>
          </w:tcPr>
          <w:p w14:paraId="69761D75">
            <w:pPr>
              <w:overflowPunct w:val="0"/>
              <w:rPr>
                <w:rFonts w:hint="default" w:ascii="Calibri" w:hAnsi="Calibri" w:eastAsia="楷体_GB2312" w:cs="Calibri"/>
                <w:i/>
                <w:iCs/>
              </w:rPr>
            </w:pPr>
          </w:p>
        </w:tc>
        <w:tc>
          <w:tcPr>
            <w:tcW w:w="5197" w:type="dxa"/>
            <w:tcBorders>
              <w:top w:val="single" w:color="auto" w:sz="4" w:space="0"/>
            </w:tcBorders>
            <w:tcMar>
              <w:left w:w="0" w:type="dxa"/>
              <w:right w:w="28" w:type="dxa"/>
            </w:tcMar>
          </w:tcPr>
          <w:p w14:paraId="7354F8FA">
            <w:pPr>
              <w:overflowPunct w:val="0"/>
              <w:rPr>
                <w:rFonts w:hint="default" w:ascii="Calibri" w:hAnsi="Calibri" w:eastAsia="楷体_GB2312" w:cs="Calibri"/>
                <w:i/>
                <w:iCs/>
              </w:rPr>
            </w:pPr>
            <w:r>
              <w:rPr>
                <w:rFonts w:hint="default" w:ascii="Calibri" w:hAnsi="Calibri" w:eastAsia="楷体_GB2312" w:cs="Calibri"/>
                <w:i/>
                <w:iCs/>
              </w:rPr>
              <w:t>资料来源: GAMA, Wind,HFI</w:t>
            </w:r>
          </w:p>
        </w:tc>
      </w:tr>
    </w:tbl>
    <w:p w14:paraId="49F89511">
      <w:pPr>
        <w:overflowPunct w:val="0"/>
        <w:jc w:val="both"/>
        <w:rPr>
          <w:rFonts w:hint="default" w:ascii="Calibri" w:hAnsi="Calibri" w:eastAsia="楷体_GB2312" w:cs="Calibri"/>
          <w:b/>
          <w:bCs/>
          <w:color w:val="1F497D" w:themeColor="text2"/>
          <w:sz w:val="24"/>
          <w:szCs w:val="24"/>
          <w:lang w:val="en-US" w:eastAsia="zh-CN"/>
          <w14:textFill>
            <w14:solidFill>
              <w14:schemeClr w14:val="tx2"/>
            </w14:solidFill>
          </w14:textFill>
        </w:rPr>
      </w:pPr>
    </w:p>
    <w:p w14:paraId="607B9939">
      <w:pPr>
        <w:overflowPunct w:val="0"/>
        <w:ind w:left="3200" w:leftChars="2000"/>
        <w:jc w:val="both"/>
        <w:rPr>
          <w:rFonts w:hint="default" w:ascii="Calibri" w:hAnsi="Calibri" w:eastAsia="楷体_GB2312" w:cs="Calibri"/>
          <w:b/>
          <w:bCs/>
          <w:color w:val="1F497D" w:themeColor="text2"/>
          <w:sz w:val="24"/>
          <w:lang w:eastAsia="zh-CN"/>
          <w14:textFill>
            <w14:solidFill>
              <w14:schemeClr w14:val="tx2"/>
            </w14:solidFill>
          </w14:textFill>
        </w:rPr>
      </w:pPr>
      <w:r>
        <w:rPr>
          <w:rFonts w:hint="default" w:ascii="Calibri" w:hAnsi="Calibri" w:eastAsia="楷体_GB2312" w:cs="Calibri"/>
          <w:sz w:val="20"/>
          <w:szCs w:val="20"/>
          <w:lang w:val="en-US" w:eastAsia="zh-CN"/>
        </w:rPr>
        <w:t>全球通用航空市场呈现北美地区增长为主、欧洲保持稳定、亚太地区面临调整压力、拉美/中东及非洲地区增速放缓的格局。未来随着各国政策落地实施，特别是中国持续推进低空经济与通用航空发展，亚太地区的市场份额有望回升。</w:t>
      </w:r>
    </w:p>
    <w:tbl>
      <w:tblPr>
        <w:tblStyle w:val="26"/>
        <w:tblpPr w:leftFromText="180" w:rightFromText="180" w:vertAnchor="text" w:horzAnchor="margin" w:tblpXSpec="right" w:tblpY="317"/>
        <w:tblW w:w="7466" w:type="dxa"/>
        <w:jc w:val="right"/>
        <w:tblLayout w:type="fixed"/>
        <w:tblCellMar>
          <w:top w:w="0" w:type="dxa"/>
          <w:left w:w="108" w:type="dxa"/>
          <w:bottom w:w="0" w:type="dxa"/>
          <w:right w:w="108" w:type="dxa"/>
        </w:tblCellMar>
      </w:tblPr>
      <w:tblGrid>
        <w:gridCol w:w="7466"/>
      </w:tblGrid>
      <w:tr w14:paraId="46520672">
        <w:tblPrEx>
          <w:tblCellMar>
            <w:top w:w="0" w:type="dxa"/>
            <w:left w:w="108" w:type="dxa"/>
            <w:bottom w:w="0" w:type="dxa"/>
            <w:right w:w="108" w:type="dxa"/>
          </w:tblCellMar>
        </w:tblPrEx>
        <w:trPr>
          <w:trHeight w:val="302" w:hRule="atLeast"/>
          <w:jc w:val="right"/>
        </w:trPr>
        <w:tc>
          <w:tcPr>
            <w:tcW w:w="7466" w:type="dxa"/>
            <w:tcBorders>
              <w:bottom w:val="single" w:color="auto" w:sz="4" w:space="0"/>
            </w:tcBorders>
            <w:tcMar>
              <w:left w:w="0" w:type="dxa"/>
              <w:right w:w="28" w:type="dxa"/>
            </w:tcMar>
          </w:tcPr>
          <w:p w14:paraId="00B1F6B4">
            <w:pPr>
              <w:spacing w:before="48" w:beforeLines="20" w:after="48" w:afterLines="20"/>
              <w:textAlignment w:val="center"/>
              <w:rPr>
                <w:rFonts w:hint="default" w:ascii="Calibri" w:hAnsi="Calibri" w:eastAsia="楷体_GB2312" w:cs="Calibri"/>
                <w:szCs w:val="20"/>
                <w:lang w:eastAsia="zh-CN"/>
              </w:rPr>
            </w:pPr>
            <w:r>
              <w:rPr>
                <w:rFonts w:hint="default" w:ascii="Calibri" w:hAnsi="Calibri" w:eastAsia="楷体_GB2312" w:cs="Calibri"/>
                <w:b/>
                <w:sz w:val="18"/>
                <w:szCs w:val="18"/>
                <w:lang w:val="zh-CN" w:eastAsia="zh-CN"/>
              </w:rPr>
              <w:t>图4</w:t>
            </w:r>
            <w:r>
              <w:rPr>
                <w:rFonts w:hint="default" w:ascii="Calibri" w:hAnsi="Calibri" w:eastAsia="楷体_GB2312" w:cs="Calibri"/>
                <w:b/>
                <w:sz w:val="18"/>
                <w:szCs w:val="18"/>
                <w:lang w:val="en-US" w:eastAsia="zh-CN"/>
              </w:rPr>
              <w:t>5</w:t>
            </w:r>
            <w:r>
              <w:rPr>
                <w:rFonts w:hint="default" w:ascii="Calibri" w:hAnsi="Calibri" w:eastAsia="楷体_GB2312" w:cs="Calibri"/>
                <w:b/>
                <w:sz w:val="18"/>
                <w:szCs w:val="18"/>
                <w:lang w:val="zh-CN" w:eastAsia="zh-CN"/>
              </w:rPr>
              <w:t>：全球通用航空器按地区交付量（架）</w:t>
            </w:r>
          </w:p>
        </w:tc>
      </w:tr>
      <w:tr w14:paraId="25AC9F18">
        <w:tblPrEx>
          <w:tblCellMar>
            <w:top w:w="0" w:type="dxa"/>
            <w:left w:w="108" w:type="dxa"/>
            <w:bottom w:w="0" w:type="dxa"/>
            <w:right w:w="108" w:type="dxa"/>
          </w:tblCellMar>
        </w:tblPrEx>
        <w:trPr>
          <w:trHeight w:val="856" w:hRule="atLeast"/>
          <w:jc w:val="right"/>
        </w:trPr>
        <w:tc>
          <w:tcPr>
            <w:tcW w:w="7466" w:type="dxa"/>
            <w:tcBorders>
              <w:top w:val="single" w:color="auto" w:sz="4" w:space="0"/>
              <w:bottom w:val="single" w:color="auto" w:sz="4" w:space="0"/>
            </w:tcBorders>
            <w:vAlign w:val="center"/>
          </w:tcPr>
          <w:p w14:paraId="53CE1FF3">
            <w:pPr>
              <w:spacing w:before="48" w:beforeLines="20" w:after="48" w:afterLines="20"/>
              <w:jc w:val="center"/>
              <w:textAlignment w:val="center"/>
              <w:rPr>
                <w:rFonts w:hint="default" w:ascii="Calibri" w:hAnsi="Calibri" w:eastAsia="楷体_GB2312" w:cs="Calibri"/>
                <w:b/>
                <w:bCs/>
                <w:szCs w:val="20"/>
              </w:rPr>
            </w:pPr>
            <w:r>
              <w:rPr>
                <w:rFonts w:hint="default" w:ascii="Calibri" w:hAnsi="Calibri" w:eastAsia="楷体_GB2312" w:cs="Calibri"/>
                <w:snapToGrid/>
              </w:rPr>
              <w:drawing>
                <wp:inline distT="0" distB="0" distL="0" distR="0">
                  <wp:extent cx="4603750" cy="1960880"/>
                  <wp:effectExtent l="0" t="0" r="19050" b="20320"/>
                  <wp:docPr id="21"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5"/>
                    </a:graphicData>
                  </a:graphic>
                </wp:inline>
              </w:drawing>
            </w:r>
          </w:p>
        </w:tc>
      </w:tr>
      <w:tr w14:paraId="07722672">
        <w:tblPrEx>
          <w:tblCellMar>
            <w:top w:w="0" w:type="dxa"/>
            <w:left w:w="108" w:type="dxa"/>
            <w:bottom w:w="0" w:type="dxa"/>
            <w:right w:w="108" w:type="dxa"/>
          </w:tblCellMar>
        </w:tblPrEx>
        <w:trPr>
          <w:trHeight w:val="64" w:hRule="atLeast"/>
          <w:jc w:val="right"/>
        </w:trPr>
        <w:tc>
          <w:tcPr>
            <w:tcW w:w="7466" w:type="dxa"/>
            <w:tcBorders>
              <w:top w:val="single" w:color="auto" w:sz="4" w:space="0"/>
            </w:tcBorders>
            <w:tcMar>
              <w:left w:w="0" w:type="dxa"/>
              <w:right w:w="28" w:type="dxa"/>
            </w:tcMar>
            <w:vAlign w:val="center"/>
          </w:tcPr>
          <w:p w14:paraId="6A60322F">
            <w:pPr>
              <w:spacing w:line="240" w:lineRule="atLeast"/>
              <w:textAlignment w:val="center"/>
              <w:rPr>
                <w:rFonts w:hint="default" w:ascii="Calibri" w:hAnsi="Calibri" w:eastAsia="楷体_GB2312" w:cs="Calibri"/>
                <w:i/>
                <w:iCs/>
              </w:rPr>
            </w:pPr>
            <w:r>
              <w:rPr>
                <w:rFonts w:hint="default" w:ascii="Calibri" w:hAnsi="Calibri" w:eastAsia="楷体_GB2312" w:cs="Calibri"/>
                <w:i/>
                <w:iCs/>
              </w:rPr>
              <w:t>资料来源: GAMA, Wind, HFI</w:t>
            </w:r>
          </w:p>
        </w:tc>
      </w:tr>
    </w:tbl>
    <w:p w14:paraId="41399012">
      <w:pPr>
        <w:pStyle w:val="12"/>
        <w:spacing w:before="240" w:beforeLines="100" w:after="240" w:afterLines="100" w:line="260" w:lineRule="exact"/>
        <w:ind w:left="0" w:leftChars="0" w:right="42" w:firstLine="0"/>
        <w:jc w:val="both"/>
        <w:rPr>
          <w:rFonts w:hint="default" w:ascii="Calibri" w:hAnsi="Calibri" w:eastAsia="楷体_GB2312" w:cs="Calibri"/>
          <w:b/>
          <w:bCs/>
          <w:color w:val="1F497D" w:themeColor="text2"/>
          <w:kern w:val="0"/>
          <w:sz w:val="24"/>
          <w:lang w:eastAsia="ja-JP"/>
          <w14:textFill>
            <w14:solidFill>
              <w14:schemeClr w14:val="tx2"/>
            </w14:solidFill>
          </w14:textFill>
        </w:rPr>
      </w:pPr>
    </w:p>
    <w:p w14:paraId="5858E644">
      <w:pPr>
        <w:pStyle w:val="12"/>
        <w:spacing w:before="240" w:beforeLines="100" w:after="240" w:afterLines="100" w:line="260" w:lineRule="exact"/>
        <w:ind w:left="0" w:leftChars="0" w:right="42" w:firstLine="0"/>
        <w:jc w:val="both"/>
        <w:rPr>
          <w:rFonts w:hint="default" w:ascii="Calibri" w:hAnsi="Calibri" w:eastAsia="楷体_GB2312" w:cs="Calibri"/>
          <w:b/>
          <w:bCs/>
          <w:color w:val="1F497D" w:themeColor="text2"/>
          <w:kern w:val="0"/>
          <w:sz w:val="24"/>
          <w:lang w:eastAsia="ja-JP"/>
          <w14:textFill>
            <w14:solidFill>
              <w14:schemeClr w14:val="tx2"/>
            </w14:solidFill>
          </w14:textFill>
        </w:rPr>
      </w:pPr>
    </w:p>
    <w:p w14:paraId="6586B5D6">
      <w:pPr>
        <w:pStyle w:val="12"/>
        <w:spacing w:before="240" w:beforeLines="100" w:after="240" w:afterLines="100" w:line="260" w:lineRule="exact"/>
        <w:ind w:left="0" w:leftChars="0" w:right="42" w:firstLine="0"/>
        <w:jc w:val="both"/>
        <w:rPr>
          <w:rFonts w:hint="default" w:ascii="Calibri" w:hAnsi="Calibri" w:eastAsia="楷体_GB2312" w:cs="Calibri"/>
          <w:sz w:val="20"/>
          <w:szCs w:val="20"/>
          <w:lang w:val="en-GB"/>
        </w:rPr>
      </w:pPr>
    </w:p>
    <w:p w14:paraId="7BFACB99">
      <w:pPr>
        <w:pStyle w:val="12"/>
        <w:spacing w:before="240" w:beforeLines="100" w:after="240" w:afterLines="100" w:line="260" w:lineRule="exact"/>
        <w:ind w:left="0" w:leftChars="0" w:right="42" w:firstLine="0"/>
        <w:jc w:val="both"/>
        <w:rPr>
          <w:rFonts w:hint="default" w:ascii="Calibri" w:hAnsi="Calibri" w:eastAsia="楷体_GB2312" w:cs="Calibri"/>
          <w:sz w:val="20"/>
          <w:szCs w:val="20"/>
          <w:lang w:val="en-GB"/>
        </w:rPr>
      </w:pPr>
    </w:p>
    <w:p w14:paraId="5F61AC42">
      <w:pPr>
        <w:pStyle w:val="12"/>
        <w:spacing w:before="240" w:beforeLines="100" w:after="240" w:afterLines="100" w:line="260" w:lineRule="exact"/>
        <w:ind w:left="0" w:leftChars="0" w:right="42" w:firstLine="0"/>
        <w:jc w:val="both"/>
        <w:rPr>
          <w:rFonts w:hint="default" w:ascii="Calibri" w:hAnsi="Calibri" w:eastAsia="楷体_GB2312" w:cs="Calibri"/>
          <w:sz w:val="20"/>
          <w:szCs w:val="20"/>
          <w:lang w:val="en-GB"/>
        </w:rPr>
      </w:pPr>
    </w:p>
    <w:p w14:paraId="411A4D99">
      <w:pPr>
        <w:pStyle w:val="12"/>
        <w:spacing w:before="240" w:beforeLines="100" w:after="240" w:afterLines="100" w:line="260" w:lineRule="exact"/>
        <w:ind w:left="0" w:leftChars="0" w:right="42" w:firstLine="0"/>
        <w:jc w:val="both"/>
        <w:rPr>
          <w:rFonts w:hint="default" w:ascii="Calibri" w:hAnsi="Calibri" w:eastAsia="楷体_GB2312" w:cs="Calibri"/>
          <w:sz w:val="20"/>
          <w:szCs w:val="20"/>
          <w:lang w:val="en-GB"/>
        </w:rPr>
      </w:pPr>
    </w:p>
    <w:p w14:paraId="291FB675">
      <w:pPr>
        <w:pStyle w:val="12"/>
        <w:spacing w:before="240" w:beforeLines="100" w:after="240" w:afterLines="100" w:line="260" w:lineRule="exact"/>
        <w:ind w:left="0" w:leftChars="0" w:right="42" w:firstLine="0"/>
        <w:jc w:val="both"/>
        <w:rPr>
          <w:rFonts w:hint="default" w:ascii="Calibri" w:hAnsi="Calibri" w:eastAsia="楷体_GB2312" w:cs="Calibri"/>
          <w:sz w:val="20"/>
          <w:szCs w:val="20"/>
          <w:lang w:val="en-GB"/>
        </w:rPr>
      </w:pPr>
    </w:p>
    <w:p w14:paraId="40A7721B">
      <w:pPr>
        <w:pStyle w:val="12"/>
        <w:spacing w:before="240" w:beforeLines="100" w:after="240" w:afterLines="100" w:line="260" w:lineRule="exact"/>
        <w:ind w:left="0" w:leftChars="0" w:right="42" w:firstLine="0"/>
        <w:jc w:val="both"/>
        <w:rPr>
          <w:rFonts w:hint="default" w:ascii="Calibri" w:hAnsi="Calibri" w:eastAsia="楷体_GB2312" w:cs="Calibri"/>
          <w:sz w:val="20"/>
          <w:szCs w:val="20"/>
          <w:lang w:val="en-GB"/>
        </w:rPr>
      </w:pPr>
    </w:p>
    <w:p w14:paraId="72D15A36">
      <w:pPr>
        <w:overflowPunct w:val="0"/>
        <w:ind w:left="3200" w:leftChars="2000"/>
        <w:jc w:val="both"/>
        <w:rPr>
          <w:rFonts w:hint="default" w:ascii="Calibri" w:hAnsi="Calibri" w:eastAsia="楷体_GB2312" w:cs="Calibri"/>
          <w:sz w:val="20"/>
          <w:szCs w:val="20"/>
          <w:lang w:val="en-US" w:eastAsia="zh-CN"/>
        </w:rPr>
      </w:pPr>
    </w:p>
    <w:p w14:paraId="647EB2BD">
      <w:pPr>
        <w:pStyle w:val="45"/>
        <w:numPr>
          <w:ilvl w:val="0"/>
          <w:numId w:val="15"/>
        </w:numPr>
        <w:overflowPunct w:val="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活塞发动机飞机：从出货量来看，2025年全球五大活塞发动机飞机制造商合计市场份额达89.1%，其中西锐飞机以37.2%的份额稳居榜首（较2024年的32%进一步提升，较2020年约24.1%的份额显著扩大）。西锐飞机凭借其高端SR系列产品和强劲市场需求，继续领跑全球活塞发动机飞机市场。</w:t>
      </w:r>
    </w:p>
    <w:p w14:paraId="6B9BF6DE">
      <w:pPr>
        <w:rPr>
          <w:rFonts w:hint="default" w:ascii="Calibri" w:hAnsi="Calibri" w:eastAsia="楷体_GB2312" w:cs="Calibri"/>
          <w:sz w:val="20"/>
          <w:szCs w:val="20"/>
          <w:lang w:val="en-US" w:eastAsia="zh-CN"/>
        </w:rPr>
      </w:pPr>
    </w:p>
    <w:tbl>
      <w:tblPr>
        <w:tblStyle w:val="26"/>
        <w:tblW w:w="7466" w:type="dxa"/>
        <w:jc w:val="right"/>
        <w:tblLayout w:type="fixed"/>
        <w:tblCellMar>
          <w:top w:w="0" w:type="dxa"/>
          <w:left w:w="108" w:type="dxa"/>
          <w:bottom w:w="0" w:type="dxa"/>
          <w:right w:w="108" w:type="dxa"/>
        </w:tblCellMar>
      </w:tblPr>
      <w:tblGrid>
        <w:gridCol w:w="7466"/>
      </w:tblGrid>
      <w:tr w14:paraId="00DF284B">
        <w:tblPrEx>
          <w:tblCellMar>
            <w:top w:w="0" w:type="dxa"/>
            <w:left w:w="108" w:type="dxa"/>
            <w:bottom w:w="0" w:type="dxa"/>
            <w:right w:w="108" w:type="dxa"/>
          </w:tblCellMar>
        </w:tblPrEx>
        <w:trPr>
          <w:trHeight w:val="302" w:hRule="atLeast"/>
          <w:jc w:val="right"/>
        </w:trPr>
        <w:tc>
          <w:tcPr>
            <w:tcW w:w="7466" w:type="dxa"/>
            <w:tcBorders>
              <w:bottom w:val="single" w:color="auto" w:sz="4" w:space="0"/>
            </w:tcBorders>
            <w:tcMar>
              <w:left w:w="0" w:type="dxa"/>
              <w:right w:w="28" w:type="dxa"/>
            </w:tcMar>
          </w:tcPr>
          <w:p w14:paraId="595A864D">
            <w:pPr>
              <w:spacing w:before="48" w:beforeLines="20" w:after="48" w:afterLines="20"/>
              <w:textAlignment w:val="center"/>
              <w:rPr>
                <w:rFonts w:hint="default" w:ascii="Calibri" w:hAnsi="Calibri" w:eastAsia="楷体_GB2312" w:cs="Calibri"/>
                <w:b/>
                <w:szCs w:val="20"/>
                <w:lang w:eastAsia="zh-CN"/>
              </w:rPr>
            </w:pPr>
            <w:r>
              <w:rPr>
                <w:rFonts w:hint="default" w:ascii="Calibri" w:hAnsi="Calibri" w:eastAsia="楷体_GB2312" w:cs="Calibri"/>
                <w:b/>
                <w:sz w:val="18"/>
                <w:szCs w:val="18"/>
                <w:lang w:val="zh-CN" w:eastAsia="zh-CN"/>
              </w:rPr>
              <w:t>图4</w:t>
            </w:r>
            <w:r>
              <w:rPr>
                <w:rFonts w:hint="default" w:ascii="Calibri" w:hAnsi="Calibri" w:eastAsia="楷体_GB2312" w:cs="Calibri"/>
                <w:b/>
                <w:sz w:val="18"/>
                <w:szCs w:val="18"/>
                <w:lang w:val="en-US" w:eastAsia="zh-CN"/>
              </w:rPr>
              <w:t>6</w:t>
            </w:r>
            <w:r>
              <w:rPr>
                <w:rFonts w:hint="default" w:ascii="Calibri" w:hAnsi="Calibri" w:eastAsia="楷体_GB2312" w:cs="Calibri"/>
                <w:b/>
                <w:sz w:val="18"/>
                <w:szCs w:val="18"/>
                <w:lang w:val="zh-CN" w:eastAsia="zh-CN"/>
              </w:rPr>
              <w:t>：全球活塞式飞机交付量市场份额（单位：架）</w:t>
            </w:r>
          </w:p>
        </w:tc>
      </w:tr>
      <w:tr w14:paraId="49D43063">
        <w:tblPrEx>
          <w:tblCellMar>
            <w:top w:w="0" w:type="dxa"/>
            <w:left w:w="108" w:type="dxa"/>
            <w:bottom w:w="0" w:type="dxa"/>
            <w:right w:w="108" w:type="dxa"/>
          </w:tblCellMar>
        </w:tblPrEx>
        <w:trPr>
          <w:trHeight w:val="856" w:hRule="atLeast"/>
          <w:jc w:val="right"/>
        </w:trPr>
        <w:tc>
          <w:tcPr>
            <w:tcW w:w="7466" w:type="dxa"/>
            <w:tcBorders>
              <w:top w:val="single" w:color="auto" w:sz="4" w:space="0"/>
              <w:bottom w:val="single" w:color="auto" w:sz="4" w:space="0"/>
            </w:tcBorders>
            <w:vAlign w:val="center"/>
          </w:tcPr>
          <w:p w14:paraId="0C198371">
            <w:pPr>
              <w:spacing w:before="48" w:beforeLines="20" w:after="48" w:afterLines="20"/>
              <w:jc w:val="center"/>
              <w:textAlignment w:val="center"/>
              <w:rPr>
                <w:rFonts w:hint="default" w:ascii="Calibri" w:hAnsi="Calibri" w:eastAsia="楷体_GB2312" w:cs="Calibri"/>
                <w:b/>
                <w:bCs/>
                <w:szCs w:val="20"/>
              </w:rPr>
            </w:pPr>
            <w:r>
              <w:rPr>
                <w:rFonts w:hint="default" w:ascii="Calibri" w:hAnsi="Calibri" w:eastAsia="楷体_GB2312" w:cs="Calibri"/>
                <w:snapToGrid/>
              </w:rPr>
              <w:drawing>
                <wp:inline distT="0" distB="0" distL="0" distR="0">
                  <wp:extent cx="4603750" cy="1795780"/>
                  <wp:effectExtent l="0" t="0" r="6350" b="0"/>
                  <wp:docPr id="17616755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6"/>
                    </a:graphicData>
                  </a:graphic>
                </wp:inline>
              </w:drawing>
            </w:r>
          </w:p>
        </w:tc>
      </w:tr>
      <w:tr w14:paraId="7ED22851">
        <w:tblPrEx>
          <w:tblCellMar>
            <w:top w:w="0" w:type="dxa"/>
            <w:left w:w="108" w:type="dxa"/>
            <w:bottom w:w="0" w:type="dxa"/>
            <w:right w:w="108" w:type="dxa"/>
          </w:tblCellMar>
        </w:tblPrEx>
        <w:trPr>
          <w:trHeight w:val="64" w:hRule="atLeast"/>
          <w:jc w:val="right"/>
        </w:trPr>
        <w:tc>
          <w:tcPr>
            <w:tcW w:w="7466" w:type="dxa"/>
            <w:tcBorders>
              <w:top w:val="single" w:color="auto" w:sz="4" w:space="0"/>
            </w:tcBorders>
            <w:tcMar>
              <w:left w:w="0" w:type="dxa"/>
              <w:right w:w="28" w:type="dxa"/>
            </w:tcMar>
            <w:vAlign w:val="center"/>
          </w:tcPr>
          <w:p w14:paraId="6C511CFE">
            <w:pPr>
              <w:spacing w:line="240" w:lineRule="atLeast"/>
              <w:textAlignment w:val="center"/>
              <w:rPr>
                <w:rFonts w:hint="default" w:ascii="Calibri" w:hAnsi="Calibri" w:eastAsia="楷体_GB2312" w:cs="Calibri"/>
                <w:szCs w:val="20"/>
              </w:rPr>
            </w:pPr>
            <w:r>
              <w:rPr>
                <w:rFonts w:hint="default" w:ascii="Calibri" w:hAnsi="Calibri" w:eastAsia="楷体_GB2312" w:cs="Calibri"/>
                <w:i/>
                <w:iCs/>
              </w:rPr>
              <w:t>资料来源: GAMA, Wind, HFI</w:t>
            </w:r>
          </w:p>
        </w:tc>
      </w:tr>
    </w:tbl>
    <w:p w14:paraId="5F61A8EE">
      <w:pPr>
        <w:overflowPunct w:val="0"/>
        <w:ind w:left="3200" w:leftChars="2000"/>
        <w:jc w:val="both"/>
        <w:rPr>
          <w:rFonts w:hint="default" w:ascii="Calibri" w:hAnsi="Calibri" w:eastAsia="楷体_GB2312" w:cs="Calibri"/>
          <w:b/>
          <w:bCs/>
          <w:sz w:val="20"/>
          <w:szCs w:val="20"/>
          <w:lang w:val="en-US" w:eastAsia="zh-CN"/>
        </w:rPr>
      </w:pPr>
    </w:p>
    <w:p w14:paraId="409A95E4">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2）喷气式飞机：</w:t>
      </w:r>
      <w:r>
        <w:rPr>
          <w:rFonts w:hint="default" w:ascii="Calibri" w:hAnsi="Calibri" w:eastAsia="楷体_GB2312" w:cs="Calibri"/>
          <w:sz w:val="20"/>
          <w:szCs w:val="20"/>
          <w:lang w:val="en-US" w:eastAsia="zh-CN"/>
        </w:rPr>
        <w:t>2025年全球五大喷气式飞机制造商合计市场份额达87.5%，其中西锐飞机以约12.4%的份额位列第五（较2019年的约10%有所提升）。</w:t>
      </w:r>
    </w:p>
    <w:p w14:paraId="33F77967">
      <w:pPr>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br w:type="page"/>
      </w:r>
    </w:p>
    <w:tbl>
      <w:tblPr>
        <w:tblStyle w:val="26"/>
        <w:tblW w:w="7466" w:type="dxa"/>
        <w:jc w:val="right"/>
        <w:tblLayout w:type="fixed"/>
        <w:tblCellMar>
          <w:top w:w="0" w:type="dxa"/>
          <w:left w:w="108" w:type="dxa"/>
          <w:bottom w:w="0" w:type="dxa"/>
          <w:right w:w="108" w:type="dxa"/>
        </w:tblCellMar>
      </w:tblPr>
      <w:tblGrid>
        <w:gridCol w:w="7466"/>
      </w:tblGrid>
      <w:tr w14:paraId="3C6D3B0F">
        <w:tblPrEx>
          <w:tblCellMar>
            <w:top w:w="0" w:type="dxa"/>
            <w:left w:w="108" w:type="dxa"/>
            <w:bottom w:w="0" w:type="dxa"/>
            <w:right w:w="108" w:type="dxa"/>
          </w:tblCellMar>
        </w:tblPrEx>
        <w:trPr>
          <w:trHeight w:val="302" w:hRule="atLeast"/>
          <w:jc w:val="right"/>
        </w:trPr>
        <w:tc>
          <w:tcPr>
            <w:tcW w:w="7466" w:type="dxa"/>
            <w:tcBorders>
              <w:bottom w:val="single" w:color="auto" w:sz="4" w:space="0"/>
            </w:tcBorders>
            <w:tcMar>
              <w:left w:w="0" w:type="dxa"/>
              <w:right w:w="28" w:type="dxa"/>
            </w:tcMar>
          </w:tcPr>
          <w:p w14:paraId="7A698055">
            <w:pPr>
              <w:spacing w:before="48" w:beforeLines="20" w:after="48" w:afterLines="20"/>
              <w:textAlignment w:val="center"/>
              <w:rPr>
                <w:rFonts w:hint="default" w:ascii="Calibri" w:hAnsi="Calibri" w:eastAsia="楷体_GB2312" w:cs="Calibri"/>
                <w:b/>
                <w:szCs w:val="20"/>
                <w:lang w:eastAsia="zh-CN"/>
              </w:rPr>
            </w:pPr>
            <w:r>
              <w:rPr>
                <w:rFonts w:hint="default" w:ascii="Calibri" w:hAnsi="Calibri" w:eastAsia="楷体_GB2312" w:cs="Calibri"/>
                <w:b/>
                <w:sz w:val="18"/>
                <w:szCs w:val="18"/>
                <w:lang w:val="zh-CN" w:eastAsia="zh-CN"/>
              </w:rPr>
              <w:t>图4</w:t>
            </w:r>
            <w:r>
              <w:rPr>
                <w:rFonts w:hint="default" w:ascii="Calibri" w:hAnsi="Calibri" w:eastAsia="楷体_GB2312" w:cs="Calibri"/>
                <w:b/>
                <w:sz w:val="18"/>
                <w:szCs w:val="18"/>
                <w:lang w:val="en-US" w:eastAsia="zh-CN"/>
              </w:rPr>
              <w:t>7</w:t>
            </w:r>
            <w:r>
              <w:rPr>
                <w:rFonts w:hint="default" w:ascii="Calibri" w:hAnsi="Calibri" w:eastAsia="楷体_GB2312" w:cs="Calibri"/>
                <w:b/>
                <w:sz w:val="18"/>
                <w:szCs w:val="18"/>
                <w:lang w:val="zh-CN" w:eastAsia="zh-CN"/>
              </w:rPr>
              <w:t>：全球喷气式飞机交付量市场份额（单位：架）</w:t>
            </w:r>
          </w:p>
        </w:tc>
      </w:tr>
      <w:tr w14:paraId="47EFD850">
        <w:tblPrEx>
          <w:tblCellMar>
            <w:top w:w="0" w:type="dxa"/>
            <w:left w:w="108" w:type="dxa"/>
            <w:bottom w:w="0" w:type="dxa"/>
            <w:right w:w="108" w:type="dxa"/>
          </w:tblCellMar>
        </w:tblPrEx>
        <w:trPr>
          <w:trHeight w:val="856" w:hRule="atLeast"/>
          <w:jc w:val="right"/>
        </w:trPr>
        <w:tc>
          <w:tcPr>
            <w:tcW w:w="7466" w:type="dxa"/>
            <w:tcBorders>
              <w:top w:val="single" w:color="auto" w:sz="4" w:space="0"/>
              <w:bottom w:val="single" w:color="auto" w:sz="4" w:space="0"/>
            </w:tcBorders>
            <w:vAlign w:val="center"/>
          </w:tcPr>
          <w:p w14:paraId="457F83CB">
            <w:pPr>
              <w:spacing w:before="48" w:beforeLines="20" w:after="48" w:afterLines="20"/>
              <w:jc w:val="center"/>
              <w:textAlignment w:val="center"/>
              <w:rPr>
                <w:rFonts w:hint="default" w:ascii="Calibri" w:hAnsi="Calibri" w:eastAsia="楷体_GB2312" w:cs="Calibri"/>
                <w:b/>
                <w:bCs/>
                <w:sz w:val="15"/>
                <w:szCs w:val="15"/>
              </w:rPr>
            </w:pPr>
            <w:r>
              <w:rPr>
                <w:rFonts w:hint="default" w:ascii="Calibri" w:hAnsi="Calibri" w:eastAsia="楷体_GB2312" w:cs="Calibri"/>
                <w:snapToGrid/>
              </w:rPr>
              <w:drawing>
                <wp:inline distT="0" distB="0" distL="0" distR="0">
                  <wp:extent cx="4603750" cy="2071370"/>
                  <wp:effectExtent l="0" t="0" r="6350" b="5080"/>
                  <wp:docPr id="47139246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7"/>
                    </a:graphicData>
                  </a:graphic>
                </wp:inline>
              </w:drawing>
            </w:r>
          </w:p>
        </w:tc>
      </w:tr>
      <w:tr w14:paraId="5B3FE8E1">
        <w:tblPrEx>
          <w:tblCellMar>
            <w:top w:w="0" w:type="dxa"/>
            <w:left w:w="108" w:type="dxa"/>
            <w:bottom w:w="0" w:type="dxa"/>
            <w:right w:w="108" w:type="dxa"/>
          </w:tblCellMar>
        </w:tblPrEx>
        <w:trPr>
          <w:trHeight w:val="64" w:hRule="atLeast"/>
          <w:jc w:val="right"/>
        </w:trPr>
        <w:tc>
          <w:tcPr>
            <w:tcW w:w="7466" w:type="dxa"/>
            <w:tcBorders>
              <w:top w:val="single" w:color="auto" w:sz="4" w:space="0"/>
            </w:tcBorders>
            <w:tcMar>
              <w:left w:w="0" w:type="dxa"/>
              <w:right w:w="28" w:type="dxa"/>
            </w:tcMar>
            <w:vAlign w:val="center"/>
          </w:tcPr>
          <w:p w14:paraId="574A5F89">
            <w:pPr>
              <w:spacing w:line="240" w:lineRule="atLeast"/>
              <w:textAlignment w:val="center"/>
              <w:rPr>
                <w:rFonts w:hint="default" w:ascii="Calibri" w:hAnsi="Calibri" w:eastAsia="楷体_GB2312" w:cs="Calibri"/>
                <w:szCs w:val="20"/>
              </w:rPr>
            </w:pPr>
            <w:r>
              <w:rPr>
                <w:rFonts w:hint="default" w:ascii="Calibri" w:hAnsi="Calibri" w:eastAsia="楷体_GB2312" w:cs="Calibri"/>
                <w:i/>
                <w:iCs/>
              </w:rPr>
              <w:t>资料来源: GAMA, Wind, HFI</w:t>
            </w:r>
          </w:p>
        </w:tc>
      </w:tr>
    </w:tbl>
    <w:p w14:paraId="3DD5DEF9">
      <w:pPr>
        <w:overflowPunct w:val="0"/>
        <w:ind w:left="3200" w:leftChars="2000"/>
        <w:jc w:val="both"/>
        <w:rPr>
          <w:rFonts w:hint="default" w:ascii="Calibri" w:hAnsi="Calibri" w:eastAsia="楷体_GB2312" w:cs="Calibri"/>
          <w:b/>
          <w:bCs/>
          <w:sz w:val="20"/>
          <w:szCs w:val="20"/>
          <w:lang w:val="en-US" w:eastAsia="zh-CN"/>
        </w:rPr>
      </w:pPr>
    </w:p>
    <w:p w14:paraId="50D7CB20">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2025年，公务喷气机交付量显著增长，带动整体交付价值提升。</w:t>
      </w:r>
      <w:r>
        <w:rPr>
          <w:rFonts w:hint="default" w:ascii="Calibri" w:hAnsi="Calibri" w:eastAsia="楷体_GB2312" w:cs="Calibri"/>
          <w:sz w:val="20"/>
          <w:szCs w:val="20"/>
          <w:lang w:val="en-US" w:eastAsia="zh-CN"/>
        </w:rPr>
        <w:t>全年全球共交付固定翼通用飞机3,230架，较2024年增加2.2%；其中喷气机交付量达到854架，同比增长11.8%，成为增长最快的细分市场；活塞飞机共交付1,782架，同比增长0.6%；涡轮螺旋桨飞机交付594架，同比下降5.1%。尽管交付总量增长温和，但受益于产品结构向高价值机型倾斜，飞机交付总价值达到310亿美元，同比大幅增长16.1%，创历史新高。此外， 2025年民用及商用直升机共交付938架，较2024年下降约18架（同比下降1.9%）。其中活塞直升机交付206架，涡轮直升机交付732架，交付量均呈小幅下降趋势。</w:t>
      </w:r>
    </w:p>
    <w:p w14:paraId="01986E35">
      <w:pPr>
        <w:overflowPunct w:val="0"/>
        <w:ind w:left="3200" w:leftChars="2000"/>
        <w:jc w:val="both"/>
        <w:rPr>
          <w:rFonts w:hint="default" w:ascii="Calibri" w:hAnsi="Calibri" w:eastAsia="楷体_GB2312" w:cs="Calibri"/>
          <w:b/>
          <w:bCs/>
          <w:sz w:val="20"/>
          <w:szCs w:val="20"/>
          <w:lang w:val="en-US" w:eastAsia="zh-CN"/>
        </w:rPr>
      </w:pPr>
    </w:p>
    <w:tbl>
      <w:tblPr>
        <w:tblStyle w:val="26"/>
        <w:tblW w:w="10920" w:type="dxa"/>
        <w:tblInd w:w="0" w:type="dxa"/>
        <w:tblLayout w:type="fixed"/>
        <w:tblCellMar>
          <w:top w:w="0" w:type="dxa"/>
          <w:left w:w="108" w:type="dxa"/>
          <w:bottom w:w="0" w:type="dxa"/>
          <w:right w:w="108" w:type="dxa"/>
        </w:tblCellMar>
      </w:tblPr>
      <w:tblGrid>
        <w:gridCol w:w="5306"/>
        <w:gridCol w:w="240"/>
        <w:gridCol w:w="5374"/>
      </w:tblGrid>
      <w:tr w14:paraId="0FEF5F09">
        <w:tblPrEx>
          <w:tblCellMar>
            <w:top w:w="0" w:type="dxa"/>
            <w:left w:w="108" w:type="dxa"/>
            <w:bottom w:w="0" w:type="dxa"/>
            <w:right w:w="108" w:type="dxa"/>
          </w:tblCellMar>
        </w:tblPrEx>
        <w:trPr>
          <w:trHeight w:val="227" w:hRule="atLeast"/>
        </w:trPr>
        <w:tc>
          <w:tcPr>
            <w:tcW w:w="5306" w:type="dxa"/>
            <w:tcBorders>
              <w:bottom w:val="single" w:color="auto" w:sz="4" w:space="0"/>
            </w:tcBorders>
            <w:tcMar>
              <w:left w:w="0" w:type="dxa"/>
              <w:right w:w="28" w:type="dxa"/>
            </w:tcMar>
          </w:tcPr>
          <w:p w14:paraId="4FC8AA17">
            <w:pPr>
              <w:spacing w:before="48" w:beforeLines="20" w:after="48" w:afterLines="20"/>
              <w:textAlignment w:val="center"/>
              <w:rPr>
                <w:rFonts w:hint="default" w:ascii="Calibri" w:hAnsi="Calibri" w:eastAsia="楷体_GB2312" w:cs="Calibri"/>
                <w:b/>
                <w:szCs w:val="20"/>
                <w:highlight w:val="yellow"/>
                <w:lang w:eastAsia="zh-CN"/>
              </w:rPr>
            </w:pPr>
            <w:r>
              <w:rPr>
                <w:rFonts w:hint="default" w:ascii="Calibri" w:hAnsi="Calibri" w:eastAsia="楷体_GB2312" w:cs="Calibri"/>
                <w:b/>
                <w:sz w:val="18"/>
                <w:szCs w:val="18"/>
                <w:lang w:val="zh-CN" w:eastAsia="zh-CN"/>
              </w:rPr>
              <w:t>图</w:t>
            </w:r>
            <w:r>
              <w:rPr>
                <w:rFonts w:hint="default" w:ascii="Calibri" w:hAnsi="Calibri" w:eastAsia="楷体_GB2312" w:cs="Calibri"/>
                <w:b/>
                <w:sz w:val="18"/>
                <w:szCs w:val="18"/>
                <w:lang w:val="en-US" w:eastAsia="zh-CN"/>
              </w:rPr>
              <w:t>48</w:t>
            </w:r>
            <w:r>
              <w:rPr>
                <w:rFonts w:hint="default" w:ascii="Calibri" w:hAnsi="Calibri" w:eastAsia="楷体_GB2312" w:cs="Calibri"/>
                <w:b/>
                <w:sz w:val="18"/>
                <w:szCs w:val="18"/>
                <w:lang w:val="zh-CN" w:eastAsia="zh-CN"/>
              </w:rPr>
              <w:t>：全球通用飞机交付数量2024-2025年单季度（架）</w:t>
            </w:r>
          </w:p>
        </w:tc>
        <w:tc>
          <w:tcPr>
            <w:tcW w:w="240" w:type="dxa"/>
            <w:tcMar>
              <w:left w:w="0" w:type="dxa"/>
              <w:right w:w="28" w:type="dxa"/>
            </w:tcMar>
          </w:tcPr>
          <w:p w14:paraId="60320F18">
            <w:pPr>
              <w:spacing w:before="48" w:beforeLines="20" w:after="48" w:afterLines="20"/>
              <w:rPr>
                <w:rFonts w:hint="default" w:ascii="Calibri" w:hAnsi="Calibri" w:eastAsia="楷体_GB2312" w:cs="Calibri"/>
                <w:szCs w:val="20"/>
                <w:highlight w:val="yellow"/>
                <w:lang w:eastAsia="zh-CN"/>
              </w:rPr>
            </w:pPr>
          </w:p>
        </w:tc>
        <w:tc>
          <w:tcPr>
            <w:tcW w:w="5374" w:type="dxa"/>
            <w:tcBorders>
              <w:bottom w:val="single" w:color="auto" w:sz="4" w:space="0"/>
            </w:tcBorders>
            <w:tcMar>
              <w:left w:w="0" w:type="dxa"/>
              <w:right w:w="28" w:type="dxa"/>
            </w:tcMar>
          </w:tcPr>
          <w:p w14:paraId="7B79EFBF">
            <w:pPr>
              <w:spacing w:before="48" w:beforeLines="20" w:after="48" w:afterLines="20"/>
              <w:rPr>
                <w:rFonts w:hint="default" w:ascii="Calibri" w:hAnsi="Calibri" w:eastAsia="楷体_GB2312" w:cs="Calibri"/>
                <w:b/>
                <w:sz w:val="18"/>
                <w:szCs w:val="18"/>
                <w:lang w:val="zh-CN" w:eastAsia="zh-CN"/>
              </w:rPr>
            </w:pPr>
            <w:r>
              <w:rPr>
                <w:rFonts w:hint="default" w:ascii="Calibri" w:hAnsi="Calibri" w:eastAsia="楷体_GB2312" w:cs="Calibri"/>
                <w:b/>
                <w:sz w:val="18"/>
                <w:szCs w:val="18"/>
                <w:lang w:val="zh-CN" w:eastAsia="zh-CN"/>
              </w:rPr>
              <w:t>图</w:t>
            </w:r>
            <w:r>
              <w:rPr>
                <w:rFonts w:hint="default" w:ascii="Calibri" w:hAnsi="Calibri" w:eastAsia="楷体_GB2312" w:cs="Calibri"/>
                <w:b/>
                <w:sz w:val="18"/>
                <w:szCs w:val="18"/>
                <w:lang w:val="en-US" w:eastAsia="zh-CN"/>
              </w:rPr>
              <w:t>49</w:t>
            </w:r>
            <w:r>
              <w:rPr>
                <w:rFonts w:hint="default" w:ascii="Calibri" w:hAnsi="Calibri" w:eastAsia="楷体_GB2312" w:cs="Calibri"/>
                <w:b/>
                <w:sz w:val="18"/>
                <w:szCs w:val="18"/>
                <w:lang w:val="zh-CN" w:eastAsia="zh-CN"/>
              </w:rPr>
              <w:t>：全球民用及商用直升机交付量（架）</w:t>
            </w:r>
          </w:p>
        </w:tc>
      </w:tr>
      <w:tr w14:paraId="04EE69D1">
        <w:tblPrEx>
          <w:tblCellMar>
            <w:top w:w="0" w:type="dxa"/>
            <w:left w:w="108" w:type="dxa"/>
            <w:bottom w:w="0" w:type="dxa"/>
            <w:right w:w="108" w:type="dxa"/>
          </w:tblCellMar>
        </w:tblPrEx>
        <w:trPr>
          <w:trHeight w:val="2300" w:hRule="atLeast"/>
        </w:trPr>
        <w:tc>
          <w:tcPr>
            <w:tcW w:w="5306" w:type="dxa"/>
            <w:tcBorders>
              <w:top w:val="single" w:color="auto" w:sz="4" w:space="0"/>
              <w:bottom w:val="single" w:color="auto" w:sz="4" w:space="0"/>
            </w:tcBorders>
            <w:vAlign w:val="center"/>
          </w:tcPr>
          <w:p w14:paraId="6D1D9E6E">
            <w:pPr>
              <w:spacing w:before="48" w:beforeLines="20" w:after="48" w:afterLines="20"/>
              <w:textAlignment w:val="center"/>
              <w:rPr>
                <w:rFonts w:hint="default" w:ascii="Calibri" w:hAnsi="Calibri" w:eastAsia="楷体_GB2312" w:cs="Calibri"/>
                <w:b/>
                <w:color w:val="000000"/>
                <w:szCs w:val="20"/>
                <w:lang w:bidi="ar"/>
              </w:rPr>
            </w:pPr>
            <w:r>
              <w:rPr>
                <w:rFonts w:hint="default" w:ascii="Calibri" w:hAnsi="Calibri" w:eastAsia="楷体_GB2312" w:cs="Calibri"/>
                <w:snapToGrid/>
              </w:rPr>
              <w:drawing>
                <wp:inline distT="0" distB="0" distL="0" distR="0">
                  <wp:extent cx="3232150" cy="1939290"/>
                  <wp:effectExtent l="0" t="0" r="6350" b="3810"/>
                  <wp:docPr id="282194437"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8"/>
                    </a:graphicData>
                  </a:graphic>
                </wp:inline>
              </w:drawing>
            </w:r>
          </w:p>
        </w:tc>
        <w:tc>
          <w:tcPr>
            <w:tcW w:w="240" w:type="dxa"/>
          </w:tcPr>
          <w:p w14:paraId="2453CAB6">
            <w:pPr>
              <w:spacing w:before="48" w:beforeLines="20" w:after="48" w:afterLines="20"/>
              <w:rPr>
                <w:rFonts w:hint="default" w:ascii="Calibri" w:hAnsi="Calibri" w:eastAsia="楷体_GB2312" w:cs="Calibri"/>
                <w:szCs w:val="20"/>
              </w:rPr>
            </w:pPr>
          </w:p>
        </w:tc>
        <w:tc>
          <w:tcPr>
            <w:tcW w:w="5374" w:type="dxa"/>
            <w:tcBorders>
              <w:top w:val="single" w:color="auto" w:sz="4" w:space="0"/>
              <w:bottom w:val="single" w:color="auto" w:sz="4" w:space="0"/>
            </w:tcBorders>
          </w:tcPr>
          <w:p w14:paraId="3D947F8F">
            <w:pPr>
              <w:spacing w:before="48" w:beforeLines="20" w:after="48" w:afterLines="20"/>
              <w:rPr>
                <w:rFonts w:hint="default" w:ascii="Calibri" w:hAnsi="Calibri" w:eastAsia="楷体_GB2312" w:cs="Calibri"/>
                <w:b/>
                <w:szCs w:val="20"/>
              </w:rPr>
            </w:pPr>
            <w:r>
              <w:rPr>
                <w:rFonts w:hint="default" w:ascii="Calibri" w:hAnsi="Calibri" w:eastAsia="楷体_GB2312" w:cs="Calibri"/>
                <w:snapToGrid/>
              </w:rPr>
              <w:drawing>
                <wp:inline distT="0" distB="0" distL="0" distR="0">
                  <wp:extent cx="3275330" cy="1965325"/>
                  <wp:effectExtent l="0" t="0" r="1270" b="0"/>
                  <wp:docPr id="1453101215"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59"/>
                    </a:graphicData>
                  </a:graphic>
                </wp:inline>
              </w:drawing>
            </w:r>
          </w:p>
        </w:tc>
      </w:tr>
      <w:tr w14:paraId="6C05D3D0">
        <w:tblPrEx>
          <w:tblCellMar>
            <w:top w:w="0" w:type="dxa"/>
            <w:left w:w="108" w:type="dxa"/>
            <w:bottom w:w="0" w:type="dxa"/>
            <w:right w:w="108" w:type="dxa"/>
          </w:tblCellMar>
        </w:tblPrEx>
        <w:trPr>
          <w:trHeight w:val="227" w:hRule="atLeast"/>
        </w:trPr>
        <w:tc>
          <w:tcPr>
            <w:tcW w:w="5306" w:type="dxa"/>
            <w:tcBorders>
              <w:top w:val="single" w:color="auto" w:sz="4" w:space="0"/>
            </w:tcBorders>
            <w:tcMar>
              <w:left w:w="0" w:type="dxa"/>
              <w:right w:w="28" w:type="dxa"/>
            </w:tcMar>
            <w:vAlign w:val="center"/>
          </w:tcPr>
          <w:p w14:paraId="495E3ABC">
            <w:pPr>
              <w:spacing w:line="240" w:lineRule="atLeast"/>
              <w:textAlignment w:val="center"/>
              <w:rPr>
                <w:rFonts w:hint="default" w:ascii="Calibri" w:hAnsi="Calibri" w:eastAsia="楷体_GB2312" w:cs="Calibri"/>
                <w:i/>
                <w:iCs/>
              </w:rPr>
            </w:pPr>
            <w:r>
              <w:rPr>
                <w:rFonts w:hint="default" w:ascii="Calibri" w:hAnsi="Calibri" w:eastAsia="楷体_GB2312" w:cs="Calibri"/>
                <w:i/>
                <w:iCs/>
              </w:rPr>
              <w:t>资料来源: GAMA, Wind, HFI</w:t>
            </w:r>
          </w:p>
        </w:tc>
        <w:tc>
          <w:tcPr>
            <w:tcW w:w="240" w:type="dxa"/>
            <w:tcMar>
              <w:left w:w="0" w:type="dxa"/>
              <w:right w:w="28" w:type="dxa"/>
            </w:tcMar>
          </w:tcPr>
          <w:p w14:paraId="3F0026E6">
            <w:pPr>
              <w:spacing w:line="240" w:lineRule="atLeast"/>
              <w:rPr>
                <w:rFonts w:hint="default" w:ascii="Calibri" w:hAnsi="Calibri" w:eastAsia="楷体_GB2312" w:cs="Calibri"/>
                <w:i/>
                <w:iCs/>
              </w:rPr>
            </w:pPr>
          </w:p>
        </w:tc>
        <w:tc>
          <w:tcPr>
            <w:tcW w:w="5374" w:type="dxa"/>
            <w:tcBorders>
              <w:top w:val="single" w:color="auto" w:sz="4" w:space="0"/>
            </w:tcBorders>
            <w:tcMar>
              <w:left w:w="0" w:type="dxa"/>
              <w:right w:w="28" w:type="dxa"/>
            </w:tcMar>
          </w:tcPr>
          <w:p w14:paraId="03E10EEA">
            <w:pPr>
              <w:spacing w:line="240" w:lineRule="atLeast"/>
              <w:rPr>
                <w:rFonts w:hint="default" w:ascii="Calibri" w:hAnsi="Calibri" w:eastAsia="楷体_GB2312" w:cs="Calibri"/>
                <w:i/>
                <w:iCs/>
              </w:rPr>
            </w:pPr>
            <w:r>
              <w:rPr>
                <w:rFonts w:hint="default" w:ascii="Calibri" w:hAnsi="Calibri" w:eastAsia="楷体_GB2312" w:cs="Calibri"/>
                <w:i/>
                <w:iCs/>
              </w:rPr>
              <w:t>资料来源: GAMA, Wind,</w:t>
            </w:r>
            <w:r>
              <w:rPr>
                <w:rFonts w:hint="default" w:ascii="Calibri" w:hAnsi="Calibri" w:eastAsia="楷体_GB2312" w:cs="Calibri"/>
                <w:i/>
                <w:iCs/>
                <w:lang w:val="en-US" w:eastAsia="zh-CN"/>
              </w:rPr>
              <w:t xml:space="preserve"> </w:t>
            </w:r>
            <w:r>
              <w:rPr>
                <w:rFonts w:hint="default" w:ascii="Calibri" w:hAnsi="Calibri" w:eastAsia="楷体_GB2312" w:cs="Calibri"/>
                <w:i/>
                <w:iCs/>
              </w:rPr>
              <w:t>HFI</w:t>
            </w:r>
          </w:p>
        </w:tc>
      </w:tr>
    </w:tbl>
    <w:p w14:paraId="4AC8C887">
      <w:pPr>
        <w:rPr>
          <w:rFonts w:hint="default" w:ascii="Calibri" w:hAnsi="Calibri" w:eastAsia="楷体_GB2312" w:cs="Calibri"/>
          <w:snapToGrid w:val="0"/>
          <w:color w:val="auto"/>
          <w:kern w:val="0"/>
          <w:sz w:val="20"/>
          <w:szCs w:val="20"/>
        </w:rPr>
      </w:pPr>
      <w:r>
        <w:rPr>
          <w:rFonts w:hint="default" w:ascii="Calibri" w:hAnsi="Calibri" w:eastAsia="楷体_GB2312" w:cs="Calibri"/>
          <w:snapToGrid w:val="0"/>
          <w:color w:val="auto"/>
          <w:kern w:val="0"/>
          <w:sz w:val="20"/>
          <w:szCs w:val="20"/>
        </w:rPr>
        <w:br w:type="page"/>
      </w:r>
    </w:p>
    <w:tbl>
      <w:tblPr>
        <w:tblStyle w:val="26"/>
        <w:tblpPr w:leftFromText="180" w:rightFromText="180" w:vertAnchor="text" w:horzAnchor="margin" w:tblpY="220"/>
        <w:tblW w:w="10920" w:type="dxa"/>
        <w:tblInd w:w="0" w:type="dxa"/>
        <w:tblLayout w:type="fixed"/>
        <w:tblCellMar>
          <w:top w:w="0" w:type="dxa"/>
          <w:left w:w="108" w:type="dxa"/>
          <w:bottom w:w="0" w:type="dxa"/>
          <w:right w:w="108" w:type="dxa"/>
        </w:tblCellMar>
      </w:tblPr>
      <w:tblGrid>
        <w:gridCol w:w="5306"/>
        <w:gridCol w:w="240"/>
        <w:gridCol w:w="5374"/>
      </w:tblGrid>
      <w:tr w14:paraId="7F415754">
        <w:tblPrEx>
          <w:tblCellMar>
            <w:top w:w="0" w:type="dxa"/>
            <w:left w:w="108" w:type="dxa"/>
            <w:bottom w:w="0" w:type="dxa"/>
            <w:right w:w="108" w:type="dxa"/>
          </w:tblCellMar>
        </w:tblPrEx>
        <w:trPr>
          <w:trHeight w:val="227" w:hRule="atLeast"/>
        </w:trPr>
        <w:tc>
          <w:tcPr>
            <w:tcW w:w="5306" w:type="dxa"/>
            <w:tcBorders>
              <w:bottom w:val="single" w:color="auto" w:sz="4" w:space="0"/>
            </w:tcBorders>
            <w:tcMar>
              <w:left w:w="0" w:type="dxa"/>
              <w:right w:w="28" w:type="dxa"/>
            </w:tcMar>
          </w:tcPr>
          <w:p w14:paraId="10C3D40B">
            <w:pPr>
              <w:spacing w:before="48" w:beforeLines="20" w:after="48" w:afterLines="20"/>
              <w:rPr>
                <w:rFonts w:hint="default" w:ascii="Calibri" w:hAnsi="Calibri" w:eastAsia="楷体_GB2312" w:cs="Calibri"/>
                <w:b/>
                <w:szCs w:val="20"/>
                <w:highlight w:val="yellow"/>
                <w:lang w:eastAsia="zh-CN"/>
              </w:rPr>
            </w:pPr>
            <w:r>
              <w:rPr>
                <w:rFonts w:hint="default" w:ascii="Calibri" w:hAnsi="Calibri" w:eastAsia="楷体_GB2312" w:cs="Calibri"/>
                <w:b/>
                <w:sz w:val="18"/>
                <w:szCs w:val="18"/>
                <w:lang w:val="zh-CN" w:eastAsia="zh-CN"/>
              </w:rPr>
              <w:t>图5</w:t>
            </w:r>
            <w:r>
              <w:rPr>
                <w:rFonts w:hint="default" w:ascii="Calibri" w:hAnsi="Calibri" w:eastAsia="楷体_GB2312" w:cs="Calibri"/>
                <w:b/>
                <w:sz w:val="18"/>
                <w:szCs w:val="18"/>
                <w:lang w:val="en-US" w:eastAsia="zh-CN"/>
              </w:rPr>
              <w:t>0</w:t>
            </w:r>
            <w:r>
              <w:rPr>
                <w:rFonts w:hint="default" w:ascii="Calibri" w:hAnsi="Calibri" w:eastAsia="楷体_GB2312" w:cs="Calibri"/>
                <w:b/>
                <w:sz w:val="18"/>
                <w:szCs w:val="18"/>
                <w:lang w:val="zh-CN" w:eastAsia="zh-CN"/>
              </w:rPr>
              <w:t>：全球喷气机、活塞飞机、涡轮螺旋桨飞机（架）</w:t>
            </w:r>
          </w:p>
        </w:tc>
        <w:tc>
          <w:tcPr>
            <w:tcW w:w="240" w:type="dxa"/>
            <w:tcMar>
              <w:left w:w="0" w:type="dxa"/>
              <w:right w:w="28" w:type="dxa"/>
            </w:tcMar>
          </w:tcPr>
          <w:p w14:paraId="43AA5DD9">
            <w:pPr>
              <w:spacing w:before="48" w:beforeLines="20" w:after="48" w:afterLines="20"/>
              <w:rPr>
                <w:rFonts w:hint="default" w:ascii="Calibri" w:hAnsi="Calibri" w:eastAsia="楷体_GB2312" w:cs="Calibri"/>
                <w:szCs w:val="20"/>
                <w:highlight w:val="yellow"/>
                <w:lang w:eastAsia="zh-CN"/>
              </w:rPr>
            </w:pPr>
          </w:p>
        </w:tc>
        <w:tc>
          <w:tcPr>
            <w:tcW w:w="5374" w:type="dxa"/>
            <w:tcBorders>
              <w:bottom w:val="single" w:color="auto" w:sz="4" w:space="0"/>
            </w:tcBorders>
            <w:tcMar>
              <w:left w:w="0" w:type="dxa"/>
              <w:right w:w="28" w:type="dxa"/>
            </w:tcMar>
          </w:tcPr>
          <w:p w14:paraId="79DF1BFB">
            <w:pPr>
              <w:spacing w:before="48" w:beforeLines="20" w:after="48" w:afterLines="20"/>
              <w:rPr>
                <w:rFonts w:hint="default" w:ascii="Calibri" w:hAnsi="Calibri" w:eastAsia="楷体_GB2312" w:cs="Calibri"/>
                <w:b/>
                <w:sz w:val="18"/>
                <w:szCs w:val="18"/>
                <w:lang w:val="zh-CN" w:eastAsia="zh-CN"/>
              </w:rPr>
            </w:pPr>
            <w:r>
              <w:rPr>
                <w:rFonts w:hint="default" w:ascii="Calibri" w:hAnsi="Calibri" w:eastAsia="楷体_GB2312" w:cs="Calibri"/>
                <w:b/>
                <w:sz w:val="18"/>
                <w:szCs w:val="18"/>
                <w:lang w:val="zh-CN" w:eastAsia="zh-CN"/>
              </w:rPr>
              <w:t>图5</w:t>
            </w:r>
            <w:r>
              <w:rPr>
                <w:rFonts w:hint="default" w:ascii="Calibri" w:hAnsi="Calibri" w:eastAsia="楷体_GB2312" w:cs="Calibri"/>
                <w:b/>
                <w:sz w:val="18"/>
                <w:szCs w:val="18"/>
                <w:lang w:val="en-US" w:eastAsia="zh-CN"/>
              </w:rPr>
              <w:t>1</w:t>
            </w:r>
            <w:r>
              <w:rPr>
                <w:rFonts w:hint="default" w:ascii="Calibri" w:hAnsi="Calibri" w:eastAsia="楷体_GB2312" w:cs="Calibri"/>
                <w:b/>
                <w:sz w:val="18"/>
                <w:szCs w:val="18"/>
                <w:lang w:val="zh-CN" w:eastAsia="zh-CN"/>
              </w:rPr>
              <w:t>：活塞直升机与涡轮直升机交付量（单位：架）</w:t>
            </w:r>
          </w:p>
        </w:tc>
      </w:tr>
      <w:tr w14:paraId="0B8C4422">
        <w:tblPrEx>
          <w:tblCellMar>
            <w:top w:w="0" w:type="dxa"/>
            <w:left w:w="108" w:type="dxa"/>
            <w:bottom w:w="0" w:type="dxa"/>
            <w:right w:w="108" w:type="dxa"/>
          </w:tblCellMar>
        </w:tblPrEx>
        <w:trPr>
          <w:trHeight w:val="2300" w:hRule="atLeast"/>
        </w:trPr>
        <w:tc>
          <w:tcPr>
            <w:tcW w:w="5306" w:type="dxa"/>
            <w:tcBorders>
              <w:top w:val="single" w:color="auto" w:sz="4" w:space="0"/>
              <w:bottom w:val="single" w:color="auto" w:sz="4" w:space="0"/>
            </w:tcBorders>
            <w:vAlign w:val="center"/>
          </w:tcPr>
          <w:p w14:paraId="08C02821">
            <w:pPr>
              <w:spacing w:before="48" w:beforeLines="20" w:after="48" w:afterLines="20"/>
              <w:textAlignment w:val="center"/>
              <w:rPr>
                <w:rFonts w:hint="default" w:ascii="Calibri" w:hAnsi="Calibri" w:eastAsia="楷体_GB2312" w:cs="Calibri"/>
                <w:b/>
                <w:color w:val="000000"/>
                <w:szCs w:val="20"/>
                <w:lang w:bidi="ar"/>
              </w:rPr>
            </w:pPr>
            <w:r>
              <w:rPr>
                <w:rFonts w:hint="default" w:ascii="Calibri" w:hAnsi="Calibri" w:eastAsia="楷体_GB2312" w:cs="Calibri"/>
                <w:snapToGrid/>
              </w:rPr>
              <w:drawing>
                <wp:inline distT="0" distB="0" distL="0" distR="0">
                  <wp:extent cx="3232150" cy="1939290"/>
                  <wp:effectExtent l="0" t="0" r="6350" b="3810"/>
                  <wp:docPr id="1773009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0"/>
                    </a:graphicData>
                  </a:graphic>
                </wp:inline>
              </w:drawing>
            </w:r>
          </w:p>
        </w:tc>
        <w:tc>
          <w:tcPr>
            <w:tcW w:w="240" w:type="dxa"/>
          </w:tcPr>
          <w:p w14:paraId="4ED04225">
            <w:pPr>
              <w:spacing w:before="48" w:beforeLines="20" w:after="48" w:afterLines="20"/>
              <w:rPr>
                <w:rFonts w:hint="default" w:ascii="Calibri" w:hAnsi="Calibri" w:eastAsia="楷体_GB2312" w:cs="Calibri"/>
                <w:szCs w:val="20"/>
              </w:rPr>
            </w:pPr>
          </w:p>
        </w:tc>
        <w:tc>
          <w:tcPr>
            <w:tcW w:w="5374" w:type="dxa"/>
            <w:tcBorders>
              <w:top w:val="single" w:color="auto" w:sz="4" w:space="0"/>
              <w:bottom w:val="single" w:color="auto" w:sz="4" w:space="0"/>
            </w:tcBorders>
          </w:tcPr>
          <w:p w14:paraId="26865C36">
            <w:pPr>
              <w:spacing w:before="48" w:beforeLines="20" w:after="48" w:afterLines="20"/>
              <w:rPr>
                <w:rFonts w:hint="default" w:ascii="Calibri" w:hAnsi="Calibri" w:eastAsia="楷体_GB2312" w:cs="Calibri"/>
                <w:b/>
                <w:szCs w:val="20"/>
              </w:rPr>
            </w:pPr>
            <w:r>
              <w:rPr>
                <w:rFonts w:hint="default" w:ascii="Calibri" w:hAnsi="Calibri" w:eastAsia="楷体_GB2312" w:cs="Calibri"/>
                <w:snapToGrid/>
              </w:rPr>
              <w:drawing>
                <wp:inline distT="0" distB="0" distL="0" distR="0">
                  <wp:extent cx="3275330" cy="2055495"/>
                  <wp:effectExtent l="0" t="0" r="1270" b="1905"/>
                  <wp:docPr id="2101985946"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61"/>
                    </a:graphicData>
                  </a:graphic>
                </wp:inline>
              </w:drawing>
            </w:r>
          </w:p>
        </w:tc>
      </w:tr>
      <w:tr w14:paraId="284A53A6">
        <w:tblPrEx>
          <w:tblCellMar>
            <w:top w:w="0" w:type="dxa"/>
            <w:left w:w="108" w:type="dxa"/>
            <w:bottom w:w="0" w:type="dxa"/>
            <w:right w:w="108" w:type="dxa"/>
          </w:tblCellMar>
        </w:tblPrEx>
        <w:trPr>
          <w:trHeight w:val="227" w:hRule="atLeast"/>
        </w:trPr>
        <w:tc>
          <w:tcPr>
            <w:tcW w:w="5306" w:type="dxa"/>
            <w:tcBorders>
              <w:top w:val="single" w:color="auto" w:sz="4" w:space="0"/>
            </w:tcBorders>
            <w:tcMar>
              <w:left w:w="0" w:type="dxa"/>
              <w:right w:w="28" w:type="dxa"/>
            </w:tcMar>
            <w:vAlign w:val="center"/>
          </w:tcPr>
          <w:p w14:paraId="1F1E8EE4">
            <w:pPr>
              <w:spacing w:line="240" w:lineRule="atLeast"/>
              <w:textAlignment w:val="center"/>
              <w:rPr>
                <w:rFonts w:hint="default" w:ascii="Calibri" w:hAnsi="Calibri" w:eastAsia="楷体_GB2312" w:cs="Calibri"/>
                <w:i/>
                <w:iCs/>
              </w:rPr>
            </w:pPr>
            <w:r>
              <w:rPr>
                <w:rFonts w:hint="default" w:ascii="Calibri" w:hAnsi="Calibri" w:eastAsia="楷体_GB2312" w:cs="Calibri"/>
                <w:i/>
                <w:iCs/>
              </w:rPr>
              <w:t>资料来源: GAMA, Wind, HFI</w:t>
            </w:r>
          </w:p>
        </w:tc>
        <w:tc>
          <w:tcPr>
            <w:tcW w:w="240" w:type="dxa"/>
            <w:tcMar>
              <w:left w:w="0" w:type="dxa"/>
              <w:right w:w="28" w:type="dxa"/>
            </w:tcMar>
          </w:tcPr>
          <w:p w14:paraId="725C7FB1">
            <w:pPr>
              <w:spacing w:line="240" w:lineRule="atLeast"/>
              <w:rPr>
                <w:rFonts w:hint="default" w:ascii="Calibri" w:hAnsi="Calibri" w:eastAsia="楷体_GB2312" w:cs="Calibri"/>
                <w:i/>
                <w:iCs/>
              </w:rPr>
            </w:pPr>
          </w:p>
        </w:tc>
        <w:tc>
          <w:tcPr>
            <w:tcW w:w="5374" w:type="dxa"/>
            <w:tcBorders>
              <w:top w:val="single" w:color="auto" w:sz="4" w:space="0"/>
            </w:tcBorders>
            <w:tcMar>
              <w:left w:w="0" w:type="dxa"/>
              <w:right w:w="28" w:type="dxa"/>
            </w:tcMar>
          </w:tcPr>
          <w:p w14:paraId="619B9259">
            <w:pPr>
              <w:spacing w:line="240" w:lineRule="atLeast"/>
              <w:rPr>
                <w:rFonts w:hint="default" w:ascii="Calibri" w:hAnsi="Calibri" w:eastAsia="楷体_GB2312" w:cs="Calibri"/>
                <w:i/>
                <w:iCs/>
              </w:rPr>
            </w:pPr>
            <w:r>
              <w:rPr>
                <w:rFonts w:hint="default" w:ascii="Calibri" w:hAnsi="Calibri" w:eastAsia="楷体_GB2312" w:cs="Calibri"/>
                <w:i/>
                <w:iCs/>
              </w:rPr>
              <w:t>资料来源: GAMA, Wind,</w:t>
            </w:r>
            <w:r>
              <w:rPr>
                <w:rFonts w:hint="default" w:ascii="Calibri" w:hAnsi="Calibri" w:eastAsia="楷体_GB2312" w:cs="Calibri"/>
                <w:i/>
                <w:iCs/>
                <w:lang w:eastAsia="zh-CN"/>
              </w:rPr>
              <w:t xml:space="preserve"> </w:t>
            </w:r>
            <w:r>
              <w:rPr>
                <w:rFonts w:hint="default" w:ascii="Calibri" w:hAnsi="Calibri" w:eastAsia="楷体_GB2312" w:cs="Calibri"/>
                <w:i/>
                <w:iCs/>
              </w:rPr>
              <w:t>HFI</w:t>
            </w:r>
          </w:p>
        </w:tc>
      </w:tr>
    </w:tbl>
    <w:p w14:paraId="4677CFAF">
      <w:pPr>
        <w:pStyle w:val="12"/>
        <w:spacing w:before="240" w:beforeLines="100" w:after="240" w:afterLines="100" w:line="260" w:lineRule="exact"/>
        <w:ind w:left="0" w:leftChars="0" w:right="42" w:firstLine="0"/>
        <w:jc w:val="both"/>
        <w:rPr>
          <w:rFonts w:hint="default" w:ascii="Calibri" w:hAnsi="Calibri" w:eastAsia="楷体_GB2312" w:cs="Calibri"/>
          <w:snapToGrid w:val="0"/>
          <w:color w:val="auto"/>
          <w:kern w:val="0"/>
          <w:sz w:val="20"/>
          <w:szCs w:val="20"/>
        </w:rPr>
      </w:pPr>
    </w:p>
    <w:p w14:paraId="7D67583E">
      <w:pPr>
        <w:overflowPunct w:val="0"/>
        <w:ind w:left="3200" w:leftChars="2000"/>
        <w:jc w:val="both"/>
        <w:outlineLvl w:val="0"/>
        <w:rPr>
          <w:rFonts w:hint="default" w:ascii="Calibri" w:hAnsi="Calibri" w:eastAsia="楷体_GB2312" w:cs="Calibri"/>
          <w:b/>
          <w:bCs/>
          <w:color w:val="1F497D" w:themeColor="text2"/>
          <w:sz w:val="24"/>
          <w:szCs w:val="24"/>
          <w:lang w:val="en-US" w:eastAsia="zh-CN"/>
          <w14:textFill>
            <w14:solidFill>
              <w14:schemeClr w14:val="tx2"/>
            </w14:solidFill>
          </w14:textFill>
        </w:rPr>
      </w:pPr>
      <w:r>
        <w:rPr>
          <w:rFonts w:hint="default" w:ascii="Calibri" w:hAnsi="Calibri" w:eastAsia="楷体_GB2312" w:cs="Calibri"/>
        </w:rPr>
        <w:fldChar w:fldCharType="begin"/>
      </w:r>
      <w:r>
        <w:rPr>
          <w:rFonts w:hint="default" w:ascii="Calibri" w:hAnsi="Calibri" w:eastAsia="楷体_GB2312" w:cs="Calibri"/>
        </w:rPr>
        <w:instrText xml:space="preserve"> HYPERLINK \l "_Toc192787049" </w:instrText>
      </w:r>
      <w:r>
        <w:rPr>
          <w:rFonts w:hint="default" w:ascii="Calibri" w:hAnsi="Calibri" w:eastAsia="楷体_GB2312" w:cs="Calibri"/>
        </w:rPr>
        <w:fldChar w:fldCharType="separate"/>
      </w:r>
      <w:r>
        <w:rPr>
          <w:rFonts w:hint="default" w:ascii="Calibri" w:hAnsi="Calibri" w:eastAsia="楷体_GB2312" w:cs="Calibri"/>
        </w:rPr>
        <w:fldChar w:fldCharType="end"/>
      </w:r>
      <w:bookmarkStart w:id="40" w:name="_Toc756305952"/>
      <w:bookmarkStart w:id="41" w:name="_Toc223082617"/>
      <w:r>
        <w:rPr>
          <w:rFonts w:hint="default" w:ascii="Calibri" w:hAnsi="Calibri" w:eastAsia="楷体_GB2312" w:cs="Calibri"/>
          <w:b/>
          <w:bCs/>
          <w:color w:val="1F497D" w:themeColor="text2"/>
          <w:sz w:val="24"/>
          <w:szCs w:val="24"/>
          <w:lang w:val="en-US" w:eastAsia="zh-CN"/>
          <w14:textFill>
            <w14:solidFill>
              <w14:schemeClr w14:val="tx2"/>
            </w14:solidFill>
          </w14:textFill>
        </w:rPr>
        <w:t>七、重点公司资讯与点评</w:t>
      </w:r>
      <w:bookmarkEnd w:id="40"/>
      <w:bookmarkEnd w:id="41"/>
    </w:p>
    <w:p w14:paraId="00B14367">
      <w:pPr>
        <w:overflowPunct w:val="0"/>
        <w:ind w:left="3200" w:leftChars="2000"/>
        <w:jc w:val="both"/>
        <w:rPr>
          <w:rFonts w:hint="default" w:ascii="Calibri" w:hAnsi="Calibri" w:eastAsia="楷体_GB2312" w:cs="Calibri"/>
          <w:sz w:val="20"/>
          <w:szCs w:val="20"/>
          <w:lang w:val="en-US" w:eastAsia="zh-CN"/>
        </w:rPr>
      </w:pPr>
      <w:bookmarkStart w:id="42" w:name="_Toc192787060"/>
      <w:bookmarkStart w:id="43" w:name="_Toc278428671"/>
      <w:r>
        <w:rPr>
          <w:rFonts w:hint="default" w:ascii="Calibri" w:hAnsi="Calibri" w:eastAsia="楷体_GB2312" w:cs="Calibri"/>
          <w:sz w:val="20"/>
          <w:szCs w:val="20"/>
          <w:lang w:val="en-US" w:eastAsia="zh-CN"/>
        </w:rPr>
        <w:t>【全球智能与电气装备】《美国输电规划与发展结构性阵痛下电网扩容、智能化电网调节与综合电力》</w:t>
      </w:r>
    </w:p>
    <w:p w14:paraId="2B738A14">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【全球智能与电气装备】《北美西北地区电力短缺预警：能源转型与需求激增带来的高风险考验》</w:t>
      </w:r>
    </w:p>
    <w:p w14:paraId="0A84FBEF">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【全球国防和航天航空】《SpaceX猎鹰9号双事件引行业关注：故障停飞五日复飞，13手助推器创复用新纪录》</w:t>
      </w:r>
    </w:p>
    <w:p w14:paraId="2AC1B690">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【全球国防和航天航空】《多起小型飞机事故刺激通用航空监管升级，驱动结构性机遇》</w:t>
      </w:r>
    </w:p>
    <w:p w14:paraId="64856D04">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【全球能源-电力】《FERC取消WECC软上限：美东“限价”VS美西“解限”，区域电价政策分化与能源格局重构》</w:t>
      </w:r>
    </w:p>
    <w:p w14:paraId="6DB42B92">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【全球国防和航天航空】《SpaceX 100万卫星发射计划：收购xAI布局 发射-算力-传输垂直整合，解构地面算力核心成本困局重构商业版图》</w:t>
      </w:r>
    </w:p>
    <w:p w14:paraId="33F884F7">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【全球智能与电气装备】《从普惠共享到责任归位：SB 1168法案背后的“谁受益、谁付费”的原则确立与能源治理范式重构》</w:t>
      </w:r>
    </w:p>
    <w:p w14:paraId="6011B432">
      <w:pPr>
        <w:rPr>
          <w:rFonts w:hint="default" w:ascii="Calibri" w:hAnsi="Calibri" w:eastAsia="楷体_GB2312" w:cs="Calibri"/>
          <w:lang w:val="en-US" w:eastAsia="zh-CN"/>
        </w:rPr>
      </w:pPr>
      <w:r>
        <w:rPr>
          <w:rFonts w:hint="default" w:ascii="Calibri" w:hAnsi="Calibri" w:eastAsia="楷体_GB2312" w:cs="Calibri"/>
          <w:lang w:val="en-US" w:eastAsia="zh-CN"/>
        </w:rPr>
        <w:br w:type="page"/>
      </w:r>
    </w:p>
    <w:p w14:paraId="223AD269">
      <w:pPr>
        <w:overflowPunct w:val="0"/>
        <w:ind w:left="3200" w:leftChars="2000"/>
        <w:jc w:val="both"/>
        <w:outlineLvl w:val="0"/>
        <w:rPr>
          <w:rFonts w:hint="default" w:ascii="Calibri" w:hAnsi="Calibri" w:eastAsia="楷体_GB2312" w:cs="Calibri"/>
          <w:b/>
          <w:bCs/>
          <w:color w:val="1F497D" w:themeColor="text2"/>
          <w:sz w:val="24"/>
          <w:szCs w:val="24"/>
          <w:lang w:val="en-US" w:eastAsia="zh-CN"/>
          <w14:textFill>
            <w14:solidFill>
              <w14:schemeClr w14:val="tx2"/>
            </w14:solidFill>
          </w14:textFill>
        </w:rPr>
      </w:pPr>
      <w:bookmarkStart w:id="44" w:name="_Toc223082618"/>
      <w:r>
        <w:rPr>
          <w:rFonts w:hint="default" w:ascii="Calibri" w:hAnsi="Calibri" w:eastAsia="楷体_GB2312" w:cs="Calibri"/>
          <w:b/>
          <w:bCs/>
          <w:color w:val="1F497D" w:themeColor="text2"/>
          <w:sz w:val="24"/>
          <w:szCs w:val="24"/>
          <w:lang w:val="en-US" w:eastAsia="zh-CN"/>
          <w14:textFill>
            <w14:solidFill>
              <w14:schemeClr w14:val="tx2"/>
            </w14:solidFill>
          </w14:textFill>
        </w:rPr>
        <w:t>八、报告精选</w:t>
      </w:r>
      <w:bookmarkEnd w:id="42"/>
      <w:bookmarkEnd w:id="43"/>
      <w:bookmarkEnd w:id="44"/>
    </w:p>
    <w:p w14:paraId="45A6BD5E">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【全球智能与电气装备】《Bloom Energy Corporation(BE US)： A Solid Oxide Fuel Cell Player Set To Bloom In The Opportunity Of AI-Driven Onsite Power Generation Solutions: Initiation》</w:t>
      </w:r>
    </w:p>
    <w:p w14:paraId="28BB93F8">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【全球智能与电气装备】《GE Vernova(GEV US)：An energy transition leader well-positioned in the accelerating electricity investment supercycle: Initiation》</w:t>
      </w:r>
    </w:p>
    <w:p w14:paraId="3F285C3F">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【全球国防和航天航空】《Cirrus Aircraft (2507.HK): Global Leader in Private Aviation: Dominating Personal Aviation with Safety, Innovation, and a Robust Ecosystem: Initiation》</w:t>
      </w:r>
    </w:p>
    <w:p w14:paraId="0A67BDD9">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【全球国防和航天航空】 《Textron (TXT US): A Diversified Industrial Giant Leading in the General-Aviation Jet Market: Initiation》</w:t>
      </w:r>
    </w:p>
    <w:p w14:paraId="48EAE2F5">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【全球国防和航天航空】《Howmet Aerospace(HWM US)：Aero-Engine Castings Leader, F-35 Sole Source + CAM Integration Widen Moat: Initiation》</w:t>
      </w:r>
    </w:p>
    <w:p w14:paraId="7611A286">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【全球能源-电力】《Vistra Corp(VST US)：Active Response to Energy Transition and Enhancement of Low-Carbon Power Amid AI Data Center Migration and Natural Gas Demand Growth: Initiation》</w:t>
      </w:r>
    </w:p>
    <w:p w14:paraId="1D94E080">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【全球能源-电力】《Talen Energy Corp(TLN US)：Zero-Carbon Nuclear Powering PJM Wholesale &amp; Retail, Capturing the AI Power Wave for a New Cycle of Sustainable Growth: Initiation》</w:t>
      </w:r>
    </w:p>
    <w:p w14:paraId="73753EAD">
      <w:pPr>
        <w:overflowPunct w:val="0"/>
        <w:ind w:left="3200" w:leftChars="200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【全球能与电气装备】Vertiv(VRT US): A Near Pure Play On Powering Up and Cooling Down AI Data Center with strategical partnership with NVIDIA into next-gen AIDC structures: Initiation》</w:t>
      </w:r>
    </w:p>
    <w:p w14:paraId="73F26B2E">
      <w:pPr>
        <w:rPr>
          <w:rFonts w:hint="default" w:ascii="Calibri" w:hAnsi="Calibri" w:eastAsia="楷体_GB2312" w:cs="Calibri"/>
          <w:bCs/>
          <w:sz w:val="20"/>
          <w:szCs w:val="20"/>
        </w:rPr>
      </w:pPr>
      <w:r>
        <w:rPr>
          <w:rFonts w:hint="default" w:ascii="Calibri" w:hAnsi="Calibri" w:eastAsia="楷体_GB2312" w:cs="Calibri"/>
          <w:bCs/>
          <w:sz w:val="20"/>
          <w:szCs w:val="20"/>
        </w:rPr>
        <w:br w:type="page"/>
      </w:r>
    </w:p>
    <w:p w14:paraId="3606B920">
      <w:pPr>
        <w:pStyle w:val="12"/>
        <w:spacing w:before="120" w:beforeLines="50" w:after="120" w:afterLines="50" w:line="260" w:lineRule="exact"/>
        <w:ind w:left="0" w:leftChars="0" w:right="42" w:firstLine="0"/>
        <w:jc w:val="both"/>
        <w:rPr>
          <w:rFonts w:hint="default" w:ascii="Calibri" w:hAnsi="Calibri" w:eastAsia="楷体_GB2312" w:cs="Calibri"/>
          <w:b/>
          <w:sz w:val="20"/>
          <w:szCs w:val="20"/>
        </w:rPr>
      </w:pPr>
      <w:r>
        <w:rPr>
          <w:rFonts w:hint="default" w:ascii="Calibri" w:hAnsi="Calibri" w:eastAsia="楷体_GB2312" w:cs="Calibri"/>
          <w:b/>
          <w:sz w:val="20"/>
          <w:szCs w:val="20"/>
        </w:rPr>
        <w:t>APPENDIX 1</w:t>
      </w:r>
    </w:p>
    <w:p w14:paraId="3AF8CC61">
      <w:pPr>
        <w:pStyle w:val="12"/>
        <w:spacing w:before="120" w:beforeLines="50" w:after="120" w:afterLines="50" w:line="260" w:lineRule="exact"/>
        <w:ind w:left="0" w:leftChars="0" w:right="42" w:firstLine="0"/>
        <w:jc w:val="both"/>
        <w:rPr>
          <w:rFonts w:hint="default" w:ascii="Calibri" w:hAnsi="Calibri" w:eastAsia="楷体_GB2312" w:cs="Calibri"/>
          <w:b/>
          <w:sz w:val="20"/>
          <w:szCs w:val="20"/>
        </w:rPr>
      </w:pPr>
      <w:r>
        <w:rPr>
          <w:rFonts w:hint="default" w:ascii="Calibri" w:hAnsi="Calibri" w:eastAsia="楷体_GB2312" w:cs="Calibri"/>
          <w:b/>
          <w:sz w:val="20"/>
          <w:szCs w:val="20"/>
        </w:rPr>
        <w:t>Summary</w:t>
      </w:r>
    </w:p>
    <w:p w14:paraId="75C57136">
      <w:pPr>
        <w:numPr>
          <w:ilvl w:val="0"/>
          <w:numId w:val="16"/>
        </w:numPr>
        <w:rPr>
          <w:rFonts w:hint="default" w:ascii="Calibri" w:hAnsi="Calibri" w:eastAsia="楷体_GB2312" w:cs="Calibri"/>
          <w:b/>
          <w:bCs/>
          <w:sz w:val="20"/>
          <w:szCs w:val="20"/>
        </w:rPr>
      </w:pPr>
      <w:r>
        <w:rPr>
          <w:rFonts w:hint="default" w:ascii="Calibri" w:hAnsi="Calibri" w:eastAsia="楷体_GB2312" w:cs="Calibri"/>
          <w:b/>
          <w:bCs/>
          <w:sz w:val="20"/>
          <w:szCs w:val="20"/>
          <w:lang w:val="en-US" w:eastAsia="zh-CN" w:bidi="ar"/>
        </w:rPr>
        <w:t xml:space="preserve">Global Infrastructure &amp; Construction: </w:t>
      </w:r>
    </w:p>
    <w:p w14:paraId="32952BDD">
      <w:pPr>
        <w:overflowPunct w:val="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Data Centers: The U.S. White House released a "Ratepayer Protection Pledge" requiring tech giants to fully bear the electricity infrastructure costs brought by AI data center expansion. Amazon announced an investment of $12 billion in Louisiana to build a next-generation AI data center and pledged to self-fund the infrastructure costs.</w:t>
      </w:r>
    </w:p>
    <w:p w14:paraId="1FC091E2">
      <w:pPr>
        <w:overflowPunct w:val="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 xml:space="preserve">Energy Construction: The U.S. Energy Information Administration predicts that by 2026, the U.S. will add a record 86 GW of electricity installed capacity. Google and Xcel Energy reached a 1.9 GW clean energy agreement, accelerating the achievement of 24/7 carbon-free energy goals by deploying the world's largest iron-flow battery project. Meta reached a 6.6 GW long-term procurement agreement with three nuclear energy suppliers, promoting the large-scale construction of small modular reactors. </w:t>
      </w:r>
    </w:p>
    <w:p w14:paraId="39A9415A">
      <w:pPr>
        <w:overflowPunct w:val="0"/>
        <w:jc w:val="both"/>
        <w:rPr>
          <w:rFonts w:hint="default" w:ascii="Calibri" w:hAnsi="Calibri" w:eastAsia="楷体_GB2312" w:cs="Calibri"/>
          <w:sz w:val="20"/>
          <w:szCs w:val="20"/>
          <w:lang w:val="en-US" w:eastAsia="zh-CN"/>
        </w:rPr>
      </w:pPr>
    </w:p>
    <w:p w14:paraId="2D3CE0A7">
      <w:pPr>
        <w:overflowPunct w:val="0"/>
        <w:jc w:val="both"/>
        <w:rPr>
          <w:rFonts w:hint="default" w:ascii="Calibri" w:hAnsi="Calibri" w:eastAsia="楷体_GB2312" w:cs="Calibri"/>
          <w:b/>
          <w:bCs/>
          <w:sz w:val="20"/>
          <w:szCs w:val="20"/>
          <w:lang w:val="en-US" w:eastAsia="zh-CN"/>
        </w:rPr>
      </w:pPr>
      <w:r>
        <w:rPr>
          <w:rFonts w:hint="default" w:ascii="Calibri" w:hAnsi="Calibri" w:eastAsia="楷体_GB2312" w:cs="Calibri"/>
          <w:b/>
          <w:bCs/>
          <w:sz w:val="20"/>
          <w:szCs w:val="20"/>
          <w:lang w:val="en-US" w:eastAsia="zh-CN"/>
        </w:rPr>
        <w:t>2. Global Electrical &amp; Intelligent Equipment</w:t>
      </w:r>
    </w:p>
    <w:p w14:paraId="13834109">
      <w:pPr>
        <w:overflowPunct w:val="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Industrial Equipment Price Index</w:t>
      </w:r>
      <w:r>
        <w:rPr>
          <w:rFonts w:hint="default" w:ascii="Calibri" w:hAnsi="Calibri" w:eastAsia="楷体_GB2312" w:cs="Calibri"/>
          <w:sz w:val="20"/>
          <w:szCs w:val="20"/>
          <w:lang w:val="en-US" w:eastAsia="zh-CN"/>
        </w:rPr>
        <w:t xml:space="preserve">: Persistent tight supply-demand relations and a stable industry competitive landscape jointly propelled the gas turbine price index to continue its upward trend. Industrial Equipment Export Index: China's transformer exports are projected to maintain high growth in 2025. The export value is set to soar to RMB 64.6 billion, marking a staggering 36% year-on-year increase, firmly establishing China as the world's largest transformer exporter. </w:t>
      </w:r>
    </w:p>
    <w:p w14:paraId="2D62ABFF">
      <w:pPr>
        <w:overflowPunct w:val="0"/>
        <w:jc w:val="both"/>
        <w:rPr>
          <w:rFonts w:hint="default" w:ascii="Calibri" w:hAnsi="Calibri" w:eastAsia="楷体_GB2312" w:cs="Calibri"/>
          <w:b/>
          <w:bCs/>
          <w:sz w:val="20"/>
          <w:szCs w:val="20"/>
          <w:lang w:val="en-US" w:eastAsia="zh-CN"/>
        </w:rPr>
      </w:pPr>
    </w:p>
    <w:p w14:paraId="3D6D122E">
      <w:pPr>
        <w:overflowPunct w:val="0"/>
        <w:jc w:val="both"/>
        <w:rPr>
          <w:rFonts w:hint="default" w:ascii="Calibri" w:hAnsi="Calibri" w:eastAsia="楷体_GB2312" w:cs="Calibri"/>
          <w:b/>
          <w:bCs/>
          <w:sz w:val="20"/>
          <w:szCs w:val="20"/>
          <w:lang w:val="en-US" w:eastAsia="zh-CN"/>
        </w:rPr>
      </w:pPr>
      <w:r>
        <w:rPr>
          <w:rFonts w:hint="default" w:ascii="Calibri" w:hAnsi="Calibri" w:eastAsia="楷体_GB2312" w:cs="Calibri"/>
          <w:b/>
          <w:bCs/>
          <w:sz w:val="20"/>
          <w:szCs w:val="20"/>
          <w:lang w:val="en-US" w:eastAsia="zh-CN"/>
        </w:rPr>
        <w:t>3. Global Energy Industry</w:t>
      </w:r>
    </w:p>
    <w:p w14:paraId="1C5F3F90">
      <w:pPr>
        <w:overflowPunct w:val="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U.S. Power Markets</w:t>
      </w:r>
      <w:r>
        <w:rPr>
          <w:rFonts w:hint="default" w:ascii="Calibri" w:hAnsi="Calibri" w:eastAsia="楷体_GB2312" w:cs="Calibri"/>
          <w:sz w:val="20"/>
          <w:szCs w:val="20"/>
          <w:lang w:val="en-US" w:eastAsia="zh-CN"/>
        </w:rPr>
        <w:t>: On February 25th, the average spot price for electricity in major U.S. regions was $34.16/MWh.</w:t>
      </w:r>
    </w:p>
    <w:p w14:paraId="0D162A6B">
      <w:pPr>
        <w:overflowPunct w:val="0"/>
        <w:jc w:val="both"/>
        <w:rPr>
          <w:rFonts w:hint="default" w:ascii="Calibri" w:hAnsi="Calibri" w:eastAsia="楷体_GB2312" w:cs="Calibri"/>
          <w:sz w:val="20"/>
          <w:szCs w:val="20"/>
          <w:lang w:val="en-US" w:eastAsia="zh-CN"/>
        </w:rPr>
      </w:pPr>
      <w:r>
        <w:rPr>
          <w:rFonts w:hint="default" w:ascii="Calibri" w:hAnsi="Calibri" w:eastAsia="楷体_GB2312" w:cs="Calibri"/>
          <w:sz w:val="20"/>
          <w:szCs w:val="20"/>
          <w:lang w:val="en-US" w:eastAsia="zh-CN"/>
        </w:rPr>
        <w:t>European Power Markets: Day-ahead transaction prices in the European power market generally trended upwards for the week. U.U. Natural Gas: U.S. natural gas spot and futures prices increased week-over-week, while open interest decreased. As of February 26th, 2026, the Henry Hub spot price was $2.95/MMBtu, down 4.5% week over week. As of February 26th, 2026, the NYMEX Henry Hub futures price was $2.87/MMBtu, down 5.2% week over week.</w:t>
      </w:r>
    </w:p>
    <w:p w14:paraId="2665F9B4">
      <w:pPr>
        <w:overflowPunct w:val="0"/>
        <w:jc w:val="both"/>
        <w:rPr>
          <w:rFonts w:hint="default" w:ascii="Calibri" w:hAnsi="Calibri" w:eastAsia="楷体_GB2312" w:cs="Calibri"/>
          <w:b/>
          <w:bCs/>
          <w:sz w:val="20"/>
          <w:szCs w:val="20"/>
          <w:lang w:val="en-US" w:eastAsia="zh-CN"/>
        </w:rPr>
      </w:pPr>
    </w:p>
    <w:p w14:paraId="31293606">
      <w:pPr>
        <w:overflowPunct w:val="0"/>
        <w:jc w:val="both"/>
        <w:rPr>
          <w:rFonts w:hint="default" w:ascii="Calibri" w:hAnsi="Calibri" w:eastAsia="楷体_GB2312" w:cs="Calibri"/>
          <w:b/>
          <w:bCs/>
          <w:sz w:val="20"/>
          <w:szCs w:val="20"/>
          <w:lang w:val="en-US" w:eastAsia="zh-CN"/>
        </w:rPr>
      </w:pPr>
      <w:r>
        <w:rPr>
          <w:rFonts w:hint="default" w:ascii="Calibri" w:hAnsi="Calibri" w:eastAsia="楷体_GB2312" w:cs="Calibri"/>
          <w:b/>
          <w:bCs/>
          <w:sz w:val="20"/>
          <w:szCs w:val="20"/>
          <w:lang w:val="en-US" w:eastAsia="zh-CN"/>
        </w:rPr>
        <w:t>4. Global New Materials</w:t>
      </w:r>
    </w:p>
    <w:p w14:paraId="150A5089">
      <w:pPr>
        <w:overflowPunct w:val="0"/>
        <w:jc w:val="both"/>
        <w:rPr>
          <w:rFonts w:hint="default" w:ascii="Calibri" w:hAnsi="Calibri" w:eastAsia="楷体_GB2312" w:cs="Calibri"/>
          <w:sz w:val="20"/>
          <w:szCs w:val="20"/>
          <w:lang w:val="en-US" w:eastAsia="zh-CN"/>
        </w:rPr>
      </w:pPr>
      <w:r>
        <w:rPr>
          <w:rFonts w:hint="default" w:ascii="Calibri" w:hAnsi="Calibri" w:eastAsia="楷体_GB2312" w:cs="Calibri"/>
          <w:b/>
          <w:bCs/>
          <w:sz w:val="20"/>
          <w:szCs w:val="20"/>
          <w:lang w:val="en-US" w:eastAsia="zh-CN"/>
        </w:rPr>
        <w:t>Natural Uranium</w:t>
      </w:r>
      <w:r>
        <w:rPr>
          <w:rFonts w:hint="default" w:ascii="Calibri" w:hAnsi="Calibri" w:eastAsia="楷体_GB2312" w:cs="Calibri"/>
          <w:sz w:val="20"/>
          <w:szCs w:val="20"/>
          <w:lang w:val="en-US" w:eastAsia="zh-CN"/>
        </w:rPr>
        <w:t>: In December 2025, the global actual market price for uranium was $63.51/pound, representing a month-over-month increase of 2.0% and a year-over-year increase of 5.5%. Rare Earths: This week, praseodymium-neodymium oxide (RMB 850,000/ton) led the gains with a week-over-week increase of 13.8% and a month-over-month increase of 33.4%. Other rare earth varieties saw week-over-week increases in the 2-5% range.</w:t>
      </w:r>
    </w:p>
    <w:p w14:paraId="47C04EC4">
      <w:pPr>
        <w:overflowPunct w:val="0"/>
        <w:jc w:val="both"/>
        <w:rPr>
          <w:rFonts w:hint="default" w:ascii="Calibri" w:hAnsi="Calibri" w:eastAsia="楷体_GB2312" w:cs="Calibri"/>
          <w:sz w:val="20"/>
          <w:szCs w:val="20"/>
          <w:lang w:val="en-US" w:eastAsia="zh-CN"/>
        </w:rPr>
      </w:pPr>
    </w:p>
    <w:p w14:paraId="379A9B7B">
      <w:pPr>
        <w:overflowPunct w:val="0"/>
        <w:jc w:val="both"/>
        <w:rPr>
          <w:rFonts w:hint="default" w:ascii="Calibri" w:hAnsi="Calibri" w:eastAsia="楷体_GB2312" w:cs="Calibri"/>
          <w:b/>
          <w:bCs/>
          <w:sz w:val="20"/>
          <w:szCs w:val="20"/>
          <w:lang w:val="en-US" w:eastAsia="zh-CN"/>
        </w:rPr>
      </w:pPr>
      <w:r>
        <w:rPr>
          <w:rFonts w:hint="default" w:ascii="Calibri" w:hAnsi="Calibri" w:eastAsia="楷体_GB2312" w:cs="Calibri"/>
          <w:b/>
          <w:bCs/>
          <w:sz w:val="20"/>
          <w:szCs w:val="20"/>
          <w:lang w:val="en-US" w:eastAsia="zh-CN"/>
        </w:rPr>
        <w:t>5. Global Defense &amp; Aerospace</w:t>
      </w:r>
    </w:p>
    <w:p w14:paraId="414B9533">
      <w:pPr>
        <w:jc w:val="both"/>
        <w:rPr>
          <w:rFonts w:hint="default" w:ascii="Calibri" w:hAnsi="Calibri" w:eastAsia="楷体_GB2312" w:cs="Calibri"/>
          <w:bCs/>
          <w:sz w:val="20"/>
          <w:szCs w:val="20"/>
        </w:rPr>
      </w:pPr>
      <w:r>
        <w:rPr>
          <w:rFonts w:hint="default" w:ascii="Calibri" w:hAnsi="Calibri" w:eastAsia="楷体_GB2312" w:cs="Calibri"/>
          <w:b/>
          <w:sz w:val="20"/>
          <w:szCs w:val="20"/>
        </w:rPr>
        <w:t>U.S. Aircraft Engine and Engine Parts Manufacturing Price Index</w:t>
      </w:r>
      <w:r>
        <w:rPr>
          <w:rFonts w:hint="default" w:ascii="Calibri" w:hAnsi="Calibri" w:eastAsia="楷体_GB2312" w:cs="Calibri"/>
          <w:bCs/>
          <w:sz w:val="20"/>
          <w:szCs w:val="20"/>
        </w:rPr>
        <w:t>: In December 2025, the price index was 275.942, up 0.35% month over month and 1.44% year over year.</w:t>
      </w:r>
      <w:r>
        <w:rPr>
          <w:rFonts w:hint="default" w:ascii="Calibri" w:hAnsi="Calibri" w:eastAsia="楷体_GB2312" w:cs="Calibri"/>
          <w:bCs/>
          <w:sz w:val="20"/>
          <w:szCs w:val="20"/>
          <w:lang w:val="en-US" w:eastAsia="zh-CN"/>
        </w:rPr>
        <w:t xml:space="preserve"> </w:t>
      </w:r>
      <w:r>
        <w:rPr>
          <w:rFonts w:hint="default" w:ascii="Calibri" w:hAnsi="Calibri" w:eastAsia="楷体_GB2312" w:cs="Calibri"/>
          <w:bCs/>
          <w:sz w:val="20"/>
          <w:szCs w:val="20"/>
        </w:rPr>
        <w:t>Aircraft Engine and Engine Parts Manufacturing: Aircraft Engine Parts Price Index: In December 2025, the price index for aircraft engine parts was 292.545, up 0.7% month over month and 3.7% year over year.</w:t>
      </w:r>
      <w:r>
        <w:rPr>
          <w:rFonts w:hint="default" w:ascii="Calibri" w:hAnsi="Calibri" w:eastAsia="楷体_GB2312" w:cs="Calibri"/>
          <w:bCs/>
          <w:sz w:val="20"/>
          <w:szCs w:val="20"/>
          <w:lang w:val="en-US" w:eastAsia="zh-CN"/>
        </w:rPr>
        <w:t xml:space="preserve"> </w:t>
      </w:r>
      <w:r>
        <w:rPr>
          <w:rFonts w:hint="default" w:ascii="Calibri" w:hAnsi="Calibri" w:eastAsia="楷体_GB2312" w:cs="Calibri"/>
          <w:bCs/>
          <w:sz w:val="20"/>
          <w:szCs w:val="20"/>
        </w:rPr>
        <w:t>U.S. Government Spending Defense Price Index: In Q4 2025, the index was 120.187, up 0.9% quarter-over-quarter and 2.95% year-over-year.</w:t>
      </w:r>
    </w:p>
    <w:p w14:paraId="0BA7A55D">
      <w:pPr>
        <w:rPr>
          <w:rFonts w:hint="default" w:ascii="Calibri" w:hAnsi="Calibri" w:eastAsia="楷体_GB2312" w:cs="Calibri"/>
          <w:bCs/>
          <w:sz w:val="20"/>
          <w:szCs w:val="20"/>
        </w:rPr>
      </w:pPr>
    </w:p>
    <w:p w14:paraId="397FA07A">
      <w:pPr>
        <w:rPr>
          <w:rFonts w:hint="default" w:ascii="Calibri" w:hAnsi="Calibri" w:eastAsia="楷体_GB2312" w:cs="Calibri"/>
          <w:bCs/>
          <w:sz w:val="20"/>
          <w:szCs w:val="20"/>
        </w:rPr>
      </w:pPr>
    </w:p>
    <w:p w14:paraId="703C2AEE">
      <w:pPr>
        <w:pStyle w:val="12"/>
        <w:spacing w:before="240" w:beforeLines="100" w:after="240" w:afterLines="100" w:line="260" w:lineRule="exact"/>
        <w:ind w:left="0" w:leftChars="0" w:right="42" w:firstLine="0"/>
        <w:jc w:val="both"/>
        <w:rPr>
          <w:rFonts w:hint="default" w:ascii="Calibri" w:hAnsi="Calibri" w:eastAsia="楷体_GB2312" w:cs="Calibri"/>
          <w:sz w:val="20"/>
          <w:szCs w:val="20"/>
        </w:rPr>
        <w:sectPr>
          <w:headerReference r:id="rId5" w:type="default"/>
          <w:footerReference r:id="rId6" w:type="default"/>
          <w:pgSz w:w="11909" w:h="16834"/>
          <w:pgMar w:top="1716" w:right="851" w:bottom="1021" w:left="360" w:header="720" w:footer="1580" w:gutter="0"/>
          <w:cols w:space="720" w:num="1"/>
          <w:docGrid w:linePitch="360" w:charSpace="0"/>
        </w:sectPr>
      </w:pPr>
    </w:p>
    <w:tbl>
      <w:tblPr>
        <w:tblStyle w:val="27"/>
        <w:tblW w:w="11252" w:type="dxa"/>
        <w:tblCaption w:val="[Table_APPENDIX]"/>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28" w:type="dxa"/>
          <w:bottom w:w="0" w:type="dxa"/>
          <w:right w:w="28" w:type="dxa"/>
        </w:tblCellMar>
      </w:tblPr>
      <w:tblGrid>
        <w:gridCol w:w="11252"/>
      </w:tblGrid>
      <w:tr w14:paraId="124F89F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23" w:hRule="exact"/>
        </w:trPr>
        <w:tc>
          <w:tcPr>
            <w:tcW w:w="11252" w:type="dxa"/>
          </w:tcPr>
          <w:p w14:paraId="4F47D8A8">
            <w:pPr>
              <w:rPr>
                <w:rFonts w:hint="default" w:ascii="Calibri" w:hAnsi="Calibri" w:eastAsia="楷体_GB2312" w:cs="Calibri"/>
                <w:color w:val="FF0000"/>
              </w:rPr>
            </w:pPr>
            <w:r>
              <w:rPr>
                <w:rFonts w:hint="default" w:ascii="Calibri" w:hAnsi="Calibri" w:eastAsia="楷体_GB2312" w:cs="Calibri"/>
                <w:color w:val="FFFFFF" w:themeColor="background1"/>
                <w14:textFill>
                  <w14:solidFill>
                    <w14:schemeClr w14:val="bg1"/>
                  </w14:solidFill>
                </w14:textFill>
              </w:rPr>
              <w:t>[Table_APPENDIX]</w:t>
            </w:r>
          </w:p>
        </w:tc>
      </w:tr>
      <w:tr w14:paraId="6096A929">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1843" w:hRule="atLeast"/>
        </w:trPr>
        <w:tc>
          <w:tcPr>
            <w:tcW w:w="11252" w:type="dxa"/>
          </w:tcPr>
          <w:tbl>
            <w:tblPr>
              <w:tblStyle w:val="27"/>
              <w:tblW w:w="11196" w:type="dxa"/>
              <w:tblCaption w:val="[Table_disclaimer]"/>
              <w:tblDescription w:val="表格隐藏唯一标识（请勿删除和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28" w:type="dxa"/>
                <w:bottom w:w="0" w:type="dxa"/>
                <w:right w:w="28" w:type="dxa"/>
              </w:tblCellMar>
            </w:tblPr>
            <w:tblGrid>
              <w:gridCol w:w="11196"/>
            </w:tblGrid>
            <w:tr w14:paraId="2B0004C9">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23" w:hRule="exact"/>
              </w:trPr>
              <w:tc>
                <w:tcPr>
                  <w:tcW w:w="11196" w:type="dxa"/>
                  <w:tcBorders>
                    <w:top w:val="nil"/>
                    <w:bottom w:val="single" w:color="C0C0C0" w:sz="4" w:space="0"/>
                  </w:tcBorders>
                </w:tcPr>
                <w:p w14:paraId="106C6F8C">
                  <w:pPr>
                    <w:pStyle w:val="44"/>
                    <w:spacing w:after="60"/>
                    <w:rPr>
                      <w:rFonts w:hint="default" w:ascii="Calibri" w:hAnsi="Calibri" w:eastAsia="楷体_GB2312" w:cs="Calibri"/>
                      <w:b/>
                      <w:bCs/>
                      <w:w w:val="70"/>
                      <w:sz w:val="22"/>
                      <w:szCs w:val="22"/>
                    </w:rPr>
                  </w:pPr>
                  <w:r>
                    <w:rPr>
                      <w:rFonts w:hint="default" w:ascii="Calibri" w:hAnsi="Calibri" w:eastAsia="楷体_GB2312" w:cs="Calibri"/>
                      <w:b/>
                      <w:bCs/>
                      <w:color w:val="FFFFFF" w:themeColor="background1"/>
                      <w:w w:val="70"/>
                      <w:sz w:val="22"/>
                      <w:szCs w:val="22"/>
                      <w14:textFill>
                        <w14:solidFill>
                          <w14:schemeClr w14:val="bg1"/>
                        </w14:solidFill>
                      </w14:textFill>
                    </w:rPr>
                    <w:t>[Table_disclaimer]</w:t>
                  </w:r>
                </w:p>
              </w:tc>
            </w:tr>
            <w:tr w14:paraId="375190C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24" w:space="0"/>
                  </w:tcBorders>
                </w:tcPr>
                <w:p w14:paraId="3AC44BF7">
                  <w:pPr>
                    <w:pStyle w:val="44"/>
                    <w:spacing w:after="60"/>
                    <w:rPr>
                      <w:rFonts w:hint="default" w:ascii="Calibri" w:hAnsi="Calibri" w:eastAsia="楷体_GB2312" w:cs="Calibri"/>
                      <w:b/>
                      <w:bCs/>
                      <w:w w:val="70"/>
                      <w:sz w:val="22"/>
                      <w:szCs w:val="22"/>
                      <w:lang w:eastAsia="zh-CN"/>
                    </w:rPr>
                  </w:pPr>
                  <w:r>
                    <w:rPr>
                      <w:rFonts w:hint="default" w:ascii="Calibri" w:hAnsi="Calibri" w:eastAsia="楷体_GB2312" w:cs="Calibri"/>
                      <w:b/>
                      <w:bCs/>
                      <w:w w:val="70"/>
                      <w:sz w:val="22"/>
                      <w:szCs w:val="22"/>
                      <w:lang w:eastAsia="zh-CN"/>
                    </w:rPr>
                    <w:t>附录APPENDIX</w:t>
                  </w:r>
                </w:p>
                <w:p w14:paraId="17A31E5F">
                  <w:pPr>
                    <w:pStyle w:val="44"/>
                    <w:rPr>
                      <w:rFonts w:hint="default" w:ascii="Calibri" w:hAnsi="Calibri" w:eastAsia="楷体_GB2312" w:cs="Calibri"/>
                      <w:b/>
                      <w:w w:val="70"/>
                      <w:sz w:val="20"/>
                      <w:szCs w:val="20"/>
                      <w:lang w:eastAsia="zh-CN"/>
                    </w:rPr>
                  </w:pPr>
                  <w:r>
                    <w:rPr>
                      <w:rFonts w:hint="default" w:ascii="Calibri" w:hAnsi="Calibri" w:eastAsia="楷体_GB2312" w:cs="Calibri"/>
                      <w:b/>
                      <w:w w:val="70"/>
                      <w:sz w:val="20"/>
                      <w:szCs w:val="20"/>
                      <w:lang w:eastAsia="zh-CN"/>
                    </w:rPr>
                    <w:t>重要信息披露</w:t>
                  </w:r>
                </w:p>
                <w:p w14:paraId="67D0DB9B">
                  <w:pPr>
                    <w:pStyle w:val="44"/>
                    <w:rPr>
                      <w:rFonts w:hint="default" w:ascii="Calibri" w:hAnsi="Calibri" w:eastAsia="楷体_GB2312" w:cs="Calibri"/>
                      <w:w w:val="70"/>
                      <w:sz w:val="20"/>
                      <w:szCs w:val="20"/>
                      <w:lang w:eastAsia="zh-CN"/>
                    </w:rPr>
                  </w:pPr>
                  <w:r>
                    <w:rPr>
                      <w:rFonts w:hint="default" w:ascii="Calibri" w:hAnsi="Calibri" w:eastAsia="楷体_GB2312" w:cs="Calibri"/>
                      <w:w w:val="70"/>
                      <w:sz w:val="20"/>
                      <w:szCs w:val="20"/>
                      <w:lang w:eastAsia="zh-CN"/>
                    </w:rPr>
                    <w:t>本研究报告由华福国际（香港）金融控股有限公司（下称华福国际）分销，在其许可的司法管辖区内从事证券活动。</w:t>
                  </w:r>
                </w:p>
                <w:p w14:paraId="5285B2E2">
                  <w:pPr>
                    <w:pStyle w:val="44"/>
                    <w:rPr>
                      <w:rFonts w:hint="default" w:ascii="Calibri" w:hAnsi="Calibri" w:eastAsia="楷体_GB2312" w:cs="Calibri"/>
                      <w:b/>
                      <w:bCs/>
                      <w:w w:val="70"/>
                      <w:sz w:val="20"/>
                      <w:szCs w:val="20"/>
                    </w:rPr>
                  </w:pPr>
                  <w:r>
                    <w:rPr>
                      <w:rFonts w:hint="default" w:ascii="Calibri" w:hAnsi="Calibri" w:eastAsia="楷体_GB2312" w:cs="Calibri"/>
                      <w:b/>
                      <w:bCs/>
                      <w:w w:val="70"/>
                      <w:sz w:val="20"/>
                      <w:szCs w:val="20"/>
                    </w:rPr>
                    <w:t>IMPORTANT DISCLOSURES</w:t>
                  </w:r>
                </w:p>
                <w:p w14:paraId="6E2C5F51">
                  <w:pPr>
                    <w:pStyle w:val="44"/>
                    <w:spacing w:after="60"/>
                    <w:rPr>
                      <w:rFonts w:hint="default" w:ascii="Calibri" w:hAnsi="Calibri" w:eastAsia="楷体_GB2312" w:cs="Calibri"/>
                      <w:lang w:eastAsia="zh-CN"/>
                    </w:rPr>
                  </w:pPr>
                  <w:r>
                    <w:rPr>
                      <w:rFonts w:hint="default" w:ascii="Calibri" w:hAnsi="Calibri" w:eastAsia="楷体_GB2312" w:cs="Calibri"/>
                      <w:w w:val="70"/>
                      <w:sz w:val="20"/>
                      <w:szCs w:val="20"/>
                    </w:rPr>
                    <w:t xml:space="preserve">This research report is distributed by </w:t>
                  </w:r>
                  <w:r>
                    <w:rPr>
                      <w:rFonts w:hint="default" w:ascii="Calibri" w:hAnsi="Calibri" w:eastAsia="楷体_GB2312" w:cs="Calibri"/>
                      <w:w w:val="70"/>
                      <w:sz w:val="20"/>
                      <w:szCs w:val="20"/>
                      <w:lang w:eastAsia="zh-CN"/>
                    </w:rPr>
                    <w:t>HuaFu</w:t>
                  </w:r>
                  <w:r>
                    <w:rPr>
                      <w:rFonts w:hint="default" w:ascii="Calibri" w:hAnsi="Calibri" w:eastAsia="楷体_GB2312" w:cs="Calibri"/>
                      <w:w w:val="70"/>
                      <w:sz w:val="20"/>
                      <w:szCs w:val="20"/>
                    </w:rPr>
                    <w:t xml:space="preserve"> International</w:t>
                  </w:r>
                  <w:r>
                    <w:rPr>
                      <w:rFonts w:hint="default" w:ascii="Calibri" w:hAnsi="Calibri" w:eastAsia="楷体_GB2312" w:cs="Calibri"/>
                      <w:w w:val="70"/>
                      <w:sz w:val="20"/>
                      <w:szCs w:val="20"/>
                      <w:lang w:eastAsia="zh-CN"/>
                    </w:rPr>
                    <w:t xml:space="preserve"> (HK) Financial Holdings Limited (referred as HuaFu International below)</w:t>
                  </w:r>
                  <w:r>
                    <w:rPr>
                      <w:rFonts w:hint="default" w:ascii="Calibri" w:hAnsi="Calibri" w:eastAsia="楷体_GB2312" w:cs="Calibri"/>
                      <w:w w:val="70"/>
                      <w:sz w:val="20"/>
                      <w:szCs w:val="20"/>
                    </w:rPr>
                    <w:t xml:space="preserve">, </w:t>
                  </w:r>
                  <w:r>
                    <w:rPr>
                      <w:rFonts w:hint="default" w:ascii="Calibri" w:hAnsi="Calibri" w:eastAsia="楷体_GB2312" w:cs="Calibri"/>
                      <w:w w:val="70"/>
                      <w:sz w:val="20"/>
                      <w:szCs w:val="20"/>
                      <w:lang w:eastAsia="zh-CN"/>
                    </w:rPr>
                    <w:t>which</w:t>
                  </w:r>
                  <w:r>
                    <w:rPr>
                      <w:rFonts w:hint="default" w:ascii="Calibri" w:hAnsi="Calibri" w:eastAsia="楷体_GB2312" w:cs="Calibri"/>
                      <w:w w:val="70"/>
                      <w:sz w:val="20"/>
                      <w:szCs w:val="20"/>
                    </w:rPr>
                    <w:t xml:space="preserve"> </w:t>
                  </w:r>
                  <w:r>
                    <w:rPr>
                      <w:rFonts w:hint="default" w:ascii="Calibri" w:hAnsi="Calibri" w:eastAsia="楷体_GB2312" w:cs="Calibri"/>
                      <w:w w:val="70"/>
                      <w:sz w:val="20"/>
                      <w:szCs w:val="20"/>
                      <w:lang w:eastAsia="zh-CN"/>
                    </w:rPr>
                    <w:t xml:space="preserve">is </w:t>
                  </w:r>
                  <w:r>
                    <w:rPr>
                      <w:rFonts w:hint="default" w:ascii="Calibri" w:hAnsi="Calibri" w:eastAsia="楷体_GB2312" w:cs="Calibri"/>
                      <w:w w:val="70"/>
                      <w:sz w:val="20"/>
                      <w:szCs w:val="20"/>
                    </w:rPr>
                    <w:t>authorized to engage in securities activities in its respective jurisdiction.</w:t>
                  </w:r>
                </w:p>
              </w:tc>
            </w:tr>
            <w:tr w14:paraId="3BC65615">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24" w:space="0"/>
                  </w:tcBorders>
                </w:tcPr>
                <w:p w14:paraId="4F2AE5FF">
                  <w:pPr>
                    <w:pStyle w:val="44"/>
                    <w:spacing w:after="48" w:afterLines="20"/>
                    <w:rPr>
                      <w:rFonts w:hint="default" w:ascii="Calibri" w:hAnsi="Calibri" w:eastAsia="楷体_GB2312" w:cs="Calibri"/>
                      <w:w w:val="70"/>
                      <w:sz w:val="20"/>
                      <w:szCs w:val="20"/>
                    </w:rPr>
                  </w:pPr>
                  <w:r>
                    <w:rPr>
                      <w:rFonts w:hint="default" w:ascii="Calibri" w:hAnsi="Calibri" w:eastAsia="楷体_GB2312" w:cs="Calibri"/>
                      <w:b/>
                      <w:w w:val="70"/>
                      <w:sz w:val="20"/>
                      <w:szCs w:val="20"/>
                    </w:rPr>
                    <w:t>分析师认证Analyst Certification</w:t>
                  </w:r>
                  <w:r>
                    <w:rPr>
                      <w:rFonts w:hint="default" w:ascii="Calibri" w:hAnsi="Calibri" w:eastAsia="楷体_GB2312" w:cs="Calibri"/>
                      <w:w w:val="70"/>
                      <w:sz w:val="20"/>
                      <w:szCs w:val="20"/>
                    </w:rPr>
                    <w:t>:</w:t>
                  </w:r>
                </w:p>
              </w:tc>
            </w:tr>
            <w:tr w14:paraId="547EC798">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bottom w:val="single" w:color="C0C0C0" w:sz="24" w:space="0"/>
                  </w:tcBorders>
                </w:tcPr>
                <w:p w14:paraId="42E1336D">
                  <w:pPr>
                    <w:jc w:val="both"/>
                    <w:rPr>
                      <w:rFonts w:hint="default" w:ascii="Calibri" w:hAnsi="Calibri" w:eastAsia="楷体_GB2312" w:cs="Calibri"/>
                    </w:rPr>
                  </w:pPr>
                  <w:r>
                    <w:rPr>
                      <w:rFonts w:ascii="Calibri" w:eastAsia="楷体_GB2312"/>
                      <w:b w:val="0"/>
                      <w:i w:val="0"/>
                      <w:color w:val="000000"/>
                      <w:w w:val="70"/>
                      <w:sz w:val="20"/>
                    </w:rPr>
                    <w:t>我， 杨斌，在此保证（i）本研究报告中的意见准确反映了我们对本研究中提及的任何或所有目标公司或上市公司的个人观点，并且（ii）我的报酬中没有任何部分与本研究报告中表达的具体建议或观点直接或间接相关；及就此报告中所讨论目标公司的证券，我们（包括我们的家属）在其中均不持有任何财务利益。I, Bin Yang, certify that (i) the views expressed in this research report accurately reflect my personal views about any or all of the subject companies or issuers referred to in this research and (ii) no part of my compensation was, is or will be directly or indirectly related to the specific recommendations or views expressed in this research report; and that I (including members of my household) have no financial interest in the security or securities of the subject companies discussed.</w:t>
                  </w:r>
                </w:p>
              </w:tc>
            </w:tr>
            <w:tr w14:paraId="2C8F33C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24" w:space="0"/>
                    <w:bottom w:val="nil"/>
                  </w:tcBorders>
                </w:tcPr>
                <w:p w14:paraId="1EBBFABF">
                  <w:pPr>
                    <w:pStyle w:val="44"/>
                    <w:spacing w:after="48" w:afterLines="20"/>
                    <w:rPr>
                      <w:rFonts w:hint="default" w:ascii="Calibri" w:hAnsi="Calibri" w:eastAsia="楷体_GB2312" w:cs="Calibri"/>
                      <w:b/>
                      <w:bCs/>
                      <w:w w:val="70"/>
                      <w:sz w:val="20"/>
                      <w:szCs w:val="20"/>
                    </w:rPr>
                  </w:pPr>
                  <w:r>
                    <w:rPr>
                      <w:rFonts w:hint="default" w:ascii="Calibri" w:hAnsi="Calibri" w:eastAsia="楷体_GB2312" w:cs="Calibri"/>
                      <w:b/>
                      <w:bCs/>
                      <w:w w:val="70"/>
                      <w:sz w:val="20"/>
                      <w:szCs w:val="20"/>
                    </w:rPr>
                    <w:t>利益冲突披露Conflict of Interest Disclosures</w:t>
                  </w:r>
                </w:p>
              </w:tc>
            </w:tr>
            <w:tr w14:paraId="583EF444">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nil"/>
                    <w:bottom w:val="single" w:color="C0C0C0" w:sz="4" w:space="0"/>
                  </w:tcBorders>
                </w:tcPr>
                <w:p w14:paraId="0CC20A39">
                  <w:pPr>
                    <w:pStyle w:val="44"/>
                    <w:rPr>
                      <w:rFonts w:hint="default" w:ascii="Calibri" w:hAnsi="Calibri" w:eastAsia="楷体_GB2312" w:cs="Calibri"/>
                      <w:w w:val="70"/>
                      <w:sz w:val="20"/>
                      <w:szCs w:val="20"/>
                      <w:lang w:eastAsia="zh-CN"/>
                    </w:rPr>
                  </w:pPr>
                  <w:r>
                    <w:rPr>
                      <w:rFonts w:hint="default" w:ascii="Calibri" w:hAnsi="Calibri" w:eastAsia="楷体_GB2312" w:cs="Calibri"/>
                      <w:w w:val="70"/>
                      <w:sz w:val="20"/>
                      <w:szCs w:val="20"/>
                      <w:lang w:eastAsia="zh-CN"/>
                    </w:rPr>
                    <w:t>华福国际及其某些关联公司可从事投资银行业务和/或对本研究中的特定股票或公司进行做市或持有自营头寸。就本研究报告而言，如需了解其中提到的某一公司信息，</w:t>
                  </w:r>
                  <w:r>
                    <w:rPr>
                      <w:rFonts w:hint="default" w:ascii="Calibri" w:hAnsi="Calibri" w:eastAsia="楷体_GB2312" w:cs="Calibri"/>
                    </w:rPr>
                    <w:fldChar w:fldCharType="begin"/>
                  </w:r>
                  <w:r>
                    <w:rPr>
                      <w:rFonts w:hint="default" w:ascii="Calibri" w:hAnsi="Calibri" w:eastAsia="楷体_GB2312" w:cs="Calibri"/>
                    </w:rPr>
                    <w:instrText xml:space="preserve"> HYPERLINK "mailto:请发邮件至lcd@hfisec.com.hk" </w:instrText>
                  </w:r>
                  <w:r>
                    <w:rPr>
                      <w:rFonts w:hint="default" w:ascii="Calibri" w:hAnsi="Calibri" w:eastAsia="楷体_GB2312" w:cs="Calibri"/>
                    </w:rPr>
                    <w:fldChar w:fldCharType="separate"/>
                  </w:r>
                  <w:r>
                    <w:rPr>
                      <w:rStyle w:val="32"/>
                      <w:rFonts w:hint="default" w:ascii="Calibri" w:hAnsi="Calibri" w:eastAsia="楷体_GB2312" w:cs="Calibri"/>
                      <w:w w:val="70"/>
                      <w:sz w:val="20"/>
                      <w:szCs w:val="20"/>
                      <w:lang w:eastAsia="zh-CN"/>
                    </w:rPr>
                    <w:t>请发邮件至lcd@hfisec.com.hk</w:t>
                  </w:r>
                  <w:r>
                    <w:rPr>
                      <w:rStyle w:val="32"/>
                      <w:rFonts w:hint="default" w:ascii="Calibri" w:hAnsi="Calibri" w:eastAsia="楷体_GB2312" w:cs="Calibri"/>
                      <w:w w:val="70"/>
                      <w:sz w:val="20"/>
                      <w:szCs w:val="20"/>
                      <w:lang w:eastAsia="zh-CN"/>
                    </w:rPr>
                    <w:fldChar w:fldCharType="end"/>
                  </w:r>
                  <w:r>
                    <w:rPr>
                      <w:rFonts w:hint="default" w:ascii="Calibri" w:hAnsi="Calibri" w:eastAsia="楷体_GB2312" w:cs="Calibri"/>
                      <w:w w:val="70"/>
                      <w:sz w:val="20"/>
                      <w:szCs w:val="20"/>
                      <w:lang w:eastAsia="zh-CN"/>
                    </w:rPr>
                    <w:t>）</w:t>
                  </w:r>
                </w:p>
                <w:p w14:paraId="0B0EF7A4">
                  <w:pPr>
                    <w:pStyle w:val="44"/>
                    <w:rPr>
                      <w:rFonts w:hint="default" w:ascii="Calibri" w:hAnsi="Calibri" w:eastAsia="楷体_GB2312" w:cs="Calibri"/>
                      <w:b/>
                      <w:bCs/>
                      <w:w w:val="70"/>
                      <w:sz w:val="20"/>
                      <w:szCs w:val="20"/>
                      <w:lang w:eastAsia="zh-CN"/>
                    </w:rPr>
                  </w:pPr>
                  <w:r>
                    <w:rPr>
                      <w:rFonts w:hint="default" w:ascii="Calibri" w:hAnsi="Calibri" w:eastAsia="楷体_GB2312" w:cs="Calibri"/>
                      <w:w w:val="70"/>
                      <w:sz w:val="20"/>
                      <w:szCs w:val="20"/>
                      <w:lang w:eastAsia="zh-CN"/>
                    </w:rPr>
                    <w:t>HuaFu International</w:t>
                  </w:r>
                  <w:r>
                    <w:rPr>
                      <w:rFonts w:hint="default" w:ascii="Calibri" w:hAnsi="Calibri" w:eastAsia="楷体_GB2312" w:cs="Calibri"/>
                      <w:w w:val="70"/>
                      <w:sz w:val="20"/>
                      <w:szCs w:val="20"/>
                    </w:rPr>
                    <w:t xml:space="preserve"> and some of its affiliates may engage in investment banking and / or serve as a market maker or hold proprietary trading positions of certain stocks or companies in this research report. As far as this research report is concerned, </w:t>
                  </w:r>
                  <w:r>
                    <w:rPr>
                      <w:rFonts w:hint="default" w:ascii="Calibri" w:hAnsi="Calibri" w:eastAsia="楷体_GB2312" w:cs="Calibri"/>
                      <w:color w:val="000000" w:themeColor="text1"/>
                      <w:w w:val="70"/>
                      <w:sz w:val="20"/>
                      <w:szCs w:val="20"/>
                      <w14:textFill>
                        <w14:solidFill>
                          <w14:schemeClr w14:val="tx1"/>
                        </w14:solidFill>
                      </w14:textFill>
                    </w:rPr>
                    <w:t xml:space="preserve">please send an email to </w:t>
                  </w:r>
                  <w:r>
                    <w:rPr>
                      <w:rFonts w:hint="default" w:ascii="Calibri" w:hAnsi="Calibri" w:eastAsia="楷体_GB2312" w:cs="Calibri"/>
                      <w:color w:val="000000" w:themeColor="text1"/>
                      <w:w w:val="70"/>
                      <w:sz w:val="20"/>
                      <w:szCs w:val="20"/>
                      <w:lang w:eastAsia="zh-CN"/>
                      <w14:textFill>
                        <w14:solidFill>
                          <w14:schemeClr w14:val="tx1"/>
                        </w14:solidFill>
                      </w14:textFill>
                    </w:rPr>
                    <w:t>lcd</w:t>
                  </w:r>
                  <w:r>
                    <w:rPr>
                      <w:rFonts w:hint="default" w:ascii="Calibri" w:hAnsi="Calibri" w:eastAsia="楷体_GB2312" w:cs="Calibri"/>
                      <w:color w:val="000000" w:themeColor="text1"/>
                      <w:w w:val="70"/>
                      <w:sz w:val="20"/>
                      <w:szCs w:val="20"/>
                      <w14:textFill>
                        <w14:solidFill>
                          <w14:schemeClr w14:val="tx1"/>
                        </w14:solidFill>
                      </w14:textFill>
                    </w:rPr>
                    <w:t>@</w:t>
                  </w:r>
                  <w:r>
                    <w:rPr>
                      <w:rFonts w:hint="default" w:ascii="Calibri" w:hAnsi="Calibri" w:eastAsia="楷体_GB2312" w:cs="Calibri"/>
                      <w:color w:val="000000" w:themeColor="text1"/>
                      <w:w w:val="70"/>
                      <w:sz w:val="20"/>
                      <w:szCs w:val="20"/>
                      <w:lang w:eastAsia="zh-CN"/>
                      <w14:textFill>
                        <w14:solidFill>
                          <w14:schemeClr w14:val="tx1"/>
                        </w14:solidFill>
                      </w14:textFill>
                    </w:rPr>
                    <w:t>hfisec</w:t>
                  </w:r>
                  <w:r>
                    <w:rPr>
                      <w:rFonts w:hint="default" w:ascii="Calibri" w:hAnsi="Calibri" w:eastAsia="楷体_GB2312" w:cs="Calibri"/>
                      <w:color w:val="000000" w:themeColor="text1"/>
                      <w:w w:val="70"/>
                      <w:sz w:val="20"/>
                      <w:szCs w:val="20"/>
                      <w14:textFill>
                        <w14:solidFill>
                          <w14:schemeClr w14:val="tx1"/>
                        </w14:solidFill>
                      </w14:textFill>
                    </w:rPr>
                    <w:t>.com</w:t>
                  </w:r>
                  <w:r>
                    <w:rPr>
                      <w:rFonts w:hint="default" w:ascii="Calibri" w:hAnsi="Calibri" w:eastAsia="楷体_GB2312" w:cs="Calibri"/>
                      <w:color w:val="000000" w:themeColor="text1"/>
                      <w:w w:val="70"/>
                      <w:sz w:val="20"/>
                      <w:szCs w:val="20"/>
                      <w:lang w:eastAsia="zh-CN"/>
                      <w14:textFill>
                        <w14:solidFill>
                          <w14:schemeClr w14:val="tx1"/>
                        </w14:solidFill>
                      </w14:textFill>
                    </w:rPr>
                    <w:t>.hk</w:t>
                  </w:r>
                  <w:r>
                    <w:rPr>
                      <w:rFonts w:hint="default" w:ascii="Calibri" w:hAnsi="Calibri" w:eastAsia="楷体_GB2312" w:cs="Calibri"/>
                      <w:color w:val="000000" w:themeColor="text1"/>
                      <w:w w:val="70"/>
                      <w:sz w:val="20"/>
                      <w:szCs w:val="20"/>
                      <w14:textFill>
                        <w14:solidFill>
                          <w14:schemeClr w14:val="tx1"/>
                        </w14:solidFill>
                      </w14:textFill>
                    </w:rPr>
                    <w:t xml:space="preserve"> if </w:t>
                  </w:r>
                  <w:r>
                    <w:rPr>
                      <w:rFonts w:hint="default" w:ascii="Calibri" w:hAnsi="Calibri" w:eastAsia="楷体_GB2312" w:cs="Calibri"/>
                      <w:color w:val="000000" w:themeColor="text1"/>
                      <w:w w:val="70"/>
                      <w:sz w:val="20"/>
                      <w:szCs w:val="20"/>
                      <w:lang w:eastAsia="zh-CN"/>
                      <w14:textFill>
                        <w14:solidFill>
                          <w14:schemeClr w14:val="tx1"/>
                        </w14:solidFill>
                      </w14:textFill>
                    </w:rPr>
                    <w:t>the</w:t>
                  </w:r>
                  <w:r>
                    <w:rPr>
                      <w:rFonts w:hint="default" w:ascii="Calibri" w:hAnsi="Calibri" w:eastAsia="楷体_GB2312" w:cs="Calibri"/>
                      <w:color w:val="000000" w:themeColor="text1"/>
                      <w:w w:val="70"/>
                      <w:sz w:val="20"/>
                      <w:szCs w:val="20"/>
                      <w14:textFill>
                        <w14:solidFill>
                          <w14:schemeClr w14:val="tx1"/>
                        </w14:solidFill>
                      </w14:textFill>
                    </w:rPr>
                    <w:t xml:space="preserve"> information </w:t>
                  </w:r>
                  <w:r>
                    <w:rPr>
                      <w:rFonts w:hint="default" w:ascii="Calibri" w:hAnsi="Calibri" w:eastAsia="楷体_GB2312" w:cs="Calibri"/>
                      <w:color w:val="000000" w:themeColor="text1"/>
                      <w:w w:val="70"/>
                      <w:sz w:val="20"/>
                      <w:szCs w:val="20"/>
                      <w:lang w:eastAsia="zh-CN"/>
                      <w14:textFill>
                        <w14:solidFill>
                          <w14:schemeClr w14:val="tx1"/>
                        </w14:solidFill>
                      </w14:textFill>
                    </w:rPr>
                    <w:t xml:space="preserve">about any company mentioned in this report </w:t>
                  </w:r>
                  <w:r>
                    <w:rPr>
                      <w:rFonts w:hint="default" w:ascii="Calibri" w:hAnsi="Calibri" w:eastAsia="楷体_GB2312" w:cs="Calibri"/>
                      <w:color w:val="000000" w:themeColor="text1"/>
                      <w:w w:val="70"/>
                      <w:sz w:val="20"/>
                      <w:szCs w:val="20"/>
                      <w14:textFill>
                        <w14:solidFill>
                          <w14:schemeClr w14:val="tx1"/>
                        </w14:solidFill>
                      </w14:textFill>
                    </w:rPr>
                    <w:t>is needed).</w:t>
                  </w:r>
                </w:p>
              </w:tc>
            </w:tr>
            <w:tr w14:paraId="2FA763F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022DBC8F">
                  <w:pPr>
                    <w:pStyle w:val="44"/>
                    <w:rPr>
                      <w:rFonts w:hint="default" w:ascii="Calibri" w:hAnsi="Calibri" w:eastAsia="楷体_GB2312" w:cs="Calibri"/>
                      <w:w w:val="70"/>
                      <w:sz w:val="20"/>
                      <w:szCs w:val="20"/>
                    </w:rPr>
                  </w:pPr>
                </w:p>
              </w:tc>
            </w:tr>
            <w:tr w14:paraId="37244183">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5096" w:hRule="atLeast"/>
              </w:trPr>
              <w:tc>
                <w:tcPr>
                  <w:tcW w:w="11196" w:type="dxa"/>
                  <w:tcBorders>
                    <w:top w:val="single" w:color="C0C0C0" w:sz="4" w:space="0"/>
                  </w:tcBorders>
                </w:tcPr>
                <w:p w14:paraId="43B39091">
                  <w:pPr>
                    <w:pStyle w:val="44"/>
                    <w:rPr>
                      <w:rFonts w:hint="default" w:ascii="Calibri" w:hAnsi="Calibri" w:eastAsia="楷体_GB2312" w:cs="Calibri"/>
                      <w:b/>
                      <w:w w:val="70"/>
                      <w:sz w:val="20"/>
                      <w:szCs w:val="20"/>
                      <w:lang w:eastAsia="zh-CN"/>
                    </w:rPr>
                  </w:pPr>
                  <w:r>
                    <w:rPr>
                      <w:rFonts w:hint="default" w:ascii="Calibri" w:hAnsi="Calibri" w:eastAsia="楷体_GB2312" w:cs="Calibri"/>
                      <w:b/>
                      <w:w w:val="70"/>
                      <w:sz w:val="20"/>
                      <w:szCs w:val="20"/>
                      <w:lang w:eastAsia="zh-CN"/>
                    </w:rPr>
                    <w:t>评级定义（从2020年7月1日开始执行）：</w:t>
                  </w:r>
                </w:p>
                <w:p w14:paraId="5ABDE93C">
                  <w:pPr>
                    <w:pStyle w:val="44"/>
                    <w:rPr>
                      <w:rFonts w:hint="default" w:ascii="Calibri" w:hAnsi="Calibri" w:eastAsia="楷体_GB2312" w:cs="Calibri"/>
                      <w:w w:val="70"/>
                      <w:sz w:val="20"/>
                      <w:szCs w:val="20"/>
                      <w:lang w:eastAsia="zh-CN"/>
                    </w:rPr>
                  </w:pPr>
                  <w:r>
                    <w:rPr>
                      <w:rFonts w:hint="default" w:ascii="Calibri" w:hAnsi="Calibri" w:eastAsia="楷体_GB2312" w:cs="Calibri"/>
                      <w:w w:val="70"/>
                      <w:sz w:val="20"/>
                      <w:szCs w:val="20"/>
                      <w:lang w:eastAsia="zh-CN"/>
                    </w:rPr>
                    <w:t>华福国际采用相对评级系统来为投资者推荐我们覆盖的公司：优于大市、中性或弱于大市。投资者应仔细阅读华福国际的评级定义。并且华福国际发布分析师观点的完整信息，投资者应仔细阅读全文而非仅看评级。在任何情况下，分析师的评级和研究都不能作为投资建议。投资者的买卖股票的决策应基于各自情况（比如投资者的现有持仓）以及其他因素。</w:t>
                  </w:r>
                </w:p>
                <w:p w14:paraId="42A9857A">
                  <w:pPr>
                    <w:pStyle w:val="44"/>
                    <w:rPr>
                      <w:rFonts w:hint="default" w:ascii="Calibri" w:hAnsi="Calibri" w:eastAsia="楷体_GB2312" w:cs="Calibri"/>
                      <w:b/>
                      <w:w w:val="70"/>
                      <w:sz w:val="20"/>
                      <w:szCs w:val="20"/>
                      <w:lang w:eastAsia="zh-CN"/>
                    </w:rPr>
                  </w:pPr>
                  <w:r>
                    <w:rPr>
                      <w:rFonts w:hint="default" w:ascii="Calibri" w:hAnsi="Calibri" w:eastAsia="楷体_GB2312" w:cs="Calibri"/>
                      <w:b/>
                      <w:w w:val="70"/>
                      <w:sz w:val="20"/>
                      <w:szCs w:val="20"/>
                      <w:lang w:eastAsia="zh-CN"/>
                    </w:rPr>
                    <w:t>分析师股票评级</w:t>
                  </w:r>
                </w:p>
                <w:p w14:paraId="7C727B9F">
                  <w:pPr>
                    <w:pStyle w:val="44"/>
                    <w:rPr>
                      <w:rFonts w:hint="default" w:ascii="Calibri" w:hAnsi="Calibri" w:eastAsia="楷体_GB2312" w:cs="Calibri"/>
                      <w:w w:val="70"/>
                      <w:sz w:val="20"/>
                      <w:szCs w:val="20"/>
                      <w:lang w:eastAsia="zh-CN"/>
                    </w:rPr>
                  </w:pPr>
                  <w:r>
                    <w:rPr>
                      <w:rFonts w:hint="default" w:ascii="Calibri" w:hAnsi="Calibri" w:eastAsia="楷体_GB2312" w:cs="Calibri"/>
                      <w:b/>
                      <w:w w:val="70"/>
                      <w:sz w:val="20"/>
                      <w:szCs w:val="20"/>
                      <w:lang w:eastAsia="zh-CN"/>
                    </w:rPr>
                    <w:t>优于大市</w:t>
                  </w:r>
                  <w:r>
                    <w:rPr>
                      <w:rFonts w:hint="default" w:ascii="Calibri" w:hAnsi="Calibri" w:eastAsia="楷体_GB2312" w:cs="Calibri"/>
                      <w:w w:val="70"/>
                      <w:sz w:val="20"/>
                      <w:szCs w:val="20"/>
                      <w:lang w:eastAsia="zh-CN"/>
                    </w:rPr>
                    <w:t>，未来12-18个月内预期相对基准指数涨幅在10%以上，基准定义如下</w:t>
                  </w:r>
                </w:p>
                <w:p w14:paraId="4EFD8EF4">
                  <w:pPr>
                    <w:pStyle w:val="44"/>
                    <w:rPr>
                      <w:rFonts w:hint="default" w:ascii="Calibri" w:hAnsi="Calibri" w:eastAsia="楷体_GB2312" w:cs="Calibri"/>
                      <w:w w:val="70"/>
                      <w:sz w:val="20"/>
                      <w:szCs w:val="20"/>
                      <w:lang w:eastAsia="zh-CN"/>
                    </w:rPr>
                  </w:pPr>
                  <w:r>
                    <w:rPr>
                      <w:rFonts w:hint="default" w:ascii="Calibri" w:hAnsi="Calibri" w:eastAsia="楷体_GB2312" w:cs="Calibri"/>
                      <w:b/>
                      <w:w w:val="70"/>
                      <w:sz w:val="20"/>
                      <w:szCs w:val="20"/>
                      <w:lang w:eastAsia="zh-CN"/>
                    </w:rPr>
                    <w:t>中性</w:t>
                  </w:r>
                  <w:r>
                    <w:rPr>
                      <w:rFonts w:hint="default" w:ascii="Calibri" w:hAnsi="Calibri" w:eastAsia="楷体_GB2312" w:cs="Calibri"/>
                      <w:w w:val="70"/>
                      <w:sz w:val="20"/>
                      <w:szCs w:val="20"/>
                      <w:lang w:eastAsia="zh-CN"/>
                    </w:rPr>
                    <w:t>，未来12-18个月内预期相对基准指数变化不大，基准定义如下</w:t>
                  </w:r>
                </w:p>
                <w:p w14:paraId="7061FAC8">
                  <w:pPr>
                    <w:pStyle w:val="44"/>
                    <w:rPr>
                      <w:rFonts w:hint="default" w:ascii="Calibri" w:hAnsi="Calibri" w:eastAsia="楷体_GB2312" w:cs="Calibri"/>
                      <w:w w:val="70"/>
                      <w:sz w:val="20"/>
                      <w:szCs w:val="20"/>
                      <w:lang w:eastAsia="zh-CN"/>
                    </w:rPr>
                  </w:pPr>
                  <w:r>
                    <w:rPr>
                      <w:rFonts w:hint="default" w:ascii="Calibri" w:hAnsi="Calibri" w:eastAsia="楷体_GB2312" w:cs="Calibri"/>
                      <w:b/>
                      <w:w w:val="70"/>
                      <w:sz w:val="20"/>
                      <w:szCs w:val="20"/>
                      <w:lang w:eastAsia="zh-CN"/>
                    </w:rPr>
                    <w:t>弱于大市</w:t>
                  </w:r>
                  <w:r>
                    <w:rPr>
                      <w:rFonts w:hint="default" w:ascii="Calibri" w:hAnsi="Calibri" w:eastAsia="楷体_GB2312" w:cs="Calibri"/>
                      <w:w w:val="70"/>
                      <w:sz w:val="20"/>
                      <w:szCs w:val="20"/>
                      <w:lang w:eastAsia="zh-CN"/>
                    </w:rPr>
                    <w:t>，未来12-18个月内预期相对基准指数跌幅在10%以上，基准定义如下</w:t>
                  </w:r>
                </w:p>
                <w:p w14:paraId="79DECA2E">
                  <w:pPr>
                    <w:pStyle w:val="44"/>
                    <w:rPr>
                      <w:rFonts w:hint="default" w:ascii="Calibri" w:hAnsi="Calibri" w:eastAsia="楷体_GB2312" w:cs="Calibri"/>
                      <w:w w:val="70"/>
                      <w:sz w:val="20"/>
                      <w:szCs w:val="20"/>
                      <w:lang w:eastAsia="zh-CN"/>
                    </w:rPr>
                  </w:pPr>
                  <w:r>
                    <w:rPr>
                      <w:rFonts w:hint="default" w:ascii="Calibri" w:hAnsi="Calibri" w:eastAsia="楷体_GB2312" w:cs="Calibri"/>
                      <w:w w:val="70"/>
                      <w:sz w:val="20"/>
                      <w:szCs w:val="20"/>
                      <w:lang w:eastAsia="zh-CN"/>
                    </w:rPr>
                    <w:t>各地股票基准指数：日本 – TOPIX, 韩国 – KOSPI, 台湾 – TAIEX, 印度 – Nifty100, 美国 – SP500; 其他所有中国概念股 – MSCI China.</w:t>
                  </w:r>
                </w:p>
                <w:p w14:paraId="72FF4CE8">
                  <w:pPr>
                    <w:pStyle w:val="44"/>
                    <w:rPr>
                      <w:rFonts w:hint="default" w:ascii="Calibri" w:hAnsi="Calibri" w:eastAsia="楷体_GB2312" w:cs="Calibri"/>
                      <w:w w:val="79"/>
                      <w:sz w:val="20"/>
                      <w:szCs w:val="20"/>
                    </w:rPr>
                  </w:pPr>
                  <w:r>
                    <w:rPr>
                      <w:rFonts w:hint="default" w:ascii="Calibri" w:hAnsi="Calibri" w:eastAsia="楷体_GB2312" w:cs="Calibri"/>
                      <w:b/>
                      <w:w w:val="79"/>
                      <w:sz w:val="20"/>
                      <w:szCs w:val="20"/>
                    </w:rPr>
                    <w:t xml:space="preserve">Ratings Definitions (from 1 Jul 2020): </w:t>
                  </w:r>
                </w:p>
                <w:p w14:paraId="47364669">
                  <w:pPr>
                    <w:pStyle w:val="44"/>
                    <w:rPr>
                      <w:rFonts w:hint="default" w:ascii="Calibri" w:hAnsi="Calibri" w:eastAsia="楷体_GB2312" w:cs="Calibri"/>
                      <w:w w:val="79"/>
                      <w:sz w:val="20"/>
                      <w:szCs w:val="20"/>
                    </w:rPr>
                  </w:pPr>
                  <w:r>
                    <w:rPr>
                      <w:rFonts w:hint="default" w:ascii="Calibri" w:hAnsi="Calibri" w:eastAsia="楷体_GB2312" w:cs="Calibri"/>
                      <w:w w:val="79"/>
                      <w:sz w:val="20"/>
                      <w:szCs w:val="20"/>
                      <w:lang w:eastAsia="zh-CN"/>
                    </w:rPr>
                    <w:t>HuaFu</w:t>
                  </w:r>
                  <w:r>
                    <w:rPr>
                      <w:rFonts w:hint="default" w:ascii="Calibri" w:hAnsi="Calibri" w:eastAsia="楷体_GB2312" w:cs="Calibri"/>
                      <w:w w:val="79"/>
                      <w:sz w:val="20"/>
                      <w:szCs w:val="20"/>
                    </w:rPr>
                    <w:t xml:space="preserve"> International uses a relative rating system using </w:t>
                  </w:r>
                  <w:r>
                    <w:rPr>
                      <w:rFonts w:hint="default" w:ascii="Calibri" w:hAnsi="Calibri" w:eastAsia="楷体_GB2312" w:cs="Calibri"/>
                      <w:w w:val="79"/>
                      <w:sz w:val="20"/>
                      <w:szCs w:val="20"/>
                      <w:lang w:eastAsia="zh-HK"/>
                    </w:rPr>
                    <w:t>Outperform</w:t>
                  </w:r>
                  <w:r>
                    <w:rPr>
                      <w:rFonts w:hint="default" w:ascii="Calibri" w:hAnsi="Calibri" w:eastAsia="楷体_GB2312" w:cs="Calibri"/>
                      <w:w w:val="79"/>
                      <w:sz w:val="20"/>
                      <w:szCs w:val="20"/>
                    </w:rPr>
                    <w:t>, Neutral</w:t>
                  </w:r>
                  <w:r>
                    <w:rPr>
                      <w:rFonts w:hint="default" w:ascii="Calibri" w:hAnsi="Calibri" w:eastAsia="楷体_GB2312" w:cs="Calibri"/>
                      <w:w w:val="79"/>
                      <w:sz w:val="20"/>
                      <w:szCs w:val="20"/>
                      <w:lang w:eastAsia="zh-HK"/>
                    </w:rPr>
                    <w:t>,</w:t>
                  </w:r>
                  <w:r>
                    <w:rPr>
                      <w:rFonts w:hint="default" w:ascii="Calibri" w:hAnsi="Calibri" w:eastAsia="楷体_GB2312" w:cs="Calibri"/>
                      <w:w w:val="79"/>
                      <w:sz w:val="20"/>
                      <w:szCs w:val="20"/>
                    </w:rPr>
                    <w:t xml:space="preserve"> or </w:t>
                  </w:r>
                  <w:r>
                    <w:rPr>
                      <w:rFonts w:hint="default" w:ascii="Calibri" w:hAnsi="Calibri" w:eastAsia="楷体_GB2312" w:cs="Calibri"/>
                      <w:w w:val="79"/>
                      <w:sz w:val="20"/>
                      <w:szCs w:val="20"/>
                      <w:lang w:eastAsia="zh-HK"/>
                    </w:rPr>
                    <w:t xml:space="preserve">Underperform </w:t>
                  </w:r>
                  <w:r>
                    <w:rPr>
                      <w:rFonts w:hint="default" w:ascii="Calibri" w:hAnsi="Calibri" w:eastAsia="楷体_GB2312" w:cs="Calibri"/>
                      <w:w w:val="79"/>
                      <w:sz w:val="20"/>
                      <w:szCs w:val="20"/>
                    </w:rPr>
                    <w:t xml:space="preserve">for recommending the stocks we cover to investors. Investors should carefully read the definitions of all ratings used in </w:t>
                  </w:r>
                  <w:r>
                    <w:rPr>
                      <w:rFonts w:hint="default" w:ascii="Calibri" w:hAnsi="Calibri" w:eastAsia="楷体_GB2312" w:cs="Calibri"/>
                      <w:w w:val="79"/>
                      <w:sz w:val="20"/>
                      <w:szCs w:val="20"/>
                      <w:lang w:eastAsia="zh-CN"/>
                    </w:rPr>
                    <w:t>HuaFu</w:t>
                  </w:r>
                  <w:r>
                    <w:rPr>
                      <w:rFonts w:hint="default" w:ascii="Calibri" w:hAnsi="Calibri" w:eastAsia="楷体_GB2312" w:cs="Calibri"/>
                      <w:w w:val="79"/>
                      <w:sz w:val="20"/>
                      <w:szCs w:val="20"/>
                    </w:rPr>
                    <w:t xml:space="preserve"> International Research. In addition, since </w:t>
                  </w:r>
                  <w:r>
                    <w:rPr>
                      <w:rFonts w:hint="default" w:ascii="Calibri" w:hAnsi="Calibri" w:eastAsia="楷体_GB2312" w:cs="Calibri"/>
                      <w:w w:val="79"/>
                      <w:sz w:val="20"/>
                      <w:szCs w:val="20"/>
                      <w:lang w:eastAsia="zh-CN"/>
                    </w:rPr>
                    <w:t>HuaFu</w:t>
                  </w:r>
                  <w:r>
                    <w:rPr>
                      <w:rFonts w:hint="default" w:ascii="Calibri" w:hAnsi="Calibri" w:eastAsia="楷体_GB2312" w:cs="Calibri"/>
                      <w:w w:val="79"/>
                      <w:sz w:val="20"/>
                      <w:szCs w:val="20"/>
                    </w:rPr>
                    <w:t xml:space="preserve"> International Research contains more complete information concerning the analyst's views, investors should carefully read </w:t>
                  </w:r>
                  <w:r>
                    <w:rPr>
                      <w:rFonts w:hint="default" w:ascii="Calibri" w:hAnsi="Calibri" w:eastAsia="楷体_GB2312" w:cs="Calibri"/>
                      <w:w w:val="79"/>
                      <w:sz w:val="20"/>
                      <w:szCs w:val="20"/>
                      <w:lang w:eastAsia="zh-CN"/>
                    </w:rPr>
                    <w:t xml:space="preserve">HuaFu </w:t>
                  </w:r>
                  <w:r>
                    <w:rPr>
                      <w:rFonts w:hint="default" w:ascii="Calibri" w:hAnsi="Calibri" w:eastAsia="楷体_GB2312" w:cs="Calibri"/>
                      <w:w w:val="79"/>
                      <w:sz w:val="20"/>
                      <w:szCs w:val="20"/>
                    </w:rPr>
                    <w:t>International Research, in its entirety, and not infer the contents from the rating alone. In any case, ratings (or research) should not be used or relied upon as investment advice. An investor's decision to buy or sell a stock should depend on individual circumstances (such as the investor's existing holdings) and other considerations.</w:t>
                  </w:r>
                </w:p>
                <w:p w14:paraId="0837F3CE">
                  <w:pPr>
                    <w:pStyle w:val="44"/>
                    <w:rPr>
                      <w:rFonts w:hint="default" w:ascii="Calibri" w:hAnsi="Calibri" w:eastAsia="楷体_GB2312" w:cs="Calibri"/>
                      <w:b/>
                      <w:w w:val="79"/>
                      <w:sz w:val="20"/>
                      <w:szCs w:val="20"/>
                    </w:rPr>
                  </w:pPr>
                  <w:r>
                    <w:rPr>
                      <w:rFonts w:hint="default" w:ascii="Calibri" w:hAnsi="Calibri" w:eastAsia="楷体_GB2312" w:cs="Calibri"/>
                      <w:b/>
                      <w:w w:val="79"/>
                      <w:sz w:val="20"/>
                      <w:szCs w:val="20"/>
                    </w:rPr>
                    <w:t>Analyst Stock Ratings</w:t>
                  </w:r>
                </w:p>
                <w:p w14:paraId="6590C827">
                  <w:pPr>
                    <w:pStyle w:val="44"/>
                    <w:rPr>
                      <w:rFonts w:hint="default" w:ascii="Calibri" w:hAnsi="Calibri" w:eastAsia="楷体_GB2312" w:cs="Calibri"/>
                      <w:w w:val="79"/>
                      <w:sz w:val="20"/>
                      <w:szCs w:val="20"/>
                    </w:rPr>
                  </w:pPr>
                  <w:r>
                    <w:rPr>
                      <w:rFonts w:hint="default" w:ascii="Calibri" w:hAnsi="Calibri" w:eastAsia="楷体_GB2312" w:cs="Calibri"/>
                      <w:b/>
                      <w:w w:val="79"/>
                      <w:sz w:val="20"/>
                      <w:szCs w:val="20"/>
                      <w:lang w:eastAsia="zh-HK"/>
                    </w:rPr>
                    <w:t>Outperform</w:t>
                  </w:r>
                  <w:r>
                    <w:rPr>
                      <w:rFonts w:hint="default" w:ascii="Calibri" w:hAnsi="Calibri" w:eastAsia="楷体_GB2312" w:cs="Calibri"/>
                      <w:b/>
                      <w:w w:val="79"/>
                      <w:sz w:val="20"/>
                      <w:szCs w:val="20"/>
                    </w:rPr>
                    <w:t>:</w:t>
                  </w:r>
                  <w:r>
                    <w:rPr>
                      <w:rFonts w:hint="default" w:ascii="Calibri" w:hAnsi="Calibri" w:eastAsia="楷体_GB2312" w:cs="Calibri"/>
                      <w:w w:val="79"/>
                      <w:sz w:val="20"/>
                      <w:szCs w:val="20"/>
                    </w:rPr>
                    <w:t xml:space="preserve"> The stock’s total return over the next 12-18 months is expected to exceed the return of its relevant broad market benchmark</w:t>
                  </w:r>
                  <w:r>
                    <w:rPr>
                      <w:rFonts w:hint="default" w:ascii="Calibri" w:hAnsi="Calibri" w:eastAsia="楷体_GB2312" w:cs="Calibri"/>
                      <w:w w:val="79"/>
                      <w:sz w:val="20"/>
                      <w:szCs w:val="20"/>
                      <w:lang w:eastAsia="zh-CN"/>
                    </w:rPr>
                    <w:t xml:space="preserve"> by over 10%</w:t>
                  </w:r>
                  <w:r>
                    <w:rPr>
                      <w:rFonts w:hint="default" w:ascii="Calibri" w:hAnsi="Calibri" w:eastAsia="楷体_GB2312" w:cs="Calibri"/>
                      <w:w w:val="79"/>
                      <w:sz w:val="20"/>
                      <w:szCs w:val="20"/>
                    </w:rPr>
                    <w:t xml:space="preserve">, as indicated below. </w:t>
                  </w:r>
                </w:p>
                <w:p w14:paraId="7E5B6159">
                  <w:pPr>
                    <w:pStyle w:val="44"/>
                    <w:rPr>
                      <w:rFonts w:hint="default" w:ascii="Calibri" w:hAnsi="Calibri" w:eastAsia="楷体_GB2312" w:cs="Calibri"/>
                      <w:w w:val="79"/>
                      <w:sz w:val="20"/>
                      <w:szCs w:val="20"/>
                    </w:rPr>
                  </w:pPr>
                  <w:r>
                    <w:rPr>
                      <w:rFonts w:hint="default" w:ascii="Calibri" w:hAnsi="Calibri" w:eastAsia="楷体_GB2312" w:cs="Calibri"/>
                      <w:b/>
                      <w:w w:val="79"/>
                      <w:sz w:val="20"/>
                      <w:szCs w:val="20"/>
                    </w:rPr>
                    <w:t>Neutral:</w:t>
                  </w:r>
                  <w:r>
                    <w:rPr>
                      <w:rFonts w:hint="default" w:ascii="Calibri" w:hAnsi="Calibri" w:eastAsia="楷体_GB2312" w:cs="Calibri"/>
                      <w:w w:val="79"/>
                      <w:sz w:val="20"/>
                      <w:szCs w:val="20"/>
                    </w:rPr>
                    <w:t xml:space="preserve"> The stock’s total return over the next 12-18 months is expected to be in line with the return of its relevant broad market benchmark, as indicated below. </w:t>
                  </w:r>
                  <w:r>
                    <w:rPr>
                      <w:rFonts w:hint="default" w:ascii="Calibri" w:hAnsi="Calibri" w:eastAsia="楷体_GB2312" w:cs="Calibri"/>
                      <w:b/>
                      <w:w w:val="79"/>
                      <w:sz w:val="20"/>
                      <w:szCs w:val="20"/>
                      <w:lang w:eastAsia="zh-HK"/>
                    </w:rPr>
                    <w:t>Underperform</w:t>
                  </w:r>
                  <w:r>
                    <w:rPr>
                      <w:rFonts w:hint="default" w:ascii="Calibri" w:hAnsi="Calibri" w:eastAsia="楷体_GB2312" w:cs="Calibri"/>
                      <w:b/>
                      <w:w w:val="79"/>
                      <w:sz w:val="20"/>
                      <w:szCs w:val="20"/>
                    </w:rPr>
                    <w:t>:</w:t>
                  </w:r>
                  <w:r>
                    <w:rPr>
                      <w:rFonts w:hint="default" w:ascii="Calibri" w:hAnsi="Calibri" w:eastAsia="楷体_GB2312" w:cs="Calibri"/>
                      <w:w w:val="79"/>
                      <w:sz w:val="20"/>
                      <w:szCs w:val="20"/>
                    </w:rPr>
                    <w:t xml:space="preserve"> The stock’s total return over the next 12-18 months is expected to be below the return of its relevant broad market benchmark</w:t>
                  </w:r>
                  <w:r>
                    <w:rPr>
                      <w:rFonts w:hint="default" w:ascii="Calibri" w:hAnsi="Calibri" w:eastAsia="楷体_GB2312" w:cs="Calibri"/>
                      <w:w w:val="79"/>
                      <w:sz w:val="20"/>
                      <w:szCs w:val="20"/>
                      <w:lang w:eastAsia="zh-CN"/>
                    </w:rPr>
                    <w:t xml:space="preserve"> by over 10%</w:t>
                  </w:r>
                  <w:r>
                    <w:rPr>
                      <w:rFonts w:hint="default" w:ascii="Calibri" w:hAnsi="Calibri" w:eastAsia="楷体_GB2312" w:cs="Calibri"/>
                      <w:w w:val="79"/>
                      <w:sz w:val="20"/>
                      <w:szCs w:val="20"/>
                    </w:rPr>
                    <w:t>, as indicated below.</w:t>
                  </w:r>
                </w:p>
                <w:p w14:paraId="12B283BA">
                  <w:pPr>
                    <w:pStyle w:val="44"/>
                    <w:rPr>
                      <w:rFonts w:hint="default" w:ascii="Calibri" w:hAnsi="Calibri" w:eastAsia="楷体_GB2312" w:cs="Calibri"/>
                      <w:b/>
                      <w:w w:val="79"/>
                      <w:sz w:val="20"/>
                      <w:szCs w:val="20"/>
                    </w:rPr>
                  </w:pPr>
                  <w:r>
                    <w:rPr>
                      <w:rFonts w:hint="default" w:ascii="Calibri" w:hAnsi="Calibri" w:eastAsia="楷体_GB2312" w:cs="Calibri"/>
                      <w:b/>
                      <w:w w:val="79"/>
                      <w:sz w:val="20"/>
                      <w:szCs w:val="20"/>
                    </w:rPr>
                    <w:t>Benchmarks for each stock’s listed region are as follows: Japan – TOPIX, Korea – KOSPI, Taiwan – TAIEX, India – Nifty100, US – SP500; for all other China-concept stocks – MSCI China.</w:t>
                  </w:r>
                </w:p>
                <w:p w14:paraId="65743BBA">
                  <w:pPr>
                    <w:pStyle w:val="44"/>
                    <w:rPr>
                      <w:rFonts w:hint="default" w:ascii="Calibri" w:hAnsi="Calibri" w:eastAsia="楷体_GB2312" w:cs="Calibri"/>
                      <w:w w:val="70"/>
                      <w:sz w:val="20"/>
                      <w:szCs w:val="20"/>
                      <w:lang w:eastAsia="zh-CN"/>
                    </w:rPr>
                  </w:pPr>
                </w:p>
              </w:tc>
            </w:tr>
            <w:tr w14:paraId="34DC0194">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04F20A7F">
                  <w:pPr>
                    <w:pStyle w:val="44"/>
                    <w:spacing w:after="60"/>
                    <w:rPr>
                      <w:rFonts w:hint="default" w:ascii="Calibri" w:hAnsi="Calibri" w:eastAsia="楷体_GB2312" w:cs="Calibri"/>
                      <w:w w:val="70"/>
                      <w:sz w:val="20"/>
                      <w:szCs w:val="20"/>
                      <w:lang w:eastAsia="zh-CN"/>
                    </w:rPr>
                  </w:pPr>
                  <w:r>
                    <w:rPr>
                      <w:rFonts w:hint="default" w:ascii="Calibri" w:hAnsi="Calibri" w:eastAsia="楷体_GB2312" w:cs="Calibri"/>
                      <w:b/>
                      <w:w w:val="70"/>
                      <w:sz w:val="20"/>
                      <w:szCs w:val="20"/>
                      <w:lang w:eastAsia="zh-CN"/>
                    </w:rPr>
                    <w:t>华福国际非评级研究：</w:t>
                  </w:r>
                  <w:r>
                    <w:rPr>
                      <w:rFonts w:hint="default" w:ascii="Calibri" w:hAnsi="Calibri" w:eastAsia="楷体_GB2312" w:cs="Calibri"/>
                      <w:bCs/>
                      <w:w w:val="70"/>
                      <w:sz w:val="20"/>
                      <w:szCs w:val="20"/>
                      <w:lang w:eastAsia="zh-CN"/>
                    </w:rPr>
                    <w:t>华福</w:t>
                  </w:r>
                  <w:r>
                    <w:rPr>
                      <w:rFonts w:hint="default" w:ascii="Calibri" w:hAnsi="Calibri" w:eastAsia="楷体_GB2312" w:cs="Calibri"/>
                      <w:w w:val="70"/>
                      <w:sz w:val="20"/>
                      <w:szCs w:val="20"/>
                      <w:lang w:eastAsia="zh-CN"/>
                    </w:rPr>
                    <w:t>国际发布计量、筛选或短篇报告，并在报告中根据估值和其他指标对股票进行排名，或者基于可能的估值倍数提出建议价格。这种排名或建议价格并非为了进行股票评级、提出目标价格或进行基本面估值，而仅供参考使用。</w:t>
                  </w:r>
                </w:p>
                <w:p w14:paraId="54895DB0">
                  <w:pPr>
                    <w:pStyle w:val="44"/>
                    <w:rPr>
                      <w:rFonts w:hint="default" w:ascii="Calibri" w:hAnsi="Calibri" w:eastAsia="楷体_GB2312" w:cs="Calibri"/>
                      <w:w w:val="70"/>
                      <w:sz w:val="20"/>
                      <w:szCs w:val="20"/>
                      <w:lang w:eastAsia="zh-CN"/>
                    </w:rPr>
                  </w:pPr>
                  <w:r>
                    <w:rPr>
                      <w:rFonts w:hint="default" w:ascii="Calibri" w:hAnsi="Calibri" w:eastAsia="楷体_GB2312" w:cs="Calibri"/>
                      <w:b/>
                      <w:w w:val="70"/>
                      <w:sz w:val="20"/>
                      <w:szCs w:val="20"/>
                      <w:lang w:eastAsia="zh-CN"/>
                    </w:rPr>
                    <w:t>HuaFu</w:t>
                  </w:r>
                  <w:r>
                    <w:rPr>
                      <w:rFonts w:hint="default" w:ascii="Calibri" w:hAnsi="Calibri" w:eastAsia="楷体_GB2312" w:cs="Calibri"/>
                      <w:b/>
                      <w:w w:val="70"/>
                      <w:sz w:val="20"/>
                      <w:szCs w:val="20"/>
                    </w:rPr>
                    <w:t xml:space="preserve"> International Non-Rated Research</w:t>
                  </w:r>
                  <w:r>
                    <w:rPr>
                      <w:rFonts w:hint="default" w:ascii="Calibri" w:hAnsi="Calibri" w:eastAsia="楷体_GB2312" w:cs="Calibri"/>
                      <w:b/>
                      <w:bCs/>
                      <w:w w:val="70"/>
                      <w:sz w:val="20"/>
                      <w:szCs w:val="20"/>
                    </w:rPr>
                    <w:t>:</w:t>
                  </w:r>
                  <w:r>
                    <w:rPr>
                      <w:rFonts w:hint="default" w:ascii="Calibri" w:hAnsi="Calibri" w:eastAsia="楷体_GB2312" w:cs="Calibri"/>
                      <w:w w:val="70"/>
                      <w:sz w:val="20"/>
                      <w:szCs w:val="20"/>
                    </w:rPr>
                    <w:t xml:space="preserve">  </w:t>
                  </w:r>
                  <w:r>
                    <w:rPr>
                      <w:rFonts w:hint="default" w:ascii="Calibri" w:hAnsi="Calibri" w:eastAsia="楷体_GB2312" w:cs="Calibri"/>
                      <w:w w:val="70"/>
                      <w:sz w:val="20"/>
                      <w:szCs w:val="20"/>
                      <w:lang w:eastAsia="zh-CN"/>
                    </w:rPr>
                    <w:t>HuaFu</w:t>
                  </w:r>
                  <w:r>
                    <w:rPr>
                      <w:rFonts w:hint="default" w:ascii="Calibri" w:hAnsi="Calibri" w:eastAsia="楷体_GB2312" w:cs="Calibri"/>
                      <w:w w:val="70"/>
                      <w:sz w:val="20"/>
                      <w:szCs w:val="20"/>
                    </w:rPr>
                    <w:t xml:space="preserve"> International publishes quantitative, screening or short reports which may rank stocks according to valuation and other metrics or may suggest prices based on possible valuation multiples. Such rankings or suggested prices do not purport to be stock ratings or target prices or fundamental values and are for information only.</w:t>
                  </w:r>
                </w:p>
              </w:tc>
            </w:tr>
            <w:tr w14:paraId="29E4BE52">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77356008">
                  <w:pPr>
                    <w:pStyle w:val="44"/>
                    <w:spacing w:after="60"/>
                    <w:rPr>
                      <w:rFonts w:hint="default" w:ascii="Calibri" w:hAnsi="Calibri" w:eastAsia="楷体_GB2312" w:cs="Calibri"/>
                      <w:w w:val="70"/>
                      <w:sz w:val="20"/>
                      <w:szCs w:val="20"/>
                      <w:lang w:eastAsia="zh-CN"/>
                    </w:rPr>
                  </w:pPr>
                  <w:r>
                    <w:rPr>
                      <w:rFonts w:hint="default" w:ascii="Calibri" w:hAnsi="Calibri" w:eastAsia="楷体_GB2312" w:cs="Calibri"/>
                      <w:b/>
                      <w:w w:val="70"/>
                      <w:sz w:val="20"/>
                      <w:szCs w:val="20"/>
                      <w:lang w:eastAsia="zh-CN"/>
                    </w:rPr>
                    <w:t>华福国际A股覆盖：</w:t>
                  </w:r>
                  <w:r>
                    <w:rPr>
                      <w:rFonts w:hint="default" w:ascii="Calibri" w:hAnsi="Calibri" w:eastAsia="楷体_GB2312" w:cs="Calibri"/>
                      <w:bCs/>
                      <w:w w:val="70"/>
                      <w:sz w:val="20"/>
                      <w:szCs w:val="20"/>
                      <w:lang w:eastAsia="zh-CN"/>
                    </w:rPr>
                    <w:t>华福</w:t>
                  </w:r>
                  <w:r>
                    <w:rPr>
                      <w:rFonts w:hint="default" w:ascii="Calibri" w:hAnsi="Calibri" w:eastAsia="楷体_GB2312" w:cs="Calibri"/>
                      <w:w w:val="70"/>
                      <w:sz w:val="20"/>
                      <w:szCs w:val="20"/>
                      <w:lang w:eastAsia="zh-CN"/>
                    </w:rPr>
                    <w:t>国际可能会就中国A股进行覆盖及评级。华福证券，华福国际于福州的母公司，也会于中国发布中国A股的研究报告。但是，华福国际使用与华福证券不同的评级系统，且可能有完全独立的不同研究覆盖团队，所以华福国际与华福证券的中国A股评级、目标价乃至分析逻辑可能有所不同。</w:t>
                  </w:r>
                </w:p>
                <w:p w14:paraId="55B207DE">
                  <w:pPr>
                    <w:pStyle w:val="44"/>
                    <w:rPr>
                      <w:rFonts w:hint="default" w:ascii="Calibri" w:hAnsi="Calibri" w:eastAsia="楷体_GB2312" w:cs="Calibri"/>
                      <w:w w:val="70"/>
                      <w:sz w:val="20"/>
                      <w:szCs w:val="20"/>
                    </w:rPr>
                  </w:pPr>
                  <w:r>
                    <w:rPr>
                      <w:rFonts w:hint="default" w:ascii="Calibri" w:hAnsi="Calibri" w:eastAsia="楷体_GB2312" w:cs="Calibri"/>
                      <w:b/>
                      <w:w w:val="70"/>
                      <w:sz w:val="20"/>
                      <w:szCs w:val="20"/>
                      <w:lang w:eastAsia="zh-CN"/>
                    </w:rPr>
                    <w:t>HuaFu</w:t>
                  </w:r>
                  <w:r>
                    <w:rPr>
                      <w:rFonts w:hint="default" w:ascii="Calibri" w:hAnsi="Calibri" w:eastAsia="楷体_GB2312" w:cs="Calibri"/>
                      <w:b/>
                      <w:w w:val="70"/>
                      <w:sz w:val="20"/>
                      <w:szCs w:val="20"/>
                    </w:rPr>
                    <w:t xml:space="preserve"> International Coverage of A-Shares</w:t>
                  </w:r>
                  <w:r>
                    <w:rPr>
                      <w:rFonts w:hint="default" w:ascii="Calibri" w:hAnsi="Calibri" w:eastAsia="楷体_GB2312" w:cs="Calibri"/>
                      <w:b/>
                      <w:bCs/>
                      <w:w w:val="70"/>
                      <w:sz w:val="20"/>
                      <w:szCs w:val="20"/>
                    </w:rPr>
                    <w:t>:</w:t>
                  </w:r>
                  <w:r>
                    <w:rPr>
                      <w:rFonts w:hint="default" w:ascii="Calibri" w:hAnsi="Calibri" w:eastAsia="楷体_GB2312" w:cs="Calibri"/>
                      <w:w w:val="70"/>
                      <w:sz w:val="20"/>
                      <w:szCs w:val="20"/>
                    </w:rPr>
                    <w:t xml:space="preserve">  </w:t>
                  </w:r>
                  <w:r>
                    <w:rPr>
                      <w:rFonts w:hint="default" w:ascii="Calibri" w:hAnsi="Calibri" w:eastAsia="楷体_GB2312" w:cs="Calibri"/>
                      <w:w w:val="70"/>
                      <w:sz w:val="20"/>
                      <w:szCs w:val="20"/>
                      <w:lang w:eastAsia="zh-CN"/>
                    </w:rPr>
                    <w:t>HuaFu</w:t>
                  </w:r>
                  <w:r>
                    <w:rPr>
                      <w:rFonts w:hint="default" w:ascii="Calibri" w:hAnsi="Calibri" w:eastAsia="楷体_GB2312" w:cs="Calibri"/>
                      <w:w w:val="70"/>
                      <w:sz w:val="20"/>
                      <w:szCs w:val="20"/>
                    </w:rPr>
                    <w:t xml:space="preserve"> International may cover and rate A-Shares . </w:t>
                  </w:r>
                  <w:r>
                    <w:rPr>
                      <w:rFonts w:hint="default" w:ascii="Calibri" w:hAnsi="Calibri" w:eastAsia="楷体_GB2312" w:cs="Calibri"/>
                      <w:w w:val="70"/>
                      <w:sz w:val="20"/>
                      <w:szCs w:val="20"/>
                      <w:lang w:eastAsia="zh-CN"/>
                    </w:rPr>
                    <w:t>HuaFu</w:t>
                  </w:r>
                  <w:r>
                    <w:rPr>
                      <w:rFonts w:hint="default" w:ascii="Calibri" w:hAnsi="Calibri" w:eastAsia="楷体_GB2312" w:cs="Calibri"/>
                      <w:w w:val="70"/>
                      <w:sz w:val="20"/>
                      <w:szCs w:val="20"/>
                    </w:rPr>
                    <w:t xml:space="preserve"> Securities, the ultimate parent company of </w:t>
                  </w:r>
                  <w:r>
                    <w:rPr>
                      <w:rFonts w:hint="default" w:ascii="Calibri" w:hAnsi="Calibri" w:eastAsia="楷体_GB2312" w:cs="Calibri"/>
                      <w:w w:val="70"/>
                      <w:sz w:val="20"/>
                      <w:szCs w:val="20"/>
                      <w:lang w:eastAsia="zh-CN"/>
                    </w:rPr>
                    <w:t>HuaFu International</w:t>
                  </w:r>
                  <w:r>
                    <w:rPr>
                      <w:rFonts w:hint="default" w:ascii="Calibri" w:hAnsi="Calibri" w:eastAsia="楷体_GB2312" w:cs="Calibri"/>
                      <w:w w:val="70"/>
                      <w:sz w:val="20"/>
                      <w:szCs w:val="20"/>
                    </w:rPr>
                    <w:t xml:space="preserve"> based in </w:t>
                  </w:r>
                  <w:r>
                    <w:rPr>
                      <w:rFonts w:hint="default" w:ascii="Calibri" w:hAnsi="Calibri" w:eastAsia="楷体_GB2312" w:cs="Calibri"/>
                      <w:w w:val="70"/>
                      <w:sz w:val="20"/>
                      <w:szCs w:val="20"/>
                      <w:lang w:eastAsia="zh-CN"/>
                    </w:rPr>
                    <w:t>FuZhou</w:t>
                  </w:r>
                  <w:r>
                    <w:rPr>
                      <w:rFonts w:hint="default" w:ascii="Calibri" w:hAnsi="Calibri" w:eastAsia="楷体_GB2312" w:cs="Calibri"/>
                      <w:w w:val="70"/>
                      <w:sz w:val="20"/>
                      <w:szCs w:val="20"/>
                    </w:rPr>
                    <w:t>, covers and publishes research on these same A-Shares for distribution in mainland China. However, the rating system employed by H</w:t>
                  </w:r>
                  <w:r>
                    <w:rPr>
                      <w:rFonts w:hint="default" w:ascii="Calibri" w:hAnsi="Calibri" w:eastAsia="楷体_GB2312" w:cs="Calibri"/>
                      <w:w w:val="70"/>
                      <w:sz w:val="20"/>
                      <w:szCs w:val="20"/>
                      <w:lang w:eastAsia="zh-CN"/>
                    </w:rPr>
                    <w:t>uaFu International</w:t>
                  </w:r>
                  <w:r>
                    <w:rPr>
                      <w:rFonts w:hint="default" w:ascii="Calibri" w:hAnsi="Calibri" w:eastAsia="楷体_GB2312" w:cs="Calibri"/>
                      <w:w w:val="70"/>
                      <w:sz w:val="20"/>
                      <w:szCs w:val="20"/>
                    </w:rPr>
                    <w:t xml:space="preserve"> differs from that used by </w:t>
                  </w:r>
                  <w:r>
                    <w:rPr>
                      <w:rFonts w:hint="default" w:ascii="Calibri" w:hAnsi="Calibri" w:eastAsia="楷体_GB2312" w:cs="Calibri"/>
                      <w:w w:val="70"/>
                      <w:sz w:val="20"/>
                      <w:szCs w:val="20"/>
                      <w:lang w:eastAsia="zh-CN"/>
                    </w:rPr>
                    <w:t>HuaFu Securites</w:t>
                  </w:r>
                  <w:r>
                    <w:rPr>
                      <w:rFonts w:hint="default" w:ascii="Calibri" w:hAnsi="Calibri" w:eastAsia="楷体_GB2312" w:cs="Calibri"/>
                      <w:w w:val="70"/>
                      <w:sz w:val="20"/>
                      <w:szCs w:val="20"/>
                    </w:rPr>
                    <w:t xml:space="preserve"> and </w:t>
                  </w:r>
                  <w:r>
                    <w:rPr>
                      <w:rFonts w:hint="default" w:ascii="Calibri" w:hAnsi="Calibri" w:eastAsia="楷体_GB2312" w:cs="Calibri"/>
                      <w:w w:val="70"/>
                      <w:sz w:val="20"/>
                      <w:szCs w:val="20"/>
                      <w:lang w:eastAsia="zh-CN"/>
                    </w:rPr>
                    <w:t xml:space="preserve">even the teams covering the same A-share stocks might be totally independently different, </w:t>
                  </w:r>
                  <w:r>
                    <w:rPr>
                      <w:rFonts w:hint="default" w:ascii="Calibri" w:hAnsi="Calibri" w:eastAsia="楷体_GB2312" w:cs="Calibri"/>
                      <w:w w:val="70"/>
                      <w:sz w:val="20"/>
                      <w:szCs w:val="20"/>
                    </w:rPr>
                    <w:t xml:space="preserve">as a result there may be a difference in </w:t>
                  </w:r>
                  <w:r>
                    <w:rPr>
                      <w:rFonts w:hint="default" w:ascii="Calibri" w:hAnsi="Calibri" w:eastAsia="楷体_GB2312" w:cs="Calibri"/>
                      <w:w w:val="70"/>
                      <w:sz w:val="20"/>
                      <w:szCs w:val="20"/>
                      <w:lang w:eastAsia="zh-CN"/>
                    </w:rPr>
                    <w:t>their coverage</w:t>
                  </w:r>
                  <w:r>
                    <w:rPr>
                      <w:rFonts w:hint="default" w:ascii="Calibri" w:hAnsi="Calibri" w:eastAsia="楷体_GB2312" w:cs="Calibri"/>
                      <w:w w:val="70"/>
                      <w:sz w:val="20"/>
                      <w:szCs w:val="20"/>
                    </w:rPr>
                    <w:t xml:space="preserve"> ratings</w:t>
                  </w:r>
                  <w:r>
                    <w:rPr>
                      <w:rFonts w:hint="default" w:ascii="Calibri" w:hAnsi="Calibri" w:eastAsia="楷体_GB2312" w:cs="Calibri"/>
                      <w:w w:val="70"/>
                      <w:sz w:val="20"/>
                      <w:szCs w:val="20"/>
                      <w:lang w:eastAsia="zh-CN"/>
                    </w:rPr>
                    <w:t>, target prices</w:t>
                  </w:r>
                  <w:r>
                    <w:rPr>
                      <w:rFonts w:hint="default" w:ascii="Calibri" w:hAnsi="Calibri" w:eastAsia="楷体_GB2312" w:cs="Calibri"/>
                      <w:w w:val="70"/>
                      <w:sz w:val="20"/>
                      <w:szCs w:val="20"/>
                    </w:rPr>
                    <w:t xml:space="preserve"> </w:t>
                  </w:r>
                  <w:r>
                    <w:rPr>
                      <w:rFonts w:hint="default" w:ascii="Calibri" w:hAnsi="Calibri" w:eastAsia="楷体_GB2312" w:cs="Calibri"/>
                      <w:w w:val="70"/>
                      <w:sz w:val="20"/>
                      <w:szCs w:val="20"/>
                      <w:lang w:eastAsia="zh-CN"/>
                    </w:rPr>
                    <w:t xml:space="preserve">and research logics </w:t>
                  </w:r>
                  <w:r>
                    <w:rPr>
                      <w:rFonts w:hint="default" w:ascii="Calibri" w:hAnsi="Calibri" w:eastAsia="楷体_GB2312" w:cs="Calibri"/>
                      <w:w w:val="70"/>
                      <w:sz w:val="20"/>
                      <w:szCs w:val="20"/>
                    </w:rPr>
                    <w:t>for the same A-share stocks.</w:t>
                  </w:r>
                </w:p>
              </w:tc>
            </w:tr>
            <w:tr w14:paraId="3138E6A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47660E21">
                  <w:pPr>
                    <w:pStyle w:val="44"/>
                    <w:rPr>
                      <w:rFonts w:hint="default" w:ascii="Calibri" w:hAnsi="Calibri" w:eastAsia="楷体_GB2312" w:cs="Calibri"/>
                      <w:w w:val="70"/>
                      <w:sz w:val="20"/>
                      <w:szCs w:val="20"/>
                    </w:rPr>
                  </w:pPr>
                </w:p>
              </w:tc>
            </w:tr>
            <w:tr w14:paraId="4F4F3AEB">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6EF44B68">
                  <w:pPr>
                    <w:pStyle w:val="44"/>
                    <w:spacing w:after="60"/>
                    <w:rPr>
                      <w:rFonts w:hint="default" w:ascii="Calibri" w:hAnsi="Calibri" w:eastAsia="楷体_GB2312" w:cs="Calibri"/>
                      <w:b/>
                      <w:w w:val="70"/>
                      <w:sz w:val="20"/>
                      <w:szCs w:val="20"/>
                      <w:lang w:eastAsia="zh-CN"/>
                    </w:rPr>
                  </w:pPr>
                  <w:r>
                    <w:rPr>
                      <w:rFonts w:hint="default" w:ascii="Calibri" w:hAnsi="Calibri" w:eastAsia="楷体_GB2312" w:cs="Calibri"/>
                      <w:b/>
                      <w:w w:val="70"/>
                      <w:sz w:val="20"/>
                      <w:szCs w:val="20"/>
                      <w:lang w:eastAsia="zh-CN"/>
                    </w:rPr>
                    <w:t>重要免责声明：</w:t>
                  </w:r>
                </w:p>
                <w:p w14:paraId="2CFDD955">
                  <w:pPr>
                    <w:pStyle w:val="44"/>
                    <w:spacing w:after="60"/>
                    <w:rPr>
                      <w:rFonts w:hint="default" w:ascii="Calibri" w:hAnsi="Calibri" w:eastAsia="楷体_GB2312" w:cs="Calibri"/>
                      <w:w w:val="70"/>
                      <w:sz w:val="20"/>
                      <w:szCs w:val="20"/>
                      <w:lang w:eastAsia="zh-CN"/>
                    </w:rPr>
                  </w:pPr>
                  <w:r>
                    <w:rPr>
                      <w:rFonts w:hint="default" w:ascii="Calibri" w:hAnsi="Calibri" w:eastAsia="楷体_GB2312" w:cs="Calibri"/>
                      <w:w w:val="70"/>
                      <w:sz w:val="20"/>
                      <w:szCs w:val="20"/>
                      <w:lang w:eastAsia="zh-CN"/>
                    </w:rPr>
                    <w:t>本报告由华福国际发行，该公司是根据香港证券及期货条例（第571章）持有第4类受规管活动（就证券提供意见）的持牌法团。</w:t>
                  </w:r>
                </w:p>
                <w:p w14:paraId="218751CC">
                  <w:pPr>
                    <w:pStyle w:val="44"/>
                    <w:spacing w:after="60"/>
                    <w:rPr>
                      <w:rFonts w:hint="default" w:ascii="Calibri" w:hAnsi="Calibri" w:eastAsia="楷体_GB2312" w:cs="Calibri"/>
                      <w:w w:val="70"/>
                      <w:sz w:val="20"/>
                      <w:szCs w:val="20"/>
                      <w:lang w:eastAsia="zh-CN"/>
                    </w:rPr>
                  </w:pPr>
                  <w:r>
                    <w:rPr>
                      <w:rFonts w:hint="default" w:ascii="Calibri" w:hAnsi="Calibri" w:eastAsia="楷体_GB2312" w:cs="Calibri"/>
                      <w:w w:val="70"/>
                      <w:sz w:val="20"/>
                      <w:szCs w:val="20"/>
                      <w:lang w:eastAsia="zh-CN"/>
                    </w:rPr>
                    <w:t xml:space="preserve">本文件所载信息和观点已被编译或源自可靠来源，但华福国际或任何其他属于华福国际的成员对其准确性、完整性和正确性不做任何明示或暗示的声明或保证。本文件中所有观点均截至本报告日期，如有更改，恕不另行通知。本文件仅供参考使用。文件中提及的任何公司或其股票的说明并非意图展示完整的内容，本文件并非/不应被解释为对证券买卖的明示或暗示地出价或征价。在某些司法管辖区，本文件中提及的证券可能无法进行买卖。如果投资产品以投资者本国货币以外的币种进行计价，则汇率变化可能会对投资产生不利影响。过去的表现并不一定代表将来的结果。某些特定交易，包括设计金融衍生工具的，有产生重大风险的可能性，因此并不适合所有的投资者。您还应认识到本文件中的建议并非为您量身定制。分析师并未考虑到您自身的财务情况，如您的财务状况和风险偏好。因此您必须自行分析并在适用的情况下咨询自己的法律、税收、会计、金融和其他方面的专业顾问，以期在投资之前评估该项建议是否适合于您。若由于使用本文件所载的材料而产生任何直接或间接的损失，华福国际及其董事、雇员或代理人对此均不承担任何责任。 </w:t>
                  </w:r>
                </w:p>
                <w:p w14:paraId="5F59B043">
                  <w:pPr>
                    <w:pStyle w:val="44"/>
                    <w:spacing w:after="60"/>
                    <w:rPr>
                      <w:rFonts w:hint="default" w:ascii="Calibri" w:hAnsi="Calibri" w:eastAsia="楷体_GB2312" w:cs="Calibri"/>
                      <w:w w:val="70"/>
                      <w:sz w:val="20"/>
                      <w:szCs w:val="20"/>
                      <w:lang w:eastAsia="zh-CN"/>
                    </w:rPr>
                  </w:pPr>
                  <w:r>
                    <w:rPr>
                      <w:rFonts w:hint="default" w:ascii="Calibri" w:hAnsi="Calibri" w:eastAsia="楷体_GB2312" w:cs="Calibri"/>
                      <w:w w:val="70"/>
                      <w:sz w:val="20"/>
                      <w:szCs w:val="20"/>
                      <w:lang w:eastAsia="zh-CN"/>
                    </w:rPr>
                    <w:t>除对本文内容承担责任的分析师除外，华福国际及我们的关联公司、高级管理人员、董事和雇员，均可不时作为主事人就本文件所述的任何证券或衍生品持有长仓或短仓以及进行买卖。华福国际的销售员、交易员和其他专业人士均可向华福国际的相关客户和公司提供与本文件所述意见相反的口头或书面市场评论意见或交易策略。华福国际可做出与本文件所述建议或意见不一致的投资决策。但华福国际没有义务来确保本文件的收件人了解到该等交易决定、思路或建议。</w:t>
                  </w:r>
                </w:p>
                <w:p w14:paraId="0ECBDA2D">
                  <w:pPr>
                    <w:pStyle w:val="44"/>
                    <w:spacing w:after="60"/>
                    <w:rPr>
                      <w:rFonts w:hint="default" w:ascii="Calibri" w:hAnsi="Calibri" w:eastAsia="楷体_GB2312" w:cs="Calibri"/>
                      <w:snapToGrid/>
                      <w:w w:val="70"/>
                      <w:sz w:val="20"/>
                      <w:szCs w:val="20"/>
                      <w:lang w:eastAsia="zh-CN"/>
                    </w:rPr>
                  </w:pPr>
                  <w:r>
                    <w:rPr>
                      <w:rFonts w:hint="default" w:ascii="Calibri" w:hAnsi="Calibri" w:eastAsia="楷体_GB2312" w:cs="Calibri"/>
                      <w:snapToGrid/>
                      <w:w w:val="70"/>
                      <w:sz w:val="20"/>
                      <w:szCs w:val="20"/>
                      <w:lang w:eastAsia="zh-CN"/>
                    </w:rPr>
                    <w:t>请访问华福</w:t>
                  </w:r>
                  <w:r>
                    <w:rPr>
                      <w:rFonts w:hint="default" w:ascii="Calibri" w:hAnsi="Calibri" w:eastAsia="楷体_GB2312" w:cs="Calibri"/>
                      <w:w w:val="70"/>
                      <w:sz w:val="20"/>
                      <w:szCs w:val="20"/>
                      <w:lang w:eastAsia="zh-CN"/>
                    </w:rPr>
                    <w:t>国际</w:t>
                  </w:r>
                  <w:r>
                    <w:rPr>
                      <w:rFonts w:hint="default" w:ascii="Calibri" w:hAnsi="Calibri" w:eastAsia="楷体_GB2312" w:cs="Calibri"/>
                      <w:snapToGrid/>
                      <w:w w:val="70"/>
                      <w:sz w:val="20"/>
                      <w:szCs w:val="20"/>
                      <w:lang w:eastAsia="zh-CN"/>
                    </w:rPr>
                    <w:t xml:space="preserve">网站 </w:t>
                  </w:r>
                  <w:r>
                    <w:rPr>
                      <w:rFonts w:hint="default" w:ascii="Calibri" w:hAnsi="Calibri" w:eastAsia="楷体_GB2312" w:cs="Calibri"/>
                    </w:rPr>
                    <w:fldChar w:fldCharType="begin"/>
                  </w:r>
                  <w:r>
                    <w:rPr>
                      <w:rFonts w:hint="default" w:ascii="Calibri" w:hAnsi="Calibri" w:eastAsia="楷体_GB2312" w:cs="Calibri"/>
                    </w:rPr>
                    <w:instrText xml:space="preserve"> HYPERLINK "http://www.hfisec.com.hk" </w:instrText>
                  </w:r>
                  <w:r>
                    <w:rPr>
                      <w:rFonts w:hint="default" w:ascii="Calibri" w:hAnsi="Calibri" w:eastAsia="楷体_GB2312" w:cs="Calibri"/>
                    </w:rPr>
                    <w:fldChar w:fldCharType="separate"/>
                  </w:r>
                  <w:r>
                    <w:rPr>
                      <w:rStyle w:val="32"/>
                      <w:rFonts w:hint="default" w:ascii="Calibri" w:hAnsi="Calibri" w:eastAsia="楷体_GB2312" w:cs="Calibri"/>
                      <w:snapToGrid/>
                      <w:w w:val="70"/>
                      <w:sz w:val="20"/>
                      <w:szCs w:val="20"/>
                      <w:lang w:eastAsia="zh-CN"/>
                    </w:rPr>
                    <w:t>www.hfisec.com.hk</w:t>
                  </w:r>
                  <w:r>
                    <w:rPr>
                      <w:rStyle w:val="32"/>
                      <w:rFonts w:hint="default" w:ascii="Calibri" w:hAnsi="Calibri" w:eastAsia="楷体_GB2312" w:cs="Calibri"/>
                      <w:snapToGrid/>
                      <w:w w:val="70"/>
                      <w:sz w:val="20"/>
                      <w:szCs w:val="20"/>
                      <w:lang w:eastAsia="zh-CN"/>
                    </w:rPr>
                    <w:fldChar w:fldCharType="end"/>
                  </w:r>
                  <w:r>
                    <w:rPr>
                      <w:rFonts w:hint="default" w:ascii="Calibri" w:hAnsi="Calibri" w:eastAsia="楷体_GB2312" w:cs="Calibri"/>
                      <w:snapToGrid/>
                      <w:w w:val="70"/>
                      <w:sz w:val="20"/>
                      <w:szCs w:val="20"/>
                      <w:lang w:eastAsia="zh-CN"/>
                    </w:rPr>
                    <w:t xml:space="preserve"> ，查阅更多有关华福</w:t>
                  </w:r>
                  <w:r>
                    <w:rPr>
                      <w:rFonts w:hint="default" w:ascii="Calibri" w:hAnsi="Calibri" w:eastAsia="楷体_GB2312" w:cs="Calibri"/>
                      <w:w w:val="70"/>
                      <w:sz w:val="20"/>
                      <w:szCs w:val="20"/>
                      <w:lang w:eastAsia="zh-CN"/>
                    </w:rPr>
                    <w:t>国际</w:t>
                  </w:r>
                  <w:r>
                    <w:rPr>
                      <w:rFonts w:hint="default" w:ascii="Calibri" w:hAnsi="Calibri" w:eastAsia="楷体_GB2312" w:cs="Calibri"/>
                      <w:snapToGrid/>
                      <w:w w:val="70"/>
                      <w:sz w:val="20"/>
                      <w:szCs w:val="20"/>
                      <w:lang w:eastAsia="zh-CN"/>
                    </w:rPr>
                    <w:t>为预防和避免利益冲突设立的组织和行政安排的内容信息。</w:t>
                  </w:r>
                </w:p>
                <w:p w14:paraId="3D7DB00A">
                  <w:pPr>
                    <w:pStyle w:val="44"/>
                    <w:spacing w:after="40"/>
                    <w:rPr>
                      <w:rFonts w:hint="default" w:ascii="Calibri" w:hAnsi="Calibri" w:eastAsia="楷体_GB2312" w:cs="Calibri"/>
                      <w:b/>
                      <w:bCs/>
                      <w:w w:val="70"/>
                      <w:sz w:val="20"/>
                      <w:szCs w:val="20"/>
                    </w:rPr>
                  </w:pPr>
                  <w:r>
                    <w:rPr>
                      <w:rFonts w:hint="default" w:ascii="Calibri" w:hAnsi="Calibri" w:eastAsia="楷体_GB2312" w:cs="Calibri"/>
                      <w:b/>
                      <w:bCs/>
                      <w:w w:val="70"/>
                      <w:sz w:val="20"/>
                      <w:szCs w:val="20"/>
                    </w:rPr>
                    <w:t>IMPORTANT DISCLAIMER</w:t>
                  </w:r>
                </w:p>
                <w:p w14:paraId="19D7323F">
                  <w:pPr>
                    <w:pStyle w:val="44"/>
                    <w:spacing w:after="40"/>
                    <w:rPr>
                      <w:rFonts w:hint="default" w:ascii="Calibri" w:hAnsi="Calibri" w:eastAsia="楷体_GB2312" w:cs="Calibri"/>
                      <w:w w:val="70"/>
                      <w:sz w:val="20"/>
                      <w:szCs w:val="20"/>
                    </w:rPr>
                  </w:pPr>
                  <w:r>
                    <w:rPr>
                      <w:rFonts w:hint="default" w:ascii="Calibri" w:hAnsi="Calibri" w:eastAsia="楷体_GB2312" w:cs="Calibri"/>
                      <w:w w:val="70"/>
                      <w:sz w:val="20"/>
                      <w:szCs w:val="20"/>
                    </w:rPr>
                    <w:t xml:space="preserve">The research report is issued by </w:t>
                  </w:r>
                  <w:r>
                    <w:rPr>
                      <w:rFonts w:hint="default" w:ascii="Calibri" w:hAnsi="Calibri" w:eastAsia="楷体_GB2312" w:cs="Calibri"/>
                      <w:w w:val="70"/>
                      <w:sz w:val="20"/>
                      <w:szCs w:val="20"/>
                      <w:lang w:eastAsia="zh-CN"/>
                    </w:rPr>
                    <w:t>HuaFu</w:t>
                  </w:r>
                  <w:r>
                    <w:rPr>
                      <w:rFonts w:hint="default" w:ascii="Calibri" w:hAnsi="Calibri" w:eastAsia="楷体_GB2312" w:cs="Calibri"/>
                      <w:w w:val="70"/>
                      <w:sz w:val="20"/>
                      <w:szCs w:val="20"/>
                    </w:rPr>
                    <w:t xml:space="preserve"> International</w:t>
                  </w:r>
                  <w:r>
                    <w:rPr>
                      <w:rFonts w:hint="default" w:ascii="Calibri" w:hAnsi="Calibri" w:eastAsia="楷体_GB2312" w:cs="Calibri"/>
                      <w:w w:val="70"/>
                      <w:sz w:val="20"/>
                      <w:szCs w:val="20"/>
                      <w:lang w:eastAsia="zh-CN"/>
                    </w:rPr>
                    <w:t xml:space="preserve">, </w:t>
                  </w:r>
                  <w:r>
                    <w:rPr>
                      <w:rFonts w:hint="default" w:ascii="Calibri" w:hAnsi="Calibri" w:eastAsia="楷体_GB2312" w:cs="Calibri"/>
                      <w:w w:val="70"/>
                      <w:sz w:val="20"/>
                      <w:szCs w:val="20"/>
                    </w:rPr>
                    <w:t>a licensed corporation to carry on Type 4 regulated activity (advising on securities) for the purpose of the Securities and Futures Ordinance (Cap. 571)</w:t>
                  </w:r>
                  <w:r>
                    <w:rPr>
                      <w:rFonts w:hint="default" w:ascii="Calibri" w:hAnsi="Calibri" w:eastAsia="楷体_GB2312" w:cs="Calibri"/>
                      <w:w w:val="70"/>
                      <w:sz w:val="20"/>
                      <w:szCs w:val="20"/>
                      <w:lang w:eastAsia="zh-HK"/>
                    </w:rPr>
                    <w:t xml:space="preserve"> of Hong Kong</w:t>
                  </w:r>
                  <w:r>
                    <w:rPr>
                      <w:rFonts w:hint="default" w:ascii="Calibri" w:hAnsi="Calibri" w:eastAsia="楷体_GB2312" w:cs="Calibri"/>
                      <w:w w:val="70"/>
                      <w:sz w:val="20"/>
                      <w:szCs w:val="20"/>
                    </w:rPr>
                    <w:t>.</w:t>
                  </w:r>
                </w:p>
                <w:p w14:paraId="6FAF60B8">
                  <w:pPr>
                    <w:pStyle w:val="44"/>
                    <w:spacing w:after="40"/>
                    <w:rPr>
                      <w:rFonts w:hint="default" w:ascii="Calibri" w:hAnsi="Calibri" w:eastAsia="楷体_GB2312" w:cs="Calibri"/>
                      <w:w w:val="70"/>
                      <w:sz w:val="20"/>
                      <w:szCs w:val="20"/>
                    </w:rPr>
                  </w:pPr>
                  <w:r>
                    <w:rPr>
                      <w:rFonts w:hint="default" w:ascii="Calibri" w:hAnsi="Calibri" w:eastAsia="楷体_GB2312" w:cs="Calibri"/>
                      <w:w w:val="70"/>
                      <w:sz w:val="20"/>
                      <w:szCs w:val="20"/>
                    </w:rPr>
                    <w:t xml:space="preserve">The information and opinions contained in this research report have been compiled or arrived at from sources believed to be reliable and in good faith but no representation or warranty, express or implied, is made by </w:t>
                  </w:r>
                  <w:r>
                    <w:rPr>
                      <w:rFonts w:hint="default" w:ascii="Calibri" w:hAnsi="Calibri" w:eastAsia="楷体_GB2312" w:cs="Calibri"/>
                      <w:w w:val="70"/>
                      <w:sz w:val="20"/>
                      <w:szCs w:val="20"/>
                      <w:lang w:eastAsia="zh-CN"/>
                    </w:rPr>
                    <w:t>HuaFu International</w:t>
                  </w:r>
                  <w:r>
                    <w:rPr>
                      <w:rFonts w:hint="default" w:ascii="Calibri" w:hAnsi="Calibri" w:eastAsia="楷体_GB2312" w:cs="Calibri"/>
                      <w:w w:val="70"/>
                      <w:sz w:val="20"/>
                      <w:szCs w:val="20"/>
                    </w:rPr>
                    <w:t xml:space="preserve"> or any other </w:t>
                  </w:r>
                  <w:r>
                    <w:rPr>
                      <w:rFonts w:hint="default" w:ascii="Calibri" w:hAnsi="Calibri" w:eastAsia="楷体_GB2312" w:cs="Calibri"/>
                      <w:w w:val="70"/>
                      <w:sz w:val="20"/>
                      <w:szCs w:val="20"/>
                      <w:lang w:eastAsia="zh-CN"/>
                    </w:rPr>
                    <w:t xml:space="preserve">related </w:t>
                  </w:r>
                  <w:r>
                    <w:rPr>
                      <w:rFonts w:hint="default" w:ascii="Calibri" w:hAnsi="Calibri" w:eastAsia="楷体_GB2312" w:cs="Calibri"/>
                      <w:w w:val="70"/>
                      <w:sz w:val="20"/>
                      <w:szCs w:val="20"/>
                    </w:rPr>
                    <w:t>members</w:t>
                  </w:r>
                  <w:r>
                    <w:rPr>
                      <w:rFonts w:hint="default" w:ascii="Calibri" w:hAnsi="Calibri" w:eastAsia="楷体_GB2312" w:cs="Calibri"/>
                      <w:w w:val="70"/>
                      <w:sz w:val="20"/>
                      <w:szCs w:val="20"/>
                      <w:lang w:eastAsia="zh-CN"/>
                    </w:rPr>
                    <w:t xml:space="preserve"> </w:t>
                  </w:r>
                  <w:r>
                    <w:rPr>
                      <w:rFonts w:hint="default" w:ascii="Calibri" w:hAnsi="Calibri" w:eastAsia="楷体_GB2312" w:cs="Calibri"/>
                      <w:w w:val="70"/>
                      <w:sz w:val="20"/>
                      <w:szCs w:val="20"/>
                    </w:rPr>
                    <w:t xml:space="preserve">from which this research report may be received, as to their accuracy, completeness or correctness. All opinions expressed herein are as of the date of this research report and are subject to change without notice. This research report is for information purpose only. Descriptions of any companies or their securities mentioned herein are not intended to be complete and this research report is not, and should not be construed expressly or impliedly as, an offer to buy or sell securities. The securities referred to in this research report may not be eligible for purchase or sale in some jurisdictions. If an investment product is denominated in a currency other than an investor's home currency, a change in exchange rates may adversely affect the investment. Past performance is not necessarily indicative of future results. Certain transactions, including those involving derivatives, give rise to substantial risk and are not suitable for all investors. You should also bear in mind that recommendations in this research report are not tailor-made for you. The analyst has not taken into account your unique financial circumstances, such as your financial situation and risk appetite. You must, therefore, analyze and should, where applicable, consult your own legal, tax, accounting, financial and other professional advisers to evaluate whether the recommendations suits you before investment. Neither </w:t>
                  </w:r>
                  <w:r>
                    <w:rPr>
                      <w:rFonts w:hint="default" w:ascii="Calibri" w:hAnsi="Calibri" w:eastAsia="楷体_GB2312" w:cs="Calibri"/>
                      <w:w w:val="70"/>
                      <w:sz w:val="20"/>
                      <w:szCs w:val="20"/>
                      <w:lang w:eastAsia="zh-CN"/>
                    </w:rPr>
                    <w:t>HuaFu International</w:t>
                  </w:r>
                  <w:r>
                    <w:rPr>
                      <w:rFonts w:hint="default" w:ascii="Calibri" w:hAnsi="Calibri" w:eastAsia="楷体_GB2312" w:cs="Calibri"/>
                      <w:w w:val="70"/>
                      <w:sz w:val="20"/>
                      <w:szCs w:val="20"/>
                    </w:rPr>
                    <w:t xml:space="preserve"> nor any of its directors, employees or agents accepts any liability whatsoever for any direct or consequential loss arising from any use of the materials contained in this research report. </w:t>
                  </w:r>
                </w:p>
                <w:p w14:paraId="361E57C6">
                  <w:pPr>
                    <w:pStyle w:val="44"/>
                    <w:spacing w:after="40"/>
                    <w:rPr>
                      <w:rFonts w:hint="default" w:ascii="Calibri" w:hAnsi="Calibri" w:eastAsia="楷体_GB2312" w:cs="Calibri"/>
                      <w:w w:val="70"/>
                      <w:sz w:val="20"/>
                      <w:szCs w:val="20"/>
                    </w:rPr>
                  </w:pPr>
                  <w:r>
                    <w:rPr>
                      <w:rFonts w:hint="default" w:ascii="Calibri" w:hAnsi="Calibri" w:eastAsia="楷体_GB2312" w:cs="Calibri"/>
                      <w:w w:val="70"/>
                      <w:sz w:val="20"/>
                      <w:szCs w:val="20"/>
                      <w:lang w:eastAsia="zh-CN"/>
                    </w:rPr>
                    <w:t>HuaFu International</w:t>
                  </w:r>
                  <w:r>
                    <w:rPr>
                      <w:rFonts w:hint="default" w:ascii="Calibri" w:hAnsi="Calibri" w:eastAsia="楷体_GB2312" w:cs="Calibri"/>
                      <w:w w:val="70"/>
                      <w:sz w:val="20"/>
                      <w:szCs w:val="20"/>
                    </w:rPr>
                    <w:t xml:space="preserve"> and </w:t>
                  </w:r>
                  <w:r>
                    <w:rPr>
                      <w:rFonts w:hint="default" w:ascii="Calibri" w:hAnsi="Calibri" w:eastAsia="楷体_GB2312" w:cs="Calibri"/>
                      <w:w w:val="70"/>
                      <w:sz w:val="20"/>
                      <w:szCs w:val="20"/>
                      <w:lang w:eastAsia="zh-CN"/>
                    </w:rPr>
                    <w:t>its</w:t>
                  </w:r>
                  <w:r>
                    <w:rPr>
                      <w:rFonts w:hint="default" w:ascii="Calibri" w:hAnsi="Calibri" w:eastAsia="楷体_GB2312" w:cs="Calibri"/>
                      <w:w w:val="70"/>
                      <w:sz w:val="20"/>
                      <w:szCs w:val="20"/>
                    </w:rPr>
                    <w:t xml:space="preserve"> affiliates, officers, directors, and employees, excluding the analysts responsible for the content of this document, will from time to time have long or short positions in, act as principal in, and buy or sell, the securities or derivatives, if any, referred to in this research report. Sales, traders, and other professionals of </w:t>
                  </w:r>
                  <w:r>
                    <w:rPr>
                      <w:rFonts w:hint="default" w:ascii="Calibri" w:hAnsi="Calibri" w:eastAsia="楷体_GB2312" w:cs="Calibri"/>
                      <w:w w:val="70"/>
                      <w:sz w:val="20"/>
                      <w:szCs w:val="20"/>
                      <w:lang w:eastAsia="zh-CN"/>
                    </w:rPr>
                    <w:t xml:space="preserve">HuaFu International </w:t>
                  </w:r>
                  <w:r>
                    <w:rPr>
                      <w:rFonts w:hint="default" w:ascii="Calibri" w:hAnsi="Calibri" w:eastAsia="楷体_GB2312" w:cs="Calibri"/>
                      <w:w w:val="70"/>
                      <w:sz w:val="20"/>
                      <w:szCs w:val="20"/>
                    </w:rPr>
                    <w:t xml:space="preserve">may provide oral or written market commentary or trading strategies to the relevant clients and the companies within </w:t>
                  </w:r>
                  <w:r>
                    <w:rPr>
                      <w:rFonts w:hint="default" w:ascii="Calibri" w:hAnsi="Calibri" w:eastAsia="楷体_GB2312" w:cs="Calibri"/>
                      <w:w w:val="70"/>
                      <w:sz w:val="20"/>
                      <w:szCs w:val="20"/>
                      <w:lang w:eastAsia="zh-CN"/>
                    </w:rPr>
                    <w:t>HuaFu International</w:t>
                  </w:r>
                  <w:r>
                    <w:rPr>
                      <w:rFonts w:hint="default" w:ascii="Calibri" w:hAnsi="Calibri" w:eastAsia="楷体_GB2312" w:cs="Calibri"/>
                      <w:w w:val="70"/>
                      <w:sz w:val="20"/>
                      <w:szCs w:val="20"/>
                    </w:rPr>
                    <w:t xml:space="preserve"> that reflect opinions that are contrary to the opinions expressed in this research report. </w:t>
                  </w:r>
                  <w:r>
                    <w:rPr>
                      <w:rFonts w:hint="default" w:ascii="Calibri" w:hAnsi="Calibri" w:eastAsia="楷体_GB2312" w:cs="Calibri"/>
                      <w:w w:val="70"/>
                      <w:sz w:val="20"/>
                      <w:szCs w:val="20"/>
                      <w:lang w:eastAsia="zh-CN"/>
                    </w:rPr>
                    <w:t>HuaFu Internatioal</w:t>
                  </w:r>
                  <w:r>
                    <w:rPr>
                      <w:rFonts w:hint="default" w:ascii="Calibri" w:hAnsi="Calibri" w:eastAsia="楷体_GB2312" w:cs="Calibri"/>
                      <w:w w:val="70"/>
                      <w:sz w:val="20"/>
                      <w:szCs w:val="20"/>
                    </w:rPr>
                    <w:t xml:space="preserve"> may make investment decisions that are inconsistent with the recommendations or views expressed in this research report. </w:t>
                  </w:r>
                  <w:r>
                    <w:rPr>
                      <w:rFonts w:hint="default" w:ascii="Calibri" w:hAnsi="Calibri" w:eastAsia="楷体_GB2312" w:cs="Calibri"/>
                      <w:w w:val="70"/>
                      <w:sz w:val="20"/>
                      <w:szCs w:val="20"/>
                      <w:lang w:eastAsia="zh-CN"/>
                    </w:rPr>
                    <w:t xml:space="preserve">HuaFu International </w:t>
                  </w:r>
                  <w:r>
                    <w:rPr>
                      <w:rFonts w:hint="default" w:ascii="Calibri" w:hAnsi="Calibri" w:eastAsia="楷体_GB2312" w:cs="Calibri"/>
                      <w:w w:val="70"/>
                      <w:sz w:val="20"/>
                      <w:szCs w:val="20"/>
                    </w:rPr>
                    <w:t>is under no obligation to ensure that such other trading decisions, ideas or recommendations are brought to the attention of any recipient of this research report.</w:t>
                  </w:r>
                </w:p>
                <w:p w14:paraId="451A142E">
                  <w:pPr>
                    <w:pStyle w:val="44"/>
                    <w:spacing w:after="40"/>
                    <w:rPr>
                      <w:rFonts w:hint="default" w:ascii="Calibri" w:hAnsi="Calibri" w:eastAsia="楷体_GB2312" w:cs="Calibri"/>
                      <w:bCs/>
                      <w:w w:val="70"/>
                      <w:sz w:val="20"/>
                      <w:szCs w:val="20"/>
                    </w:rPr>
                  </w:pPr>
                  <w:r>
                    <w:rPr>
                      <w:rFonts w:hint="default" w:ascii="Calibri" w:hAnsi="Calibri" w:eastAsia="楷体_GB2312" w:cs="Calibri"/>
                      <w:bCs/>
                      <w:w w:val="70"/>
                      <w:sz w:val="20"/>
                      <w:szCs w:val="20"/>
                    </w:rPr>
                    <w:t xml:space="preserve">Please refer to </w:t>
                  </w:r>
                  <w:r>
                    <w:rPr>
                      <w:rFonts w:hint="default" w:ascii="Calibri" w:hAnsi="Calibri" w:eastAsia="楷体_GB2312" w:cs="Calibri"/>
                      <w:bCs/>
                      <w:w w:val="70"/>
                      <w:sz w:val="20"/>
                      <w:szCs w:val="20"/>
                      <w:lang w:eastAsia="zh-CN"/>
                    </w:rPr>
                    <w:t xml:space="preserve">HuaFu International’s </w:t>
                  </w:r>
                  <w:r>
                    <w:rPr>
                      <w:rFonts w:hint="default" w:ascii="Calibri" w:hAnsi="Calibri" w:eastAsia="楷体_GB2312" w:cs="Calibri"/>
                      <w:bCs/>
                      <w:w w:val="70"/>
                      <w:sz w:val="20"/>
                      <w:szCs w:val="20"/>
                    </w:rPr>
                    <w:t xml:space="preserve">website </w:t>
                  </w:r>
                  <w:r>
                    <w:rPr>
                      <w:rFonts w:hint="default" w:ascii="Calibri" w:hAnsi="Calibri" w:eastAsia="楷体_GB2312" w:cs="Calibri"/>
                    </w:rPr>
                    <w:fldChar w:fldCharType="begin"/>
                  </w:r>
                  <w:r>
                    <w:rPr>
                      <w:rFonts w:hint="default" w:ascii="Calibri" w:hAnsi="Calibri" w:eastAsia="楷体_GB2312" w:cs="Calibri"/>
                    </w:rPr>
                    <w:instrText xml:space="preserve"> HYPERLINK "http://www.hfisec.com.hk" </w:instrText>
                  </w:r>
                  <w:r>
                    <w:rPr>
                      <w:rFonts w:hint="default" w:ascii="Calibri" w:hAnsi="Calibri" w:eastAsia="楷体_GB2312" w:cs="Calibri"/>
                    </w:rPr>
                    <w:fldChar w:fldCharType="separate"/>
                  </w:r>
                  <w:r>
                    <w:rPr>
                      <w:rStyle w:val="32"/>
                      <w:rFonts w:hint="default" w:ascii="Calibri" w:hAnsi="Calibri" w:eastAsia="楷体_GB2312" w:cs="Calibri"/>
                      <w:bCs/>
                      <w:w w:val="70"/>
                      <w:sz w:val="20"/>
                      <w:szCs w:val="20"/>
                    </w:rPr>
                    <w:t>www.hfisec.com.hk</w:t>
                  </w:r>
                  <w:r>
                    <w:rPr>
                      <w:rStyle w:val="32"/>
                      <w:rFonts w:hint="default" w:ascii="Calibri" w:hAnsi="Calibri" w:eastAsia="楷体_GB2312" w:cs="Calibri"/>
                      <w:bCs/>
                      <w:w w:val="70"/>
                      <w:sz w:val="20"/>
                      <w:szCs w:val="20"/>
                    </w:rPr>
                    <w:fldChar w:fldCharType="end"/>
                  </w:r>
                  <w:r>
                    <w:rPr>
                      <w:rFonts w:hint="default" w:ascii="Calibri" w:hAnsi="Calibri" w:eastAsia="楷体_GB2312" w:cs="Calibri"/>
                      <w:w w:val="70"/>
                      <w:sz w:val="20"/>
                      <w:szCs w:val="20"/>
                    </w:rPr>
                    <w:t xml:space="preserve"> </w:t>
                  </w:r>
                  <w:r>
                    <w:rPr>
                      <w:rFonts w:hint="default" w:ascii="Calibri" w:hAnsi="Calibri" w:eastAsia="楷体_GB2312" w:cs="Calibri"/>
                      <w:bCs/>
                      <w:w w:val="70"/>
                      <w:sz w:val="20"/>
                      <w:szCs w:val="20"/>
                    </w:rPr>
                    <w:t xml:space="preserve">for further </w:t>
                  </w:r>
                  <w:r>
                    <w:rPr>
                      <w:rFonts w:hint="default" w:ascii="Calibri" w:hAnsi="Calibri" w:eastAsia="楷体_GB2312" w:cs="Calibri"/>
                      <w:w w:val="70"/>
                      <w:sz w:val="20"/>
                      <w:szCs w:val="20"/>
                    </w:rPr>
                    <w:t>information</w:t>
                  </w:r>
                  <w:r>
                    <w:rPr>
                      <w:rFonts w:hint="default" w:ascii="Calibri" w:hAnsi="Calibri" w:eastAsia="楷体_GB2312" w:cs="Calibri"/>
                      <w:bCs/>
                      <w:w w:val="70"/>
                      <w:sz w:val="20"/>
                      <w:szCs w:val="20"/>
                    </w:rPr>
                    <w:t xml:space="preserve"> on </w:t>
                  </w:r>
                  <w:r>
                    <w:rPr>
                      <w:rFonts w:hint="default" w:ascii="Calibri" w:hAnsi="Calibri" w:eastAsia="楷体_GB2312" w:cs="Calibri"/>
                      <w:bCs/>
                      <w:w w:val="70"/>
                      <w:sz w:val="20"/>
                      <w:szCs w:val="20"/>
                      <w:lang w:eastAsia="zh-CN"/>
                    </w:rPr>
                    <w:t xml:space="preserve">HuaFu International’s </w:t>
                  </w:r>
                  <w:r>
                    <w:rPr>
                      <w:rFonts w:hint="default" w:ascii="Calibri" w:hAnsi="Calibri" w:eastAsia="楷体_GB2312" w:cs="Calibri"/>
                      <w:bCs/>
                      <w:w w:val="70"/>
                      <w:sz w:val="20"/>
                      <w:szCs w:val="20"/>
                    </w:rPr>
                    <w:t>organizational and administrative arrangements set up for the prevention and avoidance of conflicts of interest with respect to Research.</w:t>
                  </w:r>
                </w:p>
                <w:p w14:paraId="14850CF8">
                  <w:pPr>
                    <w:pStyle w:val="44"/>
                    <w:spacing w:after="60"/>
                    <w:rPr>
                      <w:rFonts w:hint="default" w:ascii="Calibri" w:hAnsi="Calibri" w:eastAsia="楷体_GB2312" w:cs="Calibri"/>
                      <w:b/>
                      <w:w w:val="70"/>
                      <w:sz w:val="20"/>
                      <w:szCs w:val="20"/>
                    </w:rPr>
                  </w:pPr>
                </w:p>
              </w:tc>
            </w:tr>
            <w:tr w14:paraId="0FBB519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2D942562">
                  <w:pPr>
                    <w:pStyle w:val="44"/>
                    <w:spacing w:after="60"/>
                    <w:rPr>
                      <w:rFonts w:hint="default" w:ascii="Calibri" w:hAnsi="Calibri" w:eastAsia="楷体_GB2312" w:cs="Calibri"/>
                      <w:b/>
                      <w:snapToGrid/>
                      <w:w w:val="70"/>
                      <w:sz w:val="20"/>
                      <w:szCs w:val="20"/>
                      <w:lang w:eastAsia="zh-CN"/>
                    </w:rPr>
                  </w:pPr>
                  <w:r>
                    <w:rPr>
                      <w:rFonts w:hint="default" w:ascii="Calibri" w:hAnsi="Calibri" w:eastAsia="楷体_GB2312" w:cs="Calibri"/>
                      <w:b/>
                      <w:snapToGrid/>
                      <w:w w:val="70"/>
                      <w:sz w:val="20"/>
                      <w:szCs w:val="20"/>
                      <w:lang w:eastAsia="zh-CN"/>
                    </w:rPr>
                    <w:t>分发和地区通知：</w:t>
                  </w:r>
                </w:p>
                <w:p w14:paraId="276AFC8A">
                  <w:pPr>
                    <w:pStyle w:val="44"/>
                    <w:spacing w:after="60"/>
                    <w:rPr>
                      <w:rFonts w:hint="default" w:ascii="Calibri" w:hAnsi="Calibri" w:eastAsia="楷体_GB2312" w:cs="Calibri"/>
                      <w:snapToGrid/>
                      <w:w w:val="70"/>
                      <w:sz w:val="20"/>
                      <w:szCs w:val="20"/>
                      <w:lang w:eastAsia="zh-CN"/>
                    </w:rPr>
                  </w:pPr>
                  <w:r>
                    <w:rPr>
                      <w:rFonts w:hint="default" w:ascii="Calibri" w:hAnsi="Calibri" w:eastAsia="楷体_GB2312" w:cs="Calibri"/>
                      <w:snapToGrid/>
                      <w:w w:val="70"/>
                      <w:sz w:val="20"/>
                      <w:szCs w:val="20"/>
                      <w:lang w:eastAsia="zh-CN"/>
                    </w:rPr>
                    <w:t xml:space="preserve">除非下文另有规定，否则任何希望讨论本报告或者就本项研究中讨论的任何证券进行任何交易的收件人均应联系其所在国家或地区的华福国际销售人员。  </w:t>
                  </w:r>
                </w:p>
                <w:p w14:paraId="4E670F1A">
                  <w:pPr>
                    <w:pStyle w:val="44"/>
                    <w:spacing w:after="60"/>
                    <w:rPr>
                      <w:rFonts w:hint="default" w:ascii="Calibri" w:hAnsi="Calibri" w:eastAsia="楷体_GB2312" w:cs="Calibri"/>
                      <w:snapToGrid/>
                      <w:w w:val="70"/>
                      <w:sz w:val="20"/>
                      <w:szCs w:val="20"/>
                      <w:lang w:eastAsia="zh-CN"/>
                    </w:rPr>
                  </w:pPr>
                  <w:r>
                    <w:rPr>
                      <w:rFonts w:hint="default" w:ascii="Calibri" w:hAnsi="Calibri" w:eastAsia="楷体_GB2312" w:cs="Calibri"/>
                      <w:b/>
                      <w:snapToGrid/>
                      <w:w w:val="70"/>
                      <w:sz w:val="20"/>
                      <w:szCs w:val="20"/>
                      <w:lang w:eastAsia="zh-CN"/>
                    </w:rPr>
                    <w:t>香港投资者的通知事项：</w:t>
                  </w:r>
                  <w:r>
                    <w:rPr>
                      <w:rFonts w:hint="default" w:ascii="Calibri" w:hAnsi="Calibri" w:eastAsia="楷体_GB2312" w:cs="Calibri"/>
                      <w:bCs/>
                      <w:snapToGrid/>
                      <w:w w:val="70"/>
                      <w:sz w:val="20"/>
                      <w:szCs w:val="20"/>
                      <w:lang w:eastAsia="zh-CN"/>
                    </w:rPr>
                    <w:t>华福</w:t>
                  </w:r>
                  <w:r>
                    <w:rPr>
                      <w:rFonts w:hint="default" w:ascii="Calibri" w:hAnsi="Calibri" w:eastAsia="楷体_GB2312" w:cs="Calibri"/>
                      <w:snapToGrid/>
                      <w:w w:val="70"/>
                      <w:sz w:val="20"/>
                      <w:szCs w:val="20"/>
                      <w:lang w:eastAsia="zh-CN"/>
                    </w:rPr>
                    <w:t>国际负责分发该研究报告，华福国际是在香港有权实施第1类受规管活动（从事证券交易）的持牌公司。该研究报告并不构成《证券及期货条例》</w:t>
                  </w:r>
                  <w:r>
                    <w:rPr>
                      <w:rFonts w:hint="default" w:ascii="Calibri" w:hAnsi="Calibri" w:eastAsia="楷体_GB2312" w:cs="Calibri"/>
                      <w:w w:val="70"/>
                      <w:sz w:val="20"/>
                      <w:szCs w:val="20"/>
                      <w:lang w:eastAsia="zh-CN"/>
                    </w:rPr>
                    <w:t>（</w:t>
                  </w:r>
                  <w:r>
                    <w:rPr>
                      <w:rFonts w:hint="default" w:ascii="Calibri" w:hAnsi="Calibri" w:eastAsia="楷体_GB2312" w:cs="Calibri"/>
                      <w:snapToGrid/>
                      <w:w w:val="70"/>
                      <w:sz w:val="20"/>
                      <w:szCs w:val="20"/>
                      <w:lang w:eastAsia="zh-CN"/>
                    </w:rPr>
                    <w:t>香港法例第571章</w:t>
                  </w:r>
                  <w:r>
                    <w:rPr>
                      <w:rFonts w:hint="default" w:ascii="Calibri" w:hAnsi="Calibri" w:eastAsia="楷体_GB2312" w:cs="Calibri"/>
                      <w:w w:val="70"/>
                      <w:sz w:val="20"/>
                      <w:szCs w:val="20"/>
                      <w:lang w:eastAsia="zh-CN"/>
                    </w:rPr>
                    <w:t>）（</w:t>
                  </w:r>
                  <w:r>
                    <w:rPr>
                      <w:rFonts w:hint="default" w:ascii="Calibri" w:hAnsi="Calibri" w:eastAsia="楷体_GB2312" w:cs="Calibri"/>
                      <w:snapToGrid/>
                      <w:w w:val="70"/>
                      <w:sz w:val="20"/>
                      <w:szCs w:val="20"/>
                      <w:lang w:eastAsia="zh-CN"/>
                    </w:rPr>
                    <w:t>以下简称“SFO”</w:t>
                  </w:r>
                  <w:r>
                    <w:rPr>
                      <w:rFonts w:hint="default" w:ascii="Calibri" w:hAnsi="Calibri" w:eastAsia="楷体_GB2312" w:cs="Calibri"/>
                      <w:w w:val="70"/>
                      <w:sz w:val="20"/>
                      <w:szCs w:val="20"/>
                      <w:lang w:eastAsia="zh-CN"/>
                    </w:rPr>
                    <w:t>）</w:t>
                  </w:r>
                  <w:r>
                    <w:rPr>
                      <w:rFonts w:hint="default" w:ascii="Calibri" w:hAnsi="Calibri" w:eastAsia="楷体_GB2312" w:cs="Calibri"/>
                      <w:snapToGrid/>
                      <w:w w:val="70"/>
                      <w:sz w:val="20"/>
                      <w:szCs w:val="20"/>
                      <w:lang w:eastAsia="zh-CN"/>
                    </w:rPr>
                    <w:t>所界定的要约邀请，证券要约或公众要约。本研究报告仅提供给SFO所界定的“专业投资者”。本研究报告未经过证券及期货事务监察委员会的审查。您不应仅根据本研究报告中所载的信息做出投资决定。本研究报告的收件人就研究报告中产生或与之相关的任何事宜请联系华福国际销售人员。</w:t>
                  </w:r>
                </w:p>
                <w:p w14:paraId="62BB3189">
                  <w:pPr>
                    <w:pStyle w:val="44"/>
                    <w:spacing w:after="40"/>
                    <w:rPr>
                      <w:rFonts w:hint="default" w:ascii="Calibri" w:hAnsi="Calibri" w:eastAsia="楷体_GB2312" w:cs="Calibri"/>
                      <w:b/>
                      <w:bCs/>
                      <w:w w:val="70"/>
                      <w:sz w:val="20"/>
                      <w:szCs w:val="20"/>
                    </w:rPr>
                  </w:pPr>
                  <w:r>
                    <w:rPr>
                      <w:rFonts w:hint="default" w:ascii="Calibri" w:hAnsi="Calibri" w:eastAsia="楷体_GB2312" w:cs="Calibri"/>
                      <w:b/>
                      <w:bCs/>
                      <w:w w:val="70"/>
                      <w:sz w:val="20"/>
                      <w:szCs w:val="20"/>
                    </w:rPr>
                    <w:t>DISTRIBUTION AND REGIONAL NOTICES</w:t>
                  </w:r>
                </w:p>
                <w:p w14:paraId="42682D7C">
                  <w:pPr>
                    <w:pStyle w:val="44"/>
                    <w:spacing w:after="40"/>
                    <w:rPr>
                      <w:rFonts w:hint="default" w:ascii="Calibri" w:hAnsi="Calibri" w:eastAsia="楷体_GB2312" w:cs="Calibri"/>
                      <w:w w:val="70"/>
                      <w:sz w:val="20"/>
                      <w:szCs w:val="20"/>
                    </w:rPr>
                  </w:pPr>
                  <w:r>
                    <w:rPr>
                      <w:rFonts w:hint="default" w:ascii="Calibri" w:hAnsi="Calibri" w:eastAsia="楷体_GB2312" w:cs="Calibri"/>
                      <w:w w:val="70"/>
                      <w:sz w:val="20"/>
                      <w:szCs w:val="20"/>
                    </w:rPr>
                    <w:t xml:space="preserve">Except as otherwise indicated below, any Recipient wishing to discuss this research report or effect any transaction in any security discussed in </w:t>
                  </w:r>
                  <w:r>
                    <w:rPr>
                      <w:rFonts w:hint="default" w:ascii="Calibri" w:hAnsi="Calibri" w:eastAsia="楷体_GB2312" w:cs="Calibri"/>
                      <w:w w:val="70"/>
                      <w:sz w:val="20"/>
                      <w:szCs w:val="20"/>
                      <w:lang w:eastAsia="zh-CN"/>
                    </w:rPr>
                    <w:t>HuaFu International</w:t>
                  </w:r>
                  <w:r>
                    <w:rPr>
                      <w:rFonts w:hint="default" w:ascii="Calibri" w:hAnsi="Calibri" w:eastAsia="楷体_GB2312" w:cs="Calibri"/>
                      <w:w w:val="70"/>
                      <w:sz w:val="20"/>
                      <w:szCs w:val="20"/>
                    </w:rPr>
                    <w:t xml:space="preserve">’s research should contact the </w:t>
                  </w:r>
                  <w:r>
                    <w:rPr>
                      <w:rFonts w:hint="default" w:ascii="Calibri" w:hAnsi="Calibri" w:eastAsia="楷体_GB2312" w:cs="Calibri"/>
                      <w:w w:val="70"/>
                      <w:sz w:val="20"/>
                      <w:szCs w:val="20"/>
                      <w:lang w:eastAsia="zh-CN"/>
                    </w:rPr>
                    <w:t xml:space="preserve">HuaFu </w:t>
                  </w:r>
                  <w:r>
                    <w:rPr>
                      <w:rFonts w:hint="default" w:ascii="Calibri" w:hAnsi="Calibri" w:eastAsia="楷体_GB2312" w:cs="Calibri"/>
                      <w:w w:val="70"/>
                      <w:sz w:val="20"/>
                      <w:szCs w:val="20"/>
                    </w:rPr>
                    <w:t xml:space="preserve">International salesperson in their own country or region.  </w:t>
                  </w:r>
                </w:p>
                <w:p w14:paraId="31A5CA49">
                  <w:pPr>
                    <w:pStyle w:val="44"/>
                    <w:spacing w:after="40"/>
                    <w:rPr>
                      <w:rFonts w:hint="default" w:ascii="Calibri" w:hAnsi="Calibri" w:eastAsia="楷体_GB2312" w:cs="Calibri"/>
                      <w:w w:val="70"/>
                      <w:sz w:val="20"/>
                      <w:szCs w:val="20"/>
                    </w:rPr>
                  </w:pPr>
                  <w:r>
                    <w:rPr>
                      <w:rFonts w:hint="default" w:ascii="Calibri" w:hAnsi="Calibri" w:eastAsia="楷体_GB2312" w:cs="Calibri"/>
                      <w:b/>
                      <w:bCs/>
                      <w:w w:val="70"/>
                      <w:sz w:val="20"/>
                      <w:szCs w:val="20"/>
                    </w:rPr>
                    <w:t xml:space="preserve">Notice to Hong Kong investors: </w:t>
                  </w:r>
                  <w:r>
                    <w:rPr>
                      <w:rFonts w:hint="default" w:ascii="Calibri" w:hAnsi="Calibri" w:eastAsia="楷体_GB2312" w:cs="Calibri"/>
                      <w:w w:val="70"/>
                      <w:sz w:val="20"/>
                      <w:szCs w:val="20"/>
                    </w:rPr>
                    <w:t xml:space="preserve">The research report is distributed by </w:t>
                  </w:r>
                  <w:r>
                    <w:rPr>
                      <w:rFonts w:hint="default" w:ascii="Calibri" w:hAnsi="Calibri" w:eastAsia="楷体_GB2312" w:cs="Calibri"/>
                      <w:w w:val="70"/>
                      <w:sz w:val="20"/>
                      <w:szCs w:val="20"/>
                      <w:lang w:eastAsia="zh-CN"/>
                    </w:rPr>
                    <w:t>HuaFu</w:t>
                  </w:r>
                  <w:r>
                    <w:rPr>
                      <w:rFonts w:hint="default" w:ascii="Calibri" w:hAnsi="Calibri" w:eastAsia="楷体_GB2312" w:cs="Calibri"/>
                      <w:w w:val="70"/>
                      <w:sz w:val="20"/>
                      <w:szCs w:val="20"/>
                    </w:rPr>
                    <w:t xml:space="preserve"> International, which is a licensed corporation to carry on Type 1 regulated activity (dealing in securities) in Hong Kong. This research report does not constitute a solicitation or an offer of securities or an invitation to the public within the meaning of the SFO. This research report is only to be circulated to "Professional Investors" as defined in the SFO. This research report has not been reviewed by the Securities and Futures Commission. You should not make investment decisions solely on the basis of the information contained in this research report. Recipients of this research report are to contact </w:t>
                  </w:r>
                  <w:r>
                    <w:rPr>
                      <w:rFonts w:hint="default" w:ascii="Calibri" w:hAnsi="Calibri" w:eastAsia="楷体_GB2312" w:cs="Calibri"/>
                      <w:w w:val="70"/>
                      <w:sz w:val="20"/>
                      <w:szCs w:val="20"/>
                      <w:lang w:eastAsia="zh-CN"/>
                    </w:rPr>
                    <w:t>HuaFu International</w:t>
                  </w:r>
                  <w:r>
                    <w:rPr>
                      <w:rFonts w:hint="default" w:ascii="Calibri" w:hAnsi="Calibri" w:eastAsia="楷体_GB2312" w:cs="Calibri"/>
                      <w:w w:val="70"/>
                      <w:sz w:val="20"/>
                      <w:szCs w:val="20"/>
                    </w:rPr>
                    <w:t xml:space="preserve"> salespersons in respect of any matters arising from, or in connection with, the research report.</w:t>
                  </w:r>
                </w:p>
                <w:p w14:paraId="404E1D00">
                  <w:pPr>
                    <w:pStyle w:val="44"/>
                    <w:spacing w:after="60"/>
                    <w:rPr>
                      <w:rFonts w:hint="default" w:ascii="Calibri" w:hAnsi="Calibri" w:eastAsia="楷体_GB2312" w:cs="Calibri"/>
                      <w:b/>
                      <w:w w:val="70"/>
                      <w:sz w:val="20"/>
                      <w:szCs w:val="20"/>
                    </w:rPr>
                  </w:pPr>
                </w:p>
              </w:tc>
            </w:tr>
            <w:tr w14:paraId="623A45B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20368186">
                  <w:pPr>
                    <w:pStyle w:val="44"/>
                    <w:spacing w:after="60"/>
                    <w:rPr>
                      <w:rFonts w:hint="default" w:ascii="Calibri" w:hAnsi="Calibri" w:eastAsia="楷体_GB2312" w:cs="Calibri"/>
                      <w:w w:val="70"/>
                      <w:sz w:val="20"/>
                      <w:szCs w:val="20"/>
                      <w:lang w:eastAsia="zh-CN"/>
                    </w:rPr>
                  </w:pPr>
                  <w:r>
                    <w:rPr>
                      <w:rFonts w:hint="default" w:ascii="Calibri" w:hAnsi="Calibri" w:eastAsia="楷体_GB2312" w:cs="Calibri"/>
                      <w:b/>
                      <w:w w:val="70"/>
                      <w:sz w:val="20"/>
                      <w:szCs w:val="20"/>
                      <w:lang w:eastAsia="zh-CN"/>
                    </w:rPr>
                    <w:t>中华人民共和国的通知事项：</w:t>
                  </w:r>
                  <w:r>
                    <w:rPr>
                      <w:rFonts w:hint="default" w:ascii="Calibri" w:hAnsi="Calibri" w:eastAsia="楷体_GB2312" w:cs="Calibri"/>
                      <w:w w:val="70"/>
                      <w:sz w:val="20"/>
                      <w:szCs w:val="20"/>
                      <w:lang w:eastAsia="zh-CN"/>
                    </w:rPr>
                    <w:t>在中华人民共和国</w:t>
                  </w:r>
                  <w:r>
                    <w:rPr>
                      <w:rFonts w:hint="default" w:ascii="Calibri" w:hAnsi="Calibri" w:eastAsia="楷体_GB2312" w:cs="Calibri"/>
                      <w:snapToGrid/>
                      <w:w w:val="70"/>
                      <w:sz w:val="20"/>
                      <w:szCs w:val="20"/>
                      <w:lang w:eastAsia="zh-CN"/>
                    </w:rPr>
                    <w:t>（</w:t>
                  </w:r>
                  <w:r>
                    <w:rPr>
                      <w:rFonts w:hint="default" w:ascii="Calibri" w:hAnsi="Calibri" w:eastAsia="楷体_GB2312" w:cs="Calibri"/>
                      <w:w w:val="70"/>
                      <w:sz w:val="20"/>
                      <w:szCs w:val="20"/>
                      <w:lang w:eastAsia="zh-CN"/>
                    </w:rPr>
                    <w:t>下称“中国”，就本报告目的而言，不包括香港特别行政区、澳门特别行政区和台湾）只有根据适用的中国法律法规而收到该材料的人员方可使用该材料。并且根据相关法律法规，该材料中的信息并不构成“在中国从事生产、经营活动”。本文件在中国并不构成相关证券的公共发售或认购。无论根据法律规定或其他任何规定，在取得中国政府所有的批准或许可之前，任何法人或自然人均不得直接或间接地购买本材料中的任何证券或任何实益权益。接收本文件的人员须遵守上述限制性规定。</w:t>
                  </w:r>
                </w:p>
                <w:p w14:paraId="6613BFD4">
                  <w:pPr>
                    <w:pStyle w:val="44"/>
                    <w:spacing w:after="60"/>
                    <w:rPr>
                      <w:rFonts w:hint="default" w:ascii="Calibri" w:hAnsi="Calibri" w:eastAsia="楷体_GB2312" w:cs="Calibri"/>
                      <w:w w:val="70"/>
                      <w:sz w:val="20"/>
                      <w:szCs w:val="20"/>
                      <w:lang w:eastAsia="zh-CN"/>
                    </w:rPr>
                  </w:pPr>
                  <w:r>
                    <w:rPr>
                      <w:rFonts w:hint="default" w:ascii="Calibri" w:hAnsi="Calibri" w:eastAsia="楷体_GB2312" w:cs="Calibri"/>
                      <w:w w:val="70"/>
                      <w:sz w:val="20"/>
                      <w:szCs w:val="20"/>
                      <w:lang w:eastAsia="zh-CN"/>
                    </w:rPr>
                    <w:t>本项研究仅供收件人使用，未经华福国际的书面同意不得予以复制和再次分发。</w:t>
                  </w:r>
                </w:p>
                <w:p w14:paraId="1EB3132A">
                  <w:pPr>
                    <w:pStyle w:val="44"/>
                    <w:rPr>
                      <w:rFonts w:hint="default" w:ascii="Calibri" w:hAnsi="Calibri" w:eastAsia="楷体_GB2312" w:cs="Calibri"/>
                      <w:w w:val="70"/>
                      <w:sz w:val="20"/>
                      <w:szCs w:val="20"/>
                      <w:lang w:eastAsia="zh-CN"/>
                    </w:rPr>
                  </w:pPr>
                  <w:r>
                    <w:rPr>
                      <w:rFonts w:hint="default" w:ascii="Calibri" w:hAnsi="Calibri" w:eastAsia="楷体_GB2312" w:cs="Calibri"/>
                      <w:w w:val="70"/>
                      <w:sz w:val="20"/>
                      <w:szCs w:val="20"/>
                      <w:lang w:eastAsia="zh-CN"/>
                    </w:rPr>
                    <w:t>版权所有：华福国际2025年。保留所有权利。</w:t>
                  </w:r>
                </w:p>
                <w:p w14:paraId="56F3025B">
                  <w:pPr>
                    <w:pStyle w:val="44"/>
                    <w:spacing w:after="120"/>
                    <w:rPr>
                      <w:rFonts w:hint="default" w:ascii="Calibri" w:hAnsi="Calibri" w:eastAsia="楷体_GB2312" w:cs="Calibri"/>
                      <w:w w:val="70"/>
                      <w:sz w:val="20"/>
                      <w:szCs w:val="20"/>
                    </w:rPr>
                  </w:pPr>
                  <w:r>
                    <w:rPr>
                      <w:rFonts w:hint="default" w:ascii="Calibri" w:hAnsi="Calibri" w:eastAsia="楷体_GB2312" w:cs="Calibri"/>
                      <w:b/>
                      <w:w w:val="70"/>
                      <w:sz w:val="20"/>
                      <w:szCs w:val="20"/>
                      <w:lang w:eastAsia="zh-CN"/>
                    </w:rPr>
                    <w:t>People’s Republic of China (PRC):</w:t>
                  </w:r>
                  <w:r>
                    <w:rPr>
                      <w:rFonts w:hint="default" w:ascii="Calibri" w:hAnsi="Calibri" w:eastAsia="楷体_GB2312" w:cs="Calibri"/>
                      <w:w w:val="70"/>
                      <w:sz w:val="20"/>
                      <w:szCs w:val="20"/>
                      <w:lang w:eastAsia="zh-CN"/>
                    </w:rPr>
                    <w:t xml:space="preserve"> In the PRC, the research report is directed for the sole use of those who receive the research report in accordance with the applicable PRC laws and regulations. </w:t>
                  </w:r>
                  <w:r>
                    <w:rPr>
                      <w:rFonts w:hint="default" w:ascii="Calibri" w:hAnsi="Calibri" w:eastAsia="楷体_GB2312" w:cs="Calibri"/>
                      <w:w w:val="70"/>
                      <w:sz w:val="20"/>
                      <w:szCs w:val="20"/>
                    </w:rPr>
                    <w:t>Further, the information on the research report does not constitute "production and business activities in the PRC" under relevant PRC laws. This research report does not constitute a public offer of the security, whether by sale or subscription, in the PRC. Further, no legal or natural persons of the PRC may directly or indirectly purchase any of the security or any beneficial interest therein without obtaining all prior PRC government approvals or licenses that are required, whether statutorily or otherwise. Persons who come into possession of this research are required to observe these restrictions.</w:t>
                  </w:r>
                </w:p>
                <w:p w14:paraId="43AE3D91">
                  <w:pPr>
                    <w:pStyle w:val="44"/>
                    <w:spacing w:after="120"/>
                    <w:rPr>
                      <w:rFonts w:hint="default" w:ascii="Calibri" w:hAnsi="Calibri" w:eastAsia="楷体_GB2312" w:cs="Calibri"/>
                      <w:w w:val="70"/>
                      <w:sz w:val="20"/>
                      <w:szCs w:val="20"/>
                    </w:rPr>
                  </w:pPr>
                  <w:r>
                    <w:rPr>
                      <w:rFonts w:hint="default" w:ascii="Calibri" w:hAnsi="Calibri" w:eastAsia="楷体_GB2312" w:cs="Calibri"/>
                      <w:w w:val="70"/>
                      <w:sz w:val="20"/>
                      <w:szCs w:val="20"/>
                    </w:rPr>
                    <w:t xml:space="preserve">This research report is intended for the recipients only and may not be reproduced or redistributed without the written consent of an authorized signatory of </w:t>
                  </w:r>
                  <w:r>
                    <w:rPr>
                      <w:rFonts w:hint="default" w:ascii="Calibri" w:hAnsi="Calibri" w:eastAsia="楷体_GB2312" w:cs="Calibri"/>
                      <w:w w:val="70"/>
                      <w:sz w:val="20"/>
                      <w:szCs w:val="20"/>
                      <w:lang w:eastAsia="zh-CN"/>
                    </w:rPr>
                    <w:t>HuaFu International</w:t>
                  </w:r>
                  <w:r>
                    <w:rPr>
                      <w:rFonts w:hint="default" w:ascii="Calibri" w:hAnsi="Calibri" w:eastAsia="楷体_GB2312" w:cs="Calibri"/>
                      <w:w w:val="70"/>
                      <w:sz w:val="20"/>
                      <w:szCs w:val="20"/>
                    </w:rPr>
                    <w:t>.</w:t>
                  </w:r>
                </w:p>
                <w:p w14:paraId="0E7CBBB8">
                  <w:pPr>
                    <w:pStyle w:val="44"/>
                    <w:spacing w:after="60"/>
                    <w:rPr>
                      <w:rFonts w:hint="default" w:ascii="Calibri" w:hAnsi="Calibri" w:eastAsia="楷体_GB2312" w:cs="Calibri"/>
                      <w:b/>
                      <w:w w:val="70"/>
                      <w:sz w:val="20"/>
                      <w:szCs w:val="20"/>
                    </w:rPr>
                  </w:pPr>
                  <w:r>
                    <w:rPr>
                      <w:rFonts w:hint="default" w:ascii="Calibri" w:hAnsi="Calibri" w:eastAsia="楷体_GB2312" w:cs="Calibri"/>
                      <w:w w:val="70"/>
                      <w:sz w:val="20"/>
                      <w:szCs w:val="20"/>
                    </w:rPr>
                    <w:t xml:space="preserve">Copyright: </w:t>
                  </w:r>
                  <w:r>
                    <w:rPr>
                      <w:rFonts w:hint="default" w:ascii="Calibri" w:hAnsi="Calibri" w:eastAsia="楷体_GB2312" w:cs="Calibri"/>
                      <w:w w:val="70"/>
                      <w:sz w:val="20"/>
                      <w:szCs w:val="20"/>
                      <w:lang w:eastAsia="zh-CN"/>
                    </w:rPr>
                    <w:t>HuaFu</w:t>
                  </w:r>
                  <w:r>
                    <w:rPr>
                      <w:rFonts w:hint="default" w:ascii="Calibri" w:hAnsi="Calibri" w:eastAsia="楷体_GB2312" w:cs="Calibri"/>
                      <w:w w:val="70"/>
                      <w:sz w:val="20"/>
                      <w:szCs w:val="20"/>
                    </w:rPr>
                    <w:t xml:space="preserve"> International </w:t>
                  </w:r>
                  <w:r>
                    <w:rPr>
                      <w:rFonts w:hint="default" w:ascii="Calibri" w:hAnsi="Calibri" w:eastAsia="楷体_GB2312" w:cs="Calibri"/>
                      <w:w w:val="70"/>
                      <w:sz w:val="20"/>
                      <w:szCs w:val="20"/>
                      <w:lang w:eastAsia="zh-CN"/>
                    </w:rPr>
                    <w:t>2025</w:t>
                  </w:r>
                  <w:r>
                    <w:rPr>
                      <w:rFonts w:hint="default" w:ascii="Calibri" w:hAnsi="Calibri" w:eastAsia="楷体_GB2312" w:cs="Calibri"/>
                      <w:w w:val="70"/>
                      <w:sz w:val="20"/>
                      <w:szCs w:val="20"/>
                    </w:rPr>
                    <w:t>. All rights reserved</w:t>
                  </w:r>
                </w:p>
              </w:tc>
            </w:tr>
            <w:tr w14:paraId="27508A5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single" w:color="C0C0C0" w:sz="4" w:space="0"/>
                  </w:tcBorders>
                </w:tcPr>
                <w:p w14:paraId="7091E023">
                  <w:pPr>
                    <w:pStyle w:val="44"/>
                    <w:spacing w:after="60"/>
                    <w:rPr>
                      <w:rFonts w:hint="default" w:ascii="Calibri" w:hAnsi="Calibri" w:eastAsia="楷体_GB2312" w:cs="Calibri"/>
                      <w:b/>
                      <w:w w:val="70"/>
                      <w:sz w:val="20"/>
                      <w:szCs w:val="20"/>
                    </w:rPr>
                  </w:pPr>
                </w:p>
              </w:tc>
            </w:tr>
            <w:tr w14:paraId="6C261273">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1196" w:type="dxa"/>
                  <w:tcBorders>
                    <w:top w:val="single" w:color="C0C0C0" w:sz="4" w:space="0"/>
                    <w:bottom w:val="nil"/>
                  </w:tcBorders>
                </w:tcPr>
                <w:p w14:paraId="57D6F29B">
                  <w:pPr>
                    <w:pStyle w:val="44"/>
                    <w:spacing w:after="60"/>
                    <w:rPr>
                      <w:rFonts w:hint="default" w:ascii="Calibri" w:hAnsi="Calibri" w:eastAsia="楷体_GB2312" w:cs="Calibri"/>
                      <w:b/>
                      <w:w w:val="70"/>
                      <w:sz w:val="20"/>
                      <w:szCs w:val="20"/>
                      <w:lang w:eastAsia="zh-CN"/>
                    </w:rPr>
                  </w:pPr>
                </w:p>
              </w:tc>
            </w:tr>
          </w:tbl>
          <w:p w14:paraId="0B9EC66F">
            <w:pPr>
              <w:pStyle w:val="81"/>
              <w:rPr>
                <w:rFonts w:hint="default" w:ascii="Calibri" w:hAnsi="Calibri" w:eastAsia="楷体_GB2312" w:cs="Calibri"/>
                <w:sz w:val="16"/>
              </w:rPr>
            </w:pPr>
          </w:p>
          <w:p w14:paraId="652F3F27">
            <w:pPr>
              <w:rPr>
                <w:rFonts w:hint="default" w:ascii="Calibri" w:hAnsi="Calibri" w:eastAsia="楷体_GB2312" w:cs="Calibri"/>
                <w:lang w:val="en-US"/>
              </w:rPr>
            </w:pPr>
          </w:p>
        </w:tc>
      </w:tr>
      <w:tr w14:paraId="6E892BCC">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848" w:hRule="atLeast"/>
        </w:trPr>
        <w:tc>
          <w:tcPr>
            <w:tcW w:w="11252" w:type="dxa"/>
          </w:tcPr>
          <w:p w14:paraId="0EE47C9D">
            <w:pPr>
              <w:pStyle w:val="44"/>
              <w:spacing w:line="100" w:lineRule="exact"/>
              <w:rPr>
                <w:rFonts w:hint="default" w:ascii="Calibri" w:hAnsi="Calibri" w:eastAsia="楷体_GB2312" w:cs="Calibri"/>
                <w:b/>
                <w:bCs/>
                <w:w w:val="70"/>
                <w:sz w:val="22"/>
                <w:szCs w:val="22"/>
              </w:rPr>
            </w:pPr>
          </w:p>
          <w:tbl>
            <w:tblPr>
              <w:tblStyle w:val="27"/>
              <w:tblW w:w="0" w:type="auto"/>
              <w:tblCaption w:val="[Table_RecommendationChart]"/>
              <w:tblDescription w:val="表格隐藏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96"/>
            </w:tblGrid>
            <w:tr w14:paraId="3D5DFB2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199" w:type="dxa"/>
                </w:tcPr>
                <w:p w14:paraId="6E8D4A08">
                  <w:pPr>
                    <w:pStyle w:val="44"/>
                    <w:rPr>
                      <w:rFonts w:hint="default" w:ascii="Calibri" w:hAnsi="Calibri" w:eastAsia="楷体_GB2312" w:cs="Calibri"/>
                      <w:b/>
                      <w:color w:val="FFFFFF" w:themeColor="background1"/>
                      <w:w w:val="70"/>
                      <w:sz w:val="20"/>
                      <w:szCs w:val="20"/>
                      <w:lang w:eastAsia="zh-CN"/>
                      <w14:textFill>
                        <w14:solidFill>
                          <w14:schemeClr w14:val="bg1"/>
                        </w14:solidFill>
                      </w14:textFill>
                    </w:rPr>
                  </w:pPr>
                  <w:r>
                    <w:rPr>
                      <w:rFonts w:hint="default" w:ascii="Calibri" w:hAnsi="Calibri" w:eastAsia="楷体_GB2312" w:cs="Calibri"/>
                      <w:b/>
                      <w:color w:val="FFFFFF" w:themeColor="background1"/>
                      <w:w w:val="70"/>
                      <w:sz w:val="20"/>
                      <w:szCs w:val="20"/>
                      <w:lang w:eastAsia="zh-CN"/>
                      <w14:textFill>
                        <w14:solidFill>
                          <w14:schemeClr w14:val="bg1"/>
                        </w14:solidFill>
                      </w14:textFill>
                    </w:rPr>
                    <w:t>[Table_RecommendationChart]</w:t>
                  </w:r>
                </w:p>
              </w:tc>
            </w:tr>
            <w:tr w14:paraId="3B048D8F">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199" w:type="dxa"/>
                </w:tcPr>
                <w:p w14:paraId="597A11AA">
                  <w:pPr>
                    <w:pStyle w:val="44"/>
                    <w:rPr>
                      <w:rFonts w:hint="default" w:ascii="Calibri" w:hAnsi="Calibri" w:eastAsia="楷体_GB2312" w:cs="Calibri"/>
                      <w:lang w:eastAsia="zh-CN"/>
                    </w:rPr>
                  </w:pPr>
                </w:p>
              </w:tc>
            </w:tr>
            <w:tr w14:paraId="740B0916">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199" w:type="dxa"/>
                </w:tcPr>
                <w:p w14:paraId="38B788E2">
                  <w:pPr>
                    <w:pStyle w:val="44"/>
                    <w:rPr>
                      <w:rFonts w:hint="default" w:ascii="Calibri" w:hAnsi="Calibri" w:eastAsia="楷体_GB2312" w:cs="Calibri"/>
                      <w:b/>
                      <w:w w:val="70"/>
                      <w:sz w:val="20"/>
                      <w:szCs w:val="20"/>
                    </w:rPr>
                  </w:pPr>
                </w:p>
              </w:tc>
            </w:tr>
            <w:tr w14:paraId="51106585">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199" w:type="dxa"/>
                </w:tcPr>
                <w:p w14:paraId="666879AA">
                  <w:pPr>
                    <w:pStyle w:val="44"/>
                    <w:rPr>
                      <w:rFonts w:hint="default" w:ascii="Calibri" w:hAnsi="Calibri" w:eastAsia="楷体_GB2312" w:cs="Calibri"/>
                      <w:b/>
                      <w:w w:val="70"/>
                      <w:sz w:val="20"/>
                      <w:szCs w:val="20"/>
                    </w:rPr>
                  </w:pPr>
                </w:p>
              </w:tc>
            </w:tr>
          </w:tbl>
          <w:p w14:paraId="7D137555">
            <w:pPr>
              <w:pStyle w:val="44"/>
              <w:spacing w:after="60"/>
              <w:rPr>
                <w:rFonts w:hint="default" w:ascii="Calibri" w:hAnsi="Calibri" w:eastAsia="楷体_GB2312" w:cs="Calibri"/>
                <w:b/>
                <w:bCs/>
                <w:w w:val="70"/>
                <w:sz w:val="22"/>
                <w:szCs w:val="22"/>
              </w:rPr>
            </w:pPr>
          </w:p>
        </w:tc>
      </w:tr>
    </w:tbl>
    <w:p w14:paraId="1F621CEF">
      <w:pPr>
        <w:pStyle w:val="81"/>
        <w:rPr>
          <w:rFonts w:hint="default" w:ascii="Calibri" w:hAnsi="Calibri" w:eastAsia="楷体_GB2312" w:cs="Calibri"/>
          <w:w w:val="70"/>
          <w:sz w:val="20"/>
          <w:szCs w:val="20"/>
          <w:lang w:val="en-GB"/>
        </w:rPr>
      </w:pPr>
    </w:p>
    <w:p w14:paraId="11FCBEFD">
      <w:pPr>
        <w:pStyle w:val="81"/>
        <w:rPr>
          <w:rFonts w:hint="default" w:ascii="Calibri" w:hAnsi="Calibri" w:eastAsia="楷体_GB2312" w:cs="Calibri"/>
          <w:lang w:val="en-GB"/>
        </w:rPr>
      </w:pPr>
    </w:p>
    <w:sectPr>
      <w:headerReference r:id="rId8" w:type="first"/>
      <w:footerReference r:id="rId10" w:type="first"/>
      <w:headerReference r:id="rId7" w:type="default"/>
      <w:footerReference r:id="rId9" w:type="default"/>
      <w:pgSz w:w="11909" w:h="16834"/>
      <w:pgMar w:top="1077" w:right="567" w:bottom="1021" w:left="329" w:header="720" w:footer="1156"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Cambria">
    <w:panose1 w:val="02040503050406030204"/>
    <w:charset w:val="00"/>
    <w:family w:val="roman"/>
    <w:pitch w:val="default"/>
    <w:sig w:usb0="E00006FF" w:usb1="420024FF" w:usb2="02000000" w:usb3="00000000" w:csb0="2000019F" w:csb1="00000000"/>
  </w:font>
  <w:font w:name="楷体_GB2312">
    <w:panose1 w:val="02010609030101010101"/>
    <w:charset w:val="86"/>
    <w:family w:val="modern"/>
    <w:pitch w:val="default"/>
    <w:sig w:usb0="00000001" w:usb1="080E0000" w:usb2="00000000" w:usb3="00000000" w:csb0="00040000" w:csb1="00000000"/>
  </w:font>
  <w:font w:name="汉仪楷体简">
    <w:altName w:val="楷体_GB2312"/>
    <w:panose1 w:val="00000000000000000000"/>
    <w:charset w:val="86"/>
    <w:family w:val="modern"/>
    <w:pitch w:val="default"/>
    <w:sig w:usb0="00000000" w:usb1="00000000" w:usb2="00000002" w:usb3="00000000" w:csb0="00040000" w:csb1="00000000"/>
  </w:font>
  <w:font w:name="汉仪大黑简">
    <w:altName w:val="黑体"/>
    <w:panose1 w:val="00000000000000000000"/>
    <w:charset w:val="86"/>
    <w:family w:val="roman"/>
    <w:pitch w:val="default"/>
    <w:sig w:usb0="00000000" w:usb1="00000000" w:usb2="00000002" w:usb3="00000000" w:csb0="00040000" w:csb1="00000000"/>
  </w:font>
  <w:font w:name="Tahoma">
    <w:panose1 w:val="020B0604030504040204"/>
    <w:charset w:val="00"/>
    <w:family w:val="swiss"/>
    <w:pitch w:val="default"/>
    <w:sig w:usb0="E1002EFF" w:usb1="C000605B" w:usb2="00000029" w:usb3="00000000" w:csb0="200101FF" w:csb1="20280000"/>
  </w:font>
  <w:font w:name="Wingdings 3">
    <w:panose1 w:val="05040102010807070707"/>
    <w:charset w:val="02"/>
    <w:family w:val="roman"/>
    <w:pitch w:val="default"/>
    <w:sig w:usb0="00000000" w:usb1="00000000" w:usb2="00000000" w:usb3="00000000" w:csb0="80000000" w:csb1="00000000"/>
  </w:font>
  <w:font w:name="PMingLiU">
    <w:altName w:val="PMingLiU-ExtB"/>
    <w:panose1 w:val="02020500000000000000"/>
    <w:charset w:val="88"/>
    <w:family w:val="roma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楷体">
    <w:panose1 w:val="02010609060101010101"/>
    <w:charset w:val="86"/>
    <w:family w:val="roman"/>
    <w:pitch w:val=""/>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996346">
    <w:pPr>
      <w:pStyle w:val="42"/>
    </w:pPr>
    <w:r>
      <w:rPr>
        <w:lang w:eastAsia="zh-CN"/>
      </w:rPr>
      <mc:AlternateContent>
        <mc:Choice Requires="wps">
          <w:drawing>
            <wp:anchor distT="0" distB="0" distL="114300" distR="114300" simplePos="0" relativeHeight="251661312" behindDoc="0" locked="1" layoutInCell="1" allowOverlap="1">
              <wp:simplePos x="0" y="0"/>
              <wp:positionH relativeFrom="column">
                <wp:posOffset>-441325</wp:posOffset>
              </wp:positionH>
              <wp:positionV relativeFrom="page">
                <wp:posOffset>9845040</wp:posOffset>
              </wp:positionV>
              <wp:extent cx="7376160" cy="807720"/>
              <wp:effectExtent l="0" t="0" r="15240" b="11430"/>
              <wp:wrapNone/>
              <wp:docPr id="20" name="Text Box 281"/>
              <wp:cNvGraphicFramePr/>
              <a:graphic xmlns:a="http://schemas.openxmlformats.org/drawingml/2006/main">
                <a:graphicData uri="http://schemas.microsoft.com/office/word/2010/wordprocessingShape">
                  <wps:wsp>
                    <wps:cNvSpPr txBox="1">
                      <a:spLocks noChangeArrowheads="1"/>
                    </wps:cNvSpPr>
                    <wps:spPr bwMode="auto">
                      <a:xfrm>
                        <a:off x="0" y="0"/>
                        <a:ext cx="7376160" cy="807720"/>
                      </a:xfrm>
                      <a:prstGeom prst="rect">
                        <a:avLst/>
                      </a:prstGeom>
                      <a:noFill/>
                      <a:ln>
                        <a:noFill/>
                      </a:ln>
                    </wps:spPr>
                    <wps:txbx>
                      <w:txbxContent>
                        <w:tbl>
                          <w:tblPr>
                            <w:tblStyle w:val="27"/>
                            <w:tblW w:w="0" w:type="auto"/>
                            <w:tblCaption w:val="[Table_yejiao1]"/>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583"/>
                          </w:tblGrid>
                          <w:tr w14:paraId="3F7A5084">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14:paraId="114281CD">
                                <w:pPr>
                                  <w:pStyle w:val="59"/>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22C801A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583" w:type="dxa"/>
                              </w:tcPr>
                              <w:p w14:paraId="526FB6E3">
                                <w:pPr>
                                  <w:pStyle w:val="59"/>
                                  <w:rPr>
                                    <w:rFonts w:cs="Calibri"/>
                                    <w:b w:val="0"/>
                                    <w:sz w:val="21"/>
                                    <w:szCs w:val="21"/>
                                  </w:rPr>
                                </w:pPr>
                                <w:r>
                                  <w:rPr>
                                    <w:rFonts w:hint="eastAsia" w:eastAsia="楷体_GB2312" w:cs="Calibri"/>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6DF324D3">
                          <w:pPr>
                            <w:pStyle w:val="59"/>
                            <w:rPr>
                              <w:rFonts w:eastAsia="楷体_GB2312" w:cs="Calibri"/>
                              <w:b w:val="0"/>
                              <w:sz w:val="21"/>
                              <w:szCs w:val="21"/>
                            </w:rPr>
                          </w:pPr>
                        </w:p>
                      </w:txbxContent>
                    </wps:txbx>
                    <wps:bodyPr rot="0" vert="horz" wrap="square" lIns="0" tIns="0" rIns="0" bIns="0" anchor="t" anchorCtr="0" upright="1">
                      <a:noAutofit/>
                    </wps:bodyPr>
                  </wps:wsp>
                </a:graphicData>
              </a:graphic>
            </wp:anchor>
          </w:drawing>
        </mc:Choice>
        <mc:Fallback>
          <w:pict>
            <v:shape id="Text Box 281" o:spid="_x0000_s1026" o:spt="202" type="#_x0000_t202" style="position:absolute;left:0pt;margin-left:-34.75pt;margin-top:775.2pt;height:63.6pt;width:580.8pt;mso-position-vertical-relative:page;z-index:251661312;mso-width-relative:page;mso-height-relative:page;" filled="f" stroked="f" coordsize="21600,21600" o:gfxdata="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exclB9wAAAAOAQAADwAAAAAAAAABACAAAAAiAAAAZHJzL2Rv&#10;d25yZXYueG1sUEsBAhQAFAAAAAgAh07iQNFGDl/9AQAABwQAAA4AAAAAAAAAAQAgAAAAKwEAAGRy&#10;cy9lMm9Eb2MueG1sUEsFBgAAAAAGAAYAWQEAAJoFAAAAAA==&#10;">
              <v:fill on="f" focussize="0,0"/>
              <v:stroke on="f"/>
              <v:imagedata o:title=""/>
              <o:lock v:ext="edit" aspectratio="f"/>
              <v:textbox inset="0mm,0mm,0mm,0mm">
                <w:txbxContent>
                  <w:tbl>
                    <w:tblPr>
                      <w:tblStyle w:val="27"/>
                      <w:tblW w:w="0" w:type="auto"/>
                      <w:tblCaption w:val="[Table_yejiao1]"/>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583"/>
                    </w:tblGrid>
                    <w:tr w14:paraId="3F7A5084">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14:paraId="114281CD">
                          <w:pPr>
                            <w:pStyle w:val="59"/>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14:paraId="22C801A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583" w:type="dxa"/>
                        </w:tcPr>
                        <w:p w14:paraId="526FB6E3">
                          <w:pPr>
                            <w:pStyle w:val="59"/>
                            <w:rPr>
                              <w:rFonts w:cs="Calibri"/>
                              <w:b w:val="0"/>
                              <w:sz w:val="21"/>
                              <w:szCs w:val="21"/>
                            </w:rPr>
                          </w:pPr>
                          <w:r>
                            <w:rPr>
                              <w:rFonts w:hint="eastAsia" w:eastAsia="楷体_GB2312" w:cs="Calibri"/>
                              <w:b w:val="0"/>
                              <w:sz w:val="21"/>
                              <w:szCs w:val="21"/>
                              <w:lang w:eastAsia="zh-CN"/>
                            </w:rPr>
                            <w:t>本研究报告由华福国际分销，在其许可的司法管辖区内从事证券活动。关于华福国际的分析师证明，重要披露声明和免责声明，请参阅附录。</w:t>
                          </w:r>
                          <w:r>
                            <w:rPr>
                              <w:rFonts w:eastAsia="楷体_GB2312" w:cs="Calibri"/>
                              <w:b w:val="0"/>
                              <w:sz w:val="21"/>
                              <w:szCs w:val="21"/>
                              <w:lang w:eastAsia="zh-CN"/>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14:paraId="6DF324D3">
                    <w:pPr>
                      <w:pStyle w:val="59"/>
                      <w:rPr>
                        <w:rFonts w:eastAsia="楷体_GB2312" w:cs="Calibri"/>
                        <w:b w:val="0"/>
                        <w:sz w:val="21"/>
                        <w:szCs w:val="21"/>
                      </w:rPr>
                    </w:pPr>
                  </w:p>
                </w:txbxContent>
              </v:textbox>
              <w10:anchorlock/>
            </v:shape>
          </w:pict>
        </mc:Fallback>
      </mc:AlternateContent>
    </w:r>
    <w:r>
      <w:rPr>
        <w:lang w:eastAsia="zh-CN"/>
      </w:rPr>
      <mc:AlternateContent>
        <mc:Choice Requires="wps">
          <w:drawing>
            <wp:anchor distT="0" distB="0" distL="114300" distR="114300" simplePos="0" relativeHeight="251659264" behindDoc="0" locked="0" layoutInCell="1" allowOverlap="1">
              <wp:simplePos x="0" y="0"/>
              <wp:positionH relativeFrom="page">
                <wp:posOffset>85090</wp:posOffset>
              </wp:positionH>
              <wp:positionV relativeFrom="page">
                <wp:posOffset>9789160</wp:posOffset>
              </wp:positionV>
              <wp:extent cx="7404100" cy="50165"/>
              <wp:effectExtent l="0" t="0" r="6350" b="6985"/>
              <wp:wrapNone/>
              <wp:docPr id="15" name="Text Box 73"/>
              <wp:cNvGraphicFramePr/>
              <a:graphic xmlns:a="http://schemas.openxmlformats.org/drawingml/2006/main">
                <a:graphicData uri="http://schemas.microsoft.com/office/word/2010/wordprocessingShape">
                  <wps:wsp>
                    <wps:cNvSpPr txBox="1">
                      <a:spLocks noChangeArrowheads="1"/>
                    </wps:cNvSpPr>
                    <wps:spPr bwMode="auto">
                      <a:xfrm>
                        <a:off x="0" y="0"/>
                        <a:ext cx="7404100" cy="50165"/>
                      </a:xfrm>
                      <a:prstGeom prst="rect">
                        <a:avLst/>
                      </a:prstGeom>
                      <a:solidFill>
                        <a:srgbClr val="005BAC"/>
                      </a:solidFill>
                      <a:ln>
                        <a:noFill/>
                      </a:ln>
                    </wps:spPr>
                    <wps:txbx>
                      <w:txbxContent>
                        <w:p w14:paraId="47A65785">
                          <w:pPr>
                            <w:ind w:left="-180"/>
                          </w:pPr>
                        </w:p>
                      </w:txbxContent>
                    </wps:txbx>
                    <wps:bodyPr rot="0" vert="horz" wrap="square" lIns="91440" tIns="45720" rIns="91440" bIns="45720" anchor="t" anchorCtr="0" upright="1">
                      <a:noAutofit/>
                    </wps:bodyPr>
                  </wps:wsp>
                </a:graphicData>
              </a:graphic>
            </wp:anchor>
          </w:drawing>
        </mc:Choice>
        <mc:Fallback>
          <w:pict>
            <v:shape id="Text Box 73" o:spid="_x0000_s1026" o:spt="202" type="#_x0000_t202" style="position:absolute;left:0pt;margin-left:6.7pt;margin-top:770.8pt;height:3.95pt;width:583pt;mso-position-horizontal-relative:page;mso-position-vertical-relative:page;z-index:251659264;mso-width-relative:page;mso-height-relative:page;" fillcolor="#005BAC" filled="t" stroked="f" coordsize="21600,21600" o:gfxdata="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uMjSbtoA&#10;AAANAQAADwAAAAAAAAABACAAAAAiAAAAZHJzL2Rvd25yZXYueG1sUEsBAhQAFAAAAAgAh07iQI7t&#10;BuodAgAAPgQAAA4AAAAAAAAAAQAgAAAAKQEAAGRycy9lMm9Eb2MueG1sUEsFBgAAAAAGAAYAWQEA&#10;ALgFAAAAAA==&#10;">
              <v:fill on="t" focussize="0,0"/>
              <v:stroke on="f"/>
              <v:imagedata o:title=""/>
              <o:lock v:ext="edit" aspectratio="f"/>
              <v:textbox>
                <w:txbxContent>
                  <w:p w14:paraId="47A65785">
                    <w:pPr>
                      <w:ind w:left="-180"/>
                    </w:pP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6"/>
      <w:tblpPr w:vertAnchor="page" w:horzAnchor="page" w:tblpX="347" w:tblpY="15481"/>
      <w:tblOverlap w:val="never"/>
      <w:tblW w:w="107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1"/>
    </w:tblGrid>
    <w:tr w14:paraId="2B7AE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721" w:type="dxa"/>
          <w:tcBorders>
            <w:top w:val="nil"/>
            <w:left w:val="nil"/>
            <w:bottom w:val="nil"/>
            <w:right w:val="nil"/>
          </w:tcBorders>
          <w:vAlign w:val="center"/>
        </w:tcPr>
        <w:p w14:paraId="29BF505E">
          <w:pPr>
            <w:pStyle w:val="49"/>
            <w:framePr w:wrap="auto" w:vAnchor="margin" w:hAnchor="text" w:xAlign="left" w:yAlign="inline"/>
          </w:pPr>
          <w:r>
            <w:fldChar w:fldCharType="begin"/>
          </w:r>
          <w:r>
            <w:instrText xml:space="preserve"> DATE  \@ "d MMM yyyy"  \* MERGEFORMAT </w:instrText>
          </w:r>
          <w:r>
            <w:fldChar w:fldCharType="separate"/>
          </w:r>
          <w:r>
            <w:t>27 Feb 2026</w:t>
          </w:r>
          <w:r>
            <w:fldChar w:fldCharType="end"/>
          </w:r>
          <w:r>
            <w:tab/>
          </w:r>
          <w:r>
            <w:fldChar w:fldCharType="begin"/>
          </w:r>
          <w:r>
            <w:instrText xml:space="preserve"> PAGE </w:instrText>
          </w:r>
          <w:r>
            <w:fldChar w:fldCharType="separate"/>
          </w:r>
          <w:r>
            <w:t>2</w:t>
          </w:r>
          <w:r>
            <w:fldChar w:fldCharType="end"/>
          </w:r>
        </w:p>
      </w:tc>
    </w:tr>
  </w:tbl>
  <w:p w14:paraId="23F8956B">
    <w:pPr>
      <w:pStyle w:val="4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CFEDE6">
    <w:pPr>
      <w:pStyle w:val="42"/>
      <w:spacing w:line="20" w:lineRule="exact"/>
    </w:pPr>
  </w:p>
  <w:tbl>
    <w:tblPr>
      <w:tblStyle w:val="26"/>
      <w:tblpPr w:vertAnchor="page" w:horzAnchor="page" w:tblpX="347" w:tblpY="15481"/>
      <w:tblOverlap w:val="never"/>
      <w:tblW w:w="1072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1"/>
    </w:tblGrid>
    <w:tr w14:paraId="118FD8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721" w:type="dxa"/>
          <w:tcBorders>
            <w:top w:val="nil"/>
            <w:left w:val="nil"/>
            <w:bottom w:val="nil"/>
            <w:right w:val="nil"/>
          </w:tcBorders>
          <w:vAlign w:val="center"/>
        </w:tcPr>
        <w:p w14:paraId="1AE65677">
          <w:pPr>
            <w:pStyle w:val="49"/>
            <w:framePr w:wrap="auto" w:vAnchor="margin" w:hAnchor="text" w:xAlign="left" w:yAlign="inline"/>
          </w:pPr>
          <w:r>
            <w:tab/>
          </w:r>
          <w:r>
            <w:fldChar w:fldCharType="begin"/>
          </w:r>
          <w:r>
            <w:instrText xml:space="preserve"> PAGE </w:instrText>
          </w:r>
          <w:r>
            <w:fldChar w:fldCharType="separate"/>
          </w:r>
          <w:r>
            <w:t>4</w:t>
          </w:r>
          <w:r>
            <w:fldChar w:fldCharType="end"/>
          </w:r>
        </w:p>
      </w:tc>
    </w:tr>
  </w:tbl>
  <w:p w14:paraId="567BA042">
    <w:pPr>
      <w:pStyle w:val="4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AED306">
    <w:pPr>
      <w:pStyle w:val="1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1741F6">
    <w:pPr>
      <w:pStyle w:val="42"/>
    </w:pPr>
  </w:p>
  <w:p w14:paraId="074A34AA"/>
  <w:p w14:paraId="44D31D5F">
    <w:pPr>
      <w:jc w:val="right"/>
    </w:pPr>
    <w:r>
      <w:rPr>
        <w:snapToGrid/>
      </w:rPr>
      <w:drawing>
        <wp:anchor distT="0" distB="0" distL="114300" distR="114300" simplePos="0" relativeHeight="251663360" behindDoc="0" locked="0" layoutInCell="1" allowOverlap="1">
          <wp:simplePos x="0" y="0"/>
          <wp:positionH relativeFrom="margin">
            <wp:align>right</wp:align>
          </wp:positionH>
          <wp:positionV relativeFrom="paragraph">
            <wp:posOffset>71120</wp:posOffset>
          </wp:positionV>
          <wp:extent cx="1925955" cy="651510"/>
          <wp:effectExtent l="0" t="0" r="0" b="0"/>
          <wp:wrapNone/>
          <wp:docPr id="101295397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53970" name="图片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926000" cy="651600"/>
                  </a:xfrm>
                  <a:prstGeom prst="rect">
                    <a:avLst/>
                  </a:prstGeom>
                </pic:spPr>
              </pic:pic>
            </a:graphicData>
          </a:graphic>
        </wp:anchor>
      </w:drawing>
    </w:r>
    <w:r>
      <w:rPr>
        <w:lang w:val="en-US" w:eastAsia="zh-CN"/>
      </w:rPr>
      <mc:AlternateContent>
        <mc:Choice Requires="wps">
          <w:drawing>
            <wp:anchor distT="0" distB="0" distL="114300" distR="114300" simplePos="0" relativeHeight="251662336" behindDoc="0" locked="0" layoutInCell="1" allowOverlap="1">
              <wp:simplePos x="0" y="0"/>
              <wp:positionH relativeFrom="column">
                <wp:posOffset>343535</wp:posOffset>
              </wp:positionH>
              <wp:positionV relativeFrom="paragraph">
                <wp:posOffset>2223135</wp:posOffset>
              </wp:positionV>
              <wp:extent cx="2291715" cy="289560"/>
              <wp:effectExtent l="0" t="0" r="0" b="0"/>
              <wp:wrapNone/>
              <wp:docPr id="30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291715" cy="289560"/>
                      </a:xfrm>
                      <a:prstGeom prst="rect">
                        <a:avLst/>
                      </a:prstGeom>
                      <a:noFill/>
                      <a:ln w="9525">
                        <a:noFill/>
                        <a:miter lim="800000"/>
                      </a:ln>
                    </wps:spPr>
                    <wps:txbx>
                      <w:txbxContent>
                        <w:tbl>
                          <w:tblPr>
                            <w:tblStyle w:val="27"/>
                            <w:tblW w:w="0" w:type="auto"/>
                            <w:tblCaption w:val="[Table_yemei1]"/>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3322"/>
                          </w:tblGrid>
                          <w:tr w14:paraId="346A1B1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3" w:hRule="exact"/>
                            </w:trPr>
                            <w:tc>
                              <w:tcPr>
                                <w:tcW w:w="3322" w:type="dxa"/>
                              </w:tcPr>
                              <w:p w14:paraId="6D4969BB">
                                <w:pPr>
                                  <w:rPr>
                                    <w:rFonts w:eastAsia="楷体_GB2312"/>
                                    <w:color w:val="FF0000"/>
                                    <w:sz w:val="20"/>
                                    <w:szCs w:val="20"/>
                                  </w:rPr>
                                </w:pPr>
                                <w:r>
                                  <w:rPr>
                                    <w:rFonts w:eastAsia="楷体_GB2312"/>
                                    <w:color w:val="FFFFFF" w:themeColor="background1"/>
                                    <w:sz w:val="20"/>
                                    <w:szCs w:val="20"/>
                                    <w14:textFill>
                                      <w14:solidFill>
                                        <w14:schemeClr w14:val="bg1"/>
                                      </w14:solidFill>
                                    </w14:textFill>
                                  </w:rPr>
                                  <w:t>[Table_yemei1]</w:t>
                                </w:r>
                              </w:p>
                            </w:tc>
                          </w:tr>
                          <w:tr w14:paraId="0E4C9DA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3322" w:type="dxa"/>
                              </w:tcPr>
                              <w:p w14:paraId="659E8B23">
                                <w:pPr>
                                  <w:rPr>
                                    <w:color w:val="23558C"/>
                                    <w:sz w:val="20"/>
                                    <w:szCs w:val="20"/>
                                  </w:rPr>
                                </w:pPr>
                                <w:r>
                                  <w:rPr>
                                    <w:rFonts w:hint="eastAsia" w:eastAsia="楷体_GB2312"/>
                                    <w:color w:val="23558C"/>
                                    <w:sz w:val="20"/>
                                    <w:szCs w:val="20"/>
                                    <w:lang w:eastAsia="zh-CN"/>
                                  </w:rPr>
                                  <w:t>热点速评</w:t>
                                </w:r>
                                <w:r>
                                  <w:rPr>
                                    <w:rFonts w:eastAsia="楷体_GB2312"/>
                                    <w:color w:val="23558C"/>
                                    <w:sz w:val="20"/>
                                    <w:szCs w:val="20"/>
                                    <w:lang w:eastAsia="zh-CN"/>
                                  </w:rPr>
                                  <w:t>Flash Analysis</w:t>
                                </w:r>
                              </w:p>
                            </w:tc>
                          </w:tr>
                        </w:tbl>
                        <w:p w14:paraId="2C47C9C9">
                          <w:pPr>
                            <w:spacing w:line="40" w:lineRule="exact"/>
                            <w:rPr>
                              <w:rFonts w:eastAsia="楷体_GB2312"/>
                              <w:color w:val="23558C"/>
                              <w:sz w:val="10"/>
                              <w:szCs w:val="10"/>
                              <w:lang w:eastAsia="zh-CN"/>
                            </w:rPr>
                          </w:pP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27.05pt;margin-top:175.05pt;height:22.8pt;width:180.45pt;z-index:251662336;mso-width-relative:page;mso-height-relative:page;" filled="f" stroked="f" coordsize="21600,21600" o:gfxdata="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1lHhFtcAAAAKAQAADwAAAAAAAAABACAAAAAiAAAAZHJzL2Rvd25yZXYueG1sUEsBAhQAFAAAAAgA&#10;h07iQEQ8CgsmAgAAKwQAAA4AAAAAAAAAAQAgAAAAJgEAAGRycy9lMm9Eb2MueG1sUEsFBgAAAAAG&#10;AAYAWQEAAL4FAAAAAA==&#10;">
              <v:fill on="f" focussize="0,0"/>
              <v:stroke on="f" miterlimit="8" joinstyle="miter"/>
              <v:imagedata o:title=""/>
              <o:lock v:ext="edit" aspectratio="f"/>
              <v:textbox>
                <w:txbxContent>
                  <w:tbl>
                    <w:tblPr>
                      <w:tblStyle w:val="27"/>
                      <w:tblW w:w="0" w:type="auto"/>
                      <w:tblCaption w:val="[Table_yemei1]"/>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3322"/>
                    </w:tblGrid>
                    <w:tr w14:paraId="346A1B1A">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3" w:hRule="exact"/>
                      </w:trPr>
                      <w:tc>
                        <w:tcPr>
                          <w:tcW w:w="3322" w:type="dxa"/>
                        </w:tcPr>
                        <w:p w14:paraId="6D4969BB">
                          <w:pPr>
                            <w:rPr>
                              <w:rFonts w:eastAsia="楷体_GB2312"/>
                              <w:color w:val="FF0000"/>
                              <w:sz w:val="20"/>
                              <w:szCs w:val="20"/>
                            </w:rPr>
                          </w:pPr>
                          <w:r>
                            <w:rPr>
                              <w:rFonts w:eastAsia="楷体_GB2312"/>
                              <w:color w:val="FFFFFF" w:themeColor="background1"/>
                              <w:sz w:val="20"/>
                              <w:szCs w:val="20"/>
                              <w14:textFill>
                                <w14:solidFill>
                                  <w14:schemeClr w14:val="bg1"/>
                                </w14:solidFill>
                              </w14:textFill>
                            </w:rPr>
                            <w:t>[Table_yemei1]</w:t>
                          </w:r>
                        </w:p>
                      </w:tc>
                    </w:tr>
                    <w:tr w14:paraId="0E4C9DA0">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3322" w:type="dxa"/>
                        </w:tcPr>
                        <w:p w14:paraId="659E8B23">
                          <w:pPr>
                            <w:rPr>
                              <w:color w:val="23558C"/>
                              <w:sz w:val="20"/>
                              <w:szCs w:val="20"/>
                            </w:rPr>
                          </w:pPr>
                          <w:r>
                            <w:rPr>
                              <w:rFonts w:hint="eastAsia" w:eastAsia="楷体_GB2312"/>
                              <w:color w:val="23558C"/>
                              <w:sz w:val="20"/>
                              <w:szCs w:val="20"/>
                              <w:lang w:eastAsia="zh-CN"/>
                            </w:rPr>
                            <w:t>热点速评</w:t>
                          </w:r>
                          <w:r>
                            <w:rPr>
                              <w:rFonts w:eastAsia="楷体_GB2312"/>
                              <w:color w:val="23558C"/>
                              <w:sz w:val="20"/>
                              <w:szCs w:val="20"/>
                              <w:lang w:eastAsia="zh-CN"/>
                            </w:rPr>
                            <w:t>Flash Analysis</w:t>
                          </w:r>
                        </w:p>
                      </w:tc>
                    </w:tr>
                  </w:tbl>
                  <w:p w14:paraId="2C47C9C9">
                    <w:pPr>
                      <w:spacing w:line="40" w:lineRule="exact"/>
                      <w:rPr>
                        <w:rFonts w:eastAsia="楷体_GB2312"/>
                        <w:color w:val="23558C"/>
                        <w:sz w:val="10"/>
                        <w:szCs w:val="10"/>
                        <w:lang w:eastAsia="zh-CN"/>
                      </w:rPr>
                    </w:pPr>
                  </w:p>
                </w:txbxContent>
              </v:textbox>
            </v:shape>
          </w:pict>
        </mc:Fallback>
      </mc:AlternateContent>
    </w:r>
    <w:r>
      <w:rPr>
        <w:lang w:val="en-US" w:eastAsia="zh-CN"/>
      </w:rPr>
      <w:drawing>
        <wp:anchor distT="0" distB="0" distL="114300" distR="114300" simplePos="0" relativeHeight="251660288" behindDoc="1" locked="0" layoutInCell="1" allowOverlap="1">
          <wp:simplePos x="0" y="0"/>
          <wp:positionH relativeFrom="column">
            <wp:posOffset>-60960</wp:posOffset>
          </wp:positionH>
          <wp:positionV relativeFrom="paragraph">
            <wp:posOffset>2253615</wp:posOffset>
          </wp:positionV>
          <wp:extent cx="360045" cy="179705"/>
          <wp:effectExtent l="0" t="0" r="2540" b="0"/>
          <wp:wrapNone/>
          <wp:docPr id="3" name="图片 3"/>
          <wp:cNvGraphicFramePr/>
          <a:graphic xmlns:a="http://schemas.openxmlformats.org/drawingml/2006/main">
            <a:graphicData uri="http://schemas.openxmlformats.org/drawingml/2006/picture">
              <pic:pic xmlns:pic="http://schemas.openxmlformats.org/drawingml/2006/picture">
                <pic:nvPicPr>
                  <pic:cNvPr id="3" name="图片 3"/>
                  <pic:cNvPicPr/>
                </pic:nvPicPr>
                <pic:blipFill>
                  <a:blip r:embed="rId2" cstate="print">
                    <a:extLst>
                      <a:ext uri="{28A0092B-C50C-407E-A947-70E740481C1C}">
                        <a14:useLocalDpi xmlns:a14="http://schemas.microsoft.com/office/drawing/2010/main" val="0"/>
                      </a:ext>
                    </a:extLst>
                  </a:blip>
                  <a:stretch>
                    <a:fillRect/>
                  </a:stretch>
                </pic:blipFill>
                <pic:spPr>
                  <a:xfrm>
                    <a:off x="0" y="0"/>
                    <a:ext cx="360000" cy="180000"/>
                  </a:xfrm>
                  <a:prstGeom prst="rect">
                    <a:avLst/>
                  </a:prstGeom>
                </pic:spPr>
              </pic:pic>
            </a:graphicData>
          </a:graphic>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7"/>
      <w:tblW w:w="10632" w:type="dxa"/>
      <w:tblCaption w:val="[Table_header1]"/>
      <w:tblInd w:w="108"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108" w:type="dxa"/>
        <w:bottom w:w="0" w:type="dxa"/>
        <w:right w:w="108" w:type="dxa"/>
      </w:tblCellMar>
    </w:tblPr>
    <w:tblGrid>
      <w:gridCol w:w="10632"/>
    </w:tblGrid>
    <w:tr w14:paraId="472FBA49">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rPr>
        <w:trHeight w:val="23" w:hRule="exact"/>
      </w:trPr>
      <w:tc>
        <w:tcPr>
          <w:tcW w:w="10632" w:type="dxa"/>
        </w:tcPr>
        <w:p w14:paraId="53DFAE54">
          <w:pPr>
            <w:pStyle w:val="42"/>
            <w:rPr>
              <w:color w:val="FF0000"/>
              <w:lang w:val="en-GB"/>
            </w:rPr>
          </w:pPr>
          <w:r>
            <w:rPr>
              <w:color w:val="FFFFFF" w:themeColor="background1"/>
              <w:lang w:val="en-GB"/>
              <w14:textFill>
                <w14:solidFill>
                  <w14:schemeClr w14:val="bg1"/>
                </w14:solidFill>
              </w14:textFill>
            </w:rPr>
            <w:t>[Table_header1]</w:t>
          </w:r>
        </w:p>
      </w:tc>
    </w:tr>
    <w:tr w14:paraId="621E603D">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108" w:type="dxa"/>
          <w:bottom w:w="0" w:type="dxa"/>
          <w:right w:w="108" w:type="dxa"/>
        </w:tblCellMar>
      </w:tblPrEx>
      <w:tc>
        <w:tcPr>
          <w:tcW w:w="10632" w:type="dxa"/>
        </w:tcPr>
        <w:p w14:paraId="0D0A6055">
          <w:pPr>
            <w:pStyle w:val="42"/>
            <w:wordWrap w:val="0"/>
            <w:jc w:val="right"/>
            <w:rPr>
              <w:rFonts w:eastAsia="楷体_GB2312" w:cs="Calibri"/>
              <w:sz w:val="24"/>
              <w:lang w:val="en-GB"/>
            </w:rPr>
          </w:pPr>
          <w:r>
            <w:rPr>
              <w:rFonts w:hint="default" w:ascii="Calibri" w:eastAsia="楷体_GB2312"/>
              <w:b w:val="0"/>
              <w:i w:val="0"/>
              <w:color w:val="215E99"/>
              <w:sz w:val="24"/>
              <w:lang w:eastAsia="zh-CN"/>
            </w:rPr>
            <w:t>全球先进制造与能源Global Advanced Manufacturing and Energy</w:t>
          </w:r>
        </w:p>
      </w:tc>
    </w:tr>
  </w:tbl>
  <w:p w14:paraId="425EE950">
    <w:pPr>
      <w:pStyle w:val="42"/>
      <w:rPr>
        <w:lang w:val="en-GB"/>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B40D92">
    <w:pPr>
      <w:pStyle w:val="42"/>
      <w:spacing w:line="360" w:lineRule="auto"/>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400600">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2D5C08A"/>
    <w:multiLevelType w:val="singleLevel"/>
    <w:tmpl w:val="E2D5C08A"/>
    <w:lvl w:ilvl="0" w:tentative="0">
      <w:start w:val="3"/>
      <w:numFmt w:val="decimal"/>
      <w:suff w:val="nothing"/>
      <w:lvlText w:val="%1）"/>
      <w:lvlJc w:val="left"/>
      <w:rPr>
        <w:rFonts w:hint="default"/>
        <w:b/>
        <w:bCs/>
      </w:rPr>
    </w:lvl>
  </w:abstractNum>
  <w:abstractNum w:abstractNumId="1">
    <w:nsid w:val="F578B2E3"/>
    <w:multiLevelType w:val="singleLevel"/>
    <w:tmpl w:val="F578B2E3"/>
    <w:lvl w:ilvl="0" w:tentative="0">
      <w:start w:val="1"/>
      <w:numFmt w:val="decimal"/>
      <w:suff w:val="space"/>
      <w:lvlText w:val="%1."/>
      <w:lvlJc w:val="left"/>
    </w:lvl>
  </w:abstractNum>
  <w:abstractNum w:abstractNumId="2">
    <w:nsid w:val="02634AC8"/>
    <w:multiLevelType w:val="multilevel"/>
    <w:tmpl w:val="02634AC8"/>
    <w:lvl w:ilvl="0" w:tentative="0">
      <w:start w:val="1"/>
      <w:numFmt w:val="bullet"/>
      <w:pStyle w:val="138"/>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3">
    <w:nsid w:val="03935DA5"/>
    <w:multiLevelType w:val="multilevel"/>
    <w:tmpl w:val="03935DA5"/>
    <w:lvl w:ilvl="0" w:tentative="0">
      <w:start w:val="1"/>
      <w:numFmt w:val="bullet"/>
      <w:pStyle w:val="46"/>
      <w:lvlText w:val=""/>
      <w:lvlJc w:val="left"/>
      <w:pPr>
        <w:ind w:left="720" w:hanging="360"/>
      </w:pPr>
      <w:rPr>
        <w:rFonts w:hint="default" w:ascii="Wingdings" w:hAnsi="Wingdings"/>
        <w:b w:val="0"/>
        <w:i w:val="0"/>
        <w:color w:val="3333AD"/>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04C657F7"/>
    <w:multiLevelType w:val="multilevel"/>
    <w:tmpl w:val="04C657F7"/>
    <w:lvl w:ilvl="0" w:tentative="0">
      <w:start w:val="1"/>
      <w:numFmt w:val="decimal"/>
      <w:lvlText w:val="%1."/>
      <w:lvlJc w:val="left"/>
      <w:pPr>
        <w:tabs>
          <w:tab w:val="left" w:pos="425"/>
        </w:tabs>
        <w:ind w:left="425" w:hanging="425"/>
      </w:pPr>
      <w:rPr>
        <w:rFonts w:hint="eastAsia"/>
      </w:rPr>
    </w:lvl>
    <w:lvl w:ilvl="1" w:tentative="0">
      <w:start w:val="1"/>
      <w:numFmt w:val="decimal"/>
      <w:lvlText w:val="%1.%2."/>
      <w:lvlJc w:val="left"/>
      <w:pPr>
        <w:tabs>
          <w:tab w:val="left" w:pos="567"/>
        </w:tabs>
        <w:ind w:left="567" w:hanging="567"/>
      </w:pPr>
      <w:rPr>
        <w:rFonts w:hint="default" w:ascii="Times New Roman" w:hAnsi="Times New Roman"/>
      </w:rPr>
    </w:lvl>
    <w:lvl w:ilvl="2" w:tentative="0">
      <w:start w:val="1"/>
      <w:numFmt w:val="decimal"/>
      <w:lvlText w:val="%1.%2.%3."/>
      <w:lvlJc w:val="left"/>
      <w:pPr>
        <w:tabs>
          <w:tab w:val="left" w:pos="709"/>
        </w:tabs>
        <w:ind w:left="709" w:hanging="709"/>
      </w:pPr>
      <w:rPr>
        <w:rFonts w:hint="eastAsia"/>
      </w:rPr>
    </w:lvl>
    <w:lvl w:ilvl="3" w:tentative="0">
      <w:start w:val="1"/>
      <w:numFmt w:val="decimal"/>
      <w:pStyle w:val="5"/>
      <w:lvlText w:val="%1.%2.%3.%4."/>
      <w:lvlJc w:val="left"/>
      <w:pPr>
        <w:tabs>
          <w:tab w:val="left" w:pos="3911"/>
        </w:tabs>
        <w:ind w:left="3911" w:hanging="851"/>
      </w:pPr>
      <w:rPr>
        <w:rFonts w:hint="eastAsia"/>
      </w:rPr>
    </w:lvl>
    <w:lvl w:ilvl="4" w:tentative="0">
      <w:start w:val="1"/>
      <w:numFmt w:val="decimal"/>
      <w:lvlText w:val="%1.%2.%3.%4.%5."/>
      <w:lvlJc w:val="left"/>
      <w:pPr>
        <w:tabs>
          <w:tab w:val="left" w:pos="992"/>
        </w:tabs>
        <w:ind w:left="992" w:hanging="992"/>
      </w:pPr>
      <w:rPr>
        <w:rFonts w:hint="eastAsia"/>
      </w:rPr>
    </w:lvl>
    <w:lvl w:ilvl="5" w:tentative="0">
      <w:start w:val="1"/>
      <w:numFmt w:val="decimal"/>
      <w:lvlText w:val="%1.%2.%3.%4.%5.%6."/>
      <w:lvlJc w:val="left"/>
      <w:pPr>
        <w:tabs>
          <w:tab w:val="left" w:pos="1134"/>
        </w:tabs>
        <w:ind w:left="1134" w:hanging="1134"/>
      </w:pPr>
      <w:rPr>
        <w:rFonts w:hint="eastAsia"/>
      </w:rPr>
    </w:lvl>
    <w:lvl w:ilvl="6" w:tentative="0">
      <w:start w:val="1"/>
      <w:numFmt w:val="decimal"/>
      <w:lvlText w:val="%1.%2.%3.%4.%5.%6.%7."/>
      <w:lvlJc w:val="left"/>
      <w:pPr>
        <w:tabs>
          <w:tab w:val="left" w:pos="1276"/>
        </w:tabs>
        <w:ind w:left="1276" w:hanging="1276"/>
      </w:pPr>
      <w:rPr>
        <w:rFonts w:hint="eastAsia"/>
      </w:rPr>
    </w:lvl>
    <w:lvl w:ilvl="7" w:tentative="0">
      <w:start w:val="1"/>
      <w:numFmt w:val="decimal"/>
      <w:lvlText w:val="%1.%2.%3.%4.%5.%6.%7.%8."/>
      <w:lvlJc w:val="left"/>
      <w:pPr>
        <w:tabs>
          <w:tab w:val="left" w:pos="1418"/>
        </w:tabs>
        <w:ind w:left="1418" w:hanging="1418"/>
      </w:pPr>
      <w:rPr>
        <w:rFonts w:hint="eastAsia"/>
      </w:rPr>
    </w:lvl>
    <w:lvl w:ilvl="8" w:tentative="0">
      <w:start w:val="1"/>
      <w:numFmt w:val="decimal"/>
      <w:lvlText w:val="%1.%2.%3.%4.%5.%6.%7.%8.%9."/>
      <w:lvlJc w:val="left"/>
      <w:pPr>
        <w:tabs>
          <w:tab w:val="left" w:pos="1559"/>
        </w:tabs>
        <w:ind w:left="1559" w:hanging="1559"/>
      </w:pPr>
      <w:rPr>
        <w:rFonts w:hint="eastAsia"/>
      </w:rPr>
    </w:lvl>
  </w:abstractNum>
  <w:abstractNum w:abstractNumId="5">
    <w:nsid w:val="11F1731E"/>
    <w:multiLevelType w:val="multilevel"/>
    <w:tmpl w:val="11F1731E"/>
    <w:lvl w:ilvl="0" w:tentative="0">
      <w:start w:val="1"/>
      <w:numFmt w:val="decimal"/>
      <w:lvlText w:val="（%1）"/>
      <w:lvlJc w:val="left"/>
      <w:pPr>
        <w:ind w:left="3920" w:hanging="720"/>
      </w:pPr>
      <w:rPr>
        <w:rFonts w:hint="default"/>
      </w:rPr>
    </w:lvl>
    <w:lvl w:ilvl="1" w:tentative="0">
      <w:start w:val="1"/>
      <w:numFmt w:val="lowerLetter"/>
      <w:lvlText w:val="%2)"/>
      <w:lvlJc w:val="left"/>
      <w:pPr>
        <w:ind w:left="4080" w:hanging="440"/>
      </w:pPr>
    </w:lvl>
    <w:lvl w:ilvl="2" w:tentative="0">
      <w:start w:val="1"/>
      <w:numFmt w:val="lowerRoman"/>
      <w:lvlText w:val="%3."/>
      <w:lvlJc w:val="right"/>
      <w:pPr>
        <w:ind w:left="4520" w:hanging="440"/>
      </w:pPr>
    </w:lvl>
    <w:lvl w:ilvl="3" w:tentative="0">
      <w:start w:val="1"/>
      <w:numFmt w:val="decimal"/>
      <w:lvlText w:val="%4."/>
      <w:lvlJc w:val="left"/>
      <w:pPr>
        <w:ind w:left="4960" w:hanging="440"/>
      </w:pPr>
    </w:lvl>
    <w:lvl w:ilvl="4" w:tentative="0">
      <w:start w:val="1"/>
      <w:numFmt w:val="lowerLetter"/>
      <w:lvlText w:val="%5)"/>
      <w:lvlJc w:val="left"/>
      <w:pPr>
        <w:ind w:left="5400" w:hanging="440"/>
      </w:pPr>
    </w:lvl>
    <w:lvl w:ilvl="5" w:tentative="0">
      <w:start w:val="1"/>
      <w:numFmt w:val="lowerRoman"/>
      <w:lvlText w:val="%6."/>
      <w:lvlJc w:val="right"/>
      <w:pPr>
        <w:ind w:left="5840" w:hanging="440"/>
      </w:pPr>
    </w:lvl>
    <w:lvl w:ilvl="6" w:tentative="0">
      <w:start w:val="1"/>
      <w:numFmt w:val="decimal"/>
      <w:lvlText w:val="%7."/>
      <w:lvlJc w:val="left"/>
      <w:pPr>
        <w:ind w:left="6280" w:hanging="440"/>
      </w:pPr>
    </w:lvl>
    <w:lvl w:ilvl="7" w:tentative="0">
      <w:start w:val="1"/>
      <w:numFmt w:val="lowerLetter"/>
      <w:lvlText w:val="%8)"/>
      <w:lvlJc w:val="left"/>
      <w:pPr>
        <w:ind w:left="6720" w:hanging="440"/>
      </w:pPr>
    </w:lvl>
    <w:lvl w:ilvl="8" w:tentative="0">
      <w:start w:val="1"/>
      <w:numFmt w:val="lowerRoman"/>
      <w:lvlText w:val="%9."/>
      <w:lvlJc w:val="right"/>
      <w:pPr>
        <w:ind w:left="7160" w:hanging="440"/>
      </w:pPr>
    </w:lvl>
  </w:abstractNum>
  <w:abstractNum w:abstractNumId="6">
    <w:nsid w:val="238731C4"/>
    <w:multiLevelType w:val="multilevel"/>
    <w:tmpl w:val="238731C4"/>
    <w:lvl w:ilvl="0" w:tentative="0">
      <w:start w:val="1"/>
      <w:numFmt w:val="upperRoman"/>
      <w:pStyle w:val="87"/>
      <w:lvlText w:val="PART %1:"/>
      <w:lvlJc w:val="left"/>
      <w:pPr>
        <w:ind w:left="720" w:hanging="360"/>
      </w:pPr>
      <w:rPr>
        <w:rFonts w:hint="eastAsia"/>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331A2D25"/>
    <w:multiLevelType w:val="multilevel"/>
    <w:tmpl w:val="331A2D25"/>
    <w:lvl w:ilvl="0" w:tentative="0">
      <w:start w:val="1"/>
      <w:numFmt w:val="bullet"/>
      <w:pStyle w:val="68"/>
      <w:lvlText w:val=""/>
      <w:lvlJc w:val="left"/>
      <w:pPr>
        <w:ind w:left="720" w:hanging="360"/>
      </w:pPr>
      <w:rPr>
        <w:rFonts w:hint="default" w:ascii="Wingdings" w:hAnsi="Wingdings"/>
        <w:b w:val="0"/>
        <w:i w:val="0"/>
        <w:color w:val="A5879B"/>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38A55B35"/>
    <w:multiLevelType w:val="multilevel"/>
    <w:tmpl w:val="38A55B35"/>
    <w:lvl w:ilvl="0" w:tentative="0">
      <w:start w:val="1"/>
      <w:numFmt w:val="bullet"/>
      <w:pStyle w:val="92"/>
      <w:lvlText w:val=""/>
      <w:lvlJc w:val="left"/>
      <w:pPr>
        <w:ind w:left="480" w:hanging="480"/>
      </w:pPr>
      <w:rPr>
        <w:rFonts w:hint="default" w:ascii="Symbol" w:hAnsi="Symbol"/>
        <w:b/>
        <w:color w:val="23558C"/>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9">
    <w:nsid w:val="41772804"/>
    <w:multiLevelType w:val="multilevel"/>
    <w:tmpl w:val="41772804"/>
    <w:lvl w:ilvl="0" w:tentative="0">
      <w:start w:val="1"/>
      <w:numFmt w:val="bullet"/>
      <w:pStyle w:val="67"/>
      <w:lvlText w:val=""/>
      <w:lvlJc w:val="left"/>
      <w:pPr>
        <w:ind w:left="720" w:hanging="360"/>
      </w:pPr>
      <w:rPr>
        <w:rFonts w:hint="default" w:ascii="Wingdings" w:hAnsi="Wingdings"/>
        <w:b w:val="0"/>
        <w:i w:val="0"/>
        <w:color w:val="99CCFF"/>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41EA01BD"/>
    <w:multiLevelType w:val="multilevel"/>
    <w:tmpl w:val="41EA01BD"/>
    <w:lvl w:ilvl="0" w:tentative="0">
      <w:start w:val="1"/>
      <w:numFmt w:val="bullet"/>
      <w:pStyle w:val="84"/>
      <w:lvlText w:val=""/>
      <w:lvlJc w:val="left"/>
      <w:pPr>
        <w:ind w:left="720" w:hanging="360"/>
      </w:pPr>
      <w:rPr>
        <w:rFonts w:hint="default" w:ascii="Wingdings 3" w:hAnsi="Wingdings 3"/>
        <w:sz w:val="20"/>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479321DC"/>
    <w:multiLevelType w:val="multilevel"/>
    <w:tmpl w:val="479321DC"/>
    <w:lvl w:ilvl="0" w:tentative="0">
      <w:start w:val="1"/>
      <w:numFmt w:val="bullet"/>
      <w:pStyle w:val="39"/>
      <w:lvlText w:val=""/>
      <w:lvlJc w:val="left"/>
      <w:pPr>
        <w:ind w:left="720" w:hanging="360"/>
      </w:pPr>
      <w:rPr>
        <w:rFonts w:hint="default" w:ascii="Wingdings 3" w:hAnsi="Wingdings 3"/>
        <w:sz w:val="20"/>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2">
    <w:nsid w:val="48B20CCA"/>
    <w:multiLevelType w:val="multilevel"/>
    <w:tmpl w:val="48B20CCA"/>
    <w:lvl w:ilvl="0" w:tentative="0">
      <w:start w:val="1"/>
      <w:numFmt w:val="decimal"/>
      <w:lvlText w:val="%1）"/>
      <w:lvlJc w:val="left"/>
      <w:pPr>
        <w:ind w:left="3560" w:hanging="360"/>
      </w:pPr>
      <w:rPr>
        <w:rFonts w:hint="default"/>
      </w:rPr>
    </w:lvl>
    <w:lvl w:ilvl="1" w:tentative="0">
      <w:start w:val="1"/>
      <w:numFmt w:val="lowerLetter"/>
      <w:lvlText w:val="%2)"/>
      <w:lvlJc w:val="left"/>
      <w:pPr>
        <w:ind w:left="4080" w:hanging="440"/>
      </w:pPr>
    </w:lvl>
    <w:lvl w:ilvl="2" w:tentative="0">
      <w:start w:val="1"/>
      <w:numFmt w:val="lowerRoman"/>
      <w:lvlText w:val="%3."/>
      <w:lvlJc w:val="right"/>
      <w:pPr>
        <w:ind w:left="4520" w:hanging="440"/>
      </w:pPr>
    </w:lvl>
    <w:lvl w:ilvl="3" w:tentative="0">
      <w:start w:val="1"/>
      <w:numFmt w:val="decimal"/>
      <w:lvlText w:val="%4."/>
      <w:lvlJc w:val="left"/>
      <w:pPr>
        <w:ind w:left="4960" w:hanging="440"/>
      </w:pPr>
    </w:lvl>
    <w:lvl w:ilvl="4" w:tentative="0">
      <w:start w:val="1"/>
      <w:numFmt w:val="lowerLetter"/>
      <w:lvlText w:val="%5)"/>
      <w:lvlJc w:val="left"/>
      <w:pPr>
        <w:ind w:left="5400" w:hanging="440"/>
      </w:pPr>
    </w:lvl>
    <w:lvl w:ilvl="5" w:tentative="0">
      <w:start w:val="1"/>
      <w:numFmt w:val="lowerRoman"/>
      <w:lvlText w:val="%6."/>
      <w:lvlJc w:val="right"/>
      <w:pPr>
        <w:ind w:left="5840" w:hanging="440"/>
      </w:pPr>
    </w:lvl>
    <w:lvl w:ilvl="6" w:tentative="0">
      <w:start w:val="1"/>
      <w:numFmt w:val="decimal"/>
      <w:lvlText w:val="%7."/>
      <w:lvlJc w:val="left"/>
      <w:pPr>
        <w:ind w:left="6280" w:hanging="440"/>
      </w:pPr>
    </w:lvl>
    <w:lvl w:ilvl="7" w:tentative="0">
      <w:start w:val="1"/>
      <w:numFmt w:val="lowerLetter"/>
      <w:lvlText w:val="%8)"/>
      <w:lvlJc w:val="left"/>
      <w:pPr>
        <w:ind w:left="6720" w:hanging="440"/>
      </w:pPr>
    </w:lvl>
    <w:lvl w:ilvl="8" w:tentative="0">
      <w:start w:val="1"/>
      <w:numFmt w:val="lowerRoman"/>
      <w:lvlText w:val="%9."/>
      <w:lvlJc w:val="right"/>
      <w:pPr>
        <w:ind w:left="7160" w:hanging="440"/>
      </w:pPr>
    </w:lvl>
  </w:abstractNum>
  <w:abstractNum w:abstractNumId="13">
    <w:nsid w:val="662B5102"/>
    <w:multiLevelType w:val="multilevel"/>
    <w:tmpl w:val="662B5102"/>
    <w:lvl w:ilvl="0" w:tentative="0">
      <w:start w:val="1"/>
      <w:numFmt w:val="bullet"/>
      <w:pStyle w:val="93"/>
      <w:lvlText w:val=""/>
      <w:lvlJc w:val="left"/>
      <w:pPr>
        <w:ind w:left="280" w:hanging="280"/>
      </w:pPr>
      <w:rPr>
        <w:rFonts w:hint="default" w:ascii="Symbol" w:hAnsi="Symbol"/>
        <w:b/>
        <w:color w:val="23558C"/>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14">
    <w:nsid w:val="6B531506"/>
    <w:multiLevelType w:val="multilevel"/>
    <w:tmpl w:val="6B531506"/>
    <w:lvl w:ilvl="0" w:tentative="0">
      <w:start w:val="1"/>
      <w:numFmt w:val="upperRoman"/>
      <w:pStyle w:val="99"/>
      <w:lvlText w:val="PART %1."/>
      <w:lvlJc w:val="left"/>
      <w:pPr>
        <w:ind w:left="480" w:hanging="480"/>
      </w:pPr>
      <w:rPr>
        <w:rFonts w:hint="eastAsia"/>
      </w:rPr>
    </w:lvl>
    <w:lvl w:ilvl="1" w:tentative="0">
      <w:start w:val="1"/>
      <w:numFmt w:val="ideographTraditional"/>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ideographTraditional"/>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ideographTraditional"/>
      <w:lvlText w:val="%8、"/>
      <w:lvlJc w:val="left"/>
      <w:pPr>
        <w:ind w:left="3840" w:hanging="480"/>
      </w:pPr>
    </w:lvl>
    <w:lvl w:ilvl="8" w:tentative="0">
      <w:start w:val="1"/>
      <w:numFmt w:val="lowerRoman"/>
      <w:lvlText w:val="%9."/>
      <w:lvlJc w:val="right"/>
      <w:pPr>
        <w:ind w:left="4320" w:hanging="480"/>
      </w:pPr>
    </w:lvl>
  </w:abstractNum>
  <w:abstractNum w:abstractNumId="15">
    <w:nsid w:val="6C4E34EC"/>
    <w:multiLevelType w:val="multilevel"/>
    <w:tmpl w:val="6C4E34EC"/>
    <w:lvl w:ilvl="0" w:tentative="0">
      <w:start w:val="1"/>
      <w:numFmt w:val="bullet"/>
      <w:pStyle w:val="66"/>
      <w:lvlText w:val=""/>
      <w:lvlJc w:val="left"/>
      <w:pPr>
        <w:ind w:left="720" w:hanging="360"/>
      </w:pPr>
      <w:rPr>
        <w:rFonts w:hint="default" w:ascii="Wingdings" w:hAnsi="Wingdings"/>
        <w:b w:val="0"/>
        <w:i w:val="0"/>
        <w:color w:val="86C091"/>
        <w:sz w:val="44"/>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4"/>
  </w:num>
  <w:num w:numId="2">
    <w:abstractNumId w:val="11"/>
  </w:num>
  <w:num w:numId="3">
    <w:abstractNumId w:val="3"/>
  </w:num>
  <w:num w:numId="4">
    <w:abstractNumId w:val="15"/>
  </w:num>
  <w:num w:numId="5">
    <w:abstractNumId w:val="9"/>
  </w:num>
  <w:num w:numId="6">
    <w:abstractNumId w:val="7"/>
  </w:num>
  <w:num w:numId="7">
    <w:abstractNumId w:val="10"/>
  </w:num>
  <w:num w:numId="8">
    <w:abstractNumId w:val="6"/>
  </w:num>
  <w:num w:numId="9">
    <w:abstractNumId w:val="8"/>
  </w:num>
  <w:num w:numId="10">
    <w:abstractNumId w:val="13"/>
  </w:num>
  <w:num w:numId="11">
    <w:abstractNumId w:val="14"/>
  </w:num>
  <w:num w:numId="12">
    <w:abstractNumId w:val="2"/>
  </w:num>
  <w:num w:numId="13">
    <w:abstractNumId w:val="0"/>
  </w:num>
  <w:num w:numId="14">
    <w:abstractNumId w:val="5"/>
  </w:num>
  <w:num w:numId="15">
    <w:abstractNumId w:val="12"/>
  </w:num>
  <w:num w:numId="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B01" w:allStyles="1" w:customStyles="0" w:latentStyles="0" w:stylesInUse="0" w:headingStyles="0" w:numberingStyles="0" w:tableStyles="0" w:directFormattingOnRuns="1" w:directFormattingOnParagraphs="1" w:directFormattingOnNumbering="0" w:directFormattingOnTables="1" w:clearFormatting="1" w:top3HeadingStyles="1" w:visibleStyles="0" w:alternateStyleNames="0"/>
  <w:documentProtection w:enforcement="0"/>
  <w:defaultTabStop w:val="400"/>
  <w:drawingGridHorizontalSpacing w:val="80"/>
  <w:drawingGridVerticalSpacing w:val="200"/>
  <w:noPunctuationKerning w:val="1"/>
  <w:characterSpacingControl w:val="doNotCompress"/>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APWAFVersion" w:val="5.0"/>
    <w:docVar w:name="EFAAccountID" w:val="1010"/>
    <w:docVar w:name="EFAAnnMonth" w:val="12"/>
    <w:docVar w:name="EFAAnnualise" w:val="False"/>
    <w:docVar w:name="EFAAuthorEmails" w:val="andy.cy.so@htisec.com"/>
    <w:docVar w:name="EFAAuthorIDs" w:val="2081"/>
    <w:docVar w:name="EFAAuthorNames" w:val="Andy So, CFA"/>
    <w:docVar w:name="EFAComputerName" w:val="DESKTOP-RSKMA3J"/>
    <w:docVar w:name="EFACorpID" w:val="-1"/>
    <w:docVar w:name="EFADefaultPriceDate" w:val="True"/>
    <w:docVar w:name="EFADevData" w:val="False"/>
    <w:docVar w:name="EFADisclaimerHiddenTextStyle" w:val="EFADisclaimerHiddenText"/>
    <w:docVar w:name="EFADisclaimerTextStyle" w:val="EFADisclaimerText"/>
    <w:docVar w:name="EFADocID" w:val="38659"/>
    <w:docVar w:name="EFADocTemplateVer" w:val="HaiTong"/>
    <w:docVar w:name="EFAExcelVersion" w:val="14"/>
    <w:docVar w:name="EFAFirstIntOffset" w:val="1"/>
    <w:docVar w:name="EFAGUID" w:val="A0D1E583-EDD7-40CD-ACA9-CF552EE34C59"/>
    <w:docVar w:name="EFAIntEndYear" w:val="0"/>
    <w:docVar w:name="EFAIntPeriodNumber" w:val="0"/>
    <w:docVar w:name="EFAIntStartYear" w:val="0"/>
    <w:docVar w:name="EFALanguageID" w:val="2057"/>
    <w:docVar w:name="EFALastRefreshDate" w:val="20190728 11:52:34"/>
    <w:docVar w:name="EFALogonSvr" w:val="\\DESKTOP-RSKMA3J"/>
    <w:docVar w:name="EFAMarket" w:val="HK"/>
    <w:docVar w:name="EFAOperatingSys" w:val="Windows_NT"/>
    <w:docVar w:name="EFAPageCount" w:val="14"/>
    <w:docVar w:name="EFAPriceDate" w:val="20190727 00:00:00"/>
    <w:docVar w:name="EFASecurityIndex" w:val="0"/>
    <w:docVar w:name="EFAStartYear" w:val="0"/>
    <w:docVar w:name="EFATemplate" w:val="Macro note - HTI.dotx"/>
    <w:docVar w:name="EFATemplateID" w:val="203"/>
    <w:docVar w:name="EFAUnits" w:val="Use Default"/>
    <w:docVar w:name="EFAUseIntTables" w:val="False"/>
    <w:docVar w:name="EFAUserID" w:val="2100"/>
    <w:docVar w:name="EFAUserName" w:val="Nicolas Wang"/>
    <w:docVar w:name="EFAUsrDomain" w:val="DESKTOP-RSKMA3J"/>
    <w:docVar w:name="EFAWinUserName" w:val="zhoulinhong"/>
    <w:docVar w:name="EFAWordVersion" w:val="14"/>
  </w:docVars>
  <w:rsids>
    <w:rsidRoot w:val="00B006B9"/>
    <w:rsid w:val="0000020F"/>
    <w:rsid w:val="00000236"/>
    <w:rsid w:val="0000097F"/>
    <w:rsid w:val="00001979"/>
    <w:rsid w:val="000019ED"/>
    <w:rsid w:val="00001A27"/>
    <w:rsid w:val="00001C0E"/>
    <w:rsid w:val="0000224B"/>
    <w:rsid w:val="00002DDC"/>
    <w:rsid w:val="00003E75"/>
    <w:rsid w:val="00004BAA"/>
    <w:rsid w:val="00004FB5"/>
    <w:rsid w:val="0000558A"/>
    <w:rsid w:val="000063F1"/>
    <w:rsid w:val="00006910"/>
    <w:rsid w:val="0000732D"/>
    <w:rsid w:val="00010774"/>
    <w:rsid w:val="0001184F"/>
    <w:rsid w:val="00013043"/>
    <w:rsid w:val="000130D9"/>
    <w:rsid w:val="00013244"/>
    <w:rsid w:val="00014086"/>
    <w:rsid w:val="000146CB"/>
    <w:rsid w:val="00014976"/>
    <w:rsid w:val="000171D2"/>
    <w:rsid w:val="000201AE"/>
    <w:rsid w:val="00020B7A"/>
    <w:rsid w:val="00021DAC"/>
    <w:rsid w:val="00021DD0"/>
    <w:rsid w:val="00022C11"/>
    <w:rsid w:val="00022DB6"/>
    <w:rsid w:val="00023367"/>
    <w:rsid w:val="00024F59"/>
    <w:rsid w:val="0002500A"/>
    <w:rsid w:val="00025E71"/>
    <w:rsid w:val="00025F59"/>
    <w:rsid w:val="00026DCC"/>
    <w:rsid w:val="00027183"/>
    <w:rsid w:val="000275CC"/>
    <w:rsid w:val="00027FEF"/>
    <w:rsid w:val="0003028B"/>
    <w:rsid w:val="00032B31"/>
    <w:rsid w:val="000334F3"/>
    <w:rsid w:val="000336AF"/>
    <w:rsid w:val="00033DF7"/>
    <w:rsid w:val="000347D5"/>
    <w:rsid w:val="00034B8E"/>
    <w:rsid w:val="00035535"/>
    <w:rsid w:val="00035E45"/>
    <w:rsid w:val="0003686B"/>
    <w:rsid w:val="00036BDA"/>
    <w:rsid w:val="00040734"/>
    <w:rsid w:val="00041387"/>
    <w:rsid w:val="00041A6F"/>
    <w:rsid w:val="0004283E"/>
    <w:rsid w:val="00043062"/>
    <w:rsid w:val="00043657"/>
    <w:rsid w:val="00043D26"/>
    <w:rsid w:val="0004549E"/>
    <w:rsid w:val="00047D52"/>
    <w:rsid w:val="000516AD"/>
    <w:rsid w:val="00051EC9"/>
    <w:rsid w:val="00052838"/>
    <w:rsid w:val="00052DCF"/>
    <w:rsid w:val="00053373"/>
    <w:rsid w:val="00053BBB"/>
    <w:rsid w:val="00054224"/>
    <w:rsid w:val="00054451"/>
    <w:rsid w:val="00055381"/>
    <w:rsid w:val="000575A3"/>
    <w:rsid w:val="00057779"/>
    <w:rsid w:val="000640E9"/>
    <w:rsid w:val="00065200"/>
    <w:rsid w:val="000700E0"/>
    <w:rsid w:val="00070B53"/>
    <w:rsid w:val="00070F15"/>
    <w:rsid w:val="000729AF"/>
    <w:rsid w:val="0007309A"/>
    <w:rsid w:val="00073BEB"/>
    <w:rsid w:val="000749C7"/>
    <w:rsid w:val="00075B0A"/>
    <w:rsid w:val="00077BA0"/>
    <w:rsid w:val="00080296"/>
    <w:rsid w:val="000810B3"/>
    <w:rsid w:val="000842E6"/>
    <w:rsid w:val="00084B49"/>
    <w:rsid w:val="000860EA"/>
    <w:rsid w:val="00086E96"/>
    <w:rsid w:val="00090800"/>
    <w:rsid w:val="00091895"/>
    <w:rsid w:val="000920C4"/>
    <w:rsid w:val="000924C1"/>
    <w:rsid w:val="00094A4C"/>
    <w:rsid w:val="00094FAC"/>
    <w:rsid w:val="000950FF"/>
    <w:rsid w:val="00095F8B"/>
    <w:rsid w:val="00096909"/>
    <w:rsid w:val="00096986"/>
    <w:rsid w:val="00096A8E"/>
    <w:rsid w:val="00096FC5"/>
    <w:rsid w:val="000974BE"/>
    <w:rsid w:val="00097FD4"/>
    <w:rsid w:val="000A0550"/>
    <w:rsid w:val="000A1F58"/>
    <w:rsid w:val="000A23D4"/>
    <w:rsid w:val="000A2C9D"/>
    <w:rsid w:val="000A30E9"/>
    <w:rsid w:val="000A461B"/>
    <w:rsid w:val="000A6794"/>
    <w:rsid w:val="000A726A"/>
    <w:rsid w:val="000B13C1"/>
    <w:rsid w:val="000B18D6"/>
    <w:rsid w:val="000B2336"/>
    <w:rsid w:val="000B465C"/>
    <w:rsid w:val="000B6CF1"/>
    <w:rsid w:val="000B792D"/>
    <w:rsid w:val="000B7DE2"/>
    <w:rsid w:val="000C02F6"/>
    <w:rsid w:val="000C1F65"/>
    <w:rsid w:val="000C2B68"/>
    <w:rsid w:val="000C2E9E"/>
    <w:rsid w:val="000C39D2"/>
    <w:rsid w:val="000C3D03"/>
    <w:rsid w:val="000C3D77"/>
    <w:rsid w:val="000C4852"/>
    <w:rsid w:val="000C627B"/>
    <w:rsid w:val="000C7332"/>
    <w:rsid w:val="000C77D8"/>
    <w:rsid w:val="000C7E1A"/>
    <w:rsid w:val="000D1903"/>
    <w:rsid w:val="000D19B0"/>
    <w:rsid w:val="000D1A3C"/>
    <w:rsid w:val="000D3F1A"/>
    <w:rsid w:val="000E0A01"/>
    <w:rsid w:val="000E1FB8"/>
    <w:rsid w:val="000E35E3"/>
    <w:rsid w:val="000E3E8B"/>
    <w:rsid w:val="000E5287"/>
    <w:rsid w:val="000E664D"/>
    <w:rsid w:val="000E6BA6"/>
    <w:rsid w:val="000F098D"/>
    <w:rsid w:val="000F2165"/>
    <w:rsid w:val="000F2174"/>
    <w:rsid w:val="000F2DBB"/>
    <w:rsid w:val="000F2EEE"/>
    <w:rsid w:val="000F3079"/>
    <w:rsid w:val="000F344B"/>
    <w:rsid w:val="000F3823"/>
    <w:rsid w:val="000F3A9C"/>
    <w:rsid w:val="000F4524"/>
    <w:rsid w:val="000F4B02"/>
    <w:rsid w:val="000F4E66"/>
    <w:rsid w:val="000F4EF6"/>
    <w:rsid w:val="000F58C6"/>
    <w:rsid w:val="000F58F4"/>
    <w:rsid w:val="000F5BDB"/>
    <w:rsid w:val="000F6139"/>
    <w:rsid w:val="000F626D"/>
    <w:rsid w:val="000F6823"/>
    <w:rsid w:val="00100684"/>
    <w:rsid w:val="001009C1"/>
    <w:rsid w:val="00100F5F"/>
    <w:rsid w:val="001029E6"/>
    <w:rsid w:val="00103105"/>
    <w:rsid w:val="00103CDB"/>
    <w:rsid w:val="001059C9"/>
    <w:rsid w:val="0010656E"/>
    <w:rsid w:val="00106DF2"/>
    <w:rsid w:val="00110533"/>
    <w:rsid w:val="00110B26"/>
    <w:rsid w:val="00110FF3"/>
    <w:rsid w:val="0011245A"/>
    <w:rsid w:val="00113DC0"/>
    <w:rsid w:val="00114755"/>
    <w:rsid w:val="001154B0"/>
    <w:rsid w:val="0011588A"/>
    <w:rsid w:val="001164AF"/>
    <w:rsid w:val="00116626"/>
    <w:rsid w:val="00117571"/>
    <w:rsid w:val="00117C9F"/>
    <w:rsid w:val="001207E4"/>
    <w:rsid w:val="00120A7B"/>
    <w:rsid w:val="0012100A"/>
    <w:rsid w:val="00123AC1"/>
    <w:rsid w:val="0012412A"/>
    <w:rsid w:val="00124271"/>
    <w:rsid w:val="0012686A"/>
    <w:rsid w:val="00126871"/>
    <w:rsid w:val="0012751B"/>
    <w:rsid w:val="00127CD0"/>
    <w:rsid w:val="00130BC2"/>
    <w:rsid w:val="001311FC"/>
    <w:rsid w:val="00132285"/>
    <w:rsid w:val="001326E1"/>
    <w:rsid w:val="0013302A"/>
    <w:rsid w:val="00133D86"/>
    <w:rsid w:val="001345B6"/>
    <w:rsid w:val="00135A41"/>
    <w:rsid w:val="00137678"/>
    <w:rsid w:val="001434AA"/>
    <w:rsid w:val="00145B09"/>
    <w:rsid w:val="00145E14"/>
    <w:rsid w:val="0014788D"/>
    <w:rsid w:val="00147C4A"/>
    <w:rsid w:val="00147D4C"/>
    <w:rsid w:val="00147D9D"/>
    <w:rsid w:val="00150630"/>
    <w:rsid w:val="00150CA3"/>
    <w:rsid w:val="00151197"/>
    <w:rsid w:val="001513EB"/>
    <w:rsid w:val="0015270C"/>
    <w:rsid w:val="00152755"/>
    <w:rsid w:val="001529C2"/>
    <w:rsid w:val="00152A74"/>
    <w:rsid w:val="00153A16"/>
    <w:rsid w:val="00153A6A"/>
    <w:rsid w:val="00153CD1"/>
    <w:rsid w:val="00153D09"/>
    <w:rsid w:val="00155466"/>
    <w:rsid w:val="001565F2"/>
    <w:rsid w:val="00156799"/>
    <w:rsid w:val="001576B2"/>
    <w:rsid w:val="00160306"/>
    <w:rsid w:val="0016407E"/>
    <w:rsid w:val="00164CA4"/>
    <w:rsid w:val="00165FE3"/>
    <w:rsid w:val="001669C8"/>
    <w:rsid w:val="00166E15"/>
    <w:rsid w:val="00167695"/>
    <w:rsid w:val="00170C3B"/>
    <w:rsid w:val="00170DCB"/>
    <w:rsid w:val="001721EC"/>
    <w:rsid w:val="001763B0"/>
    <w:rsid w:val="001771D0"/>
    <w:rsid w:val="001807CA"/>
    <w:rsid w:val="00181893"/>
    <w:rsid w:val="00182B36"/>
    <w:rsid w:val="001849FE"/>
    <w:rsid w:val="0018583D"/>
    <w:rsid w:val="00185B06"/>
    <w:rsid w:val="001872F4"/>
    <w:rsid w:val="001875FC"/>
    <w:rsid w:val="00191469"/>
    <w:rsid w:val="001922CB"/>
    <w:rsid w:val="0019345E"/>
    <w:rsid w:val="0019383A"/>
    <w:rsid w:val="00194662"/>
    <w:rsid w:val="00195C32"/>
    <w:rsid w:val="00197CAF"/>
    <w:rsid w:val="001A1911"/>
    <w:rsid w:val="001A2C85"/>
    <w:rsid w:val="001A3692"/>
    <w:rsid w:val="001A4F63"/>
    <w:rsid w:val="001A563D"/>
    <w:rsid w:val="001A571E"/>
    <w:rsid w:val="001A6C17"/>
    <w:rsid w:val="001A7AE5"/>
    <w:rsid w:val="001B0473"/>
    <w:rsid w:val="001B0E69"/>
    <w:rsid w:val="001B1F03"/>
    <w:rsid w:val="001B27A0"/>
    <w:rsid w:val="001B2F6F"/>
    <w:rsid w:val="001B3090"/>
    <w:rsid w:val="001B31CA"/>
    <w:rsid w:val="001B3D32"/>
    <w:rsid w:val="001B3E45"/>
    <w:rsid w:val="001B45FD"/>
    <w:rsid w:val="001B77D2"/>
    <w:rsid w:val="001C020B"/>
    <w:rsid w:val="001C105A"/>
    <w:rsid w:val="001C20AC"/>
    <w:rsid w:val="001C2549"/>
    <w:rsid w:val="001C2BEB"/>
    <w:rsid w:val="001C3243"/>
    <w:rsid w:val="001C3BF9"/>
    <w:rsid w:val="001C3C78"/>
    <w:rsid w:val="001C577A"/>
    <w:rsid w:val="001C5D7B"/>
    <w:rsid w:val="001C62E1"/>
    <w:rsid w:val="001C637C"/>
    <w:rsid w:val="001C7FED"/>
    <w:rsid w:val="001D00D0"/>
    <w:rsid w:val="001D2DEF"/>
    <w:rsid w:val="001D345B"/>
    <w:rsid w:val="001D4C97"/>
    <w:rsid w:val="001D58D6"/>
    <w:rsid w:val="001D663F"/>
    <w:rsid w:val="001D6B4F"/>
    <w:rsid w:val="001D6F5B"/>
    <w:rsid w:val="001D7F4E"/>
    <w:rsid w:val="001E04EA"/>
    <w:rsid w:val="001E0900"/>
    <w:rsid w:val="001E4AE1"/>
    <w:rsid w:val="001E4BA2"/>
    <w:rsid w:val="001E59E2"/>
    <w:rsid w:val="001E60AA"/>
    <w:rsid w:val="001E6C6E"/>
    <w:rsid w:val="001E7BEF"/>
    <w:rsid w:val="001E7FF3"/>
    <w:rsid w:val="001F0651"/>
    <w:rsid w:val="001F1906"/>
    <w:rsid w:val="001F1C59"/>
    <w:rsid w:val="001F3F20"/>
    <w:rsid w:val="001F4135"/>
    <w:rsid w:val="001F5572"/>
    <w:rsid w:val="001F5A51"/>
    <w:rsid w:val="001F75AC"/>
    <w:rsid w:val="00200B71"/>
    <w:rsid w:val="00201113"/>
    <w:rsid w:val="00201302"/>
    <w:rsid w:val="002017C5"/>
    <w:rsid w:val="0020268B"/>
    <w:rsid w:val="00203E93"/>
    <w:rsid w:val="00205F60"/>
    <w:rsid w:val="0020724C"/>
    <w:rsid w:val="00210A0C"/>
    <w:rsid w:val="0021325D"/>
    <w:rsid w:val="00214810"/>
    <w:rsid w:val="00214CA6"/>
    <w:rsid w:val="00215AB9"/>
    <w:rsid w:val="00215D4D"/>
    <w:rsid w:val="002179B7"/>
    <w:rsid w:val="0022007B"/>
    <w:rsid w:val="002207F6"/>
    <w:rsid w:val="00221CAF"/>
    <w:rsid w:val="00221D28"/>
    <w:rsid w:val="002229E1"/>
    <w:rsid w:val="0022396B"/>
    <w:rsid w:val="00225267"/>
    <w:rsid w:val="00225ADD"/>
    <w:rsid w:val="00226246"/>
    <w:rsid w:val="00227B8A"/>
    <w:rsid w:val="00227E8E"/>
    <w:rsid w:val="0023015F"/>
    <w:rsid w:val="002323DB"/>
    <w:rsid w:val="00232C95"/>
    <w:rsid w:val="002333C1"/>
    <w:rsid w:val="002334CD"/>
    <w:rsid w:val="00237306"/>
    <w:rsid w:val="00237325"/>
    <w:rsid w:val="00237463"/>
    <w:rsid w:val="002408B0"/>
    <w:rsid w:val="002409CB"/>
    <w:rsid w:val="00240D3A"/>
    <w:rsid w:val="00240FE3"/>
    <w:rsid w:val="0024314C"/>
    <w:rsid w:val="00243985"/>
    <w:rsid w:val="00243BC1"/>
    <w:rsid w:val="00244462"/>
    <w:rsid w:val="00247965"/>
    <w:rsid w:val="00247BCD"/>
    <w:rsid w:val="002501F5"/>
    <w:rsid w:val="00250E07"/>
    <w:rsid w:val="0025139A"/>
    <w:rsid w:val="00251CD4"/>
    <w:rsid w:val="00251EC5"/>
    <w:rsid w:val="00253320"/>
    <w:rsid w:val="00253D92"/>
    <w:rsid w:val="0025406B"/>
    <w:rsid w:val="00255E22"/>
    <w:rsid w:val="00256095"/>
    <w:rsid w:val="002562BC"/>
    <w:rsid w:val="002567B0"/>
    <w:rsid w:val="00257140"/>
    <w:rsid w:val="00257AC0"/>
    <w:rsid w:val="00257F10"/>
    <w:rsid w:val="00261434"/>
    <w:rsid w:val="002617C7"/>
    <w:rsid w:val="00262A58"/>
    <w:rsid w:val="00262C21"/>
    <w:rsid w:val="0026432E"/>
    <w:rsid w:val="00264B84"/>
    <w:rsid w:val="002666AC"/>
    <w:rsid w:val="00267EFE"/>
    <w:rsid w:val="00273FB3"/>
    <w:rsid w:val="00274E8C"/>
    <w:rsid w:val="00275A6D"/>
    <w:rsid w:val="00275B79"/>
    <w:rsid w:val="00275FBC"/>
    <w:rsid w:val="00276A7D"/>
    <w:rsid w:val="002772E9"/>
    <w:rsid w:val="002777FE"/>
    <w:rsid w:val="00280FB4"/>
    <w:rsid w:val="002817A0"/>
    <w:rsid w:val="00281946"/>
    <w:rsid w:val="0028248E"/>
    <w:rsid w:val="00282B2F"/>
    <w:rsid w:val="00282B6C"/>
    <w:rsid w:val="002833B6"/>
    <w:rsid w:val="002843D0"/>
    <w:rsid w:val="002846D0"/>
    <w:rsid w:val="00284BE9"/>
    <w:rsid w:val="00285753"/>
    <w:rsid w:val="00286353"/>
    <w:rsid w:val="00286E37"/>
    <w:rsid w:val="002870CD"/>
    <w:rsid w:val="00290715"/>
    <w:rsid w:val="00293E45"/>
    <w:rsid w:val="00296000"/>
    <w:rsid w:val="002968E7"/>
    <w:rsid w:val="00296930"/>
    <w:rsid w:val="002969CE"/>
    <w:rsid w:val="00297780"/>
    <w:rsid w:val="00297C2B"/>
    <w:rsid w:val="00297EF5"/>
    <w:rsid w:val="002A0BCF"/>
    <w:rsid w:val="002A0FF7"/>
    <w:rsid w:val="002A1AF8"/>
    <w:rsid w:val="002A20F7"/>
    <w:rsid w:val="002A2A17"/>
    <w:rsid w:val="002A2EB2"/>
    <w:rsid w:val="002A30AA"/>
    <w:rsid w:val="002A3710"/>
    <w:rsid w:val="002A3E5A"/>
    <w:rsid w:val="002A5BD9"/>
    <w:rsid w:val="002A6465"/>
    <w:rsid w:val="002A7BB7"/>
    <w:rsid w:val="002B03B4"/>
    <w:rsid w:val="002B15B5"/>
    <w:rsid w:val="002B1747"/>
    <w:rsid w:val="002B1CC9"/>
    <w:rsid w:val="002B2C18"/>
    <w:rsid w:val="002B3B08"/>
    <w:rsid w:val="002B40A7"/>
    <w:rsid w:val="002B4AC7"/>
    <w:rsid w:val="002B516B"/>
    <w:rsid w:val="002B6571"/>
    <w:rsid w:val="002B68AF"/>
    <w:rsid w:val="002B709B"/>
    <w:rsid w:val="002C07D1"/>
    <w:rsid w:val="002C0CCE"/>
    <w:rsid w:val="002C0D89"/>
    <w:rsid w:val="002C2D27"/>
    <w:rsid w:val="002C3E56"/>
    <w:rsid w:val="002C44EB"/>
    <w:rsid w:val="002C4E72"/>
    <w:rsid w:val="002C51E2"/>
    <w:rsid w:val="002C5BFC"/>
    <w:rsid w:val="002C6FAE"/>
    <w:rsid w:val="002D1C70"/>
    <w:rsid w:val="002D2336"/>
    <w:rsid w:val="002D2431"/>
    <w:rsid w:val="002D4A31"/>
    <w:rsid w:val="002D524C"/>
    <w:rsid w:val="002D761C"/>
    <w:rsid w:val="002D78E2"/>
    <w:rsid w:val="002D7CB8"/>
    <w:rsid w:val="002E0E93"/>
    <w:rsid w:val="002E29EA"/>
    <w:rsid w:val="002E2D7C"/>
    <w:rsid w:val="002E400B"/>
    <w:rsid w:val="002E4090"/>
    <w:rsid w:val="002E4D19"/>
    <w:rsid w:val="002E53C1"/>
    <w:rsid w:val="002E5AF9"/>
    <w:rsid w:val="002E6704"/>
    <w:rsid w:val="002E6900"/>
    <w:rsid w:val="002E7FF0"/>
    <w:rsid w:val="002F09F8"/>
    <w:rsid w:val="002F0EEC"/>
    <w:rsid w:val="002F1534"/>
    <w:rsid w:val="002F3F48"/>
    <w:rsid w:val="002F437F"/>
    <w:rsid w:val="002F65E1"/>
    <w:rsid w:val="0030077C"/>
    <w:rsid w:val="003007A4"/>
    <w:rsid w:val="0030101D"/>
    <w:rsid w:val="003015C5"/>
    <w:rsid w:val="0030327A"/>
    <w:rsid w:val="00304467"/>
    <w:rsid w:val="00304E2E"/>
    <w:rsid w:val="003104B3"/>
    <w:rsid w:val="003137DC"/>
    <w:rsid w:val="003142B9"/>
    <w:rsid w:val="003170E4"/>
    <w:rsid w:val="00317AD1"/>
    <w:rsid w:val="003200D1"/>
    <w:rsid w:val="00320995"/>
    <w:rsid w:val="00320FC6"/>
    <w:rsid w:val="003226E3"/>
    <w:rsid w:val="0032349C"/>
    <w:rsid w:val="003246B4"/>
    <w:rsid w:val="003248CF"/>
    <w:rsid w:val="0032665B"/>
    <w:rsid w:val="0032754A"/>
    <w:rsid w:val="0033051D"/>
    <w:rsid w:val="0033069E"/>
    <w:rsid w:val="0033080E"/>
    <w:rsid w:val="00330915"/>
    <w:rsid w:val="00330EE9"/>
    <w:rsid w:val="0033109E"/>
    <w:rsid w:val="00331A3F"/>
    <w:rsid w:val="0033253A"/>
    <w:rsid w:val="0033260F"/>
    <w:rsid w:val="00332816"/>
    <w:rsid w:val="00332B39"/>
    <w:rsid w:val="00333D24"/>
    <w:rsid w:val="00334FEB"/>
    <w:rsid w:val="003353E1"/>
    <w:rsid w:val="00335FB1"/>
    <w:rsid w:val="00336395"/>
    <w:rsid w:val="00337886"/>
    <w:rsid w:val="00337CD7"/>
    <w:rsid w:val="003408AF"/>
    <w:rsid w:val="003418D2"/>
    <w:rsid w:val="00342E7B"/>
    <w:rsid w:val="0034304F"/>
    <w:rsid w:val="00343447"/>
    <w:rsid w:val="00343583"/>
    <w:rsid w:val="00344135"/>
    <w:rsid w:val="00346D6E"/>
    <w:rsid w:val="00347720"/>
    <w:rsid w:val="0035072E"/>
    <w:rsid w:val="003514ED"/>
    <w:rsid w:val="003516DE"/>
    <w:rsid w:val="003519F8"/>
    <w:rsid w:val="00352D75"/>
    <w:rsid w:val="003533A0"/>
    <w:rsid w:val="00353500"/>
    <w:rsid w:val="0035369E"/>
    <w:rsid w:val="00353FA6"/>
    <w:rsid w:val="00356FAA"/>
    <w:rsid w:val="00357651"/>
    <w:rsid w:val="00357B9C"/>
    <w:rsid w:val="00360383"/>
    <w:rsid w:val="00360BD6"/>
    <w:rsid w:val="00360E3F"/>
    <w:rsid w:val="00363BD9"/>
    <w:rsid w:val="00364B54"/>
    <w:rsid w:val="00365E9C"/>
    <w:rsid w:val="00366288"/>
    <w:rsid w:val="00366310"/>
    <w:rsid w:val="00366ED6"/>
    <w:rsid w:val="003677DE"/>
    <w:rsid w:val="00372B4C"/>
    <w:rsid w:val="00373624"/>
    <w:rsid w:val="00373BBC"/>
    <w:rsid w:val="003747D4"/>
    <w:rsid w:val="00375270"/>
    <w:rsid w:val="00375A75"/>
    <w:rsid w:val="00375F8D"/>
    <w:rsid w:val="003807D7"/>
    <w:rsid w:val="0038264E"/>
    <w:rsid w:val="003827A2"/>
    <w:rsid w:val="00382E5B"/>
    <w:rsid w:val="00383DC8"/>
    <w:rsid w:val="003856F2"/>
    <w:rsid w:val="00385A0D"/>
    <w:rsid w:val="0038635C"/>
    <w:rsid w:val="00386CC7"/>
    <w:rsid w:val="00387C20"/>
    <w:rsid w:val="003902FB"/>
    <w:rsid w:val="00392793"/>
    <w:rsid w:val="00393CDF"/>
    <w:rsid w:val="003946A4"/>
    <w:rsid w:val="0039579D"/>
    <w:rsid w:val="00396480"/>
    <w:rsid w:val="003965D7"/>
    <w:rsid w:val="00397950"/>
    <w:rsid w:val="00397E5D"/>
    <w:rsid w:val="003A019D"/>
    <w:rsid w:val="003A0567"/>
    <w:rsid w:val="003A0765"/>
    <w:rsid w:val="003A16B2"/>
    <w:rsid w:val="003A3982"/>
    <w:rsid w:val="003A5479"/>
    <w:rsid w:val="003A5A36"/>
    <w:rsid w:val="003A61BB"/>
    <w:rsid w:val="003A6201"/>
    <w:rsid w:val="003A6448"/>
    <w:rsid w:val="003A6917"/>
    <w:rsid w:val="003A76FD"/>
    <w:rsid w:val="003A7A6B"/>
    <w:rsid w:val="003A7FED"/>
    <w:rsid w:val="003B0274"/>
    <w:rsid w:val="003B05D3"/>
    <w:rsid w:val="003B3DFE"/>
    <w:rsid w:val="003B3E37"/>
    <w:rsid w:val="003B42E0"/>
    <w:rsid w:val="003B509D"/>
    <w:rsid w:val="003B583F"/>
    <w:rsid w:val="003B5DAD"/>
    <w:rsid w:val="003B69AF"/>
    <w:rsid w:val="003B78FD"/>
    <w:rsid w:val="003B7A01"/>
    <w:rsid w:val="003C2B67"/>
    <w:rsid w:val="003C3701"/>
    <w:rsid w:val="003C3ED1"/>
    <w:rsid w:val="003C50EE"/>
    <w:rsid w:val="003C635C"/>
    <w:rsid w:val="003C6529"/>
    <w:rsid w:val="003C704F"/>
    <w:rsid w:val="003D0442"/>
    <w:rsid w:val="003D0A11"/>
    <w:rsid w:val="003D0FF4"/>
    <w:rsid w:val="003D1349"/>
    <w:rsid w:val="003D2FBC"/>
    <w:rsid w:val="003D5B68"/>
    <w:rsid w:val="003D60E8"/>
    <w:rsid w:val="003E0384"/>
    <w:rsid w:val="003E1544"/>
    <w:rsid w:val="003E1742"/>
    <w:rsid w:val="003E1947"/>
    <w:rsid w:val="003E20CF"/>
    <w:rsid w:val="003E356D"/>
    <w:rsid w:val="003E46AE"/>
    <w:rsid w:val="003E6A30"/>
    <w:rsid w:val="003E70FD"/>
    <w:rsid w:val="003E7202"/>
    <w:rsid w:val="003E7E4D"/>
    <w:rsid w:val="003F0606"/>
    <w:rsid w:val="003F0B9B"/>
    <w:rsid w:val="003F3133"/>
    <w:rsid w:val="003F3890"/>
    <w:rsid w:val="003F3B50"/>
    <w:rsid w:val="003F3D61"/>
    <w:rsid w:val="003F4470"/>
    <w:rsid w:val="003F471A"/>
    <w:rsid w:val="003F6107"/>
    <w:rsid w:val="003F6324"/>
    <w:rsid w:val="00401A4E"/>
    <w:rsid w:val="00401B4F"/>
    <w:rsid w:val="00402599"/>
    <w:rsid w:val="00402B6F"/>
    <w:rsid w:val="00402BC7"/>
    <w:rsid w:val="00402DAC"/>
    <w:rsid w:val="004040BC"/>
    <w:rsid w:val="00407691"/>
    <w:rsid w:val="00410565"/>
    <w:rsid w:val="00411712"/>
    <w:rsid w:val="00411FBC"/>
    <w:rsid w:val="0041212F"/>
    <w:rsid w:val="0041231B"/>
    <w:rsid w:val="004128B0"/>
    <w:rsid w:val="00415733"/>
    <w:rsid w:val="00417818"/>
    <w:rsid w:val="00420FFA"/>
    <w:rsid w:val="00422FA4"/>
    <w:rsid w:val="00424051"/>
    <w:rsid w:val="00424323"/>
    <w:rsid w:val="00425738"/>
    <w:rsid w:val="00425799"/>
    <w:rsid w:val="004268E2"/>
    <w:rsid w:val="00426E9A"/>
    <w:rsid w:val="00426F97"/>
    <w:rsid w:val="0043142D"/>
    <w:rsid w:val="004317E7"/>
    <w:rsid w:val="00432736"/>
    <w:rsid w:val="0043381E"/>
    <w:rsid w:val="00436E43"/>
    <w:rsid w:val="00437AE7"/>
    <w:rsid w:val="00437C5D"/>
    <w:rsid w:val="004401E6"/>
    <w:rsid w:val="004419D5"/>
    <w:rsid w:val="00442011"/>
    <w:rsid w:val="004427CF"/>
    <w:rsid w:val="004455BA"/>
    <w:rsid w:val="004459F7"/>
    <w:rsid w:val="00445B35"/>
    <w:rsid w:val="00446E1E"/>
    <w:rsid w:val="00447892"/>
    <w:rsid w:val="00447F55"/>
    <w:rsid w:val="00451B81"/>
    <w:rsid w:val="00451D9F"/>
    <w:rsid w:val="004522CB"/>
    <w:rsid w:val="00453AA2"/>
    <w:rsid w:val="00454315"/>
    <w:rsid w:val="00454CC4"/>
    <w:rsid w:val="0045656D"/>
    <w:rsid w:val="004614F7"/>
    <w:rsid w:val="0046476B"/>
    <w:rsid w:val="00465CDD"/>
    <w:rsid w:val="00465F11"/>
    <w:rsid w:val="00465F7C"/>
    <w:rsid w:val="00466070"/>
    <w:rsid w:val="00471BD4"/>
    <w:rsid w:val="00471D17"/>
    <w:rsid w:val="00476676"/>
    <w:rsid w:val="00477B76"/>
    <w:rsid w:val="0048066D"/>
    <w:rsid w:val="00480CEB"/>
    <w:rsid w:val="00482B8A"/>
    <w:rsid w:val="00482E33"/>
    <w:rsid w:val="00483D89"/>
    <w:rsid w:val="00484733"/>
    <w:rsid w:val="004858DE"/>
    <w:rsid w:val="00486709"/>
    <w:rsid w:val="00487D32"/>
    <w:rsid w:val="00490D07"/>
    <w:rsid w:val="00491C58"/>
    <w:rsid w:val="004921D5"/>
    <w:rsid w:val="00493228"/>
    <w:rsid w:val="00493ED4"/>
    <w:rsid w:val="004957E9"/>
    <w:rsid w:val="00496F1D"/>
    <w:rsid w:val="004974F4"/>
    <w:rsid w:val="004A16A4"/>
    <w:rsid w:val="004A41E3"/>
    <w:rsid w:val="004A5616"/>
    <w:rsid w:val="004A5666"/>
    <w:rsid w:val="004A58D1"/>
    <w:rsid w:val="004A69D0"/>
    <w:rsid w:val="004A7634"/>
    <w:rsid w:val="004B0D20"/>
    <w:rsid w:val="004B1788"/>
    <w:rsid w:val="004B1AB5"/>
    <w:rsid w:val="004B2AB5"/>
    <w:rsid w:val="004B3CEA"/>
    <w:rsid w:val="004B4238"/>
    <w:rsid w:val="004B6529"/>
    <w:rsid w:val="004B7BB5"/>
    <w:rsid w:val="004C095C"/>
    <w:rsid w:val="004C349E"/>
    <w:rsid w:val="004C4436"/>
    <w:rsid w:val="004C4CA4"/>
    <w:rsid w:val="004C581E"/>
    <w:rsid w:val="004C5D85"/>
    <w:rsid w:val="004C6485"/>
    <w:rsid w:val="004C6939"/>
    <w:rsid w:val="004C6B74"/>
    <w:rsid w:val="004D04E2"/>
    <w:rsid w:val="004D07D7"/>
    <w:rsid w:val="004D0B93"/>
    <w:rsid w:val="004D11C3"/>
    <w:rsid w:val="004D179A"/>
    <w:rsid w:val="004D2B04"/>
    <w:rsid w:val="004D3BD5"/>
    <w:rsid w:val="004D414B"/>
    <w:rsid w:val="004D7E88"/>
    <w:rsid w:val="004E1DBE"/>
    <w:rsid w:val="004E2483"/>
    <w:rsid w:val="004E24CF"/>
    <w:rsid w:val="004E42A4"/>
    <w:rsid w:val="004E44EA"/>
    <w:rsid w:val="004E503B"/>
    <w:rsid w:val="004E5961"/>
    <w:rsid w:val="004E6DFD"/>
    <w:rsid w:val="004F01A1"/>
    <w:rsid w:val="004F045F"/>
    <w:rsid w:val="004F10EF"/>
    <w:rsid w:val="004F240C"/>
    <w:rsid w:val="004F2539"/>
    <w:rsid w:val="004F43A8"/>
    <w:rsid w:val="004F4D03"/>
    <w:rsid w:val="004F54F7"/>
    <w:rsid w:val="004F68C4"/>
    <w:rsid w:val="00501811"/>
    <w:rsid w:val="0050337A"/>
    <w:rsid w:val="00504579"/>
    <w:rsid w:val="0050661D"/>
    <w:rsid w:val="00506C1E"/>
    <w:rsid w:val="00507CBE"/>
    <w:rsid w:val="00510770"/>
    <w:rsid w:val="005121D1"/>
    <w:rsid w:val="00512B60"/>
    <w:rsid w:val="00513B31"/>
    <w:rsid w:val="00514459"/>
    <w:rsid w:val="0051447F"/>
    <w:rsid w:val="005162B9"/>
    <w:rsid w:val="00516335"/>
    <w:rsid w:val="005168A7"/>
    <w:rsid w:val="0051783A"/>
    <w:rsid w:val="005208AE"/>
    <w:rsid w:val="00521943"/>
    <w:rsid w:val="0052229B"/>
    <w:rsid w:val="005232E3"/>
    <w:rsid w:val="00526866"/>
    <w:rsid w:val="005345BE"/>
    <w:rsid w:val="00535196"/>
    <w:rsid w:val="00535B57"/>
    <w:rsid w:val="00535FC6"/>
    <w:rsid w:val="00537FCA"/>
    <w:rsid w:val="00540A1F"/>
    <w:rsid w:val="00540E1E"/>
    <w:rsid w:val="00541053"/>
    <w:rsid w:val="00541FF6"/>
    <w:rsid w:val="00543C68"/>
    <w:rsid w:val="00546269"/>
    <w:rsid w:val="00546EDD"/>
    <w:rsid w:val="005470AD"/>
    <w:rsid w:val="00547190"/>
    <w:rsid w:val="00547212"/>
    <w:rsid w:val="00550819"/>
    <w:rsid w:val="00551E3D"/>
    <w:rsid w:val="00552ABB"/>
    <w:rsid w:val="00552EA0"/>
    <w:rsid w:val="00553786"/>
    <w:rsid w:val="0055395D"/>
    <w:rsid w:val="00553ED4"/>
    <w:rsid w:val="00554097"/>
    <w:rsid w:val="00554174"/>
    <w:rsid w:val="005554D3"/>
    <w:rsid w:val="00555A69"/>
    <w:rsid w:val="00556102"/>
    <w:rsid w:val="0055730F"/>
    <w:rsid w:val="00560063"/>
    <w:rsid w:val="005600C6"/>
    <w:rsid w:val="00561FC9"/>
    <w:rsid w:val="00564CBC"/>
    <w:rsid w:val="0056504D"/>
    <w:rsid w:val="005654CF"/>
    <w:rsid w:val="00565A42"/>
    <w:rsid w:val="005706CD"/>
    <w:rsid w:val="00570BC4"/>
    <w:rsid w:val="00570D9C"/>
    <w:rsid w:val="00570E72"/>
    <w:rsid w:val="00570EC0"/>
    <w:rsid w:val="00571862"/>
    <w:rsid w:val="00571CB9"/>
    <w:rsid w:val="00573577"/>
    <w:rsid w:val="0057520F"/>
    <w:rsid w:val="005779C2"/>
    <w:rsid w:val="00580930"/>
    <w:rsid w:val="00580CF8"/>
    <w:rsid w:val="0058321A"/>
    <w:rsid w:val="00584671"/>
    <w:rsid w:val="005854F9"/>
    <w:rsid w:val="00585ECA"/>
    <w:rsid w:val="0058688D"/>
    <w:rsid w:val="00586ED1"/>
    <w:rsid w:val="00587EA1"/>
    <w:rsid w:val="00590E48"/>
    <w:rsid w:val="00591701"/>
    <w:rsid w:val="00591B49"/>
    <w:rsid w:val="0059391C"/>
    <w:rsid w:val="00594CC3"/>
    <w:rsid w:val="00596D1A"/>
    <w:rsid w:val="0059729D"/>
    <w:rsid w:val="00597D00"/>
    <w:rsid w:val="005A1166"/>
    <w:rsid w:val="005A16E9"/>
    <w:rsid w:val="005A171B"/>
    <w:rsid w:val="005A1749"/>
    <w:rsid w:val="005A1AE3"/>
    <w:rsid w:val="005A1ECE"/>
    <w:rsid w:val="005A37E8"/>
    <w:rsid w:val="005A4568"/>
    <w:rsid w:val="005A5B64"/>
    <w:rsid w:val="005A6BC2"/>
    <w:rsid w:val="005A70A6"/>
    <w:rsid w:val="005A77B9"/>
    <w:rsid w:val="005B0456"/>
    <w:rsid w:val="005B0707"/>
    <w:rsid w:val="005B0BAC"/>
    <w:rsid w:val="005B174E"/>
    <w:rsid w:val="005B2D1A"/>
    <w:rsid w:val="005B3DD7"/>
    <w:rsid w:val="005B403B"/>
    <w:rsid w:val="005B4BA6"/>
    <w:rsid w:val="005B5EA9"/>
    <w:rsid w:val="005B63F0"/>
    <w:rsid w:val="005B6506"/>
    <w:rsid w:val="005B6591"/>
    <w:rsid w:val="005C04B0"/>
    <w:rsid w:val="005C1540"/>
    <w:rsid w:val="005C18C3"/>
    <w:rsid w:val="005C1CF1"/>
    <w:rsid w:val="005C31A9"/>
    <w:rsid w:val="005C4930"/>
    <w:rsid w:val="005C4CDC"/>
    <w:rsid w:val="005C61D7"/>
    <w:rsid w:val="005C6F27"/>
    <w:rsid w:val="005D054C"/>
    <w:rsid w:val="005D27B4"/>
    <w:rsid w:val="005D419C"/>
    <w:rsid w:val="005D53CD"/>
    <w:rsid w:val="005D5E45"/>
    <w:rsid w:val="005D6BB5"/>
    <w:rsid w:val="005E2F8C"/>
    <w:rsid w:val="005E322A"/>
    <w:rsid w:val="005E3B8F"/>
    <w:rsid w:val="005E3F8F"/>
    <w:rsid w:val="005E420F"/>
    <w:rsid w:val="005E46DB"/>
    <w:rsid w:val="005E665B"/>
    <w:rsid w:val="005E699B"/>
    <w:rsid w:val="005F0FB2"/>
    <w:rsid w:val="005F1C13"/>
    <w:rsid w:val="005F204A"/>
    <w:rsid w:val="005F2F76"/>
    <w:rsid w:val="005F33EE"/>
    <w:rsid w:val="005F3BA0"/>
    <w:rsid w:val="005F4C10"/>
    <w:rsid w:val="005F5414"/>
    <w:rsid w:val="005F59A7"/>
    <w:rsid w:val="005F5CBE"/>
    <w:rsid w:val="005F6E38"/>
    <w:rsid w:val="0060090A"/>
    <w:rsid w:val="00600D92"/>
    <w:rsid w:val="00600DB7"/>
    <w:rsid w:val="00601EA2"/>
    <w:rsid w:val="00602D99"/>
    <w:rsid w:val="00602DD5"/>
    <w:rsid w:val="006037B8"/>
    <w:rsid w:val="00603F0D"/>
    <w:rsid w:val="00604EA4"/>
    <w:rsid w:val="0060511B"/>
    <w:rsid w:val="00605334"/>
    <w:rsid w:val="0060590D"/>
    <w:rsid w:val="0060756F"/>
    <w:rsid w:val="00607E41"/>
    <w:rsid w:val="006103E2"/>
    <w:rsid w:val="0061378B"/>
    <w:rsid w:val="00613888"/>
    <w:rsid w:val="00613A82"/>
    <w:rsid w:val="00616808"/>
    <w:rsid w:val="006203C0"/>
    <w:rsid w:val="00620A28"/>
    <w:rsid w:val="00620A80"/>
    <w:rsid w:val="00621E59"/>
    <w:rsid w:val="00622772"/>
    <w:rsid w:val="0062285F"/>
    <w:rsid w:val="006229CA"/>
    <w:rsid w:val="006234FF"/>
    <w:rsid w:val="00624DB1"/>
    <w:rsid w:val="00624FCF"/>
    <w:rsid w:val="00625A26"/>
    <w:rsid w:val="006260CE"/>
    <w:rsid w:val="006260F8"/>
    <w:rsid w:val="0063008E"/>
    <w:rsid w:val="00630818"/>
    <w:rsid w:val="0063311F"/>
    <w:rsid w:val="00633456"/>
    <w:rsid w:val="00633C40"/>
    <w:rsid w:val="00634861"/>
    <w:rsid w:val="00634A29"/>
    <w:rsid w:val="00634D33"/>
    <w:rsid w:val="00634D92"/>
    <w:rsid w:val="00634E90"/>
    <w:rsid w:val="00635858"/>
    <w:rsid w:val="00636FAA"/>
    <w:rsid w:val="00636FEA"/>
    <w:rsid w:val="0063744B"/>
    <w:rsid w:val="00637601"/>
    <w:rsid w:val="00637824"/>
    <w:rsid w:val="00640F23"/>
    <w:rsid w:val="00641930"/>
    <w:rsid w:val="00641BC0"/>
    <w:rsid w:val="00643125"/>
    <w:rsid w:val="00643831"/>
    <w:rsid w:val="00644D44"/>
    <w:rsid w:val="00647178"/>
    <w:rsid w:val="0064748B"/>
    <w:rsid w:val="00647698"/>
    <w:rsid w:val="00647E4C"/>
    <w:rsid w:val="00647E9E"/>
    <w:rsid w:val="0065015C"/>
    <w:rsid w:val="00651357"/>
    <w:rsid w:val="00653CE0"/>
    <w:rsid w:val="00654941"/>
    <w:rsid w:val="006554AB"/>
    <w:rsid w:val="00656A25"/>
    <w:rsid w:val="00657881"/>
    <w:rsid w:val="00657A98"/>
    <w:rsid w:val="0066094D"/>
    <w:rsid w:val="006627A7"/>
    <w:rsid w:val="00665B6E"/>
    <w:rsid w:val="00665CA9"/>
    <w:rsid w:val="00666BD8"/>
    <w:rsid w:val="006671B2"/>
    <w:rsid w:val="006700EB"/>
    <w:rsid w:val="00670489"/>
    <w:rsid w:val="00671B9B"/>
    <w:rsid w:val="006726FB"/>
    <w:rsid w:val="0067272A"/>
    <w:rsid w:val="00672D5A"/>
    <w:rsid w:val="006754D5"/>
    <w:rsid w:val="00675F54"/>
    <w:rsid w:val="00676DE9"/>
    <w:rsid w:val="006772FC"/>
    <w:rsid w:val="00680135"/>
    <w:rsid w:val="0068066B"/>
    <w:rsid w:val="00681037"/>
    <w:rsid w:val="006819DE"/>
    <w:rsid w:val="00681D43"/>
    <w:rsid w:val="00682641"/>
    <w:rsid w:val="006832EE"/>
    <w:rsid w:val="00683475"/>
    <w:rsid w:val="00683A2A"/>
    <w:rsid w:val="00683D44"/>
    <w:rsid w:val="00683E9C"/>
    <w:rsid w:val="0068626B"/>
    <w:rsid w:val="00687E1E"/>
    <w:rsid w:val="0069079A"/>
    <w:rsid w:val="00690DED"/>
    <w:rsid w:val="0069142C"/>
    <w:rsid w:val="00692634"/>
    <w:rsid w:val="00692771"/>
    <w:rsid w:val="006939A2"/>
    <w:rsid w:val="00694022"/>
    <w:rsid w:val="00695726"/>
    <w:rsid w:val="006962D7"/>
    <w:rsid w:val="00696EF6"/>
    <w:rsid w:val="006A091F"/>
    <w:rsid w:val="006A3270"/>
    <w:rsid w:val="006A4D7D"/>
    <w:rsid w:val="006A5DC7"/>
    <w:rsid w:val="006A63C1"/>
    <w:rsid w:val="006A654F"/>
    <w:rsid w:val="006A6A56"/>
    <w:rsid w:val="006A7843"/>
    <w:rsid w:val="006A78F5"/>
    <w:rsid w:val="006B0DB1"/>
    <w:rsid w:val="006B11A7"/>
    <w:rsid w:val="006B1CF6"/>
    <w:rsid w:val="006B1F33"/>
    <w:rsid w:val="006B276F"/>
    <w:rsid w:val="006B5712"/>
    <w:rsid w:val="006B59B3"/>
    <w:rsid w:val="006B5F1F"/>
    <w:rsid w:val="006B62B1"/>
    <w:rsid w:val="006B677D"/>
    <w:rsid w:val="006B6DC6"/>
    <w:rsid w:val="006B72FC"/>
    <w:rsid w:val="006B746D"/>
    <w:rsid w:val="006B797F"/>
    <w:rsid w:val="006C05F9"/>
    <w:rsid w:val="006C09B8"/>
    <w:rsid w:val="006C1052"/>
    <w:rsid w:val="006C2C62"/>
    <w:rsid w:val="006C319B"/>
    <w:rsid w:val="006C34CB"/>
    <w:rsid w:val="006C4687"/>
    <w:rsid w:val="006C5C78"/>
    <w:rsid w:val="006C61E6"/>
    <w:rsid w:val="006C7548"/>
    <w:rsid w:val="006C78AD"/>
    <w:rsid w:val="006D14C1"/>
    <w:rsid w:val="006D14EC"/>
    <w:rsid w:val="006D1E8A"/>
    <w:rsid w:val="006D3905"/>
    <w:rsid w:val="006D3D1D"/>
    <w:rsid w:val="006D3F3A"/>
    <w:rsid w:val="006D56D4"/>
    <w:rsid w:val="006D709B"/>
    <w:rsid w:val="006D7950"/>
    <w:rsid w:val="006D797C"/>
    <w:rsid w:val="006E0668"/>
    <w:rsid w:val="006E0FB2"/>
    <w:rsid w:val="006E3C9A"/>
    <w:rsid w:val="006E4225"/>
    <w:rsid w:val="006E4752"/>
    <w:rsid w:val="006E4B44"/>
    <w:rsid w:val="006E6710"/>
    <w:rsid w:val="006E6A4C"/>
    <w:rsid w:val="006E6C49"/>
    <w:rsid w:val="006E6FA6"/>
    <w:rsid w:val="006E746C"/>
    <w:rsid w:val="006F2022"/>
    <w:rsid w:val="006F4323"/>
    <w:rsid w:val="006F5B75"/>
    <w:rsid w:val="006F7F16"/>
    <w:rsid w:val="00700FFC"/>
    <w:rsid w:val="007014EB"/>
    <w:rsid w:val="00701859"/>
    <w:rsid w:val="00701FA5"/>
    <w:rsid w:val="0070263D"/>
    <w:rsid w:val="00702F23"/>
    <w:rsid w:val="0070326F"/>
    <w:rsid w:val="00703F83"/>
    <w:rsid w:val="007056D7"/>
    <w:rsid w:val="00705EB0"/>
    <w:rsid w:val="00706C26"/>
    <w:rsid w:val="00706EC1"/>
    <w:rsid w:val="00707403"/>
    <w:rsid w:val="00707768"/>
    <w:rsid w:val="00710759"/>
    <w:rsid w:val="00710F76"/>
    <w:rsid w:val="00712178"/>
    <w:rsid w:val="0071239E"/>
    <w:rsid w:val="00712606"/>
    <w:rsid w:val="007133D1"/>
    <w:rsid w:val="00714ABF"/>
    <w:rsid w:val="00715528"/>
    <w:rsid w:val="00716363"/>
    <w:rsid w:val="00717115"/>
    <w:rsid w:val="0072046F"/>
    <w:rsid w:val="007207EC"/>
    <w:rsid w:val="0072126C"/>
    <w:rsid w:val="007224DE"/>
    <w:rsid w:val="007234E6"/>
    <w:rsid w:val="00726DA5"/>
    <w:rsid w:val="00730428"/>
    <w:rsid w:val="00731B12"/>
    <w:rsid w:val="00731D6D"/>
    <w:rsid w:val="00732258"/>
    <w:rsid w:val="00733A7D"/>
    <w:rsid w:val="007344D3"/>
    <w:rsid w:val="00735B26"/>
    <w:rsid w:val="0073669C"/>
    <w:rsid w:val="0073677A"/>
    <w:rsid w:val="007371D7"/>
    <w:rsid w:val="0073771D"/>
    <w:rsid w:val="007402BF"/>
    <w:rsid w:val="007405CD"/>
    <w:rsid w:val="007408FD"/>
    <w:rsid w:val="00740E08"/>
    <w:rsid w:val="007414B7"/>
    <w:rsid w:val="00741671"/>
    <w:rsid w:val="00741E18"/>
    <w:rsid w:val="00745155"/>
    <w:rsid w:val="00745FDB"/>
    <w:rsid w:val="00746511"/>
    <w:rsid w:val="00750797"/>
    <w:rsid w:val="007509E8"/>
    <w:rsid w:val="0075187E"/>
    <w:rsid w:val="00752269"/>
    <w:rsid w:val="00752480"/>
    <w:rsid w:val="00752ED0"/>
    <w:rsid w:val="0075313B"/>
    <w:rsid w:val="00753930"/>
    <w:rsid w:val="00753B92"/>
    <w:rsid w:val="0075418A"/>
    <w:rsid w:val="00756C7C"/>
    <w:rsid w:val="00756CCA"/>
    <w:rsid w:val="0076152D"/>
    <w:rsid w:val="00761FB9"/>
    <w:rsid w:val="007632A8"/>
    <w:rsid w:val="007635F6"/>
    <w:rsid w:val="00764320"/>
    <w:rsid w:val="00764F27"/>
    <w:rsid w:val="00765210"/>
    <w:rsid w:val="00765F03"/>
    <w:rsid w:val="00765F9E"/>
    <w:rsid w:val="00766973"/>
    <w:rsid w:val="0076715E"/>
    <w:rsid w:val="0077482E"/>
    <w:rsid w:val="0077501D"/>
    <w:rsid w:val="00775636"/>
    <w:rsid w:val="00776FDA"/>
    <w:rsid w:val="00781411"/>
    <w:rsid w:val="00781690"/>
    <w:rsid w:val="00783043"/>
    <w:rsid w:val="0078393B"/>
    <w:rsid w:val="007849F9"/>
    <w:rsid w:val="00784ACD"/>
    <w:rsid w:val="00784C5B"/>
    <w:rsid w:val="00784F28"/>
    <w:rsid w:val="0078589A"/>
    <w:rsid w:val="00785D74"/>
    <w:rsid w:val="0078790B"/>
    <w:rsid w:val="00787B46"/>
    <w:rsid w:val="00787E95"/>
    <w:rsid w:val="00791E51"/>
    <w:rsid w:val="007928DE"/>
    <w:rsid w:val="00792CE3"/>
    <w:rsid w:val="00793273"/>
    <w:rsid w:val="007938EA"/>
    <w:rsid w:val="00793AD5"/>
    <w:rsid w:val="00795A24"/>
    <w:rsid w:val="00795AC2"/>
    <w:rsid w:val="00795D4C"/>
    <w:rsid w:val="00796FE4"/>
    <w:rsid w:val="007A03CF"/>
    <w:rsid w:val="007A0AE0"/>
    <w:rsid w:val="007A0C8E"/>
    <w:rsid w:val="007A0ED1"/>
    <w:rsid w:val="007A385B"/>
    <w:rsid w:val="007A42AA"/>
    <w:rsid w:val="007A4335"/>
    <w:rsid w:val="007A5035"/>
    <w:rsid w:val="007A6C47"/>
    <w:rsid w:val="007B14F2"/>
    <w:rsid w:val="007B49B6"/>
    <w:rsid w:val="007B4A58"/>
    <w:rsid w:val="007B6782"/>
    <w:rsid w:val="007B6957"/>
    <w:rsid w:val="007B7581"/>
    <w:rsid w:val="007B7A7A"/>
    <w:rsid w:val="007C06C1"/>
    <w:rsid w:val="007C070F"/>
    <w:rsid w:val="007C180E"/>
    <w:rsid w:val="007C1812"/>
    <w:rsid w:val="007C1AF4"/>
    <w:rsid w:val="007C29E7"/>
    <w:rsid w:val="007C49CD"/>
    <w:rsid w:val="007C4B87"/>
    <w:rsid w:val="007C5422"/>
    <w:rsid w:val="007C56ED"/>
    <w:rsid w:val="007C60BE"/>
    <w:rsid w:val="007C60F0"/>
    <w:rsid w:val="007C75E7"/>
    <w:rsid w:val="007C7BA8"/>
    <w:rsid w:val="007D0947"/>
    <w:rsid w:val="007D0B3A"/>
    <w:rsid w:val="007D20BA"/>
    <w:rsid w:val="007D22AA"/>
    <w:rsid w:val="007D3B05"/>
    <w:rsid w:val="007D5851"/>
    <w:rsid w:val="007D64F5"/>
    <w:rsid w:val="007D6A4B"/>
    <w:rsid w:val="007D6FBB"/>
    <w:rsid w:val="007D71D0"/>
    <w:rsid w:val="007D7F76"/>
    <w:rsid w:val="007D7FF3"/>
    <w:rsid w:val="007E0534"/>
    <w:rsid w:val="007E0753"/>
    <w:rsid w:val="007E0825"/>
    <w:rsid w:val="007E26E2"/>
    <w:rsid w:val="007E3865"/>
    <w:rsid w:val="007E3C27"/>
    <w:rsid w:val="007E429C"/>
    <w:rsid w:val="007E49E1"/>
    <w:rsid w:val="007E744F"/>
    <w:rsid w:val="007E7869"/>
    <w:rsid w:val="007E7F70"/>
    <w:rsid w:val="007F17DD"/>
    <w:rsid w:val="007F239F"/>
    <w:rsid w:val="007F25B0"/>
    <w:rsid w:val="007F276A"/>
    <w:rsid w:val="007F2DA7"/>
    <w:rsid w:val="007F4DC9"/>
    <w:rsid w:val="007F6648"/>
    <w:rsid w:val="007F706B"/>
    <w:rsid w:val="007F79AC"/>
    <w:rsid w:val="008003F4"/>
    <w:rsid w:val="00800589"/>
    <w:rsid w:val="008011EA"/>
    <w:rsid w:val="00802223"/>
    <w:rsid w:val="00802793"/>
    <w:rsid w:val="008029D0"/>
    <w:rsid w:val="00804BE0"/>
    <w:rsid w:val="0080519A"/>
    <w:rsid w:val="00805ED6"/>
    <w:rsid w:val="00806538"/>
    <w:rsid w:val="00806D1E"/>
    <w:rsid w:val="00810151"/>
    <w:rsid w:val="008102A6"/>
    <w:rsid w:val="0081109E"/>
    <w:rsid w:val="00811498"/>
    <w:rsid w:val="00811534"/>
    <w:rsid w:val="00811597"/>
    <w:rsid w:val="00811A5B"/>
    <w:rsid w:val="008120F8"/>
    <w:rsid w:val="008124F4"/>
    <w:rsid w:val="00815141"/>
    <w:rsid w:val="008157EC"/>
    <w:rsid w:val="0081608B"/>
    <w:rsid w:val="00816811"/>
    <w:rsid w:val="00816CE0"/>
    <w:rsid w:val="008204F1"/>
    <w:rsid w:val="008205E9"/>
    <w:rsid w:val="00821304"/>
    <w:rsid w:val="00823286"/>
    <w:rsid w:val="0082334C"/>
    <w:rsid w:val="00823B5C"/>
    <w:rsid w:val="008259DF"/>
    <w:rsid w:val="00825F4A"/>
    <w:rsid w:val="00826CA7"/>
    <w:rsid w:val="008271D6"/>
    <w:rsid w:val="00827430"/>
    <w:rsid w:val="008276D2"/>
    <w:rsid w:val="00830CAF"/>
    <w:rsid w:val="00831529"/>
    <w:rsid w:val="00833019"/>
    <w:rsid w:val="008336DD"/>
    <w:rsid w:val="00833FF4"/>
    <w:rsid w:val="00834875"/>
    <w:rsid w:val="008352A7"/>
    <w:rsid w:val="00836421"/>
    <w:rsid w:val="00836F18"/>
    <w:rsid w:val="00837129"/>
    <w:rsid w:val="008372A1"/>
    <w:rsid w:val="00837B3D"/>
    <w:rsid w:val="008433DF"/>
    <w:rsid w:val="008442F5"/>
    <w:rsid w:val="0084438E"/>
    <w:rsid w:val="00844992"/>
    <w:rsid w:val="00844EDE"/>
    <w:rsid w:val="0084555C"/>
    <w:rsid w:val="008472D0"/>
    <w:rsid w:val="0085064A"/>
    <w:rsid w:val="00850BF8"/>
    <w:rsid w:val="00851C99"/>
    <w:rsid w:val="00851FD3"/>
    <w:rsid w:val="00852341"/>
    <w:rsid w:val="00852CCF"/>
    <w:rsid w:val="00852D66"/>
    <w:rsid w:val="00855A34"/>
    <w:rsid w:val="0085641F"/>
    <w:rsid w:val="008613BF"/>
    <w:rsid w:val="00861A3A"/>
    <w:rsid w:val="00861E51"/>
    <w:rsid w:val="0086276F"/>
    <w:rsid w:val="00862E13"/>
    <w:rsid w:val="00863349"/>
    <w:rsid w:val="00863DAF"/>
    <w:rsid w:val="0086487A"/>
    <w:rsid w:val="00864B11"/>
    <w:rsid w:val="00864B81"/>
    <w:rsid w:val="0086689F"/>
    <w:rsid w:val="00870F1C"/>
    <w:rsid w:val="0087310F"/>
    <w:rsid w:val="00873693"/>
    <w:rsid w:val="00874319"/>
    <w:rsid w:val="00874D24"/>
    <w:rsid w:val="00875335"/>
    <w:rsid w:val="008760E1"/>
    <w:rsid w:val="00877C59"/>
    <w:rsid w:val="008801BA"/>
    <w:rsid w:val="008806D4"/>
    <w:rsid w:val="0088093C"/>
    <w:rsid w:val="00880A4E"/>
    <w:rsid w:val="00881B0F"/>
    <w:rsid w:val="00881B5D"/>
    <w:rsid w:val="0088398F"/>
    <w:rsid w:val="00883CEC"/>
    <w:rsid w:val="008849C6"/>
    <w:rsid w:val="00886B9B"/>
    <w:rsid w:val="00887950"/>
    <w:rsid w:val="00887955"/>
    <w:rsid w:val="00890CDB"/>
    <w:rsid w:val="00891FDB"/>
    <w:rsid w:val="008920E3"/>
    <w:rsid w:val="00892D3F"/>
    <w:rsid w:val="00893041"/>
    <w:rsid w:val="00894248"/>
    <w:rsid w:val="00895031"/>
    <w:rsid w:val="00895E8A"/>
    <w:rsid w:val="00897D5C"/>
    <w:rsid w:val="008A053A"/>
    <w:rsid w:val="008A1623"/>
    <w:rsid w:val="008A3ED4"/>
    <w:rsid w:val="008A4555"/>
    <w:rsid w:val="008A5B6E"/>
    <w:rsid w:val="008A6029"/>
    <w:rsid w:val="008A6FC2"/>
    <w:rsid w:val="008B07CC"/>
    <w:rsid w:val="008B0DBE"/>
    <w:rsid w:val="008B156A"/>
    <w:rsid w:val="008B1576"/>
    <w:rsid w:val="008B25C0"/>
    <w:rsid w:val="008B272B"/>
    <w:rsid w:val="008B3093"/>
    <w:rsid w:val="008B3BC9"/>
    <w:rsid w:val="008B462F"/>
    <w:rsid w:val="008B6ED2"/>
    <w:rsid w:val="008C034F"/>
    <w:rsid w:val="008C0421"/>
    <w:rsid w:val="008C130F"/>
    <w:rsid w:val="008C13D7"/>
    <w:rsid w:val="008C198F"/>
    <w:rsid w:val="008C4022"/>
    <w:rsid w:val="008C55B9"/>
    <w:rsid w:val="008C7E04"/>
    <w:rsid w:val="008D00A2"/>
    <w:rsid w:val="008D00B7"/>
    <w:rsid w:val="008D046B"/>
    <w:rsid w:val="008D04A2"/>
    <w:rsid w:val="008D1C72"/>
    <w:rsid w:val="008D2B18"/>
    <w:rsid w:val="008D360C"/>
    <w:rsid w:val="008D479D"/>
    <w:rsid w:val="008D5CBB"/>
    <w:rsid w:val="008D6ABE"/>
    <w:rsid w:val="008E02C4"/>
    <w:rsid w:val="008E0A2E"/>
    <w:rsid w:val="008E1B77"/>
    <w:rsid w:val="008E2C86"/>
    <w:rsid w:val="008E2F9B"/>
    <w:rsid w:val="008E3170"/>
    <w:rsid w:val="008E33C0"/>
    <w:rsid w:val="008E3C50"/>
    <w:rsid w:val="008E4920"/>
    <w:rsid w:val="008E5F12"/>
    <w:rsid w:val="008E5F49"/>
    <w:rsid w:val="008F0D41"/>
    <w:rsid w:val="008F11D8"/>
    <w:rsid w:val="008F1B58"/>
    <w:rsid w:val="008F2B0C"/>
    <w:rsid w:val="008F52E0"/>
    <w:rsid w:val="008F5519"/>
    <w:rsid w:val="008F56EE"/>
    <w:rsid w:val="008F6392"/>
    <w:rsid w:val="008F63A9"/>
    <w:rsid w:val="008F67DB"/>
    <w:rsid w:val="008F6ADC"/>
    <w:rsid w:val="008F6EE5"/>
    <w:rsid w:val="009004AA"/>
    <w:rsid w:val="00900647"/>
    <w:rsid w:val="00900F7A"/>
    <w:rsid w:val="009013F5"/>
    <w:rsid w:val="00904623"/>
    <w:rsid w:val="009049C8"/>
    <w:rsid w:val="0090788B"/>
    <w:rsid w:val="009117F0"/>
    <w:rsid w:val="00912B3D"/>
    <w:rsid w:val="0091317C"/>
    <w:rsid w:val="00913433"/>
    <w:rsid w:val="00913F76"/>
    <w:rsid w:val="0091421D"/>
    <w:rsid w:val="009143F7"/>
    <w:rsid w:val="00914EE9"/>
    <w:rsid w:val="00915DDC"/>
    <w:rsid w:val="009160D7"/>
    <w:rsid w:val="00920C04"/>
    <w:rsid w:val="0092240B"/>
    <w:rsid w:val="009228B4"/>
    <w:rsid w:val="00922908"/>
    <w:rsid w:val="00922BEA"/>
    <w:rsid w:val="00923797"/>
    <w:rsid w:val="00924F38"/>
    <w:rsid w:val="00927DBB"/>
    <w:rsid w:val="00930445"/>
    <w:rsid w:val="009311CE"/>
    <w:rsid w:val="00932222"/>
    <w:rsid w:val="00932DC8"/>
    <w:rsid w:val="00932DE9"/>
    <w:rsid w:val="00934232"/>
    <w:rsid w:val="00934D58"/>
    <w:rsid w:val="00934EB1"/>
    <w:rsid w:val="00934FDB"/>
    <w:rsid w:val="00935283"/>
    <w:rsid w:val="009352A6"/>
    <w:rsid w:val="009358D9"/>
    <w:rsid w:val="00935F05"/>
    <w:rsid w:val="00937073"/>
    <w:rsid w:val="009411B9"/>
    <w:rsid w:val="00944DC6"/>
    <w:rsid w:val="009468BF"/>
    <w:rsid w:val="0094759D"/>
    <w:rsid w:val="009476DE"/>
    <w:rsid w:val="00954096"/>
    <w:rsid w:val="00955101"/>
    <w:rsid w:val="009552BF"/>
    <w:rsid w:val="009557B6"/>
    <w:rsid w:val="0095597C"/>
    <w:rsid w:val="009566AB"/>
    <w:rsid w:val="00956744"/>
    <w:rsid w:val="00957131"/>
    <w:rsid w:val="00960B97"/>
    <w:rsid w:val="00962ADE"/>
    <w:rsid w:val="00963062"/>
    <w:rsid w:val="00963506"/>
    <w:rsid w:val="00963963"/>
    <w:rsid w:val="009642A3"/>
    <w:rsid w:val="00967118"/>
    <w:rsid w:val="00967931"/>
    <w:rsid w:val="0097094C"/>
    <w:rsid w:val="00972CE0"/>
    <w:rsid w:val="009731D6"/>
    <w:rsid w:val="0097356D"/>
    <w:rsid w:val="009735D2"/>
    <w:rsid w:val="009736D7"/>
    <w:rsid w:val="00974333"/>
    <w:rsid w:val="009743DE"/>
    <w:rsid w:val="0097633E"/>
    <w:rsid w:val="0097686A"/>
    <w:rsid w:val="009772F1"/>
    <w:rsid w:val="00977FEE"/>
    <w:rsid w:val="009801CE"/>
    <w:rsid w:val="009812AA"/>
    <w:rsid w:val="00981726"/>
    <w:rsid w:val="00981943"/>
    <w:rsid w:val="00982E03"/>
    <w:rsid w:val="00982EFE"/>
    <w:rsid w:val="00984EDD"/>
    <w:rsid w:val="0098612C"/>
    <w:rsid w:val="009864DF"/>
    <w:rsid w:val="0098686E"/>
    <w:rsid w:val="00986907"/>
    <w:rsid w:val="0099085E"/>
    <w:rsid w:val="00990BF0"/>
    <w:rsid w:val="009915DD"/>
    <w:rsid w:val="0099480C"/>
    <w:rsid w:val="00994A9A"/>
    <w:rsid w:val="00995D4D"/>
    <w:rsid w:val="00995E92"/>
    <w:rsid w:val="00996AAC"/>
    <w:rsid w:val="009970F9"/>
    <w:rsid w:val="0099780E"/>
    <w:rsid w:val="009A03A3"/>
    <w:rsid w:val="009A430D"/>
    <w:rsid w:val="009A4935"/>
    <w:rsid w:val="009A4E27"/>
    <w:rsid w:val="009A5625"/>
    <w:rsid w:val="009A6A61"/>
    <w:rsid w:val="009B19B4"/>
    <w:rsid w:val="009B1E6D"/>
    <w:rsid w:val="009B30B8"/>
    <w:rsid w:val="009B614A"/>
    <w:rsid w:val="009B6BCE"/>
    <w:rsid w:val="009B7610"/>
    <w:rsid w:val="009C35E1"/>
    <w:rsid w:val="009C3ACD"/>
    <w:rsid w:val="009C5224"/>
    <w:rsid w:val="009C5D54"/>
    <w:rsid w:val="009C63CD"/>
    <w:rsid w:val="009C76B8"/>
    <w:rsid w:val="009D0597"/>
    <w:rsid w:val="009D16A8"/>
    <w:rsid w:val="009D2A8F"/>
    <w:rsid w:val="009D3F59"/>
    <w:rsid w:val="009D4CB6"/>
    <w:rsid w:val="009D6000"/>
    <w:rsid w:val="009D71D0"/>
    <w:rsid w:val="009D7291"/>
    <w:rsid w:val="009D7F09"/>
    <w:rsid w:val="009E0380"/>
    <w:rsid w:val="009E11AD"/>
    <w:rsid w:val="009E250E"/>
    <w:rsid w:val="009E2B8F"/>
    <w:rsid w:val="009E38A0"/>
    <w:rsid w:val="009E3F27"/>
    <w:rsid w:val="009E40CD"/>
    <w:rsid w:val="009E5144"/>
    <w:rsid w:val="009E7854"/>
    <w:rsid w:val="009F2B81"/>
    <w:rsid w:val="009F3412"/>
    <w:rsid w:val="009F399F"/>
    <w:rsid w:val="009F41E5"/>
    <w:rsid w:val="009F4B84"/>
    <w:rsid w:val="009F5B76"/>
    <w:rsid w:val="009F5E85"/>
    <w:rsid w:val="009F62BD"/>
    <w:rsid w:val="009F667A"/>
    <w:rsid w:val="009F68EE"/>
    <w:rsid w:val="00A0269F"/>
    <w:rsid w:val="00A029B0"/>
    <w:rsid w:val="00A0555E"/>
    <w:rsid w:val="00A0603A"/>
    <w:rsid w:val="00A077C5"/>
    <w:rsid w:val="00A07E9F"/>
    <w:rsid w:val="00A108FA"/>
    <w:rsid w:val="00A109FF"/>
    <w:rsid w:val="00A1275A"/>
    <w:rsid w:val="00A12B20"/>
    <w:rsid w:val="00A13C3E"/>
    <w:rsid w:val="00A13DED"/>
    <w:rsid w:val="00A15467"/>
    <w:rsid w:val="00A15859"/>
    <w:rsid w:val="00A167A3"/>
    <w:rsid w:val="00A16E45"/>
    <w:rsid w:val="00A220A2"/>
    <w:rsid w:val="00A23AB7"/>
    <w:rsid w:val="00A24EC6"/>
    <w:rsid w:val="00A25D98"/>
    <w:rsid w:val="00A30D22"/>
    <w:rsid w:val="00A32571"/>
    <w:rsid w:val="00A35C44"/>
    <w:rsid w:val="00A36AC4"/>
    <w:rsid w:val="00A37F08"/>
    <w:rsid w:val="00A40F4A"/>
    <w:rsid w:val="00A41855"/>
    <w:rsid w:val="00A42474"/>
    <w:rsid w:val="00A4299A"/>
    <w:rsid w:val="00A43113"/>
    <w:rsid w:val="00A43A56"/>
    <w:rsid w:val="00A469B1"/>
    <w:rsid w:val="00A46BAE"/>
    <w:rsid w:val="00A47406"/>
    <w:rsid w:val="00A474ED"/>
    <w:rsid w:val="00A47AD1"/>
    <w:rsid w:val="00A502C7"/>
    <w:rsid w:val="00A5101E"/>
    <w:rsid w:val="00A518E4"/>
    <w:rsid w:val="00A538D8"/>
    <w:rsid w:val="00A54E3C"/>
    <w:rsid w:val="00A55D34"/>
    <w:rsid w:val="00A56331"/>
    <w:rsid w:val="00A56429"/>
    <w:rsid w:val="00A5693F"/>
    <w:rsid w:val="00A57BB5"/>
    <w:rsid w:val="00A610CE"/>
    <w:rsid w:val="00A630C4"/>
    <w:rsid w:val="00A63499"/>
    <w:rsid w:val="00A6535D"/>
    <w:rsid w:val="00A6698E"/>
    <w:rsid w:val="00A66C44"/>
    <w:rsid w:val="00A702A0"/>
    <w:rsid w:val="00A70D62"/>
    <w:rsid w:val="00A718C0"/>
    <w:rsid w:val="00A7204F"/>
    <w:rsid w:val="00A728B6"/>
    <w:rsid w:val="00A748D2"/>
    <w:rsid w:val="00A76340"/>
    <w:rsid w:val="00A766C3"/>
    <w:rsid w:val="00A769FE"/>
    <w:rsid w:val="00A7717F"/>
    <w:rsid w:val="00A77BAE"/>
    <w:rsid w:val="00A80990"/>
    <w:rsid w:val="00A80E75"/>
    <w:rsid w:val="00A81543"/>
    <w:rsid w:val="00A81DF9"/>
    <w:rsid w:val="00A832FB"/>
    <w:rsid w:val="00A83BC7"/>
    <w:rsid w:val="00A84238"/>
    <w:rsid w:val="00A861EE"/>
    <w:rsid w:val="00A8751B"/>
    <w:rsid w:val="00A875A2"/>
    <w:rsid w:val="00A93235"/>
    <w:rsid w:val="00A96347"/>
    <w:rsid w:val="00A97E9A"/>
    <w:rsid w:val="00AA04F0"/>
    <w:rsid w:val="00AA3A64"/>
    <w:rsid w:val="00AA6479"/>
    <w:rsid w:val="00AB0A54"/>
    <w:rsid w:val="00AB14A9"/>
    <w:rsid w:val="00AB2AB5"/>
    <w:rsid w:val="00AB337B"/>
    <w:rsid w:val="00AB6B96"/>
    <w:rsid w:val="00AB7470"/>
    <w:rsid w:val="00AB7AA7"/>
    <w:rsid w:val="00AC0E4C"/>
    <w:rsid w:val="00AC11C4"/>
    <w:rsid w:val="00AC133B"/>
    <w:rsid w:val="00AC1564"/>
    <w:rsid w:val="00AC1818"/>
    <w:rsid w:val="00AC227D"/>
    <w:rsid w:val="00AC2CDC"/>
    <w:rsid w:val="00AC3F0A"/>
    <w:rsid w:val="00AC5182"/>
    <w:rsid w:val="00AC590D"/>
    <w:rsid w:val="00AC5D5D"/>
    <w:rsid w:val="00AC6E35"/>
    <w:rsid w:val="00AC796C"/>
    <w:rsid w:val="00AC7BD2"/>
    <w:rsid w:val="00AD0245"/>
    <w:rsid w:val="00AD04F0"/>
    <w:rsid w:val="00AD1581"/>
    <w:rsid w:val="00AD1DE8"/>
    <w:rsid w:val="00AD24B4"/>
    <w:rsid w:val="00AD2734"/>
    <w:rsid w:val="00AD2D06"/>
    <w:rsid w:val="00AD3520"/>
    <w:rsid w:val="00AD3BBC"/>
    <w:rsid w:val="00AD6253"/>
    <w:rsid w:val="00AD6310"/>
    <w:rsid w:val="00AD7F41"/>
    <w:rsid w:val="00AE1D91"/>
    <w:rsid w:val="00AE3992"/>
    <w:rsid w:val="00AE56D3"/>
    <w:rsid w:val="00AE5BE3"/>
    <w:rsid w:val="00AE6CAB"/>
    <w:rsid w:val="00AE6EDE"/>
    <w:rsid w:val="00AE70BF"/>
    <w:rsid w:val="00AE77DF"/>
    <w:rsid w:val="00AF009B"/>
    <w:rsid w:val="00AF18E4"/>
    <w:rsid w:val="00AF219E"/>
    <w:rsid w:val="00AF2696"/>
    <w:rsid w:val="00AF2AD8"/>
    <w:rsid w:val="00AF38E9"/>
    <w:rsid w:val="00AF3A97"/>
    <w:rsid w:val="00AF4FDD"/>
    <w:rsid w:val="00AF608F"/>
    <w:rsid w:val="00AF6F59"/>
    <w:rsid w:val="00B0053A"/>
    <w:rsid w:val="00B006B9"/>
    <w:rsid w:val="00B00EE7"/>
    <w:rsid w:val="00B01140"/>
    <w:rsid w:val="00B02045"/>
    <w:rsid w:val="00B04931"/>
    <w:rsid w:val="00B051F8"/>
    <w:rsid w:val="00B05EED"/>
    <w:rsid w:val="00B0667C"/>
    <w:rsid w:val="00B06B06"/>
    <w:rsid w:val="00B07984"/>
    <w:rsid w:val="00B107CE"/>
    <w:rsid w:val="00B118EB"/>
    <w:rsid w:val="00B126F7"/>
    <w:rsid w:val="00B13DF4"/>
    <w:rsid w:val="00B15A48"/>
    <w:rsid w:val="00B16DBE"/>
    <w:rsid w:val="00B17B0D"/>
    <w:rsid w:val="00B20715"/>
    <w:rsid w:val="00B21427"/>
    <w:rsid w:val="00B22CD8"/>
    <w:rsid w:val="00B22E62"/>
    <w:rsid w:val="00B24A34"/>
    <w:rsid w:val="00B25BB7"/>
    <w:rsid w:val="00B26CC0"/>
    <w:rsid w:val="00B26E58"/>
    <w:rsid w:val="00B315FB"/>
    <w:rsid w:val="00B31F3C"/>
    <w:rsid w:val="00B327E6"/>
    <w:rsid w:val="00B33824"/>
    <w:rsid w:val="00B341BA"/>
    <w:rsid w:val="00B341D2"/>
    <w:rsid w:val="00B342BA"/>
    <w:rsid w:val="00B342FA"/>
    <w:rsid w:val="00B361F6"/>
    <w:rsid w:val="00B37006"/>
    <w:rsid w:val="00B40C36"/>
    <w:rsid w:val="00B42732"/>
    <w:rsid w:val="00B43126"/>
    <w:rsid w:val="00B43723"/>
    <w:rsid w:val="00B4508B"/>
    <w:rsid w:val="00B45322"/>
    <w:rsid w:val="00B4661E"/>
    <w:rsid w:val="00B46C01"/>
    <w:rsid w:val="00B47A38"/>
    <w:rsid w:val="00B5065C"/>
    <w:rsid w:val="00B516D4"/>
    <w:rsid w:val="00B51B91"/>
    <w:rsid w:val="00B51CF1"/>
    <w:rsid w:val="00B52274"/>
    <w:rsid w:val="00B53150"/>
    <w:rsid w:val="00B554CA"/>
    <w:rsid w:val="00B556DA"/>
    <w:rsid w:val="00B561AB"/>
    <w:rsid w:val="00B56359"/>
    <w:rsid w:val="00B56B85"/>
    <w:rsid w:val="00B56E8B"/>
    <w:rsid w:val="00B60541"/>
    <w:rsid w:val="00B6066B"/>
    <w:rsid w:val="00B61A7B"/>
    <w:rsid w:val="00B63D00"/>
    <w:rsid w:val="00B646F2"/>
    <w:rsid w:val="00B64F5F"/>
    <w:rsid w:val="00B670F9"/>
    <w:rsid w:val="00B677AF"/>
    <w:rsid w:val="00B70836"/>
    <w:rsid w:val="00B71E5D"/>
    <w:rsid w:val="00B724A6"/>
    <w:rsid w:val="00B72AEA"/>
    <w:rsid w:val="00B73D63"/>
    <w:rsid w:val="00B740DB"/>
    <w:rsid w:val="00B75C2D"/>
    <w:rsid w:val="00B76378"/>
    <w:rsid w:val="00B76523"/>
    <w:rsid w:val="00B779A3"/>
    <w:rsid w:val="00B77B9A"/>
    <w:rsid w:val="00B77DF3"/>
    <w:rsid w:val="00B8103E"/>
    <w:rsid w:val="00B8145D"/>
    <w:rsid w:val="00B821C4"/>
    <w:rsid w:val="00B82347"/>
    <w:rsid w:val="00B826A6"/>
    <w:rsid w:val="00B8334B"/>
    <w:rsid w:val="00B83A29"/>
    <w:rsid w:val="00B83BD6"/>
    <w:rsid w:val="00B83EC3"/>
    <w:rsid w:val="00B84E01"/>
    <w:rsid w:val="00B8757A"/>
    <w:rsid w:val="00B90DE5"/>
    <w:rsid w:val="00B939FD"/>
    <w:rsid w:val="00B952DD"/>
    <w:rsid w:val="00B9593D"/>
    <w:rsid w:val="00B96024"/>
    <w:rsid w:val="00B96E45"/>
    <w:rsid w:val="00B9729F"/>
    <w:rsid w:val="00BA006E"/>
    <w:rsid w:val="00BA110C"/>
    <w:rsid w:val="00BA23F7"/>
    <w:rsid w:val="00BA3DFB"/>
    <w:rsid w:val="00BA4DAF"/>
    <w:rsid w:val="00BA53AB"/>
    <w:rsid w:val="00BA5875"/>
    <w:rsid w:val="00BA59FB"/>
    <w:rsid w:val="00BA746F"/>
    <w:rsid w:val="00BA7ADC"/>
    <w:rsid w:val="00BB15C0"/>
    <w:rsid w:val="00BB1AB3"/>
    <w:rsid w:val="00BB3511"/>
    <w:rsid w:val="00BB3653"/>
    <w:rsid w:val="00BB3D1F"/>
    <w:rsid w:val="00BB50EF"/>
    <w:rsid w:val="00BB547C"/>
    <w:rsid w:val="00BB5CDE"/>
    <w:rsid w:val="00BB663A"/>
    <w:rsid w:val="00BC03A0"/>
    <w:rsid w:val="00BC0901"/>
    <w:rsid w:val="00BC0BE9"/>
    <w:rsid w:val="00BC1B2A"/>
    <w:rsid w:val="00BC278D"/>
    <w:rsid w:val="00BC2F60"/>
    <w:rsid w:val="00BC3DF7"/>
    <w:rsid w:val="00BC3FF0"/>
    <w:rsid w:val="00BC4E3A"/>
    <w:rsid w:val="00BC55E1"/>
    <w:rsid w:val="00BC5879"/>
    <w:rsid w:val="00BC5E68"/>
    <w:rsid w:val="00BC5FA2"/>
    <w:rsid w:val="00BC726E"/>
    <w:rsid w:val="00BD0140"/>
    <w:rsid w:val="00BD19BF"/>
    <w:rsid w:val="00BD1A1F"/>
    <w:rsid w:val="00BD444B"/>
    <w:rsid w:val="00BD45A1"/>
    <w:rsid w:val="00BD4933"/>
    <w:rsid w:val="00BD5EE3"/>
    <w:rsid w:val="00BD7907"/>
    <w:rsid w:val="00BE0730"/>
    <w:rsid w:val="00BE1986"/>
    <w:rsid w:val="00BE211C"/>
    <w:rsid w:val="00BE3047"/>
    <w:rsid w:val="00BE38C9"/>
    <w:rsid w:val="00BE42FB"/>
    <w:rsid w:val="00BE5756"/>
    <w:rsid w:val="00BE657A"/>
    <w:rsid w:val="00BE6F02"/>
    <w:rsid w:val="00BF2D5C"/>
    <w:rsid w:val="00BF3C85"/>
    <w:rsid w:val="00BF425F"/>
    <w:rsid w:val="00BF668F"/>
    <w:rsid w:val="00BF6B22"/>
    <w:rsid w:val="00C03C87"/>
    <w:rsid w:val="00C04A80"/>
    <w:rsid w:val="00C05571"/>
    <w:rsid w:val="00C06235"/>
    <w:rsid w:val="00C07480"/>
    <w:rsid w:val="00C07E3A"/>
    <w:rsid w:val="00C10DF4"/>
    <w:rsid w:val="00C1119D"/>
    <w:rsid w:val="00C11BC3"/>
    <w:rsid w:val="00C11BEE"/>
    <w:rsid w:val="00C12446"/>
    <w:rsid w:val="00C134C5"/>
    <w:rsid w:val="00C13584"/>
    <w:rsid w:val="00C13919"/>
    <w:rsid w:val="00C139EE"/>
    <w:rsid w:val="00C13CE0"/>
    <w:rsid w:val="00C145D4"/>
    <w:rsid w:val="00C150CB"/>
    <w:rsid w:val="00C16FF4"/>
    <w:rsid w:val="00C20CEA"/>
    <w:rsid w:val="00C217A5"/>
    <w:rsid w:val="00C22B4F"/>
    <w:rsid w:val="00C23BAD"/>
    <w:rsid w:val="00C24702"/>
    <w:rsid w:val="00C247B9"/>
    <w:rsid w:val="00C24833"/>
    <w:rsid w:val="00C256EE"/>
    <w:rsid w:val="00C25700"/>
    <w:rsid w:val="00C26927"/>
    <w:rsid w:val="00C27899"/>
    <w:rsid w:val="00C300AC"/>
    <w:rsid w:val="00C30EF4"/>
    <w:rsid w:val="00C31FD3"/>
    <w:rsid w:val="00C324DA"/>
    <w:rsid w:val="00C33D63"/>
    <w:rsid w:val="00C402B6"/>
    <w:rsid w:val="00C4087E"/>
    <w:rsid w:val="00C40F41"/>
    <w:rsid w:val="00C41B0C"/>
    <w:rsid w:val="00C430F8"/>
    <w:rsid w:val="00C439E9"/>
    <w:rsid w:val="00C4424F"/>
    <w:rsid w:val="00C46B02"/>
    <w:rsid w:val="00C47A39"/>
    <w:rsid w:val="00C47D60"/>
    <w:rsid w:val="00C47D70"/>
    <w:rsid w:val="00C50235"/>
    <w:rsid w:val="00C51A6C"/>
    <w:rsid w:val="00C52B39"/>
    <w:rsid w:val="00C53C26"/>
    <w:rsid w:val="00C547B7"/>
    <w:rsid w:val="00C54B6B"/>
    <w:rsid w:val="00C55164"/>
    <w:rsid w:val="00C55C55"/>
    <w:rsid w:val="00C55E58"/>
    <w:rsid w:val="00C56346"/>
    <w:rsid w:val="00C57013"/>
    <w:rsid w:val="00C570BE"/>
    <w:rsid w:val="00C57F58"/>
    <w:rsid w:val="00C62DCD"/>
    <w:rsid w:val="00C63719"/>
    <w:rsid w:val="00C63AB1"/>
    <w:rsid w:val="00C64010"/>
    <w:rsid w:val="00C64242"/>
    <w:rsid w:val="00C64815"/>
    <w:rsid w:val="00C6550C"/>
    <w:rsid w:val="00C66182"/>
    <w:rsid w:val="00C6630B"/>
    <w:rsid w:val="00C6664A"/>
    <w:rsid w:val="00C675B7"/>
    <w:rsid w:val="00C676E5"/>
    <w:rsid w:val="00C70D01"/>
    <w:rsid w:val="00C7112A"/>
    <w:rsid w:val="00C71718"/>
    <w:rsid w:val="00C71904"/>
    <w:rsid w:val="00C720DE"/>
    <w:rsid w:val="00C72546"/>
    <w:rsid w:val="00C73688"/>
    <w:rsid w:val="00C746A5"/>
    <w:rsid w:val="00C74734"/>
    <w:rsid w:val="00C74745"/>
    <w:rsid w:val="00C75573"/>
    <w:rsid w:val="00C75704"/>
    <w:rsid w:val="00C7574E"/>
    <w:rsid w:val="00C75ADD"/>
    <w:rsid w:val="00C81010"/>
    <w:rsid w:val="00C819A6"/>
    <w:rsid w:val="00C81A01"/>
    <w:rsid w:val="00C82085"/>
    <w:rsid w:val="00C823F2"/>
    <w:rsid w:val="00C8347C"/>
    <w:rsid w:val="00C8383F"/>
    <w:rsid w:val="00C839DC"/>
    <w:rsid w:val="00C842FE"/>
    <w:rsid w:val="00C845EB"/>
    <w:rsid w:val="00C8641D"/>
    <w:rsid w:val="00C866C6"/>
    <w:rsid w:val="00C86A89"/>
    <w:rsid w:val="00C86F65"/>
    <w:rsid w:val="00C9093D"/>
    <w:rsid w:val="00C91F21"/>
    <w:rsid w:val="00C93A4E"/>
    <w:rsid w:val="00C94A7B"/>
    <w:rsid w:val="00C95A9C"/>
    <w:rsid w:val="00CA2B69"/>
    <w:rsid w:val="00CA332A"/>
    <w:rsid w:val="00CA3591"/>
    <w:rsid w:val="00CA3A94"/>
    <w:rsid w:val="00CA3E00"/>
    <w:rsid w:val="00CA684F"/>
    <w:rsid w:val="00CA7E34"/>
    <w:rsid w:val="00CB1204"/>
    <w:rsid w:val="00CB218A"/>
    <w:rsid w:val="00CB2CC0"/>
    <w:rsid w:val="00CB2DFD"/>
    <w:rsid w:val="00CB344D"/>
    <w:rsid w:val="00CB514A"/>
    <w:rsid w:val="00CB73B5"/>
    <w:rsid w:val="00CB76EF"/>
    <w:rsid w:val="00CC046B"/>
    <w:rsid w:val="00CC22A7"/>
    <w:rsid w:val="00CC274D"/>
    <w:rsid w:val="00CC31E2"/>
    <w:rsid w:val="00CC5170"/>
    <w:rsid w:val="00CC5EDE"/>
    <w:rsid w:val="00CC6182"/>
    <w:rsid w:val="00CC6DD5"/>
    <w:rsid w:val="00CC7992"/>
    <w:rsid w:val="00CD0F83"/>
    <w:rsid w:val="00CD1F57"/>
    <w:rsid w:val="00CD24EB"/>
    <w:rsid w:val="00CD451A"/>
    <w:rsid w:val="00CD52B2"/>
    <w:rsid w:val="00CD554B"/>
    <w:rsid w:val="00CD5B8F"/>
    <w:rsid w:val="00CD6E99"/>
    <w:rsid w:val="00CE05C9"/>
    <w:rsid w:val="00CE0ED0"/>
    <w:rsid w:val="00CE1DA5"/>
    <w:rsid w:val="00CE2B6B"/>
    <w:rsid w:val="00CE2C2E"/>
    <w:rsid w:val="00CE3183"/>
    <w:rsid w:val="00CE35FC"/>
    <w:rsid w:val="00CE47AB"/>
    <w:rsid w:val="00CE539F"/>
    <w:rsid w:val="00CE55D8"/>
    <w:rsid w:val="00CE5783"/>
    <w:rsid w:val="00CE5E93"/>
    <w:rsid w:val="00CE61F4"/>
    <w:rsid w:val="00CF0592"/>
    <w:rsid w:val="00CF15BC"/>
    <w:rsid w:val="00CF15F2"/>
    <w:rsid w:val="00CF16D6"/>
    <w:rsid w:val="00CF18BE"/>
    <w:rsid w:val="00CF199B"/>
    <w:rsid w:val="00CF277D"/>
    <w:rsid w:val="00CF3B96"/>
    <w:rsid w:val="00CF59C9"/>
    <w:rsid w:val="00CF5E5C"/>
    <w:rsid w:val="00D03123"/>
    <w:rsid w:val="00D033EA"/>
    <w:rsid w:val="00D037DA"/>
    <w:rsid w:val="00D03987"/>
    <w:rsid w:val="00D03DA8"/>
    <w:rsid w:val="00D04B94"/>
    <w:rsid w:val="00D04CB7"/>
    <w:rsid w:val="00D06043"/>
    <w:rsid w:val="00D06B9A"/>
    <w:rsid w:val="00D12D8B"/>
    <w:rsid w:val="00D136E5"/>
    <w:rsid w:val="00D148F1"/>
    <w:rsid w:val="00D149E0"/>
    <w:rsid w:val="00D151FF"/>
    <w:rsid w:val="00D15962"/>
    <w:rsid w:val="00D15F89"/>
    <w:rsid w:val="00D16F8F"/>
    <w:rsid w:val="00D172DA"/>
    <w:rsid w:val="00D1781A"/>
    <w:rsid w:val="00D20308"/>
    <w:rsid w:val="00D21943"/>
    <w:rsid w:val="00D222D3"/>
    <w:rsid w:val="00D22F72"/>
    <w:rsid w:val="00D231D5"/>
    <w:rsid w:val="00D2493A"/>
    <w:rsid w:val="00D24A86"/>
    <w:rsid w:val="00D24E76"/>
    <w:rsid w:val="00D24F4A"/>
    <w:rsid w:val="00D272C3"/>
    <w:rsid w:val="00D27520"/>
    <w:rsid w:val="00D31565"/>
    <w:rsid w:val="00D31645"/>
    <w:rsid w:val="00D3443F"/>
    <w:rsid w:val="00D34687"/>
    <w:rsid w:val="00D34911"/>
    <w:rsid w:val="00D36541"/>
    <w:rsid w:val="00D366F4"/>
    <w:rsid w:val="00D36D40"/>
    <w:rsid w:val="00D37962"/>
    <w:rsid w:val="00D37D96"/>
    <w:rsid w:val="00D40C87"/>
    <w:rsid w:val="00D40EDC"/>
    <w:rsid w:val="00D410EF"/>
    <w:rsid w:val="00D425A4"/>
    <w:rsid w:val="00D4270C"/>
    <w:rsid w:val="00D4273D"/>
    <w:rsid w:val="00D42972"/>
    <w:rsid w:val="00D450F3"/>
    <w:rsid w:val="00D45610"/>
    <w:rsid w:val="00D45E85"/>
    <w:rsid w:val="00D46012"/>
    <w:rsid w:val="00D46484"/>
    <w:rsid w:val="00D46F34"/>
    <w:rsid w:val="00D507B7"/>
    <w:rsid w:val="00D51093"/>
    <w:rsid w:val="00D51A51"/>
    <w:rsid w:val="00D52894"/>
    <w:rsid w:val="00D54C4A"/>
    <w:rsid w:val="00D56236"/>
    <w:rsid w:val="00D563AE"/>
    <w:rsid w:val="00D57D4F"/>
    <w:rsid w:val="00D57DB7"/>
    <w:rsid w:val="00D60FAC"/>
    <w:rsid w:val="00D61312"/>
    <w:rsid w:val="00D61D31"/>
    <w:rsid w:val="00D6265D"/>
    <w:rsid w:val="00D63A1D"/>
    <w:rsid w:val="00D649CF"/>
    <w:rsid w:val="00D64FB1"/>
    <w:rsid w:val="00D65820"/>
    <w:rsid w:val="00D6637C"/>
    <w:rsid w:val="00D67436"/>
    <w:rsid w:val="00D70B3A"/>
    <w:rsid w:val="00D71850"/>
    <w:rsid w:val="00D731EE"/>
    <w:rsid w:val="00D734D0"/>
    <w:rsid w:val="00D74513"/>
    <w:rsid w:val="00D74B98"/>
    <w:rsid w:val="00D761C2"/>
    <w:rsid w:val="00D764BC"/>
    <w:rsid w:val="00D769B4"/>
    <w:rsid w:val="00D76BDD"/>
    <w:rsid w:val="00D81068"/>
    <w:rsid w:val="00D811F9"/>
    <w:rsid w:val="00D8128D"/>
    <w:rsid w:val="00D82A41"/>
    <w:rsid w:val="00D83134"/>
    <w:rsid w:val="00D840B6"/>
    <w:rsid w:val="00D840BE"/>
    <w:rsid w:val="00D8525F"/>
    <w:rsid w:val="00D856C9"/>
    <w:rsid w:val="00D85E50"/>
    <w:rsid w:val="00D875F3"/>
    <w:rsid w:val="00D87829"/>
    <w:rsid w:val="00D90C06"/>
    <w:rsid w:val="00D91250"/>
    <w:rsid w:val="00D92E24"/>
    <w:rsid w:val="00D93FAE"/>
    <w:rsid w:val="00D94043"/>
    <w:rsid w:val="00D95AA6"/>
    <w:rsid w:val="00D95BBB"/>
    <w:rsid w:val="00D95DA2"/>
    <w:rsid w:val="00D9634B"/>
    <w:rsid w:val="00D974BE"/>
    <w:rsid w:val="00DA0556"/>
    <w:rsid w:val="00DA0E1F"/>
    <w:rsid w:val="00DA0E91"/>
    <w:rsid w:val="00DA2ED0"/>
    <w:rsid w:val="00DA5795"/>
    <w:rsid w:val="00DA63A1"/>
    <w:rsid w:val="00DA6755"/>
    <w:rsid w:val="00DA6AE3"/>
    <w:rsid w:val="00DA6D39"/>
    <w:rsid w:val="00DA72A4"/>
    <w:rsid w:val="00DB0086"/>
    <w:rsid w:val="00DB05C0"/>
    <w:rsid w:val="00DB0846"/>
    <w:rsid w:val="00DB11AA"/>
    <w:rsid w:val="00DB1945"/>
    <w:rsid w:val="00DB1A45"/>
    <w:rsid w:val="00DB39CD"/>
    <w:rsid w:val="00DB42A5"/>
    <w:rsid w:val="00DB4566"/>
    <w:rsid w:val="00DB4CA5"/>
    <w:rsid w:val="00DB5579"/>
    <w:rsid w:val="00DB582C"/>
    <w:rsid w:val="00DB6247"/>
    <w:rsid w:val="00DB7B99"/>
    <w:rsid w:val="00DC0526"/>
    <w:rsid w:val="00DC05CD"/>
    <w:rsid w:val="00DC15AA"/>
    <w:rsid w:val="00DC16A9"/>
    <w:rsid w:val="00DC1B4A"/>
    <w:rsid w:val="00DC26F3"/>
    <w:rsid w:val="00DC2833"/>
    <w:rsid w:val="00DC3031"/>
    <w:rsid w:val="00DC42BD"/>
    <w:rsid w:val="00DC53B9"/>
    <w:rsid w:val="00DC54D4"/>
    <w:rsid w:val="00DC5D39"/>
    <w:rsid w:val="00DC6DA6"/>
    <w:rsid w:val="00DC6F1D"/>
    <w:rsid w:val="00DC72BA"/>
    <w:rsid w:val="00DC7749"/>
    <w:rsid w:val="00DC790A"/>
    <w:rsid w:val="00DC7C03"/>
    <w:rsid w:val="00DD012A"/>
    <w:rsid w:val="00DD0630"/>
    <w:rsid w:val="00DD06F9"/>
    <w:rsid w:val="00DD2540"/>
    <w:rsid w:val="00DD2DF9"/>
    <w:rsid w:val="00DD2EBD"/>
    <w:rsid w:val="00DD61C1"/>
    <w:rsid w:val="00DD65CD"/>
    <w:rsid w:val="00DE0A1B"/>
    <w:rsid w:val="00DE109D"/>
    <w:rsid w:val="00DE1D00"/>
    <w:rsid w:val="00DE2114"/>
    <w:rsid w:val="00DE2151"/>
    <w:rsid w:val="00DE2A5D"/>
    <w:rsid w:val="00DE5966"/>
    <w:rsid w:val="00DF053D"/>
    <w:rsid w:val="00DF132E"/>
    <w:rsid w:val="00DF1E1E"/>
    <w:rsid w:val="00DF45F7"/>
    <w:rsid w:val="00DF5B27"/>
    <w:rsid w:val="00DF5E62"/>
    <w:rsid w:val="00DF62EB"/>
    <w:rsid w:val="00E00B1A"/>
    <w:rsid w:val="00E00BB5"/>
    <w:rsid w:val="00E02523"/>
    <w:rsid w:val="00E026BA"/>
    <w:rsid w:val="00E03417"/>
    <w:rsid w:val="00E03B14"/>
    <w:rsid w:val="00E04368"/>
    <w:rsid w:val="00E044E3"/>
    <w:rsid w:val="00E047B3"/>
    <w:rsid w:val="00E060F9"/>
    <w:rsid w:val="00E075B9"/>
    <w:rsid w:val="00E105AC"/>
    <w:rsid w:val="00E112D0"/>
    <w:rsid w:val="00E1258A"/>
    <w:rsid w:val="00E12D6F"/>
    <w:rsid w:val="00E130B4"/>
    <w:rsid w:val="00E13356"/>
    <w:rsid w:val="00E13B5E"/>
    <w:rsid w:val="00E13BAE"/>
    <w:rsid w:val="00E13CF8"/>
    <w:rsid w:val="00E13E4E"/>
    <w:rsid w:val="00E13F06"/>
    <w:rsid w:val="00E14465"/>
    <w:rsid w:val="00E14935"/>
    <w:rsid w:val="00E21913"/>
    <w:rsid w:val="00E2231A"/>
    <w:rsid w:val="00E22407"/>
    <w:rsid w:val="00E23031"/>
    <w:rsid w:val="00E23901"/>
    <w:rsid w:val="00E24FF2"/>
    <w:rsid w:val="00E30523"/>
    <w:rsid w:val="00E3076A"/>
    <w:rsid w:val="00E3141A"/>
    <w:rsid w:val="00E31B7A"/>
    <w:rsid w:val="00E3267C"/>
    <w:rsid w:val="00E33385"/>
    <w:rsid w:val="00E3347D"/>
    <w:rsid w:val="00E34219"/>
    <w:rsid w:val="00E34981"/>
    <w:rsid w:val="00E3525D"/>
    <w:rsid w:val="00E35902"/>
    <w:rsid w:val="00E36A82"/>
    <w:rsid w:val="00E36E68"/>
    <w:rsid w:val="00E37B9D"/>
    <w:rsid w:val="00E40D18"/>
    <w:rsid w:val="00E43AD4"/>
    <w:rsid w:val="00E44494"/>
    <w:rsid w:val="00E44E7C"/>
    <w:rsid w:val="00E4525B"/>
    <w:rsid w:val="00E46939"/>
    <w:rsid w:val="00E476A3"/>
    <w:rsid w:val="00E51172"/>
    <w:rsid w:val="00E51AD3"/>
    <w:rsid w:val="00E51E14"/>
    <w:rsid w:val="00E528A5"/>
    <w:rsid w:val="00E55C6C"/>
    <w:rsid w:val="00E56D4D"/>
    <w:rsid w:val="00E60005"/>
    <w:rsid w:val="00E60F0A"/>
    <w:rsid w:val="00E629E3"/>
    <w:rsid w:val="00E663FB"/>
    <w:rsid w:val="00E6700A"/>
    <w:rsid w:val="00E71FF3"/>
    <w:rsid w:val="00E73423"/>
    <w:rsid w:val="00E73754"/>
    <w:rsid w:val="00E74672"/>
    <w:rsid w:val="00E74E8C"/>
    <w:rsid w:val="00E7566C"/>
    <w:rsid w:val="00E75E13"/>
    <w:rsid w:val="00E76521"/>
    <w:rsid w:val="00E7663C"/>
    <w:rsid w:val="00E772D4"/>
    <w:rsid w:val="00E77F4C"/>
    <w:rsid w:val="00E80493"/>
    <w:rsid w:val="00E806C6"/>
    <w:rsid w:val="00E8208F"/>
    <w:rsid w:val="00E8219A"/>
    <w:rsid w:val="00E82255"/>
    <w:rsid w:val="00E82757"/>
    <w:rsid w:val="00E837B8"/>
    <w:rsid w:val="00E85527"/>
    <w:rsid w:val="00E85DE8"/>
    <w:rsid w:val="00E85E6C"/>
    <w:rsid w:val="00E912F1"/>
    <w:rsid w:val="00E91320"/>
    <w:rsid w:val="00E919C6"/>
    <w:rsid w:val="00E924E8"/>
    <w:rsid w:val="00E943CB"/>
    <w:rsid w:val="00E96EB7"/>
    <w:rsid w:val="00E97D80"/>
    <w:rsid w:val="00EA0E02"/>
    <w:rsid w:val="00EA1C8E"/>
    <w:rsid w:val="00EA2950"/>
    <w:rsid w:val="00EA2CD4"/>
    <w:rsid w:val="00EA30F0"/>
    <w:rsid w:val="00EA39AF"/>
    <w:rsid w:val="00EA439C"/>
    <w:rsid w:val="00EA6802"/>
    <w:rsid w:val="00EA69AA"/>
    <w:rsid w:val="00EA6A11"/>
    <w:rsid w:val="00EA6C77"/>
    <w:rsid w:val="00EB02B4"/>
    <w:rsid w:val="00EB12CA"/>
    <w:rsid w:val="00EB22F0"/>
    <w:rsid w:val="00EB259D"/>
    <w:rsid w:val="00EB2B2D"/>
    <w:rsid w:val="00EB2E83"/>
    <w:rsid w:val="00EB40ED"/>
    <w:rsid w:val="00EB422B"/>
    <w:rsid w:val="00EB56CD"/>
    <w:rsid w:val="00EB5EB0"/>
    <w:rsid w:val="00EB671E"/>
    <w:rsid w:val="00EB7131"/>
    <w:rsid w:val="00EB75F1"/>
    <w:rsid w:val="00EC0627"/>
    <w:rsid w:val="00EC08E6"/>
    <w:rsid w:val="00EC0BC9"/>
    <w:rsid w:val="00EC10D0"/>
    <w:rsid w:val="00EC26E3"/>
    <w:rsid w:val="00EC3AD3"/>
    <w:rsid w:val="00EC4DE6"/>
    <w:rsid w:val="00EC5F94"/>
    <w:rsid w:val="00EC61CF"/>
    <w:rsid w:val="00EC7B38"/>
    <w:rsid w:val="00EC7BDB"/>
    <w:rsid w:val="00EC7C78"/>
    <w:rsid w:val="00ED00C4"/>
    <w:rsid w:val="00ED224C"/>
    <w:rsid w:val="00ED2B5D"/>
    <w:rsid w:val="00ED3C1B"/>
    <w:rsid w:val="00ED4501"/>
    <w:rsid w:val="00ED48C9"/>
    <w:rsid w:val="00ED51D9"/>
    <w:rsid w:val="00ED6D16"/>
    <w:rsid w:val="00ED7773"/>
    <w:rsid w:val="00ED7950"/>
    <w:rsid w:val="00EE1978"/>
    <w:rsid w:val="00EE2014"/>
    <w:rsid w:val="00EE2781"/>
    <w:rsid w:val="00EE2CDE"/>
    <w:rsid w:val="00EE3A25"/>
    <w:rsid w:val="00EE3A3D"/>
    <w:rsid w:val="00EE3DD7"/>
    <w:rsid w:val="00EE5166"/>
    <w:rsid w:val="00EE569C"/>
    <w:rsid w:val="00EE5CCC"/>
    <w:rsid w:val="00EE72DF"/>
    <w:rsid w:val="00EE7B1A"/>
    <w:rsid w:val="00EF18CB"/>
    <w:rsid w:val="00EF235D"/>
    <w:rsid w:val="00EF23AF"/>
    <w:rsid w:val="00EF25F7"/>
    <w:rsid w:val="00EF2E9C"/>
    <w:rsid w:val="00EF3182"/>
    <w:rsid w:val="00EF3C31"/>
    <w:rsid w:val="00EF5927"/>
    <w:rsid w:val="00EF6176"/>
    <w:rsid w:val="00EF7D8F"/>
    <w:rsid w:val="00F00043"/>
    <w:rsid w:val="00F0032C"/>
    <w:rsid w:val="00F00C33"/>
    <w:rsid w:val="00F01184"/>
    <w:rsid w:val="00F01234"/>
    <w:rsid w:val="00F02424"/>
    <w:rsid w:val="00F02C9B"/>
    <w:rsid w:val="00F03A18"/>
    <w:rsid w:val="00F044F5"/>
    <w:rsid w:val="00F0497A"/>
    <w:rsid w:val="00F04BD6"/>
    <w:rsid w:val="00F053DC"/>
    <w:rsid w:val="00F05948"/>
    <w:rsid w:val="00F102AD"/>
    <w:rsid w:val="00F1092C"/>
    <w:rsid w:val="00F10A55"/>
    <w:rsid w:val="00F1179A"/>
    <w:rsid w:val="00F1180A"/>
    <w:rsid w:val="00F120C8"/>
    <w:rsid w:val="00F123CA"/>
    <w:rsid w:val="00F12549"/>
    <w:rsid w:val="00F12723"/>
    <w:rsid w:val="00F12E46"/>
    <w:rsid w:val="00F133F1"/>
    <w:rsid w:val="00F13A83"/>
    <w:rsid w:val="00F1524B"/>
    <w:rsid w:val="00F169DB"/>
    <w:rsid w:val="00F170B0"/>
    <w:rsid w:val="00F1772A"/>
    <w:rsid w:val="00F218A0"/>
    <w:rsid w:val="00F21EBF"/>
    <w:rsid w:val="00F21F0F"/>
    <w:rsid w:val="00F23F12"/>
    <w:rsid w:val="00F252D3"/>
    <w:rsid w:val="00F256D1"/>
    <w:rsid w:val="00F27459"/>
    <w:rsid w:val="00F27705"/>
    <w:rsid w:val="00F30CC0"/>
    <w:rsid w:val="00F31667"/>
    <w:rsid w:val="00F325C3"/>
    <w:rsid w:val="00F32BFD"/>
    <w:rsid w:val="00F32FA8"/>
    <w:rsid w:val="00F33E79"/>
    <w:rsid w:val="00F344EE"/>
    <w:rsid w:val="00F34EAD"/>
    <w:rsid w:val="00F353D2"/>
    <w:rsid w:val="00F363B2"/>
    <w:rsid w:val="00F4208D"/>
    <w:rsid w:val="00F42E84"/>
    <w:rsid w:val="00F44026"/>
    <w:rsid w:val="00F45B43"/>
    <w:rsid w:val="00F4678A"/>
    <w:rsid w:val="00F46A7D"/>
    <w:rsid w:val="00F47BEC"/>
    <w:rsid w:val="00F5054D"/>
    <w:rsid w:val="00F51153"/>
    <w:rsid w:val="00F53669"/>
    <w:rsid w:val="00F54B1C"/>
    <w:rsid w:val="00F55DEA"/>
    <w:rsid w:val="00F56671"/>
    <w:rsid w:val="00F56C7C"/>
    <w:rsid w:val="00F57666"/>
    <w:rsid w:val="00F60267"/>
    <w:rsid w:val="00F60304"/>
    <w:rsid w:val="00F604A0"/>
    <w:rsid w:val="00F61248"/>
    <w:rsid w:val="00F64195"/>
    <w:rsid w:val="00F65C6C"/>
    <w:rsid w:val="00F65EAD"/>
    <w:rsid w:val="00F66B4E"/>
    <w:rsid w:val="00F67EED"/>
    <w:rsid w:val="00F70294"/>
    <w:rsid w:val="00F7075E"/>
    <w:rsid w:val="00F7089C"/>
    <w:rsid w:val="00F70ED2"/>
    <w:rsid w:val="00F712E4"/>
    <w:rsid w:val="00F715EB"/>
    <w:rsid w:val="00F71DFF"/>
    <w:rsid w:val="00F7264F"/>
    <w:rsid w:val="00F73412"/>
    <w:rsid w:val="00F737C8"/>
    <w:rsid w:val="00F776F8"/>
    <w:rsid w:val="00F77FCE"/>
    <w:rsid w:val="00F81D07"/>
    <w:rsid w:val="00F821DB"/>
    <w:rsid w:val="00F83579"/>
    <w:rsid w:val="00F8438F"/>
    <w:rsid w:val="00F85263"/>
    <w:rsid w:val="00F85772"/>
    <w:rsid w:val="00F85A9D"/>
    <w:rsid w:val="00F85F67"/>
    <w:rsid w:val="00F86C95"/>
    <w:rsid w:val="00F8706F"/>
    <w:rsid w:val="00F90448"/>
    <w:rsid w:val="00F90D29"/>
    <w:rsid w:val="00F917FF"/>
    <w:rsid w:val="00F93A03"/>
    <w:rsid w:val="00F94D99"/>
    <w:rsid w:val="00F94E89"/>
    <w:rsid w:val="00F95308"/>
    <w:rsid w:val="00FA0819"/>
    <w:rsid w:val="00FA1BC0"/>
    <w:rsid w:val="00FA2298"/>
    <w:rsid w:val="00FA2786"/>
    <w:rsid w:val="00FA2DAD"/>
    <w:rsid w:val="00FA41CF"/>
    <w:rsid w:val="00FA440B"/>
    <w:rsid w:val="00FA5022"/>
    <w:rsid w:val="00FA5F67"/>
    <w:rsid w:val="00FA5FF1"/>
    <w:rsid w:val="00FA64B9"/>
    <w:rsid w:val="00FA6557"/>
    <w:rsid w:val="00FA6D4D"/>
    <w:rsid w:val="00FA705E"/>
    <w:rsid w:val="00FA73CC"/>
    <w:rsid w:val="00FB0362"/>
    <w:rsid w:val="00FB052F"/>
    <w:rsid w:val="00FB132D"/>
    <w:rsid w:val="00FB1BC9"/>
    <w:rsid w:val="00FB1FEE"/>
    <w:rsid w:val="00FB27C0"/>
    <w:rsid w:val="00FB4401"/>
    <w:rsid w:val="00FB5AA2"/>
    <w:rsid w:val="00FB7A30"/>
    <w:rsid w:val="00FC0073"/>
    <w:rsid w:val="00FC0BF9"/>
    <w:rsid w:val="00FC18A6"/>
    <w:rsid w:val="00FC435B"/>
    <w:rsid w:val="00FC474F"/>
    <w:rsid w:val="00FC5466"/>
    <w:rsid w:val="00FC54F6"/>
    <w:rsid w:val="00FC5E3E"/>
    <w:rsid w:val="00FC628B"/>
    <w:rsid w:val="00FC6339"/>
    <w:rsid w:val="00FC7DA5"/>
    <w:rsid w:val="00FC7E91"/>
    <w:rsid w:val="00FD0780"/>
    <w:rsid w:val="00FD0E83"/>
    <w:rsid w:val="00FD2B5C"/>
    <w:rsid w:val="00FD3008"/>
    <w:rsid w:val="00FD3120"/>
    <w:rsid w:val="00FD3B9C"/>
    <w:rsid w:val="00FD4102"/>
    <w:rsid w:val="00FD6993"/>
    <w:rsid w:val="00FD6A65"/>
    <w:rsid w:val="00FD7A36"/>
    <w:rsid w:val="00FE0E28"/>
    <w:rsid w:val="00FE0E49"/>
    <w:rsid w:val="00FE0EA2"/>
    <w:rsid w:val="00FE443A"/>
    <w:rsid w:val="00FE4954"/>
    <w:rsid w:val="00FE4B61"/>
    <w:rsid w:val="00FE4BBD"/>
    <w:rsid w:val="00FE5FB5"/>
    <w:rsid w:val="00FE61E2"/>
    <w:rsid w:val="00FE6A57"/>
    <w:rsid w:val="00FE77E4"/>
    <w:rsid w:val="00FF01C2"/>
    <w:rsid w:val="00FF1124"/>
    <w:rsid w:val="00FF22EF"/>
    <w:rsid w:val="00FF2B31"/>
    <w:rsid w:val="00FF35D4"/>
    <w:rsid w:val="00FF55FD"/>
    <w:rsid w:val="00FF5CC4"/>
    <w:rsid w:val="00FF6BF5"/>
    <w:rsid w:val="00FF6C6A"/>
    <w:rsid w:val="00FF7280"/>
    <w:rsid w:val="03D66BA6"/>
    <w:rsid w:val="0E0A401C"/>
    <w:rsid w:val="11FD58A0"/>
    <w:rsid w:val="152476E5"/>
    <w:rsid w:val="156B5856"/>
    <w:rsid w:val="17E7195A"/>
    <w:rsid w:val="193C4CB6"/>
    <w:rsid w:val="20362250"/>
    <w:rsid w:val="2D216218"/>
    <w:rsid w:val="2DAE16C6"/>
    <w:rsid w:val="307849BD"/>
    <w:rsid w:val="30FA5A3A"/>
    <w:rsid w:val="35E978AA"/>
    <w:rsid w:val="385D6752"/>
    <w:rsid w:val="3BB4D1B6"/>
    <w:rsid w:val="3D001756"/>
    <w:rsid w:val="41E579D9"/>
    <w:rsid w:val="4BB72AB2"/>
    <w:rsid w:val="4D0B5C4E"/>
    <w:rsid w:val="4DDE123C"/>
    <w:rsid w:val="52491E8D"/>
    <w:rsid w:val="57281E1C"/>
    <w:rsid w:val="59C471CD"/>
    <w:rsid w:val="5FAF4BC7"/>
    <w:rsid w:val="607E751E"/>
    <w:rsid w:val="63F61AE1"/>
    <w:rsid w:val="64566D1C"/>
    <w:rsid w:val="65B2419B"/>
    <w:rsid w:val="67A42616"/>
    <w:rsid w:val="68CC1793"/>
    <w:rsid w:val="6ABD123E"/>
    <w:rsid w:val="6F5054C9"/>
    <w:rsid w:val="72326CC5"/>
    <w:rsid w:val="78613BAF"/>
    <w:rsid w:val="7A717F49"/>
    <w:rsid w:val="7B7989CB"/>
    <w:rsid w:val="7BC90EC6"/>
    <w:rsid w:val="7C6B4F9D"/>
    <w:rsid w:val="E7FF8281"/>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0" w:name="index heading"/>
    <w:lsdException w:qFormat="1" w:unhideWhenUsed="0" w:uiPriority="0" w:semiHidden="0" w:name="caption"/>
    <w:lsdException w:qFormat="1" w:unhideWhenUsed="0" w:uiPriority="99" w:semiHidden="0" w:name="table of figures"/>
    <w:lsdException w:uiPriority="0" w:name="envelope address"/>
    <w:lsdException w:uiPriority="0" w:name="envelope return"/>
    <w:lsdException w:uiPriority="0" w:name="footnote reference"/>
    <w:lsdException w:qFormat="1" w:unhideWhenUsed="0" w:uiPriority="0" w:semiHidden="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qFormat="1" w:unhideWhenUsed="0"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MS Mincho" w:cs="Times New Roman"/>
      <w:snapToGrid w:val="0"/>
      <w:sz w:val="16"/>
      <w:szCs w:val="16"/>
      <w:lang w:val="en-GB" w:eastAsia="ja-JP" w:bidi="ar-SA"/>
    </w:rPr>
  </w:style>
  <w:style w:type="paragraph" w:styleId="2">
    <w:name w:val="heading 1"/>
    <w:basedOn w:val="1"/>
    <w:next w:val="1"/>
    <w:link w:val="123"/>
    <w:qFormat/>
    <w:uiPriority w:val="0"/>
    <w:pPr>
      <w:keepNext/>
      <w:spacing w:before="240" w:after="60"/>
      <w:outlineLvl w:val="0"/>
    </w:pPr>
    <w:rPr>
      <w:rFonts w:cs="Arial"/>
      <w:b/>
      <w:bCs/>
      <w:kern w:val="32"/>
      <w:sz w:val="24"/>
      <w:szCs w:val="32"/>
    </w:rPr>
  </w:style>
  <w:style w:type="paragraph" w:styleId="3">
    <w:name w:val="heading 2"/>
    <w:basedOn w:val="1"/>
    <w:next w:val="1"/>
    <w:link w:val="156"/>
    <w:qFormat/>
    <w:uiPriority w:val="0"/>
    <w:pPr>
      <w:keepNext/>
      <w:spacing w:before="120" w:after="60"/>
      <w:outlineLvl w:val="1"/>
    </w:pPr>
    <w:rPr>
      <w:rFonts w:cs="Arial"/>
      <w:b/>
      <w:bCs/>
      <w:iCs/>
      <w:sz w:val="20"/>
      <w:szCs w:val="28"/>
    </w:rPr>
  </w:style>
  <w:style w:type="paragraph" w:styleId="4">
    <w:name w:val="heading 3"/>
    <w:basedOn w:val="1"/>
    <w:next w:val="1"/>
    <w:link w:val="140"/>
    <w:qFormat/>
    <w:uiPriority w:val="0"/>
    <w:pPr>
      <w:keepNext/>
      <w:spacing w:before="60" w:after="60"/>
      <w:outlineLvl w:val="2"/>
    </w:pPr>
    <w:rPr>
      <w:rFonts w:cs="Arial"/>
      <w:b/>
      <w:bCs/>
      <w:szCs w:val="26"/>
    </w:rPr>
  </w:style>
  <w:style w:type="paragraph" w:styleId="5">
    <w:name w:val="heading 4"/>
    <w:basedOn w:val="1"/>
    <w:next w:val="1"/>
    <w:link w:val="124"/>
    <w:qFormat/>
    <w:uiPriority w:val="0"/>
    <w:pPr>
      <w:keepNext/>
      <w:keepLines/>
      <w:widowControl w:val="0"/>
      <w:numPr>
        <w:ilvl w:val="3"/>
        <w:numId w:val="1"/>
      </w:numPr>
      <w:spacing w:before="280" w:after="290" w:line="376" w:lineRule="auto"/>
      <w:jc w:val="both"/>
      <w:outlineLvl w:val="3"/>
    </w:pPr>
    <w:rPr>
      <w:rFonts w:ascii="Cambria" w:hAnsi="Cambria" w:eastAsia="宋体"/>
      <w:b/>
      <w:bCs/>
      <w:snapToGrid/>
      <w:kern w:val="2"/>
      <w:sz w:val="28"/>
      <w:szCs w:val="28"/>
      <w:lang w:val="zh-CN" w:eastAsia="zh-CN"/>
    </w:rPr>
  </w:style>
  <w:style w:type="character" w:default="1" w:styleId="28">
    <w:name w:val="Default Paragraph Font"/>
    <w:semiHidden/>
    <w:unhideWhenUsed/>
    <w:qFormat/>
    <w:uiPriority w:val="1"/>
  </w:style>
  <w:style w:type="table" w:default="1" w:styleId="26">
    <w:name w:val="Normal Table"/>
    <w:semiHidden/>
    <w:unhideWhenUsed/>
    <w:qFormat/>
    <w:uiPriority w:val="99"/>
    <w:tblPr>
      <w:tblCellMar>
        <w:top w:w="0" w:type="dxa"/>
        <w:left w:w="108" w:type="dxa"/>
        <w:bottom w:w="0" w:type="dxa"/>
        <w:right w:w="108" w:type="dxa"/>
      </w:tblCellMar>
    </w:tblPr>
  </w:style>
  <w:style w:type="paragraph" w:styleId="6">
    <w:name w:val="Normal Indent"/>
    <w:basedOn w:val="1"/>
    <w:qFormat/>
    <w:uiPriority w:val="0"/>
    <w:pPr>
      <w:widowControl w:val="0"/>
      <w:spacing w:beforeLines="50" w:line="288" w:lineRule="auto"/>
      <w:ind w:left="1199" w:leftChars="1199" w:firstLine="200" w:firstLineChars="200"/>
      <w:jc w:val="both"/>
    </w:pPr>
    <w:rPr>
      <w:rFonts w:ascii="Times New Roman" w:hAnsi="Times New Roman" w:eastAsia="楷体_GB2312"/>
      <w:snapToGrid/>
      <w:kern w:val="2"/>
      <w:sz w:val="21"/>
      <w:szCs w:val="20"/>
      <w:lang w:val="en-US" w:eastAsia="zh-CN"/>
    </w:rPr>
  </w:style>
  <w:style w:type="paragraph" w:styleId="7">
    <w:name w:val="caption"/>
    <w:basedOn w:val="1"/>
    <w:next w:val="1"/>
    <w:qFormat/>
    <w:uiPriority w:val="0"/>
    <w:pPr>
      <w:widowControl w:val="0"/>
      <w:spacing w:before="120" w:line="300" w:lineRule="auto"/>
      <w:ind w:left="2520" w:leftChars="1200"/>
      <w:jc w:val="center"/>
    </w:pPr>
    <w:rPr>
      <w:rFonts w:ascii="楷体_GB2312" w:hAnsi="Arial" w:eastAsia="楷体_GB2312" w:cs="Arial"/>
      <w:b/>
      <w:bCs/>
      <w:snapToGrid/>
      <w:kern w:val="2"/>
      <w:sz w:val="20"/>
      <w:szCs w:val="20"/>
      <w:lang w:val="en-US" w:eastAsia="zh-CN"/>
    </w:rPr>
  </w:style>
  <w:style w:type="paragraph" w:styleId="8">
    <w:name w:val="annotation text"/>
    <w:basedOn w:val="1"/>
    <w:link w:val="136"/>
    <w:qFormat/>
    <w:uiPriority w:val="0"/>
    <w:pPr>
      <w:widowControl w:val="0"/>
    </w:pPr>
    <w:rPr>
      <w:rFonts w:ascii="Times New Roman" w:hAnsi="Times New Roman" w:eastAsia="宋体"/>
      <w:snapToGrid/>
      <w:kern w:val="2"/>
      <w:sz w:val="21"/>
      <w:szCs w:val="24"/>
      <w:lang w:val="zh-CN" w:eastAsia="zh-CN"/>
    </w:rPr>
  </w:style>
  <w:style w:type="paragraph" w:styleId="9">
    <w:name w:val="Body Text 3"/>
    <w:basedOn w:val="1"/>
    <w:link w:val="128"/>
    <w:qFormat/>
    <w:uiPriority w:val="0"/>
    <w:pPr>
      <w:widowControl w:val="0"/>
      <w:jc w:val="both"/>
    </w:pPr>
    <w:rPr>
      <w:rFonts w:ascii="汉仪楷体简" w:hAnsi="Times New Roman" w:eastAsia="汉仪楷体简"/>
      <w:snapToGrid/>
      <w:color w:val="000000"/>
      <w:sz w:val="18"/>
      <w:lang w:val="en-US" w:eastAsia="zh-CN"/>
    </w:rPr>
  </w:style>
  <w:style w:type="paragraph" w:styleId="10">
    <w:name w:val="Body Text"/>
    <w:basedOn w:val="1"/>
    <w:link w:val="125"/>
    <w:qFormat/>
    <w:uiPriority w:val="0"/>
    <w:pPr>
      <w:widowControl w:val="0"/>
      <w:tabs>
        <w:tab w:val="left" w:pos="3045"/>
      </w:tabs>
      <w:ind w:right="7159" w:rightChars="3409"/>
      <w:jc w:val="both"/>
    </w:pPr>
    <w:rPr>
      <w:rFonts w:ascii="Times New Roman" w:hAnsi="Times New Roman" w:eastAsia="宋体"/>
      <w:snapToGrid/>
      <w:kern w:val="2"/>
      <w:sz w:val="21"/>
      <w:szCs w:val="24"/>
      <w:lang w:val="en-US" w:eastAsia="zh-CN"/>
    </w:rPr>
  </w:style>
  <w:style w:type="paragraph" w:styleId="11">
    <w:name w:val="Body Text Indent"/>
    <w:basedOn w:val="1"/>
    <w:link w:val="126"/>
    <w:qFormat/>
    <w:uiPriority w:val="0"/>
    <w:pPr>
      <w:widowControl w:val="0"/>
      <w:ind w:left="3150" w:leftChars="1500"/>
      <w:jc w:val="both"/>
    </w:pPr>
    <w:rPr>
      <w:rFonts w:ascii="汉仪楷体简" w:hAnsi="Times New Roman" w:eastAsia="汉仪楷体简"/>
      <w:snapToGrid/>
      <w:color w:val="000000"/>
      <w:sz w:val="18"/>
      <w:lang w:val="en-US" w:eastAsia="zh-CN"/>
    </w:rPr>
  </w:style>
  <w:style w:type="paragraph" w:styleId="12">
    <w:name w:val="Block Text"/>
    <w:basedOn w:val="1"/>
    <w:qFormat/>
    <w:uiPriority w:val="0"/>
    <w:pPr>
      <w:widowControl w:val="0"/>
      <w:ind w:left="3261" w:leftChars="1553" w:right="55" w:rightChars="26" w:firstLine="1"/>
    </w:pPr>
    <w:rPr>
      <w:rFonts w:ascii="Times New Roman" w:hAnsi="Times New Roman" w:eastAsia="汉仪大黑简"/>
      <w:snapToGrid/>
      <w:color w:val="000000"/>
      <w:kern w:val="2"/>
      <w:sz w:val="18"/>
      <w:szCs w:val="24"/>
      <w:lang w:val="en-US" w:eastAsia="zh-CN"/>
    </w:rPr>
  </w:style>
  <w:style w:type="paragraph" w:styleId="13">
    <w:name w:val="toc 3"/>
    <w:basedOn w:val="1"/>
    <w:next w:val="1"/>
    <w:qFormat/>
    <w:uiPriority w:val="39"/>
    <w:pPr>
      <w:widowControl w:val="0"/>
      <w:tabs>
        <w:tab w:val="left" w:pos="3150"/>
        <w:tab w:val="right" w:leader="dot" w:pos="10537"/>
      </w:tabs>
      <w:spacing w:line="440" w:lineRule="exact"/>
      <w:ind w:left="1700" w:leftChars="1700"/>
      <w:jc w:val="both"/>
    </w:pPr>
    <w:rPr>
      <w:rFonts w:ascii="Arial" w:hAnsi="Arial" w:eastAsia="楷体_GB2312"/>
      <w:snapToGrid/>
      <w:kern w:val="2"/>
      <w:sz w:val="20"/>
      <w:szCs w:val="24"/>
      <w:lang w:val="en-US" w:eastAsia="zh-CN"/>
    </w:rPr>
  </w:style>
  <w:style w:type="paragraph" w:styleId="14">
    <w:name w:val="Date"/>
    <w:basedOn w:val="1"/>
    <w:next w:val="1"/>
    <w:link w:val="131"/>
    <w:qFormat/>
    <w:uiPriority w:val="0"/>
    <w:pPr>
      <w:widowControl w:val="0"/>
      <w:autoSpaceDE w:val="0"/>
      <w:autoSpaceDN w:val="0"/>
      <w:adjustRightInd w:val="0"/>
      <w:jc w:val="both"/>
      <w:textAlignment w:val="baseline"/>
    </w:pPr>
    <w:rPr>
      <w:rFonts w:ascii="宋体" w:hAnsi="Times New Roman" w:eastAsia="宋体"/>
      <w:snapToGrid/>
      <w:kern w:val="2"/>
      <w:sz w:val="28"/>
      <w:szCs w:val="20"/>
      <w:lang w:val="en-US" w:eastAsia="zh-CN"/>
    </w:rPr>
  </w:style>
  <w:style w:type="paragraph" w:styleId="15">
    <w:name w:val="Body Text Indent 2"/>
    <w:basedOn w:val="1"/>
    <w:link w:val="129"/>
    <w:qFormat/>
    <w:uiPriority w:val="0"/>
    <w:pPr>
      <w:widowControl w:val="0"/>
      <w:autoSpaceDE w:val="0"/>
      <w:autoSpaceDN w:val="0"/>
      <w:adjustRightInd w:val="0"/>
      <w:ind w:left="2520" w:leftChars="1200" w:firstLine="360" w:firstLineChars="150"/>
    </w:pPr>
    <w:rPr>
      <w:rFonts w:ascii="楷体_GB2312" w:hAnsi="Times New Roman" w:eastAsia="楷体_GB2312"/>
      <w:snapToGrid/>
      <w:sz w:val="24"/>
      <w:szCs w:val="24"/>
      <w:lang w:val="en-US" w:eastAsia="zh-CN"/>
    </w:rPr>
  </w:style>
  <w:style w:type="paragraph" w:styleId="16">
    <w:name w:val="Balloon Text"/>
    <w:basedOn w:val="1"/>
    <w:link w:val="34"/>
    <w:qFormat/>
    <w:uiPriority w:val="0"/>
    <w:rPr>
      <w:rFonts w:ascii="Tahoma" w:hAnsi="Tahoma" w:cs="Tahoma"/>
    </w:rPr>
  </w:style>
  <w:style w:type="paragraph" w:styleId="17">
    <w:name w:val="footer"/>
    <w:basedOn w:val="1"/>
    <w:qFormat/>
    <w:uiPriority w:val="0"/>
    <w:pPr>
      <w:tabs>
        <w:tab w:val="center" w:pos="4419"/>
        <w:tab w:val="right" w:pos="8838"/>
      </w:tabs>
    </w:pPr>
  </w:style>
  <w:style w:type="paragraph" w:styleId="18">
    <w:name w:val="header"/>
    <w:basedOn w:val="1"/>
    <w:qFormat/>
    <w:uiPriority w:val="0"/>
    <w:pPr>
      <w:tabs>
        <w:tab w:val="center" w:pos="4419"/>
        <w:tab w:val="right" w:pos="8838"/>
      </w:tabs>
    </w:pPr>
  </w:style>
  <w:style w:type="paragraph" w:styleId="19">
    <w:name w:val="toc 1"/>
    <w:basedOn w:val="1"/>
    <w:next w:val="1"/>
    <w:qFormat/>
    <w:uiPriority w:val="39"/>
    <w:pPr>
      <w:widowControl w:val="0"/>
      <w:tabs>
        <w:tab w:val="left" w:pos="2835"/>
        <w:tab w:val="left" w:pos="3325"/>
        <w:tab w:val="right" w:leader="dot" w:pos="10537"/>
      </w:tabs>
      <w:overflowPunct w:val="0"/>
      <w:spacing w:line="440" w:lineRule="exact"/>
      <w:ind w:left="1300" w:leftChars="1300"/>
      <w:jc w:val="both"/>
    </w:pPr>
    <w:rPr>
      <w:rFonts w:ascii="Arial" w:hAnsi="Arial" w:eastAsia="楷体_GB2312"/>
      <w:snapToGrid/>
      <w:kern w:val="2"/>
      <w:sz w:val="21"/>
      <w:szCs w:val="24"/>
      <w:lang w:val="en-US" w:eastAsia="zh-CN"/>
    </w:rPr>
  </w:style>
  <w:style w:type="paragraph" w:styleId="20">
    <w:name w:val="Body Text Indent 3"/>
    <w:basedOn w:val="1"/>
    <w:link w:val="130"/>
    <w:qFormat/>
    <w:uiPriority w:val="0"/>
    <w:pPr>
      <w:framePr w:hSpace="180" w:wrap="around" w:vAnchor="text" w:hAnchor="text" w:xAlign="right" w:y="1"/>
      <w:suppressOverlap/>
      <w:widowControl w:val="0"/>
      <w:spacing w:line="320" w:lineRule="exact"/>
      <w:ind w:left="50" w:leftChars="24" w:firstLine="485" w:firstLineChars="202"/>
      <w:jc w:val="both"/>
    </w:pPr>
    <w:rPr>
      <w:rFonts w:ascii="楷体_GB2312" w:hAnsi="Times New Roman" w:eastAsia="楷体_GB2312"/>
      <w:snapToGrid/>
      <w:color w:val="000000"/>
      <w:kern w:val="2"/>
      <w:sz w:val="24"/>
      <w:szCs w:val="24"/>
      <w:lang w:val="en-US" w:eastAsia="zh-CN"/>
    </w:rPr>
  </w:style>
  <w:style w:type="paragraph" w:styleId="21">
    <w:name w:val="table of figures"/>
    <w:basedOn w:val="1"/>
    <w:next w:val="1"/>
    <w:qFormat/>
    <w:uiPriority w:val="99"/>
    <w:pPr>
      <w:widowControl w:val="0"/>
      <w:spacing w:line="440" w:lineRule="exact"/>
      <w:ind w:left="1300" w:leftChars="1300"/>
    </w:pPr>
    <w:rPr>
      <w:rFonts w:ascii="Arial" w:hAnsi="Arial" w:eastAsia="楷体_GB2312"/>
      <w:snapToGrid/>
      <w:kern w:val="2"/>
      <w:sz w:val="20"/>
      <w:szCs w:val="24"/>
      <w:lang w:val="en-US" w:eastAsia="zh-CN"/>
    </w:rPr>
  </w:style>
  <w:style w:type="paragraph" w:styleId="22">
    <w:name w:val="toc 2"/>
    <w:basedOn w:val="1"/>
    <w:next w:val="1"/>
    <w:qFormat/>
    <w:uiPriority w:val="39"/>
    <w:pPr>
      <w:widowControl w:val="0"/>
      <w:tabs>
        <w:tab w:val="left" w:pos="2835"/>
        <w:tab w:val="right" w:leader="dot" w:pos="10500"/>
      </w:tabs>
      <w:overflowPunct w:val="0"/>
      <w:spacing w:line="440" w:lineRule="exact"/>
      <w:ind w:left="1500" w:leftChars="1500"/>
      <w:jc w:val="both"/>
    </w:pPr>
    <w:rPr>
      <w:rFonts w:ascii="Arial" w:hAnsi="Arial" w:eastAsia="楷体_GB2312"/>
      <w:snapToGrid/>
      <w:kern w:val="2"/>
      <w:sz w:val="20"/>
      <w:szCs w:val="24"/>
      <w:lang w:val="en-US" w:eastAsia="zh-CN"/>
    </w:rPr>
  </w:style>
  <w:style w:type="paragraph" w:styleId="23">
    <w:name w:val="Body Text 2"/>
    <w:basedOn w:val="1"/>
    <w:link w:val="127"/>
    <w:qFormat/>
    <w:uiPriority w:val="0"/>
    <w:pPr>
      <w:widowControl w:val="0"/>
      <w:jc w:val="both"/>
    </w:pPr>
    <w:rPr>
      <w:rFonts w:ascii="Times New Roman" w:hAnsi="Times New Roman" w:eastAsia="汉仪楷体简"/>
      <w:snapToGrid/>
      <w:sz w:val="18"/>
      <w:szCs w:val="24"/>
      <w:lang w:val="en-US" w:eastAsia="zh-CN"/>
    </w:rPr>
  </w:style>
  <w:style w:type="paragraph" w:styleId="24">
    <w:name w:val="Normal (Web)"/>
    <w:basedOn w:val="1"/>
    <w:qFormat/>
    <w:uiPriority w:val="0"/>
    <w:pPr>
      <w:spacing w:before="100" w:beforeAutospacing="1" w:after="100" w:afterAutospacing="1"/>
    </w:pPr>
    <w:rPr>
      <w:rFonts w:ascii="宋体" w:hAnsi="宋体" w:eastAsia="宋体" w:cs="宋体"/>
      <w:snapToGrid/>
      <w:sz w:val="24"/>
      <w:szCs w:val="24"/>
      <w:lang w:val="en-US" w:eastAsia="zh-CN"/>
    </w:rPr>
  </w:style>
  <w:style w:type="paragraph" w:styleId="25">
    <w:name w:val="annotation subject"/>
    <w:basedOn w:val="8"/>
    <w:next w:val="8"/>
    <w:link w:val="137"/>
    <w:qFormat/>
    <w:uiPriority w:val="0"/>
    <w:rPr>
      <w:b/>
      <w:bCs/>
    </w:rPr>
  </w:style>
  <w:style w:type="table" w:styleId="27">
    <w:name w:val="Table Grid"/>
    <w:basedOn w:val="2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9">
    <w:name w:val="Strong"/>
    <w:qFormat/>
    <w:uiPriority w:val="0"/>
    <w:rPr>
      <w:b/>
      <w:bCs/>
    </w:rPr>
  </w:style>
  <w:style w:type="character" w:styleId="30">
    <w:name w:val="page number"/>
    <w:basedOn w:val="28"/>
    <w:qFormat/>
    <w:uiPriority w:val="0"/>
  </w:style>
  <w:style w:type="character" w:styleId="31">
    <w:name w:val="FollowedHyperlink"/>
    <w:qFormat/>
    <w:uiPriority w:val="0"/>
    <w:rPr>
      <w:color w:val="800080"/>
      <w:u w:val="single"/>
    </w:rPr>
  </w:style>
  <w:style w:type="character" w:styleId="32">
    <w:name w:val="Hyperlink"/>
    <w:basedOn w:val="28"/>
    <w:qFormat/>
    <w:uiPriority w:val="99"/>
    <w:rPr>
      <w:color w:val="0000FF"/>
      <w:u w:val="single"/>
    </w:rPr>
  </w:style>
  <w:style w:type="character" w:styleId="33">
    <w:name w:val="annotation reference"/>
    <w:qFormat/>
    <w:uiPriority w:val="0"/>
    <w:rPr>
      <w:sz w:val="21"/>
      <w:szCs w:val="21"/>
    </w:rPr>
  </w:style>
  <w:style w:type="character" w:customStyle="1" w:styleId="34">
    <w:name w:val="批注框文本 字符"/>
    <w:basedOn w:val="28"/>
    <w:link w:val="16"/>
    <w:qFormat/>
    <w:uiPriority w:val="0"/>
    <w:rPr>
      <w:rFonts w:ascii="Tahoma" w:hAnsi="Tahoma" w:cs="Tahoma"/>
      <w:lang w:eastAsia="ja-JP"/>
    </w:rPr>
  </w:style>
  <w:style w:type="paragraph" w:customStyle="1" w:styleId="35">
    <w:name w:val="EFAFPCompanyName"/>
    <w:next w:val="36"/>
    <w:qFormat/>
    <w:uiPriority w:val="0"/>
    <w:pPr>
      <w:framePr w:w="10858" w:h="1920" w:hRule="exact" w:wrap="around" w:vAnchor="page" w:hAnchor="page" w:x="341" w:y="1107" w:anchorLock="1"/>
      <w:adjustRightInd w:val="0"/>
      <w:snapToGrid w:val="0"/>
    </w:pPr>
    <w:rPr>
      <w:rFonts w:ascii="Calibri" w:hAnsi="Calibri" w:eastAsia="MS Mincho" w:cs="Times New Roman"/>
      <w:b/>
      <w:snapToGrid w:val="0"/>
      <w:sz w:val="36"/>
      <w:szCs w:val="40"/>
      <w:lang w:val="en-US" w:eastAsia="ja-JP" w:bidi="ar-SA"/>
    </w:rPr>
  </w:style>
  <w:style w:type="paragraph" w:customStyle="1" w:styleId="36">
    <w:name w:val="Style EFAFPFrameText_11.5pt + Right"/>
    <w:basedOn w:val="37"/>
    <w:qFormat/>
    <w:uiPriority w:val="0"/>
    <w:pPr>
      <w:framePr w:wrap="around"/>
      <w:jc w:val="right"/>
    </w:pPr>
    <w:rPr>
      <w:bCs/>
      <w:szCs w:val="20"/>
    </w:rPr>
  </w:style>
  <w:style w:type="paragraph" w:customStyle="1" w:styleId="37">
    <w:name w:val="EFAFPFrameText_11.5pt"/>
    <w:basedOn w:val="38"/>
    <w:qFormat/>
    <w:uiPriority w:val="0"/>
    <w:pPr>
      <w:framePr w:h="1520" w:hRule="exact" w:wrap="around" w:x="357" w:y="1072"/>
    </w:pPr>
    <w:rPr>
      <w:color w:val="23558C"/>
    </w:rPr>
  </w:style>
  <w:style w:type="paragraph" w:customStyle="1" w:styleId="38">
    <w:name w:val="EFAFPCompanyInfo"/>
    <w:basedOn w:val="1"/>
    <w:qFormat/>
    <w:uiPriority w:val="0"/>
    <w:pPr>
      <w:framePr w:w="10858" w:h="1920" w:hRule="exact" w:wrap="around" w:vAnchor="page" w:hAnchor="page" w:x="341" w:y="1107" w:anchorLock="1"/>
      <w:adjustRightInd w:val="0"/>
      <w:snapToGrid w:val="0"/>
    </w:pPr>
    <w:rPr>
      <w:b/>
      <w:sz w:val="24"/>
    </w:rPr>
  </w:style>
  <w:style w:type="paragraph" w:customStyle="1" w:styleId="39">
    <w:name w:val="EFABullet"/>
    <w:basedOn w:val="40"/>
    <w:qFormat/>
    <w:uiPriority w:val="0"/>
    <w:pPr>
      <w:numPr>
        <w:ilvl w:val="0"/>
        <w:numId w:val="2"/>
      </w:numPr>
      <w:tabs>
        <w:tab w:val="left" w:pos="480"/>
      </w:tabs>
      <w:ind w:left="192" w:firstLine="0"/>
    </w:pPr>
  </w:style>
  <w:style w:type="paragraph" w:customStyle="1" w:styleId="40">
    <w:name w:val="EFABodyText"/>
    <w:link w:val="56"/>
    <w:qFormat/>
    <w:uiPriority w:val="0"/>
    <w:pPr>
      <w:widowControl w:val="0"/>
      <w:adjustRightInd w:val="0"/>
      <w:snapToGrid w:val="0"/>
    </w:pPr>
    <w:rPr>
      <w:rFonts w:ascii="Calibri" w:hAnsi="Calibri" w:eastAsia="MS Mincho" w:cs="Times New Roman"/>
      <w:snapToGrid w:val="0"/>
      <w:szCs w:val="16"/>
      <w:lang w:val="en-US" w:eastAsia="ja-JP" w:bidi="ar-SA"/>
    </w:rPr>
  </w:style>
  <w:style w:type="paragraph" w:customStyle="1" w:styleId="41">
    <w:name w:val="EFAButton"/>
    <w:basedOn w:val="42"/>
    <w:qFormat/>
    <w:uiPriority w:val="0"/>
    <w:rPr>
      <w:b/>
    </w:rPr>
  </w:style>
  <w:style w:type="paragraph" w:customStyle="1" w:styleId="42">
    <w:name w:val="EFANormal"/>
    <w:link w:val="55"/>
    <w:qFormat/>
    <w:uiPriority w:val="0"/>
    <w:pPr>
      <w:widowControl w:val="0"/>
      <w:adjustRightInd w:val="0"/>
      <w:snapToGrid w:val="0"/>
    </w:pPr>
    <w:rPr>
      <w:rFonts w:ascii="Calibri" w:hAnsi="Calibri" w:eastAsia="MS Mincho" w:cs="Times New Roman"/>
      <w:snapToGrid w:val="0"/>
      <w:sz w:val="16"/>
      <w:szCs w:val="16"/>
      <w:lang w:val="en-US" w:eastAsia="ja-JP" w:bidi="ar-SA"/>
    </w:rPr>
  </w:style>
  <w:style w:type="paragraph" w:customStyle="1" w:styleId="43">
    <w:name w:val="Style EFAFPFrameText_11.5pt_Right"/>
    <w:basedOn w:val="37"/>
    <w:qFormat/>
    <w:uiPriority w:val="0"/>
    <w:pPr>
      <w:framePr w:wrap="around"/>
      <w:jc w:val="right"/>
    </w:pPr>
    <w:rPr>
      <w:bCs/>
      <w:szCs w:val="20"/>
    </w:rPr>
  </w:style>
  <w:style w:type="paragraph" w:customStyle="1" w:styleId="44">
    <w:name w:val="EFADisclaimerText"/>
    <w:basedOn w:val="42"/>
    <w:link w:val="112"/>
    <w:qFormat/>
    <w:uiPriority w:val="99"/>
    <w:pPr>
      <w:jc w:val="both"/>
    </w:pPr>
  </w:style>
  <w:style w:type="paragraph" w:styleId="45">
    <w:name w:val="List Paragraph"/>
    <w:basedOn w:val="1"/>
    <w:qFormat/>
    <w:uiPriority w:val="34"/>
    <w:pPr>
      <w:ind w:left="720"/>
      <w:contextualSpacing/>
    </w:pPr>
  </w:style>
  <w:style w:type="paragraph" w:customStyle="1" w:styleId="46">
    <w:name w:val="EFABullet_Red"/>
    <w:basedOn w:val="47"/>
    <w:qFormat/>
    <w:uiPriority w:val="0"/>
    <w:pPr>
      <w:numPr>
        <w:ilvl w:val="0"/>
        <w:numId w:val="3"/>
      </w:numPr>
      <w:tabs>
        <w:tab w:val="left" w:pos="481"/>
      </w:tabs>
    </w:pPr>
  </w:style>
  <w:style w:type="paragraph" w:customStyle="1" w:styleId="47">
    <w:name w:val="EFAFP_BodyText"/>
    <w:link w:val="57"/>
    <w:qFormat/>
    <w:uiPriority w:val="0"/>
    <w:pPr>
      <w:widowControl w:val="0"/>
      <w:adjustRightInd w:val="0"/>
      <w:snapToGrid w:val="0"/>
    </w:pPr>
    <w:rPr>
      <w:rFonts w:ascii="Calibri" w:hAnsi="Calibri" w:eastAsia="MS Mincho" w:cs="Times New Roman"/>
      <w:snapToGrid w:val="0"/>
      <w:szCs w:val="16"/>
      <w:lang w:val="en-US" w:eastAsia="ja-JP" w:bidi="ar-SA"/>
    </w:rPr>
  </w:style>
  <w:style w:type="paragraph" w:customStyle="1" w:styleId="48">
    <w:name w:val="EFA2ndPageHeader"/>
    <w:basedOn w:val="42"/>
    <w:qFormat/>
    <w:uiPriority w:val="0"/>
    <w:pPr>
      <w:spacing w:before="40" w:after="40"/>
      <w:jc w:val="right"/>
    </w:pPr>
    <w:rPr>
      <w:color w:val="FF0000"/>
      <w:sz w:val="24"/>
    </w:rPr>
  </w:style>
  <w:style w:type="paragraph" w:customStyle="1" w:styleId="49">
    <w:name w:val="EFAPageFooter"/>
    <w:basedOn w:val="42"/>
    <w:qFormat/>
    <w:uiPriority w:val="0"/>
    <w:pPr>
      <w:framePr w:wrap="around" w:vAnchor="page" w:hAnchor="page" w:x="347" w:y="15481"/>
      <w:suppressOverlap/>
      <w:tabs>
        <w:tab w:val="center" w:pos="5165"/>
      </w:tabs>
    </w:pPr>
    <w:rPr>
      <w:b/>
      <w:sz w:val="20"/>
      <w:szCs w:val="20"/>
    </w:rPr>
  </w:style>
  <w:style w:type="paragraph" w:customStyle="1" w:styleId="50">
    <w:name w:val="EFAPageHeader"/>
    <w:basedOn w:val="42"/>
    <w:qFormat/>
    <w:uiPriority w:val="0"/>
    <w:pPr>
      <w:tabs>
        <w:tab w:val="right" w:pos="10692"/>
      </w:tabs>
      <w:spacing w:before="40" w:after="40"/>
    </w:pPr>
    <w:rPr>
      <w:b/>
      <w:bCs/>
      <w:color w:val="005BAC"/>
      <w:sz w:val="24"/>
    </w:rPr>
  </w:style>
  <w:style w:type="paragraph" w:customStyle="1" w:styleId="51">
    <w:name w:val="EFAHiddenBookmark"/>
    <w:basedOn w:val="1"/>
    <w:link w:val="52"/>
    <w:qFormat/>
    <w:uiPriority w:val="99"/>
    <w:pPr>
      <w:adjustRightInd w:val="0"/>
      <w:snapToGrid w:val="0"/>
      <w:spacing w:after="40" w:line="180" w:lineRule="exact"/>
    </w:pPr>
    <w:rPr>
      <w:rFonts w:ascii="Arial" w:hAnsi="Arial" w:eastAsia="Times New Roman"/>
      <w:vanish/>
      <w:kern w:val="2"/>
      <w:sz w:val="14"/>
      <w:szCs w:val="19"/>
      <w:lang w:eastAsia="en-US"/>
    </w:rPr>
  </w:style>
  <w:style w:type="character" w:customStyle="1" w:styleId="52">
    <w:name w:val="EFAHiddenBookmark Char"/>
    <w:link w:val="51"/>
    <w:qFormat/>
    <w:uiPriority w:val="99"/>
    <w:rPr>
      <w:rFonts w:ascii="Arial" w:hAnsi="Arial" w:eastAsia="Times New Roman"/>
      <w:vanish/>
      <w:kern w:val="2"/>
      <w:sz w:val="14"/>
      <w:szCs w:val="19"/>
      <w:lang w:val="en-GB" w:eastAsia="en-US"/>
    </w:rPr>
  </w:style>
  <w:style w:type="paragraph" w:customStyle="1" w:styleId="53">
    <w:name w:val="EFAPoweredByEFA"/>
    <w:link w:val="54"/>
    <w:qFormat/>
    <w:uiPriority w:val="0"/>
    <w:pPr>
      <w:widowControl w:val="0"/>
      <w:tabs>
        <w:tab w:val="right" w:pos="6490"/>
      </w:tabs>
      <w:adjustRightInd w:val="0"/>
      <w:snapToGrid w:val="0"/>
      <w:ind w:left="-4186"/>
    </w:pPr>
    <w:rPr>
      <w:rFonts w:ascii="Arial" w:hAnsi="Arial" w:eastAsia="PMingLiU" w:cs="Times New Roman"/>
      <w:snapToGrid w:val="0"/>
      <w:color w:val="5A5A5A"/>
      <w:sz w:val="9"/>
      <w:szCs w:val="9"/>
      <w:lang w:val="en-US" w:eastAsia="zh-TW" w:bidi="ar-SA"/>
    </w:rPr>
  </w:style>
  <w:style w:type="character" w:customStyle="1" w:styleId="54">
    <w:name w:val="EFAPoweredByEFA Char"/>
    <w:link w:val="53"/>
    <w:qFormat/>
    <w:uiPriority w:val="0"/>
    <w:rPr>
      <w:rFonts w:ascii="Arial" w:hAnsi="Arial" w:eastAsia="PMingLiU"/>
      <w:color w:val="5A5A5A"/>
      <w:sz w:val="9"/>
      <w:szCs w:val="9"/>
      <w:lang w:eastAsia="zh-TW"/>
    </w:rPr>
  </w:style>
  <w:style w:type="character" w:customStyle="1" w:styleId="55">
    <w:name w:val="EFANormal Char"/>
    <w:basedOn w:val="28"/>
    <w:link w:val="42"/>
    <w:qFormat/>
    <w:uiPriority w:val="0"/>
    <w:rPr>
      <w:lang w:eastAsia="ja-JP"/>
    </w:rPr>
  </w:style>
  <w:style w:type="character" w:customStyle="1" w:styleId="56">
    <w:name w:val="EFABodyText Char"/>
    <w:basedOn w:val="28"/>
    <w:link w:val="40"/>
    <w:qFormat/>
    <w:uiPriority w:val="0"/>
    <w:rPr>
      <w:sz w:val="20"/>
      <w:lang w:eastAsia="ja-JP"/>
    </w:rPr>
  </w:style>
  <w:style w:type="character" w:customStyle="1" w:styleId="57">
    <w:name w:val="EFAFP_BodyText Char"/>
    <w:basedOn w:val="28"/>
    <w:link w:val="47"/>
    <w:qFormat/>
    <w:uiPriority w:val="0"/>
    <w:rPr>
      <w:sz w:val="20"/>
      <w:lang w:eastAsia="ja-JP"/>
    </w:rPr>
  </w:style>
  <w:style w:type="paragraph" w:customStyle="1" w:styleId="58">
    <w:name w:val="EFAFPTag"/>
    <w:basedOn w:val="42"/>
    <w:qFormat/>
    <w:uiPriority w:val="0"/>
    <w:pPr>
      <w:jc w:val="center"/>
    </w:pPr>
    <w:rPr>
      <w:b/>
    </w:rPr>
  </w:style>
  <w:style w:type="paragraph" w:customStyle="1" w:styleId="59">
    <w:name w:val="EFAFPFooter"/>
    <w:basedOn w:val="42"/>
    <w:qFormat/>
    <w:uiPriority w:val="0"/>
    <w:pPr>
      <w:tabs>
        <w:tab w:val="right" w:pos="10679"/>
      </w:tabs>
      <w:autoSpaceDE w:val="0"/>
      <w:autoSpaceDN w:val="0"/>
      <w:jc w:val="both"/>
    </w:pPr>
    <w:rPr>
      <w:rFonts w:cs="Arial"/>
      <w:b/>
      <w:sz w:val="14"/>
    </w:rPr>
  </w:style>
  <w:style w:type="character" w:customStyle="1" w:styleId="60">
    <w:name w:val="EFACharGrey"/>
    <w:qFormat/>
    <w:uiPriority w:val="1"/>
    <w:rPr>
      <w:color w:val="808080"/>
    </w:rPr>
  </w:style>
  <w:style w:type="paragraph" w:customStyle="1" w:styleId="61">
    <w:name w:val="EFAFPColFrameText_Left2"/>
    <w:link w:val="80"/>
    <w:qFormat/>
    <w:uiPriority w:val="0"/>
    <w:pPr>
      <w:framePr w:w="3045" w:h="12804" w:hRule="exact" w:hSpace="180" w:wrap="around" w:vAnchor="page" w:hAnchor="page" w:x="340" w:y="2765" w:anchorLock="1"/>
      <w:adjustRightInd w:val="0"/>
      <w:snapToGrid w:val="0"/>
    </w:pPr>
    <w:rPr>
      <w:rFonts w:ascii="Calibri" w:hAnsi="Calibri" w:eastAsia="MS Mincho" w:cs="Times New Roman"/>
      <w:snapToGrid w:val="0"/>
      <w:sz w:val="14"/>
      <w:szCs w:val="14"/>
      <w:lang w:val="en-US" w:eastAsia="zh-CN" w:bidi="ar-SA"/>
    </w:rPr>
  </w:style>
  <w:style w:type="character" w:customStyle="1" w:styleId="62">
    <w:name w:val="EFACharBold"/>
    <w:basedOn w:val="28"/>
    <w:qFormat/>
    <w:uiPriority w:val="1"/>
    <w:rPr>
      <w:b/>
    </w:rPr>
  </w:style>
  <w:style w:type="paragraph" w:customStyle="1" w:styleId="63">
    <w:name w:val="EFAFPColFrame_AnalystName2"/>
    <w:basedOn w:val="61"/>
    <w:link w:val="101"/>
    <w:qFormat/>
    <w:uiPriority w:val="0"/>
    <w:pPr>
      <w:framePr w:wrap="around"/>
    </w:pPr>
    <w:rPr>
      <w:b/>
      <w:sz w:val="16"/>
    </w:rPr>
  </w:style>
  <w:style w:type="paragraph" w:customStyle="1" w:styleId="64">
    <w:name w:val="EFAFP_Source"/>
    <w:basedOn w:val="42"/>
    <w:qFormat/>
    <w:uiPriority w:val="0"/>
    <w:rPr>
      <w:sz w:val="12"/>
      <w:szCs w:val="12"/>
    </w:rPr>
  </w:style>
  <w:style w:type="paragraph" w:customStyle="1" w:styleId="65">
    <w:name w:val="EFAFP_Abstract"/>
    <w:qFormat/>
    <w:uiPriority w:val="0"/>
    <w:rPr>
      <w:rFonts w:ascii="Calibri" w:hAnsi="Calibri" w:eastAsia="MS Mincho" w:cs="Times New Roman"/>
      <w:snapToGrid w:val="0"/>
      <w:sz w:val="18"/>
      <w:szCs w:val="16"/>
      <w:lang w:val="en-US" w:eastAsia="ja-JP" w:bidi="ar-SA"/>
    </w:rPr>
  </w:style>
  <w:style w:type="paragraph" w:customStyle="1" w:styleId="66">
    <w:name w:val="EFABullet_Green"/>
    <w:basedOn w:val="47"/>
    <w:qFormat/>
    <w:uiPriority w:val="0"/>
    <w:pPr>
      <w:numPr>
        <w:ilvl w:val="0"/>
        <w:numId w:val="4"/>
      </w:numPr>
      <w:tabs>
        <w:tab w:val="left" w:pos="468"/>
      </w:tabs>
    </w:pPr>
  </w:style>
  <w:style w:type="paragraph" w:customStyle="1" w:styleId="67">
    <w:name w:val="EFABullet_Blue"/>
    <w:basedOn w:val="47"/>
    <w:qFormat/>
    <w:uiPriority w:val="0"/>
    <w:pPr>
      <w:numPr>
        <w:ilvl w:val="0"/>
        <w:numId w:val="5"/>
      </w:numPr>
      <w:tabs>
        <w:tab w:val="left" w:pos="468"/>
      </w:tabs>
    </w:pPr>
  </w:style>
  <w:style w:type="paragraph" w:customStyle="1" w:styleId="68">
    <w:name w:val="EFABullet_Yellow"/>
    <w:basedOn w:val="47"/>
    <w:qFormat/>
    <w:uiPriority w:val="0"/>
    <w:pPr>
      <w:numPr>
        <w:ilvl w:val="0"/>
        <w:numId w:val="6"/>
      </w:numPr>
      <w:tabs>
        <w:tab w:val="left" w:pos="468"/>
      </w:tabs>
    </w:pPr>
  </w:style>
  <w:style w:type="paragraph" w:customStyle="1" w:styleId="69">
    <w:name w:val="EFASource"/>
    <w:basedOn w:val="40"/>
    <w:qFormat/>
    <w:uiPriority w:val="0"/>
    <w:rPr>
      <w:sz w:val="12"/>
      <w:szCs w:val="14"/>
    </w:rPr>
  </w:style>
  <w:style w:type="paragraph" w:customStyle="1" w:styleId="70">
    <w:name w:val="EFAHeading"/>
    <w:basedOn w:val="1"/>
    <w:next w:val="40"/>
    <w:qFormat/>
    <w:uiPriority w:val="0"/>
    <w:pPr>
      <w:widowControl w:val="0"/>
      <w:adjustRightInd w:val="0"/>
      <w:snapToGrid w:val="0"/>
    </w:pPr>
    <w:rPr>
      <w:b/>
      <w:color w:val="000000"/>
      <w:kern w:val="28"/>
      <w:sz w:val="24"/>
    </w:rPr>
  </w:style>
  <w:style w:type="paragraph" w:customStyle="1" w:styleId="71">
    <w:name w:val="EFADisclaimerHeading"/>
    <w:basedOn w:val="44"/>
    <w:next w:val="44"/>
    <w:qFormat/>
    <w:uiPriority w:val="99"/>
    <w:rPr>
      <w:b/>
    </w:rPr>
  </w:style>
  <w:style w:type="paragraph" w:customStyle="1" w:styleId="72">
    <w:name w:val="EFADisclaimerHeading2"/>
    <w:basedOn w:val="44"/>
    <w:next w:val="44"/>
    <w:qFormat/>
    <w:uiPriority w:val="0"/>
    <w:rPr>
      <w:b/>
      <w:sz w:val="20"/>
      <w:szCs w:val="20"/>
    </w:rPr>
  </w:style>
  <w:style w:type="paragraph" w:customStyle="1" w:styleId="73">
    <w:name w:val="EFADisclaimerHeading3"/>
    <w:basedOn w:val="44"/>
    <w:qFormat/>
    <w:uiPriority w:val="0"/>
    <w:rPr>
      <w:b/>
      <w:sz w:val="18"/>
      <w:szCs w:val="18"/>
    </w:rPr>
  </w:style>
  <w:style w:type="paragraph" w:customStyle="1" w:styleId="74">
    <w:name w:val="EFASideComment"/>
    <w:basedOn w:val="40"/>
    <w:qFormat/>
    <w:uiPriority w:val="0"/>
    <w:pPr>
      <w:framePr w:w="2980" w:hSpace="180" w:wrap="around" w:vAnchor="text" w:hAnchor="text" w:x="-3250" w:y="160"/>
    </w:pPr>
  </w:style>
  <w:style w:type="character" w:customStyle="1" w:styleId="75">
    <w:name w:val="EFACharBold_and_AllCap"/>
    <w:qFormat/>
    <w:uiPriority w:val="1"/>
    <w:rPr>
      <w:b/>
      <w:caps/>
    </w:rPr>
  </w:style>
  <w:style w:type="paragraph" w:customStyle="1" w:styleId="76">
    <w:name w:val="__Table_Normal"/>
    <w:basedOn w:val="1"/>
    <w:link w:val="77"/>
    <w:qFormat/>
    <w:uiPriority w:val="0"/>
    <w:rPr>
      <w:snapToGrid/>
      <w:color w:val="000000"/>
      <w:kern w:val="28"/>
    </w:rPr>
  </w:style>
  <w:style w:type="character" w:customStyle="1" w:styleId="77">
    <w:name w:val="__Table_Normal Char"/>
    <w:basedOn w:val="28"/>
    <w:link w:val="76"/>
    <w:qFormat/>
    <w:uiPriority w:val="0"/>
    <w:rPr>
      <w:snapToGrid/>
      <w:color w:val="000000"/>
      <w:kern w:val="28"/>
      <w:lang w:eastAsia="ja-JP"/>
    </w:rPr>
  </w:style>
  <w:style w:type="paragraph" w:customStyle="1" w:styleId="78">
    <w:name w:val="Front pg Tbl left just 7 pt"/>
    <w:basedOn w:val="1"/>
    <w:link w:val="79"/>
    <w:qFormat/>
    <w:uiPriority w:val="0"/>
    <w:rPr>
      <w:snapToGrid/>
      <w:sz w:val="14"/>
      <w:szCs w:val="24"/>
    </w:rPr>
  </w:style>
  <w:style w:type="character" w:customStyle="1" w:styleId="79">
    <w:name w:val="Front pg Tbl left just 7 pt Char Char"/>
    <w:basedOn w:val="28"/>
    <w:link w:val="78"/>
    <w:qFormat/>
    <w:uiPriority w:val="0"/>
    <w:rPr>
      <w:snapToGrid/>
      <w:sz w:val="14"/>
      <w:szCs w:val="24"/>
      <w:lang w:eastAsia="ja-JP"/>
    </w:rPr>
  </w:style>
  <w:style w:type="character" w:customStyle="1" w:styleId="80">
    <w:name w:val="EFAFPColFrameText_Left2 Char"/>
    <w:basedOn w:val="28"/>
    <w:link w:val="61"/>
    <w:qFormat/>
    <w:uiPriority w:val="0"/>
    <w:rPr>
      <w:sz w:val="14"/>
      <w:szCs w:val="14"/>
    </w:rPr>
  </w:style>
  <w:style w:type="paragraph" w:customStyle="1" w:styleId="81">
    <w:name w:val="EFAAnchor"/>
    <w:basedOn w:val="42"/>
    <w:qFormat/>
    <w:uiPriority w:val="0"/>
    <w:rPr>
      <w:sz w:val="4"/>
      <w:lang w:eastAsia="zh-CN"/>
    </w:rPr>
  </w:style>
  <w:style w:type="paragraph" w:customStyle="1" w:styleId="82">
    <w:name w:val="EFAReportTitle"/>
    <w:basedOn w:val="42"/>
    <w:qFormat/>
    <w:uiPriority w:val="0"/>
    <w:rPr>
      <w:b/>
      <w:sz w:val="48"/>
    </w:rPr>
  </w:style>
  <w:style w:type="paragraph" w:customStyle="1" w:styleId="83">
    <w:name w:val="EFAM_Title"/>
    <w:basedOn w:val="42"/>
    <w:qFormat/>
    <w:uiPriority w:val="0"/>
    <w:pPr>
      <w:framePr w:wrap="around" w:vAnchor="margin" w:hAnchor="text" w:xAlign="right" w:y="1"/>
      <w:suppressOverlap/>
    </w:pPr>
    <w:rPr>
      <w:b/>
      <w:sz w:val="32"/>
      <w:szCs w:val="28"/>
    </w:rPr>
  </w:style>
  <w:style w:type="paragraph" w:customStyle="1" w:styleId="84">
    <w:name w:val="EFABullet_Indent"/>
    <w:basedOn w:val="40"/>
    <w:qFormat/>
    <w:uiPriority w:val="0"/>
    <w:pPr>
      <w:numPr>
        <w:ilvl w:val="0"/>
        <w:numId w:val="7"/>
      </w:numPr>
      <w:tabs>
        <w:tab w:val="left" w:pos="240"/>
      </w:tabs>
      <w:ind w:left="240" w:hanging="240"/>
    </w:pPr>
  </w:style>
  <w:style w:type="paragraph" w:customStyle="1" w:styleId="85">
    <w:name w:val="EFAM_Abstract"/>
    <w:basedOn w:val="40"/>
    <w:next w:val="40"/>
    <w:qFormat/>
    <w:uiPriority w:val="0"/>
  </w:style>
  <w:style w:type="paragraph" w:customStyle="1" w:styleId="86">
    <w:name w:val="EFAM_Synopsis"/>
    <w:basedOn w:val="40"/>
    <w:next w:val="40"/>
    <w:qFormat/>
    <w:uiPriority w:val="0"/>
    <w:rPr>
      <w:b/>
      <w:sz w:val="24"/>
    </w:rPr>
  </w:style>
  <w:style w:type="paragraph" w:customStyle="1" w:styleId="87">
    <w:name w:val="EFAHeading1"/>
    <w:basedOn w:val="40"/>
    <w:next w:val="40"/>
    <w:qFormat/>
    <w:uiPriority w:val="0"/>
    <w:pPr>
      <w:numPr>
        <w:ilvl w:val="0"/>
        <w:numId w:val="8"/>
      </w:numPr>
      <w:tabs>
        <w:tab w:val="left" w:pos="1044"/>
      </w:tabs>
      <w:spacing w:after="60"/>
      <w:ind w:left="0" w:firstLine="0"/>
      <w:outlineLvl w:val="0"/>
    </w:pPr>
    <w:rPr>
      <w:b/>
      <w:sz w:val="24"/>
      <w:szCs w:val="24"/>
    </w:rPr>
  </w:style>
  <w:style w:type="paragraph" w:customStyle="1" w:styleId="88">
    <w:name w:val="EFAFPCol_Hdr3"/>
    <w:link w:val="90"/>
    <w:qFormat/>
    <w:uiPriority w:val="0"/>
    <w:pPr>
      <w:framePr w:w="2980" w:h="11080" w:hRule="exact" w:hSpace="180" w:wrap="around" w:vAnchor="text" w:hAnchor="page" w:x="370" w:y="1621"/>
    </w:pPr>
    <w:rPr>
      <w:rFonts w:ascii="Calibri" w:hAnsi="Calibri" w:eastAsia="MS Mincho" w:cs="Times New Roman"/>
      <w:b/>
      <w:snapToGrid w:val="0"/>
      <w:color w:val="808080"/>
      <w:sz w:val="24"/>
      <w:szCs w:val="24"/>
      <w:lang w:val="en-US" w:eastAsia="ja-JP" w:bidi="ar-SA"/>
    </w:rPr>
  </w:style>
  <w:style w:type="paragraph" w:customStyle="1" w:styleId="89">
    <w:name w:val="EFAFPReportType2"/>
    <w:link w:val="91"/>
    <w:qFormat/>
    <w:uiPriority w:val="0"/>
    <w:pPr>
      <w:framePr w:w="10858" w:h="1520" w:hRule="exact" w:wrap="around" w:vAnchor="page" w:hAnchor="page" w:x="357" w:y="1072" w:anchorLock="1"/>
      <w:adjustRightInd w:val="0"/>
      <w:snapToGrid w:val="0"/>
    </w:pPr>
    <w:rPr>
      <w:rFonts w:ascii="Calibri" w:hAnsi="Calibri" w:eastAsia="MS Mincho" w:cs="Times New Roman"/>
      <w:snapToGrid w:val="0"/>
      <w:color w:val="23558C"/>
      <w:sz w:val="44"/>
      <w:szCs w:val="44"/>
      <w:lang w:val="en-US" w:eastAsia="ja-JP" w:bidi="ar-SA"/>
    </w:rPr>
  </w:style>
  <w:style w:type="character" w:customStyle="1" w:styleId="90">
    <w:name w:val="EFAFPCol_Hdr3 Char"/>
    <w:basedOn w:val="28"/>
    <w:link w:val="88"/>
    <w:qFormat/>
    <w:uiPriority w:val="0"/>
    <w:rPr>
      <w:b/>
      <w:color w:val="808080"/>
      <w:sz w:val="24"/>
      <w:szCs w:val="24"/>
      <w:lang w:eastAsia="ja-JP"/>
    </w:rPr>
  </w:style>
  <w:style w:type="character" w:customStyle="1" w:styleId="91">
    <w:name w:val="EFAFPReportType2 Char"/>
    <w:basedOn w:val="28"/>
    <w:link w:val="89"/>
    <w:qFormat/>
    <w:uiPriority w:val="0"/>
    <w:rPr>
      <w:color w:val="23558C"/>
      <w:sz w:val="44"/>
      <w:szCs w:val="44"/>
      <w:lang w:eastAsia="ja-JP"/>
    </w:rPr>
  </w:style>
  <w:style w:type="paragraph" w:customStyle="1" w:styleId="92">
    <w:name w:val="EFAFPTitle3"/>
    <w:link w:val="95"/>
    <w:qFormat/>
    <w:uiPriority w:val="0"/>
    <w:pPr>
      <w:framePr w:wrap="around" w:vAnchor="margin" w:hAnchor="text" w:xAlign="right" w:y="1"/>
      <w:suppressOverlap/>
      <w:numPr>
        <w:ilvl w:val="0"/>
        <w:numId w:val="9"/>
      </w:numPr>
      <w:ind w:left="360" w:hanging="360"/>
    </w:pPr>
    <w:rPr>
      <w:rFonts w:ascii="Calibri" w:hAnsi="Calibri" w:eastAsia="MS Mincho" w:cs="Times New Roman"/>
      <w:b/>
      <w:snapToGrid w:val="0"/>
      <w:sz w:val="44"/>
      <w:szCs w:val="60"/>
      <w:lang w:val="en-US" w:eastAsia="ja-JP" w:bidi="ar-SA"/>
    </w:rPr>
  </w:style>
  <w:style w:type="paragraph" w:customStyle="1" w:styleId="93">
    <w:name w:val="EFAFP_Headline"/>
    <w:next w:val="94"/>
    <w:link w:val="96"/>
    <w:qFormat/>
    <w:uiPriority w:val="0"/>
    <w:pPr>
      <w:numPr>
        <w:ilvl w:val="0"/>
        <w:numId w:val="10"/>
      </w:numPr>
      <w:adjustRightInd w:val="0"/>
      <w:snapToGrid w:val="0"/>
    </w:pPr>
    <w:rPr>
      <w:rFonts w:ascii="Calibri" w:hAnsi="Calibri" w:eastAsia="Times New Roman" w:cs="Times New Roman"/>
      <w:b/>
      <w:bCs/>
      <w:color w:val="23558C"/>
      <w:kern w:val="28"/>
      <w:sz w:val="28"/>
      <w:lang w:val="en-US" w:eastAsia="ja-JP" w:bidi="ar-SA"/>
    </w:rPr>
  </w:style>
  <w:style w:type="paragraph" w:customStyle="1" w:styleId="94">
    <w:name w:val="EFAFP_BodyText2"/>
    <w:link w:val="97"/>
    <w:qFormat/>
    <w:uiPriority w:val="0"/>
    <w:pPr>
      <w:adjustRightInd w:val="0"/>
      <w:snapToGrid w:val="0"/>
      <w:spacing w:after="120"/>
      <w:jc w:val="both"/>
    </w:pPr>
    <w:rPr>
      <w:rFonts w:ascii="Calibri" w:hAnsi="Calibri" w:eastAsia="Times New Roman" w:cs="PMingLiU"/>
      <w:sz w:val="22"/>
      <w:lang w:val="en-US" w:eastAsia="ja-JP" w:bidi="ar-SA"/>
    </w:rPr>
  </w:style>
  <w:style w:type="character" w:customStyle="1" w:styleId="95">
    <w:name w:val="EFAFPTitle3 Char"/>
    <w:basedOn w:val="28"/>
    <w:link w:val="92"/>
    <w:qFormat/>
    <w:uiPriority w:val="0"/>
    <w:rPr>
      <w:b/>
      <w:sz w:val="44"/>
      <w:szCs w:val="60"/>
      <w:lang w:eastAsia="ja-JP"/>
    </w:rPr>
  </w:style>
  <w:style w:type="character" w:customStyle="1" w:styleId="96">
    <w:name w:val="EFAFP_Headline Char"/>
    <w:basedOn w:val="28"/>
    <w:link w:val="93"/>
    <w:qFormat/>
    <w:uiPriority w:val="0"/>
    <w:rPr>
      <w:rFonts w:eastAsia="Times New Roman"/>
      <w:b/>
      <w:bCs/>
      <w:snapToGrid/>
      <w:color w:val="23558C"/>
      <w:kern w:val="28"/>
      <w:sz w:val="28"/>
      <w:szCs w:val="20"/>
      <w:lang w:eastAsia="ja-JP"/>
    </w:rPr>
  </w:style>
  <w:style w:type="character" w:customStyle="1" w:styleId="97">
    <w:name w:val="EFAFP_BodyText2 Char"/>
    <w:basedOn w:val="28"/>
    <w:link w:val="94"/>
    <w:qFormat/>
    <w:uiPriority w:val="0"/>
    <w:rPr>
      <w:rFonts w:eastAsia="Times New Roman" w:cs="PMingLiU"/>
      <w:snapToGrid/>
      <w:sz w:val="22"/>
      <w:szCs w:val="20"/>
      <w:lang w:eastAsia="ja-JP"/>
    </w:rPr>
  </w:style>
  <w:style w:type="character" w:customStyle="1" w:styleId="98">
    <w:name w:val="EFABlueChar"/>
    <w:qFormat/>
    <w:uiPriority w:val="1"/>
    <w:rPr>
      <w:b/>
      <w:color w:val="23508C"/>
    </w:rPr>
  </w:style>
  <w:style w:type="paragraph" w:customStyle="1" w:styleId="99">
    <w:name w:val="EFAHeading5"/>
    <w:next w:val="40"/>
    <w:qFormat/>
    <w:uiPriority w:val="0"/>
    <w:pPr>
      <w:numPr>
        <w:ilvl w:val="0"/>
        <w:numId w:val="11"/>
      </w:numPr>
      <w:adjustRightInd w:val="0"/>
      <w:snapToGrid w:val="0"/>
      <w:ind w:left="972" w:hanging="972"/>
      <w:outlineLvl w:val="0"/>
    </w:pPr>
    <w:rPr>
      <w:rFonts w:ascii="Calibri" w:hAnsi="Calibri" w:eastAsia="MS Mincho" w:cs="Times New Roman"/>
      <w:b/>
      <w:bCs/>
      <w:snapToGrid w:val="0"/>
      <w:color w:val="23558C"/>
      <w:sz w:val="24"/>
      <w:szCs w:val="24"/>
      <w:lang w:val="en-US" w:eastAsia="ja-JP" w:bidi="ar-SA"/>
    </w:rPr>
  </w:style>
  <w:style w:type="paragraph" w:customStyle="1" w:styleId="100">
    <w:name w:val="EFAMacroTitle"/>
    <w:basedOn w:val="88"/>
    <w:qFormat/>
    <w:uiPriority w:val="0"/>
    <w:pPr>
      <w:framePr w:wrap="around"/>
    </w:pPr>
  </w:style>
  <w:style w:type="character" w:customStyle="1" w:styleId="101">
    <w:name w:val="EFAFPColFrame_AnalystName2 Char"/>
    <w:basedOn w:val="80"/>
    <w:link w:val="63"/>
    <w:qFormat/>
    <w:uiPriority w:val="0"/>
    <w:rPr>
      <w:b/>
      <w:sz w:val="14"/>
      <w:szCs w:val="14"/>
    </w:rPr>
  </w:style>
  <w:style w:type="paragraph" w:customStyle="1" w:styleId="102">
    <w:name w:val="EFAFPTitle"/>
    <w:link w:val="103"/>
    <w:qFormat/>
    <w:uiPriority w:val="0"/>
    <w:pPr>
      <w:framePr w:wrap="around" w:vAnchor="margin" w:hAnchor="text" w:xAlign="right" w:y="1"/>
      <w:suppressOverlap/>
      <w:tabs>
        <w:tab w:val="left" w:pos="240"/>
      </w:tabs>
      <w:ind w:left="240" w:right="220"/>
    </w:pPr>
    <w:rPr>
      <w:rFonts w:ascii="Calibri" w:hAnsi="Calibri" w:eastAsia="MS Mincho" w:cs="Times New Roman"/>
      <w:b/>
      <w:snapToGrid w:val="0"/>
      <w:color w:val="FFFFFF"/>
      <w:sz w:val="32"/>
      <w:szCs w:val="32"/>
      <w:lang w:val="en-US" w:eastAsia="ja-JP" w:bidi="ar-SA"/>
    </w:rPr>
  </w:style>
  <w:style w:type="character" w:customStyle="1" w:styleId="103">
    <w:name w:val="EFAFPTitle Char"/>
    <w:basedOn w:val="28"/>
    <w:link w:val="102"/>
    <w:qFormat/>
    <w:uiPriority w:val="0"/>
    <w:rPr>
      <w:b/>
      <w:color w:val="FFFFFF"/>
      <w:sz w:val="32"/>
      <w:szCs w:val="32"/>
      <w:lang w:eastAsia="ja-JP"/>
    </w:rPr>
  </w:style>
  <w:style w:type="paragraph" w:customStyle="1" w:styleId="104">
    <w:name w:val="EFAFPReportType"/>
    <w:link w:val="105"/>
    <w:qFormat/>
    <w:uiPriority w:val="0"/>
    <w:pPr>
      <w:framePr w:w="10858" w:h="1520" w:hRule="exact" w:wrap="around" w:vAnchor="page" w:hAnchor="page" w:x="366" w:y="1071" w:anchorLock="1"/>
      <w:adjustRightInd w:val="0"/>
      <w:snapToGrid w:val="0"/>
    </w:pPr>
    <w:rPr>
      <w:rFonts w:ascii="Calibri" w:hAnsi="Calibri" w:eastAsia="MS Mincho" w:cs="Times New Roman"/>
      <w:snapToGrid w:val="0"/>
      <w:color w:val="23558C"/>
      <w:sz w:val="44"/>
      <w:szCs w:val="44"/>
      <w:lang w:val="en-US" w:eastAsia="ja-JP" w:bidi="ar-SA"/>
    </w:rPr>
  </w:style>
  <w:style w:type="character" w:customStyle="1" w:styleId="105">
    <w:name w:val="EFAFPReportType Char"/>
    <w:basedOn w:val="28"/>
    <w:link w:val="104"/>
    <w:qFormat/>
    <w:uiPriority w:val="0"/>
    <w:rPr>
      <w:color w:val="23558C"/>
      <w:sz w:val="44"/>
      <w:szCs w:val="44"/>
      <w:lang w:eastAsia="ja-JP"/>
    </w:rPr>
  </w:style>
  <w:style w:type="paragraph" w:customStyle="1" w:styleId="106">
    <w:name w:val="EFAFPHdrInfo2"/>
    <w:link w:val="107"/>
    <w:qFormat/>
    <w:uiPriority w:val="0"/>
    <w:pPr>
      <w:framePr w:wrap="auto" w:vAnchor="margin" w:hAnchor="text" w:xAlign="right" w:y="-239"/>
      <w:suppressOverlap/>
      <w:ind w:left="240"/>
    </w:pPr>
    <w:rPr>
      <w:rFonts w:ascii="Calibri" w:hAnsi="Calibri" w:eastAsia="MS Mincho" w:cs="Times New Roman"/>
      <w:snapToGrid w:val="0"/>
      <w:color w:val="000000"/>
      <w:szCs w:val="44"/>
      <w:lang w:val="en-US" w:eastAsia="ja-JP" w:bidi="ar-SA"/>
    </w:rPr>
  </w:style>
  <w:style w:type="character" w:customStyle="1" w:styleId="107">
    <w:name w:val="EFAFPHdrInfo2 Char"/>
    <w:basedOn w:val="28"/>
    <w:link w:val="106"/>
    <w:qFormat/>
    <w:uiPriority w:val="0"/>
    <w:rPr>
      <w:color w:val="000000"/>
      <w:sz w:val="20"/>
      <w:szCs w:val="44"/>
      <w:lang w:eastAsia="ja-JP"/>
    </w:rPr>
  </w:style>
  <w:style w:type="paragraph" w:customStyle="1" w:styleId="108">
    <w:name w:val="EFADisclaimerHiddenText"/>
    <w:link w:val="109"/>
    <w:qFormat/>
    <w:uiPriority w:val="0"/>
    <w:pPr>
      <w:spacing w:line="20" w:lineRule="exact"/>
    </w:pPr>
    <w:rPr>
      <w:rFonts w:ascii="Calibri" w:hAnsi="Calibri" w:eastAsia="MS Mincho" w:cs="Times New Roman"/>
      <w:snapToGrid w:val="0"/>
      <w:vanish/>
      <w:color w:val="FFFFFF"/>
      <w:sz w:val="2"/>
      <w:szCs w:val="16"/>
      <w:lang w:val="en-US" w:eastAsia="ja-JP" w:bidi="ar-SA"/>
    </w:rPr>
  </w:style>
  <w:style w:type="character" w:customStyle="1" w:styleId="109">
    <w:name w:val="EFADisclaimerHiddenText Char"/>
    <w:basedOn w:val="28"/>
    <w:link w:val="108"/>
    <w:qFormat/>
    <w:uiPriority w:val="0"/>
    <w:rPr>
      <w:vanish/>
      <w:color w:val="FFFFFF"/>
      <w:sz w:val="2"/>
      <w:lang w:eastAsia="ja-JP"/>
    </w:rPr>
  </w:style>
  <w:style w:type="paragraph" w:customStyle="1" w:styleId="110">
    <w:name w:val="EFAFPFooter2"/>
    <w:link w:val="111"/>
    <w:qFormat/>
    <w:uiPriority w:val="0"/>
    <w:pPr>
      <w:tabs>
        <w:tab w:val="right" w:pos="11544"/>
      </w:tabs>
      <w:autoSpaceDE w:val="0"/>
      <w:autoSpaceDN w:val="0"/>
      <w:adjustRightInd w:val="0"/>
      <w:snapToGrid w:val="0"/>
      <w:spacing w:line="200" w:lineRule="exact"/>
      <w:jc w:val="both"/>
    </w:pPr>
    <w:rPr>
      <w:rFonts w:ascii="Calibri" w:hAnsi="Calibri" w:eastAsia="MS Mincho" w:cs="Arial"/>
      <w:snapToGrid w:val="0"/>
      <w:sz w:val="21"/>
      <w:szCs w:val="16"/>
      <w:lang w:val="en-US" w:eastAsia="ja-JP" w:bidi="ar-SA"/>
    </w:rPr>
  </w:style>
  <w:style w:type="character" w:customStyle="1" w:styleId="111">
    <w:name w:val="EFAFPFooter2 Char"/>
    <w:basedOn w:val="28"/>
    <w:link w:val="110"/>
    <w:qFormat/>
    <w:uiPriority w:val="0"/>
    <w:rPr>
      <w:rFonts w:cs="Arial"/>
      <w:sz w:val="21"/>
      <w:lang w:eastAsia="ja-JP"/>
    </w:rPr>
  </w:style>
  <w:style w:type="character" w:customStyle="1" w:styleId="112">
    <w:name w:val="EFADisclaimerText Char"/>
    <w:basedOn w:val="28"/>
    <w:link w:val="44"/>
    <w:qFormat/>
    <w:locked/>
    <w:uiPriority w:val="99"/>
    <w:rPr>
      <w:lang w:eastAsia="ja-JP"/>
    </w:rPr>
  </w:style>
  <w:style w:type="paragraph" w:customStyle="1" w:styleId="113">
    <w:name w:val="EFAFPColFrameText_Left"/>
    <w:basedOn w:val="1"/>
    <w:link w:val="116"/>
    <w:qFormat/>
    <w:uiPriority w:val="0"/>
    <w:pPr>
      <w:framePr w:w="3045" w:h="12844" w:hRule="exact" w:hSpace="180" w:wrap="around" w:vAnchor="page" w:hAnchor="page" w:x="336" w:y="2721" w:anchorLock="1"/>
      <w:adjustRightInd w:val="0"/>
      <w:snapToGrid w:val="0"/>
    </w:pPr>
    <w:rPr>
      <w:sz w:val="14"/>
      <w:szCs w:val="14"/>
      <w:lang w:val="en-US" w:eastAsia="zh-CN"/>
    </w:rPr>
  </w:style>
  <w:style w:type="paragraph" w:customStyle="1" w:styleId="114">
    <w:name w:val="EFAFPColFrame_AnalystName"/>
    <w:basedOn w:val="113"/>
    <w:qFormat/>
    <w:uiPriority w:val="0"/>
    <w:pPr>
      <w:framePr w:wrap="around"/>
    </w:pPr>
    <w:rPr>
      <w:b/>
      <w:sz w:val="16"/>
    </w:rPr>
  </w:style>
  <w:style w:type="paragraph" w:customStyle="1" w:styleId="115">
    <w:name w:val="EFAFPColFrameText_8pt"/>
    <w:basedOn w:val="113"/>
    <w:qFormat/>
    <w:uiPriority w:val="0"/>
    <w:pPr>
      <w:framePr w:wrap="around"/>
    </w:pPr>
    <w:rPr>
      <w:sz w:val="16"/>
    </w:rPr>
  </w:style>
  <w:style w:type="character" w:customStyle="1" w:styleId="116">
    <w:name w:val="EFAFPColFrameText_Left Char"/>
    <w:basedOn w:val="28"/>
    <w:link w:val="113"/>
    <w:qFormat/>
    <w:uiPriority w:val="0"/>
    <w:rPr>
      <w:sz w:val="14"/>
      <w:szCs w:val="14"/>
    </w:rPr>
  </w:style>
  <w:style w:type="paragraph" w:customStyle="1" w:styleId="117">
    <w:name w:val="表1"/>
    <w:basedOn w:val="1"/>
    <w:link w:val="118"/>
    <w:qFormat/>
    <w:uiPriority w:val="0"/>
    <w:pPr>
      <w:widowControl w:val="0"/>
      <w:tabs>
        <w:tab w:val="left" w:pos="3819"/>
      </w:tabs>
      <w:ind w:right="55" w:rightChars="26"/>
    </w:pPr>
    <w:rPr>
      <w:rFonts w:ascii="Arial" w:hAnsi="Arial" w:eastAsia="楷体_GB2312"/>
      <w:b/>
      <w:bCs/>
      <w:snapToGrid/>
      <w:color w:val="000000"/>
      <w:kern w:val="2"/>
      <w:sz w:val="18"/>
      <w:szCs w:val="24"/>
      <w:lang w:val="zh-CN" w:eastAsia="zh-CN"/>
    </w:rPr>
  </w:style>
  <w:style w:type="character" w:customStyle="1" w:styleId="118">
    <w:name w:val="表1 Char"/>
    <w:link w:val="117"/>
    <w:qFormat/>
    <w:uiPriority w:val="0"/>
    <w:rPr>
      <w:rFonts w:ascii="Arial" w:hAnsi="Arial" w:eastAsia="楷体_GB2312"/>
      <w:b/>
      <w:bCs/>
      <w:snapToGrid/>
      <w:color w:val="000000"/>
      <w:kern w:val="2"/>
      <w:sz w:val="18"/>
      <w:szCs w:val="24"/>
      <w:lang w:val="zh-CN" w:eastAsia="zh-CN"/>
    </w:rPr>
  </w:style>
  <w:style w:type="paragraph" w:customStyle="1" w:styleId="119">
    <w:name w:val="EFABodyText(CN)"/>
    <w:link w:val="120"/>
    <w:qFormat/>
    <w:uiPriority w:val="0"/>
    <w:pPr>
      <w:widowControl w:val="0"/>
      <w:adjustRightInd w:val="0"/>
      <w:snapToGrid w:val="0"/>
    </w:pPr>
    <w:rPr>
      <w:rFonts w:ascii="Calibri" w:hAnsi="Calibri" w:eastAsia="宋体" w:cs="Times New Roman"/>
      <w:snapToGrid w:val="0"/>
      <w:szCs w:val="16"/>
      <w:lang w:val="en-US" w:eastAsia="zh-CN" w:bidi="ar-SA"/>
    </w:rPr>
  </w:style>
  <w:style w:type="character" w:customStyle="1" w:styleId="120">
    <w:name w:val="EFABodyText(CN) Char"/>
    <w:basedOn w:val="28"/>
    <w:link w:val="119"/>
    <w:qFormat/>
    <w:uiPriority w:val="0"/>
    <w:rPr>
      <w:rFonts w:eastAsia="宋体"/>
      <w:sz w:val="20"/>
    </w:rPr>
  </w:style>
  <w:style w:type="paragraph" w:customStyle="1" w:styleId="121">
    <w:name w:val="图序号"/>
    <w:basedOn w:val="1"/>
    <w:link w:val="122"/>
    <w:qFormat/>
    <w:uiPriority w:val="0"/>
    <w:pPr>
      <w:widowControl w:val="0"/>
      <w:ind w:right="55" w:rightChars="26"/>
      <w:jc w:val="both"/>
    </w:pPr>
    <w:rPr>
      <w:rFonts w:ascii="Arial" w:hAnsi="Arial" w:eastAsia="楷体_GB2312"/>
      <w:b/>
      <w:bCs/>
      <w:snapToGrid/>
      <w:color w:val="000000"/>
      <w:kern w:val="2"/>
      <w:sz w:val="18"/>
      <w:szCs w:val="18"/>
      <w:lang w:val="zh-CN" w:eastAsia="zh-CN"/>
    </w:rPr>
  </w:style>
  <w:style w:type="character" w:customStyle="1" w:styleId="122">
    <w:name w:val="图序号 字符"/>
    <w:link w:val="121"/>
    <w:qFormat/>
    <w:uiPriority w:val="0"/>
    <w:rPr>
      <w:rFonts w:ascii="Arial" w:hAnsi="Arial" w:eastAsia="楷体_GB2312"/>
      <w:b/>
      <w:bCs/>
      <w:snapToGrid/>
      <w:color w:val="000000"/>
      <w:kern w:val="2"/>
      <w:sz w:val="18"/>
      <w:szCs w:val="18"/>
      <w:lang w:val="zh-CN" w:eastAsia="zh-CN"/>
    </w:rPr>
  </w:style>
  <w:style w:type="character" w:customStyle="1" w:styleId="123">
    <w:name w:val="标题 1 字符1"/>
    <w:link w:val="2"/>
    <w:qFormat/>
    <w:uiPriority w:val="0"/>
    <w:rPr>
      <w:rFonts w:cs="Arial"/>
      <w:b/>
      <w:bCs/>
      <w:kern w:val="32"/>
      <w:sz w:val="24"/>
      <w:szCs w:val="32"/>
      <w:lang w:val="en-GB" w:eastAsia="ja-JP"/>
    </w:rPr>
  </w:style>
  <w:style w:type="character" w:customStyle="1" w:styleId="124">
    <w:name w:val="标题 4 字符"/>
    <w:basedOn w:val="28"/>
    <w:link w:val="5"/>
    <w:qFormat/>
    <w:uiPriority w:val="0"/>
    <w:rPr>
      <w:rFonts w:ascii="Cambria" w:hAnsi="Cambria" w:eastAsia="宋体"/>
      <w:b/>
      <w:bCs/>
      <w:snapToGrid/>
      <w:kern w:val="2"/>
      <w:sz w:val="28"/>
      <w:szCs w:val="28"/>
      <w:lang w:val="zh-CN" w:eastAsia="zh-CN"/>
    </w:rPr>
  </w:style>
  <w:style w:type="character" w:customStyle="1" w:styleId="125">
    <w:name w:val="正文文本 字符"/>
    <w:basedOn w:val="28"/>
    <w:link w:val="10"/>
    <w:qFormat/>
    <w:uiPriority w:val="0"/>
    <w:rPr>
      <w:rFonts w:ascii="Times New Roman" w:hAnsi="Times New Roman" w:eastAsia="宋体"/>
      <w:snapToGrid/>
      <w:kern w:val="2"/>
      <w:sz w:val="21"/>
      <w:szCs w:val="24"/>
    </w:rPr>
  </w:style>
  <w:style w:type="character" w:customStyle="1" w:styleId="126">
    <w:name w:val="正文文本缩进 字符"/>
    <w:basedOn w:val="28"/>
    <w:link w:val="11"/>
    <w:qFormat/>
    <w:uiPriority w:val="0"/>
    <w:rPr>
      <w:rFonts w:ascii="汉仪楷体简" w:hAnsi="Times New Roman" w:eastAsia="汉仪楷体简"/>
      <w:snapToGrid/>
      <w:color w:val="000000"/>
      <w:sz w:val="18"/>
    </w:rPr>
  </w:style>
  <w:style w:type="character" w:customStyle="1" w:styleId="127">
    <w:name w:val="正文文本 2 字符"/>
    <w:basedOn w:val="28"/>
    <w:link w:val="23"/>
    <w:qFormat/>
    <w:uiPriority w:val="0"/>
    <w:rPr>
      <w:rFonts w:ascii="Times New Roman" w:hAnsi="Times New Roman" w:eastAsia="汉仪楷体简"/>
      <w:snapToGrid/>
      <w:sz w:val="18"/>
      <w:szCs w:val="24"/>
    </w:rPr>
  </w:style>
  <w:style w:type="character" w:customStyle="1" w:styleId="128">
    <w:name w:val="正文文本 3 字符"/>
    <w:basedOn w:val="28"/>
    <w:link w:val="9"/>
    <w:qFormat/>
    <w:uiPriority w:val="0"/>
    <w:rPr>
      <w:rFonts w:ascii="汉仪楷体简" w:hAnsi="Times New Roman" w:eastAsia="汉仪楷体简"/>
      <w:snapToGrid/>
      <w:color w:val="000000"/>
      <w:sz w:val="18"/>
    </w:rPr>
  </w:style>
  <w:style w:type="character" w:customStyle="1" w:styleId="129">
    <w:name w:val="正文文本缩进 2 字符"/>
    <w:basedOn w:val="28"/>
    <w:link w:val="15"/>
    <w:qFormat/>
    <w:uiPriority w:val="0"/>
    <w:rPr>
      <w:rFonts w:ascii="楷体_GB2312" w:hAnsi="Times New Roman" w:eastAsia="楷体_GB2312"/>
      <w:snapToGrid/>
      <w:sz w:val="24"/>
      <w:szCs w:val="24"/>
    </w:rPr>
  </w:style>
  <w:style w:type="character" w:customStyle="1" w:styleId="130">
    <w:name w:val="正文文本缩进 3 字符"/>
    <w:basedOn w:val="28"/>
    <w:link w:val="20"/>
    <w:qFormat/>
    <w:uiPriority w:val="0"/>
    <w:rPr>
      <w:rFonts w:ascii="楷体_GB2312" w:hAnsi="Times New Roman" w:eastAsia="楷体_GB2312"/>
      <w:snapToGrid/>
      <w:color w:val="000000"/>
      <w:kern w:val="2"/>
      <w:sz w:val="24"/>
      <w:szCs w:val="24"/>
    </w:rPr>
  </w:style>
  <w:style w:type="character" w:customStyle="1" w:styleId="131">
    <w:name w:val="日期 字符"/>
    <w:basedOn w:val="28"/>
    <w:link w:val="14"/>
    <w:qFormat/>
    <w:uiPriority w:val="0"/>
    <w:rPr>
      <w:rFonts w:ascii="宋体" w:hAnsi="Times New Roman" w:eastAsia="宋体"/>
      <w:snapToGrid/>
      <w:kern w:val="2"/>
      <w:sz w:val="28"/>
      <w:szCs w:val="20"/>
    </w:rPr>
  </w:style>
  <w:style w:type="character" w:customStyle="1" w:styleId="132">
    <w:name w:val="style12"/>
    <w:basedOn w:val="28"/>
    <w:qFormat/>
    <w:uiPriority w:val="0"/>
  </w:style>
  <w:style w:type="character" w:customStyle="1" w:styleId="133">
    <w:name w:val="style13"/>
    <w:basedOn w:val="28"/>
    <w:qFormat/>
    <w:uiPriority w:val="0"/>
  </w:style>
  <w:style w:type="paragraph" w:customStyle="1" w:styleId="134">
    <w:name w:val="默认段落字体 Para Char Char Char Char Char Char 字元 Char"/>
    <w:basedOn w:val="1"/>
    <w:qFormat/>
    <w:uiPriority w:val="0"/>
    <w:pPr>
      <w:widowControl w:val="0"/>
      <w:tabs>
        <w:tab w:val="left" w:pos="840"/>
      </w:tabs>
      <w:ind w:left="840" w:hanging="360"/>
      <w:jc w:val="both"/>
    </w:pPr>
    <w:rPr>
      <w:rFonts w:ascii="Times New Roman" w:hAnsi="Times New Roman" w:eastAsia="宋体"/>
      <w:snapToGrid/>
      <w:kern w:val="2"/>
      <w:sz w:val="24"/>
      <w:szCs w:val="24"/>
      <w:lang w:val="en-US" w:eastAsia="zh-CN"/>
    </w:rPr>
  </w:style>
  <w:style w:type="paragraph" w:customStyle="1" w:styleId="135">
    <w:name w:val="二级目录"/>
    <w:basedOn w:val="12"/>
    <w:qFormat/>
    <w:uiPriority w:val="0"/>
    <w:pPr>
      <w:spacing w:before="240" w:beforeLines="100" w:after="240" w:afterLines="100" w:line="320" w:lineRule="exact"/>
      <w:ind w:left="2977" w:leftChars="0" w:right="0" w:rightChars="0" w:firstLine="0"/>
    </w:pPr>
    <w:rPr>
      <w:rFonts w:eastAsia="楷体_GB2312"/>
      <w:b/>
      <w:color w:val="000080"/>
      <w:sz w:val="24"/>
    </w:rPr>
  </w:style>
  <w:style w:type="character" w:customStyle="1" w:styleId="136">
    <w:name w:val="批注文字 字符"/>
    <w:basedOn w:val="28"/>
    <w:link w:val="8"/>
    <w:qFormat/>
    <w:uiPriority w:val="0"/>
    <w:rPr>
      <w:rFonts w:ascii="Times New Roman" w:hAnsi="Times New Roman" w:eastAsia="宋体"/>
      <w:snapToGrid/>
      <w:kern w:val="2"/>
      <w:sz w:val="21"/>
      <w:szCs w:val="24"/>
      <w:lang w:val="zh-CN" w:eastAsia="zh-CN"/>
    </w:rPr>
  </w:style>
  <w:style w:type="character" w:customStyle="1" w:styleId="137">
    <w:name w:val="批注主题 字符"/>
    <w:basedOn w:val="136"/>
    <w:link w:val="25"/>
    <w:qFormat/>
    <w:uiPriority w:val="0"/>
    <w:rPr>
      <w:rFonts w:ascii="Times New Roman" w:hAnsi="Times New Roman" w:eastAsia="宋体"/>
      <w:b/>
      <w:bCs/>
      <w:snapToGrid/>
      <w:kern w:val="2"/>
      <w:sz w:val="21"/>
      <w:szCs w:val="24"/>
      <w:lang w:val="zh-CN" w:eastAsia="zh-CN"/>
    </w:rPr>
  </w:style>
  <w:style w:type="paragraph" w:customStyle="1" w:styleId="138">
    <w:name w:val="HUS封面正文"/>
    <w:qFormat/>
    <w:uiPriority w:val="0"/>
    <w:pPr>
      <w:numPr>
        <w:ilvl w:val="0"/>
        <w:numId w:val="12"/>
      </w:numPr>
      <w:spacing w:after="120"/>
      <w:jc w:val="both"/>
    </w:pPr>
    <w:rPr>
      <w:rFonts w:ascii="Arial" w:hAnsi="Arial" w:eastAsia="楷体_GB2312" w:cs="Times New Roman"/>
      <w:kern w:val="2"/>
      <w:lang w:val="en-US" w:eastAsia="zh-CN" w:bidi="ar-SA"/>
    </w:rPr>
  </w:style>
  <w:style w:type="paragraph" w:customStyle="1" w:styleId="139">
    <w:name w:val="Default"/>
    <w:qFormat/>
    <w:uiPriority w:val="0"/>
    <w:pPr>
      <w:widowControl w:val="0"/>
      <w:autoSpaceDE w:val="0"/>
      <w:autoSpaceDN w:val="0"/>
      <w:adjustRightInd w:val="0"/>
    </w:pPr>
    <w:rPr>
      <w:rFonts w:ascii="楷体_GB2312" w:hAnsi="Times New Roman" w:eastAsia="楷体_GB2312" w:cs="楷体_GB2312"/>
      <w:color w:val="000000"/>
      <w:sz w:val="24"/>
      <w:szCs w:val="24"/>
      <w:lang w:val="en-US" w:eastAsia="zh-CN" w:bidi="ar-SA"/>
    </w:rPr>
  </w:style>
  <w:style w:type="character" w:customStyle="1" w:styleId="140">
    <w:name w:val="标题 3 字符"/>
    <w:link w:val="4"/>
    <w:qFormat/>
    <w:uiPriority w:val="0"/>
    <w:rPr>
      <w:rFonts w:cs="Arial"/>
      <w:b/>
      <w:bCs/>
      <w:szCs w:val="26"/>
      <w:lang w:val="en-GB" w:eastAsia="ja-JP"/>
    </w:rPr>
  </w:style>
  <w:style w:type="paragraph" w:customStyle="1" w:styleId="141">
    <w:name w:val="国泰君安题注"/>
    <w:basedOn w:val="1"/>
    <w:qFormat/>
    <w:uiPriority w:val="0"/>
    <w:pPr>
      <w:widowControl w:val="0"/>
      <w:jc w:val="both"/>
    </w:pPr>
    <w:rPr>
      <w:rFonts w:ascii="Times New Roman" w:hAnsi="Times New Roman" w:eastAsia="楷体_GB2312" w:cs="宋体"/>
      <w:b/>
      <w:bCs/>
      <w:snapToGrid/>
      <w:kern w:val="2"/>
      <w:sz w:val="21"/>
      <w:szCs w:val="20"/>
      <w:lang w:val="en-US" w:eastAsia="zh-CN"/>
    </w:rPr>
  </w:style>
  <w:style w:type="paragraph" w:customStyle="1" w:styleId="142">
    <w:name w:val="国泰君安报告正文"/>
    <w:basedOn w:val="1"/>
    <w:qFormat/>
    <w:uiPriority w:val="0"/>
    <w:pPr>
      <w:widowControl w:val="0"/>
      <w:jc w:val="both"/>
    </w:pPr>
    <w:rPr>
      <w:rFonts w:ascii="Times New Roman" w:hAnsi="Times New Roman" w:eastAsia="楷体_GB2312" w:cs="宋体"/>
      <w:snapToGrid/>
      <w:kern w:val="2"/>
      <w:sz w:val="21"/>
      <w:szCs w:val="20"/>
      <w:lang w:val="en-US" w:eastAsia="zh-CN"/>
    </w:rPr>
  </w:style>
  <w:style w:type="paragraph" w:customStyle="1" w:styleId="143">
    <w:name w:val="国泰君安数据来源"/>
    <w:basedOn w:val="142"/>
    <w:qFormat/>
    <w:uiPriority w:val="0"/>
    <w:rPr>
      <w:sz w:val="18"/>
    </w:rPr>
  </w:style>
  <w:style w:type="paragraph" w:customStyle="1" w:styleId="144">
    <w:name w:val="表"/>
    <w:basedOn w:val="1"/>
    <w:qFormat/>
    <w:uiPriority w:val="0"/>
    <w:pPr>
      <w:widowControl w:val="0"/>
    </w:pPr>
    <w:rPr>
      <w:rFonts w:ascii="Arial" w:hAnsi="Arial" w:eastAsia="楷体_GB2312" w:cs="宋体"/>
      <w:b/>
      <w:bCs/>
      <w:snapToGrid/>
      <w:color w:val="000000"/>
      <w:kern w:val="2"/>
      <w:sz w:val="18"/>
      <w:szCs w:val="20"/>
      <w:lang w:val="en-US" w:eastAsia="zh-CN"/>
    </w:rPr>
  </w:style>
  <w:style w:type="character" w:customStyle="1" w:styleId="145">
    <w:name w:val="标题 1 字符"/>
    <w:qFormat/>
    <w:uiPriority w:val="0"/>
    <w:rPr>
      <w:rFonts w:eastAsia="楷体_GB2312"/>
      <w:b/>
      <w:bCs/>
      <w:color w:val="000080"/>
      <w:sz w:val="30"/>
      <w:szCs w:val="24"/>
    </w:rPr>
  </w:style>
  <w:style w:type="table" w:customStyle="1" w:styleId="146">
    <w:name w:val="网格表 2 - 着色 11"/>
    <w:basedOn w:val="26"/>
    <w:qFormat/>
    <w:uiPriority w:val="47"/>
    <w:tblPr>
      <w:tblBorders>
        <w:top w:val="single" w:color="8EAADB" w:sz="2" w:space="0"/>
        <w:bottom w:val="single" w:color="8EAADB" w:sz="2" w:space="0"/>
        <w:insideH w:val="single" w:color="8EAADB" w:sz="2" w:space="0"/>
        <w:insideV w:val="single" w:color="8EAADB" w:sz="2" w:space="0"/>
      </w:tblBorders>
    </w:tblPr>
    <w:tblStylePr w:type="firstRow">
      <w:rPr>
        <w:b/>
        <w:bCs/>
      </w:rPr>
      <w:tcPr>
        <w:tcBorders>
          <w:top w:val="nil"/>
          <w:bottom w:val="single" w:color="8EAADB" w:sz="12" w:space="0"/>
          <w:insideH w:val="nil"/>
          <w:insideV w:val="nil"/>
        </w:tcBorders>
        <w:shd w:val="clear" w:color="auto" w:fill="FFFFFF"/>
      </w:tcPr>
    </w:tblStylePr>
    <w:tblStylePr w:type="lastRow">
      <w:rPr>
        <w:b/>
        <w:bCs/>
      </w:rPr>
      <w:tcPr>
        <w:tcBorders>
          <w:top w:val="double" w:color="8EAADB" w:sz="2" w:space="0"/>
          <w:bottom w:val="nil"/>
          <w:insideH w:val="nil"/>
          <w:insideV w:val="nil"/>
        </w:tcBorders>
        <w:shd w:val="clear" w:color="auto" w:fill="FFFFFF"/>
      </w:tcPr>
    </w:tblStylePr>
    <w:tblStylePr w:type="firstCol">
      <w:rPr>
        <w:b/>
        <w:bCs/>
      </w:rPr>
    </w:tblStylePr>
    <w:tblStylePr w:type="lastCol">
      <w:rPr>
        <w:b/>
        <w:bCs/>
      </w:rPr>
    </w:tblStylePr>
    <w:tblStylePr w:type="band1Vert">
      <w:tcPr>
        <w:shd w:val="clear" w:color="auto" w:fill="D9E2F3"/>
      </w:tcPr>
    </w:tblStylePr>
    <w:tblStylePr w:type="band1Horz">
      <w:tcPr>
        <w:shd w:val="clear" w:color="auto" w:fill="D9E2F3"/>
      </w:tcPr>
    </w:tblStylePr>
  </w:style>
  <w:style w:type="table" w:customStyle="1" w:styleId="147">
    <w:name w:val="网格表 3 - 着色 31"/>
    <w:basedOn w:val="26"/>
    <w:qFormat/>
    <w:uiPriority w:val="48"/>
    <w:tblPr>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Pr>
    <w:tblStylePr w:type="firstRow">
      <w:rPr>
        <w:b/>
        <w:bCs/>
      </w:rPr>
      <w:tcPr>
        <w:tcBorders>
          <w:top w:val="nil"/>
          <w:left w:val="nil"/>
          <w:right w:val="nil"/>
          <w:insideH w:val="nil"/>
          <w:insideV w:val="nil"/>
        </w:tcBorders>
        <w:shd w:val="clear" w:color="auto" w:fill="FFFFFF"/>
      </w:tcPr>
    </w:tblStylePr>
    <w:tblStylePr w:type="lastRow">
      <w:rPr>
        <w:b/>
        <w:bCs/>
      </w:rPr>
      <w:tcPr>
        <w:tcBorders>
          <w:left w:val="nil"/>
          <w:bottom w:val="nil"/>
          <w:right w:val="nil"/>
          <w:insideH w:val="nil"/>
          <w:insideV w:val="nil"/>
        </w:tcBorders>
        <w:shd w:val="clear" w:color="auto" w:fill="FFFFFF"/>
      </w:tcPr>
    </w:tblStylePr>
    <w:tblStylePr w:type="firstCol">
      <w:pPr>
        <w:jc w:val="right"/>
      </w:pPr>
      <w:rPr>
        <w:i/>
        <w:iCs/>
      </w:rPr>
      <w:tcPr>
        <w:tcBorders>
          <w:top w:val="nil"/>
          <w:left w:val="nil"/>
          <w:bottom w:val="nil"/>
          <w:insideH w:val="nil"/>
          <w:insideV w:val="nil"/>
        </w:tcBorders>
        <w:shd w:val="clear" w:color="auto" w:fill="FFFFFF"/>
      </w:tcPr>
    </w:tblStylePr>
    <w:tblStylePr w:type="lastCol">
      <w:rPr>
        <w:i/>
        <w:iCs/>
      </w:rPr>
      <w:tcPr>
        <w:tcBorders>
          <w:top w:val="nil"/>
          <w:bottom w:val="nil"/>
          <w:right w:val="nil"/>
          <w:insideH w:val="nil"/>
          <w:insideV w:val="nil"/>
        </w:tcBorders>
        <w:shd w:val="clear" w:color="auto" w:fill="FFFFFF"/>
      </w:tcPr>
    </w:tblStylePr>
    <w:tblStylePr w:type="band1Vert">
      <w:tcPr>
        <w:shd w:val="clear" w:color="auto" w:fill="EDEDED"/>
      </w:tcPr>
    </w:tblStylePr>
    <w:tblStylePr w:type="band1Horz">
      <w:tcPr>
        <w:shd w:val="clear" w:color="auto" w:fill="EDEDED"/>
      </w:tcPr>
    </w:tblStylePr>
    <w:tblStylePr w:type="neCell">
      <w:tcPr>
        <w:tcBorders>
          <w:bottom w:val="single" w:color="C9C9C9" w:sz="4" w:space="0"/>
        </w:tcBorders>
      </w:tcPr>
    </w:tblStylePr>
    <w:tblStylePr w:type="nwCell">
      <w:tcPr>
        <w:tcBorders>
          <w:bottom w:val="single" w:color="C9C9C9" w:sz="4" w:space="0"/>
        </w:tcBorders>
      </w:tcPr>
    </w:tblStylePr>
    <w:tblStylePr w:type="seCell">
      <w:tcPr>
        <w:tcBorders>
          <w:top w:val="single" w:color="C9C9C9" w:sz="4" w:space="0"/>
        </w:tcBorders>
      </w:tcPr>
    </w:tblStylePr>
    <w:tblStylePr w:type="swCell">
      <w:tcPr>
        <w:tcBorders>
          <w:top w:val="single" w:color="C9C9C9" w:sz="4" w:space="0"/>
        </w:tcBorders>
      </w:tcPr>
    </w:tblStylePr>
  </w:style>
  <w:style w:type="table" w:customStyle="1" w:styleId="148">
    <w:name w:val="网格表 2 - 着色 51"/>
    <w:basedOn w:val="26"/>
    <w:qFormat/>
    <w:uiPriority w:val="47"/>
    <w:tblPr>
      <w:tblBorders>
        <w:top w:val="single" w:color="9CC2E5" w:sz="2" w:space="0"/>
        <w:bottom w:val="single" w:color="9CC2E5" w:sz="2" w:space="0"/>
        <w:insideH w:val="single" w:color="9CC2E5" w:sz="2" w:space="0"/>
        <w:insideV w:val="single" w:color="9CC2E5" w:sz="2" w:space="0"/>
      </w:tblBorders>
    </w:tblPr>
    <w:tblStylePr w:type="firstRow">
      <w:rPr>
        <w:b/>
        <w:bCs/>
      </w:rPr>
      <w:tcPr>
        <w:tcBorders>
          <w:top w:val="nil"/>
          <w:bottom w:val="single" w:color="9CC2E5" w:sz="12" w:space="0"/>
          <w:insideH w:val="nil"/>
          <w:insideV w:val="nil"/>
        </w:tcBorders>
        <w:shd w:val="clear" w:color="auto" w:fill="FFFFFF"/>
      </w:tcPr>
    </w:tblStylePr>
    <w:tblStylePr w:type="lastRow">
      <w:rPr>
        <w:b/>
        <w:bCs/>
      </w:rPr>
      <w:tcPr>
        <w:tcBorders>
          <w:top w:val="double" w:color="9CC2E5" w:sz="2" w:space="0"/>
          <w:bottom w:val="nil"/>
          <w:insideH w:val="nil"/>
          <w:insideV w:val="nil"/>
        </w:tcBorders>
        <w:shd w:val="clear" w:color="auto" w:fill="FFFFFF"/>
      </w:tc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table" w:customStyle="1" w:styleId="149">
    <w:name w:val="清单表 1 浅色 - 着色 51"/>
    <w:basedOn w:val="26"/>
    <w:qFormat/>
    <w:uiPriority w:val="46"/>
    <w:tblStylePr w:type="firstRow">
      <w:rPr>
        <w:b/>
        <w:bCs/>
      </w:rPr>
      <w:tcPr>
        <w:tcBorders>
          <w:bottom w:val="single" w:color="9CC2E5" w:sz="4" w:space="0"/>
        </w:tcBorders>
      </w:tcPr>
    </w:tblStylePr>
    <w:tblStylePr w:type="lastRow">
      <w:rPr>
        <w:b/>
        <w:bCs/>
      </w:rPr>
      <w:tcPr>
        <w:tcBorders>
          <w:top w:val="single" w:color="9CC2E5" w:sz="4" w:space="0"/>
        </w:tcBorders>
      </w:tcPr>
    </w:tblStylePr>
    <w:tblStylePr w:type="firstCol">
      <w:rPr>
        <w:b/>
        <w:bCs/>
      </w:rPr>
    </w:tblStylePr>
    <w:tblStylePr w:type="lastCol">
      <w:rPr>
        <w:b/>
        <w:bCs/>
      </w:rPr>
    </w:tblStylePr>
    <w:tblStylePr w:type="band1Vert">
      <w:tcPr>
        <w:shd w:val="clear" w:color="auto" w:fill="DEEAF6"/>
      </w:tcPr>
    </w:tblStylePr>
    <w:tblStylePr w:type="band1Horz">
      <w:tcPr>
        <w:shd w:val="clear" w:color="auto" w:fill="DEEAF6"/>
      </w:tcPr>
    </w:tblStylePr>
  </w:style>
  <w:style w:type="paragraph" w:customStyle="1" w:styleId="150">
    <w:name w:val="EFAFPColFrameText_Right"/>
    <w:basedOn w:val="1"/>
    <w:qFormat/>
    <w:uiPriority w:val="0"/>
    <w:pPr>
      <w:framePr w:w="3045" w:h="12844" w:hRule="exact" w:hSpace="180" w:wrap="around" w:vAnchor="page" w:hAnchor="page" w:x="336" w:y="2721" w:anchorLock="1"/>
      <w:adjustRightInd w:val="0"/>
      <w:snapToGrid w:val="0"/>
      <w:jc w:val="right"/>
    </w:pPr>
    <w:rPr>
      <w:sz w:val="14"/>
      <w:szCs w:val="14"/>
      <w:lang w:val="en-US" w:eastAsia="zh-CN"/>
    </w:rPr>
  </w:style>
  <w:style w:type="paragraph" w:customStyle="1" w:styleId="151">
    <w:name w:val="EFAFPHdrInfo"/>
    <w:link w:val="152"/>
    <w:qFormat/>
    <w:uiPriority w:val="0"/>
    <w:pPr>
      <w:framePr w:wrap="around" w:vAnchor="margin" w:hAnchor="text" w:xAlign="right" w:y="1"/>
      <w:suppressOverlap/>
      <w:ind w:left="240"/>
    </w:pPr>
    <w:rPr>
      <w:rFonts w:ascii="Calibri" w:hAnsi="Calibri" w:eastAsia="MS Mincho" w:cs="Times New Roman"/>
      <w:b/>
      <w:bCs/>
      <w:snapToGrid w:val="0"/>
      <w:color w:val="000000"/>
      <w:sz w:val="32"/>
      <w:szCs w:val="32"/>
      <w:lang w:val="en-US" w:eastAsia="ja-JP" w:bidi="ar-SA"/>
    </w:rPr>
  </w:style>
  <w:style w:type="character" w:customStyle="1" w:styleId="152">
    <w:name w:val="EFAFPHdrInfo Char"/>
    <w:basedOn w:val="105"/>
    <w:link w:val="151"/>
    <w:qFormat/>
    <w:uiPriority w:val="0"/>
    <w:rPr>
      <w:b/>
      <w:bCs/>
      <w:color w:val="000000"/>
      <w:sz w:val="32"/>
      <w:szCs w:val="32"/>
      <w:lang w:eastAsia="ja-JP"/>
    </w:rPr>
  </w:style>
  <w:style w:type="paragraph" w:customStyle="1" w:styleId="153">
    <w:name w:val="EFAFPTitle6"/>
    <w:link w:val="154"/>
    <w:qFormat/>
    <w:uiPriority w:val="0"/>
    <w:rPr>
      <w:rFonts w:ascii="Calibri" w:hAnsi="Calibri" w:eastAsia="MS Mincho" w:cs="Times New Roman"/>
      <w:b/>
      <w:bCs/>
      <w:snapToGrid w:val="0"/>
      <w:color w:val="FFFFFF"/>
      <w:sz w:val="32"/>
      <w:lang w:val="en-US" w:eastAsia="ja-JP" w:bidi="ar-SA"/>
    </w:rPr>
  </w:style>
  <w:style w:type="character" w:customStyle="1" w:styleId="154">
    <w:name w:val="EFAFPTitle6 Char"/>
    <w:basedOn w:val="28"/>
    <w:link w:val="153"/>
    <w:qFormat/>
    <w:uiPriority w:val="0"/>
    <w:rPr>
      <w:b/>
      <w:bCs/>
      <w:color w:val="FFFFFF"/>
      <w:sz w:val="32"/>
      <w:szCs w:val="20"/>
      <w:lang w:eastAsia="ja-JP"/>
    </w:rPr>
  </w:style>
  <w:style w:type="character" w:customStyle="1" w:styleId="155">
    <w:name w:val="未处理的提及1"/>
    <w:basedOn w:val="28"/>
    <w:semiHidden/>
    <w:unhideWhenUsed/>
    <w:qFormat/>
    <w:uiPriority w:val="99"/>
    <w:rPr>
      <w:color w:val="605E5C"/>
      <w:shd w:val="clear" w:color="auto" w:fill="E1DFDD"/>
    </w:rPr>
  </w:style>
  <w:style w:type="character" w:customStyle="1" w:styleId="156">
    <w:name w:val="标题 2 字符"/>
    <w:basedOn w:val="28"/>
    <w:link w:val="3"/>
    <w:qFormat/>
    <w:uiPriority w:val="0"/>
    <w:rPr>
      <w:rFonts w:cs="Arial"/>
      <w:b/>
      <w:bCs/>
      <w:iCs/>
      <w:snapToGrid w:val="0"/>
      <w:szCs w:val="28"/>
      <w:lang w:val="en-GB" w:eastAsia="ja-JP"/>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4.xml"/><Relationship Id="rId7" Type="http://schemas.openxmlformats.org/officeDocument/2006/relationships/header" Target="header3.xml"/><Relationship Id="rId65" Type="http://schemas.openxmlformats.org/officeDocument/2006/relationships/fontTable" Target="fontTable.xml"/><Relationship Id="rId64" Type="http://schemas.openxmlformats.org/officeDocument/2006/relationships/customXml" Target="../customXml/item2.xml"/><Relationship Id="rId63" Type="http://schemas.openxmlformats.org/officeDocument/2006/relationships/numbering" Target="numbering.xml"/><Relationship Id="rId62" Type="http://schemas.openxmlformats.org/officeDocument/2006/relationships/customXml" Target="../customXml/item1.xml"/><Relationship Id="rId61" Type="http://schemas.openxmlformats.org/officeDocument/2006/relationships/chart" Target="charts/chart14.xml"/><Relationship Id="rId60" Type="http://schemas.openxmlformats.org/officeDocument/2006/relationships/chart" Target="charts/chart13.xml"/><Relationship Id="rId6" Type="http://schemas.openxmlformats.org/officeDocument/2006/relationships/footer" Target="footer2.xml"/><Relationship Id="rId59" Type="http://schemas.openxmlformats.org/officeDocument/2006/relationships/chart" Target="charts/chart12.xml"/><Relationship Id="rId58" Type="http://schemas.openxmlformats.org/officeDocument/2006/relationships/chart" Target="charts/chart11.xml"/><Relationship Id="rId57" Type="http://schemas.openxmlformats.org/officeDocument/2006/relationships/chart" Target="charts/chart10.xml"/><Relationship Id="rId56" Type="http://schemas.openxmlformats.org/officeDocument/2006/relationships/chart" Target="charts/chart9.xml"/><Relationship Id="rId55" Type="http://schemas.openxmlformats.org/officeDocument/2006/relationships/chart" Target="charts/chart8.xml"/><Relationship Id="rId54" Type="http://schemas.openxmlformats.org/officeDocument/2006/relationships/chart" Target="charts/chart7.xml"/><Relationship Id="rId53" Type="http://schemas.openxmlformats.org/officeDocument/2006/relationships/chart" Target="charts/chart6.xml"/><Relationship Id="rId52" Type="http://schemas.openxmlformats.org/officeDocument/2006/relationships/image" Target="media/image38.png"/><Relationship Id="rId51" Type="http://schemas.openxmlformats.org/officeDocument/2006/relationships/image" Target="media/image37.png"/><Relationship Id="rId50" Type="http://schemas.openxmlformats.org/officeDocument/2006/relationships/image" Target="media/image36.png"/><Relationship Id="rId5" Type="http://schemas.openxmlformats.org/officeDocument/2006/relationships/header" Target="header2.xml"/><Relationship Id="rId49" Type="http://schemas.openxmlformats.org/officeDocument/2006/relationships/image" Target="media/image35.png"/><Relationship Id="rId48" Type="http://schemas.openxmlformats.org/officeDocument/2006/relationships/image" Target="media/image34.png"/><Relationship Id="rId47" Type="http://schemas.openxmlformats.org/officeDocument/2006/relationships/image" Target="media/image33.emf"/><Relationship Id="rId46" Type="http://schemas.openxmlformats.org/officeDocument/2006/relationships/image" Target="media/image32.png"/><Relationship Id="rId45" Type="http://schemas.openxmlformats.org/officeDocument/2006/relationships/image" Target="media/image31.png"/><Relationship Id="rId44" Type="http://schemas.openxmlformats.org/officeDocument/2006/relationships/image" Target="media/image30.png"/><Relationship Id="rId43" Type="http://schemas.openxmlformats.org/officeDocument/2006/relationships/image" Target="media/image29.png"/><Relationship Id="rId42" Type="http://schemas.openxmlformats.org/officeDocument/2006/relationships/image" Target="media/image28.png"/><Relationship Id="rId41" Type="http://schemas.openxmlformats.org/officeDocument/2006/relationships/image" Target="media/image27.png"/><Relationship Id="rId40" Type="http://schemas.openxmlformats.org/officeDocument/2006/relationships/image" Target="media/image26.png"/><Relationship Id="rId4" Type="http://schemas.openxmlformats.org/officeDocument/2006/relationships/footer" Target="footer1.xml"/><Relationship Id="rId39" Type="http://schemas.openxmlformats.org/officeDocument/2006/relationships/image" Target="media/image25.png"/><Relationship Id="rId38" Type="http://schemas.openxmlformats.org/officeDocument/2006/relationships/image" Target="media/image24.png"/><Relationship Id="rId37" Type="http://schemas.openxmlformats.org/officeDocument/2006/relationships/image" Target="media/image23.png"/><Relationship Id="rId36" Type="http://schemas.openxmlformats.org/officeDocument/2006/relationships/image" Target="media/image22.jpeg"/><Relationship Id="rId35" Type="http://schemas.openxmlformats.org/officeDocument/2006/relationships/image" Target="media/image21.png"/><Relationship Id="rId34" Type="http://schemas.openxmlformats.org/officeDocument/2006/relationships/image" Target="media/image20.png"/><Relationship Id="rId33" Type="http://schemas.openxmlformats.org/officeDocument/2006/relationships/image" Target="media/image19.png"/><Relationship Id="rId32" Type="http://schemas.openxmlformats.org/officeDocument/2006/relationships/image" Target="media/image18.png"/><Relationship Id="rId31" Type="http://schemas.openxmlformats.org/officeDocument/2006/relationships/image" Target="media/image17.png"/><Relationship Id="rId30" Type="http://schemas.openxmlformats.org/officeDocument/2006/relationships/image" Target="media/image16.png"/><Relationship Id="rId3" Type="http://schemas.openxmlformats.org/officeDocument/2006/relationships/header" Target="header1.xml"/><Relationship Id="rId29" Type="http://schemas.openxmlformats.org/officeDocument/2006/relationships/image" Target="media/image15.png"/><Relationship Id="rId28" Type="http://schemas.openxmlformats.org/officeDocument/2006/relationships/chart" Target="charts/chart5.xml"/><Relationship Id="rId27" Type="http://schemas.openxmlformats.org/officeDocument/2006/relationships/chart" Target="charts/chart4.xml"/><Relationship Id="rId26" Type="http://schemas.openxmlformats.org/officeDocument/2006/relationships/chart" Target="charts/chart3.xml"/><Relationship Id="rId25" Type="http://schemas.openxmlformats.org/officeDocument/2006/relationships/image" Target="media/image14.png"/><Relationship Id="rId24" Type="http://schemas.openxmlformats.org/officeDocument/2006/relationships/image" Target="media/image13.png"/><Relationship Id="rId23" Type="http://schemas.openxmlformats.org/officeDocument/2006/relationships/image" Target="media/image12.png"/><Relationship Id="rId22" Type="http://schemas.openxmlformats.org/officeDocument/2006/relationships/image" Target="media/image11.png"/><Relationship Id="rId21" Type="http://schemas.openxmlformats.org/officeDocument/2006/relationships/image" Target="media/image10.png"/><Relationship Id="rId20" Type="http://schemas.openxmlformats.org/officeDocument/2006/relationships/image" Target="media/image9.png"/><Relationship Id="rId2" Type="http://schemas.openxmlformats.org/officeDocument/2006/relationships/settings" Target="settings.xml"/><Relationship Id="rId19" Type="http://schemas.openxmlformats.org/officeDocument/2006/relationships/image" Target="media/image8.png"/><Relationship Id="rId18"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emf"/><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chart" Target="charts/chart2.xml"/><Relationship Id="rId12" Type="http://schemas.openxmlformats.org/officeDocument/2006/relationships/chart" Target="charts/chart1.xml"/><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microsoft.com/office/2011/relationships/chartColorStyle" Target="colors14.xml"/><Relationship Id="rId2" Type="http://schemas.microsoft.com/office/2011/relationships/chartStyle" Target="style14.xml"/><Relationship Id="rId1" Type="http://schemas.openxmlformats.org/officeDocument/2006/relationships/oleObject" Target="/Users/victoria/Library/Containers/com.tencent.xinWeChat/Data/Library/Application%20Support/com.tencent.xinWeChat/2.0b4.0.9/a77bb698393b94660e428d89d4adee9b/Message/MessageTemp/8ce60c9ae8a15df1dd2088e69b7f85bb/File/&#21608;&#25253;&#31532;&#19968;&#37096;&#20998;&#24213;&#31295;.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7.xml"/><Relationship Id="rId2" Type="http://schemas.microsoft.com/office/2011/relationships/chartStyle" Target="style7.xml"/><Relationship Id="rId1" Type="http://schemas.openxmlformats.org/officeDocument/2006/relationships/oleObject" Target="/Users/victoria/Library/Containers/com.tencent.xinWeChat/Data/Library/Application%20Support/com.tencent.xinWeChat/2.0b4.0.9/a77bb698393b94660e428d89d4adee9b/Message/MessageTemp/8ce60c9ae8a15df1dd2088e69b7f85bb/File/&#21608;&#25253;&#31532;&#19968;&#37096;&#20998;&#24213;&#31295;.xlsx"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9.xml"/><Relationship Id="rId2" Type="http://schemas.microsoft.com/office/2011/relationships/chartStyle" Target="style9.xml"/><Relationship Id="rId1" Type="http://schemas.openxmlformats.org/officeDocument/2006/relationships/oleObject" Target="file:///D:\HuaweiMoveData\Users\Zipline\Desktop\&#21464;&#21387;&#22120;&#20986;&#21475;&#37329;&#39069;&#21271;&#32654;&#27954;&#24403;&#26376;&#20540;&#31561;_20260213_170615.xlsx"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10.xml"/><Relationship Id="rId2" Type="http://schemas.microsoft.com/office/2011/relationships/chartStyle" Target="style10.xml"/><Relationship Id="rId1" Type="http://schemas.openxmlformats.org/officeDocument/2006/relationships/oleObject" Target="&#24037;&#20316;&#31807;1" TargetMode="External"/></Relationships>
</file>

<file path=word/charts/_rels/chart5.xml.rels><?xml version="1.0" encoding="UTF-8" standalone="yes"?>
<Relationships xmlns="http://schemas.openxmlformats.org/package/2006/relationships"><Relationship Id="rId3" Type="http://schemas.microsoft.com/office/2011/relationships/chartColorStyle" Target="colors6.xml"/><Relationship Id="rId2" Type="http://schemas.microsoft.com/office/2011/relationships/chartStyle" Target="style6.xml"/><Relationship Id="rId1" Type="http://schemas.openxmlformats.org/officeDocument/2006/relationships/oleObject" Target="&#24037;&#20316;&#31807;1" TargetMode="External"/></Relationships>
</file>

<file path=word/charts/_rels/chart6.xml.rels><?xml version="1.0" encoding="UTF-8" standalone="yes"?>
<Relationships xmlns="http://schemas.openxmlformats.org/package/2006/relationships"><Relationship Id="rId4" Type="http://schemas.microsoft.com/office/2011/relationships/chartColorStyle" Target="colors8.xml"/><Relationship Id="rId3" Type="http://schemas.microsoft.com/office/2011/relationships/chartStyle" Target="style8.xml"/><Relationship Id="rId2" Type="http://schemas.openxmlformats.org/officeDocument/2006/relationships/themeOverride" Target="../theme/themeOverride6.xml"/><Relationship Id="rId1" Type="http://schemas.openxmlformats.org/officeDocument/2006/relationships/oleObject" Target="file:///C:\Users\HSJ\Desktop\&#21608;&#25253;&#24213;&#31295;-&#36890;&#29992;&#33322;&#31354;&#37096;&#20998;.xlsx" TargetMode="External"/></Relationships>
</file>

<file path=word/charts/_rels/chart7.xml.rels><?xml version="1.0" encoding="UTF-8" standalone="yes"?>
<Relationships xmlns="http://schemas.openxmlformats.org/package/2006/relationships"><Relationship Id="rId4" Type="http://schemas.microsoft.com/office/2011/relationships/chartColorStyle" Target="colors11.xml"/><Relationship Id="rId3" Type="http://schemas.microsoft.com/office/2011/relationships/chartStyle" Target="style11.xml"/><Relationship Id="rId2" Type="http://schemas.openxmlformats.org/officeDocument/2006/relationships/themeOverride" Target="../theme/themeOverride7.xml"/><Relationship Id="rId1" Type="http://schemas.openxmlformats.org/officeDocument/2006/relationships/oleObject" Target="file:///C:\Users\HSJ\Desktop\&#21608;&#25253;&#24213;&#31295;-&#36890;&#29992;&#33322;&#31354;&#37096;&#20998;.xlsx" TargetMode="External"/></Relationships>
</file>

<file path=word/charts/_rels/chart8.xml.rels><?xml version="1.0" encoding="UTF-8" standalone="yes"?>
<Relationships xmlns="http://schemas.openxmlformats.org/package/2006/relationships"><Relationship Id="rId4" Type="http://schemas.microsoft.com/office/2011/relationships/chartColorStyle" Target="colors12.xml"/><Relationship Id="rId3" Type="http://schemas.microsoft.com/office/2011/relationships/chartStyle" Target="style12.xml"/><Relationship Id="rId2" Type="http://schemas.openxmlformats.org/officeDocument/2006/relationships/themeOverride" Target="../theme/themeOverride8.xml"/><Relationship Id="rId1" Type="http://schemas.openxmlformats.org/officeDocument/2006/relationships/package" Target="../embeddings/Workbook5.xlsx"/></Relationships>
</file>

<file path=word/charts/_rels/chart9.xml.rels><?xml version="1.0" encoding="UTF-8" standalone="yes"?>
<Relationships xmlns="http://schemas.openxmlformats.org/package/2006/relationships"><Relationship Id="rId4" Type="http://schemas.microsoft.com/office/2011/relationships/chartColorStyle" Target="colors13.xml"/><Relationship Id="rId3" Type="http://schemas.microsoft.com/office/2011/relationships/chartStyle" Target="style13.xml"/><Relationship Id="rId2" Type="http://schemas.openxmlformats.org/officeDocument/2006/relationships/themeOverride" Target="../theme/themeOverride9.xml"/><Relationship Id="rId1" Type="http://schemas.openxmlformats.org/officeDocument/2006/relationships/oleObject" Target="file:///C:\Users\HSJ\Desktop\&#21608;&#25253;&#24213;&#31295;-&#36890;&#29992;&#33322;&#31354;&#37096;&#20998;.xlsx" TargetMode="External"/></Relationships>
</file>

<file path=word/charts/_rels/chart10.xml.rels><?xml version="1.0" encoding="UTF-8" standalone="yes"?>
<Relationships xmlns="http://schemas.openxmlformats.org/package/2006/relationships"><Relationship Id="rId4" Type="http://schemas.microsoft.com/office/2011/relationships/chartColorStyle" Target="colors2.xml"/><Relationship Id="rId3" Type="http://schemas.microsoft.com/office/2011/relationships/chartStyle" Target="style2.xml"/><Relationship Id="rId2" Type="http://schemas.openxmlformats.org/officeDocument/2006/relationships/themeOverride" Target="../theme/themeOverride2.xml"/><Relationship Id="rId1" Type="http://schemas.openxmlformats.org/officeDocument/2006/relationships/oleObject" Target="file:///C:\Users\HSJ\Desktop\&#21608;&#25253;&#24213;&#31295;-&#36890;&#29992;&#33322;&#31354;&#37096;&#20998;.xlsx" TargetMode="External"/></Relationships>
</file>

<file path=word/charts/_rels/chart11.xml.rels><?xml version="1.0" encoding="UTF-8" standalone="yes"?>
<Relationships xmlns="http://schemas.openxmlformats.org/package/2006/relationships"><Relationship Id="rId4" Type="http://schemas.microsoft.com/office/2011/relationships/chartColorStyle" Target="colors1.xml"/><Relationship Id="rId3" Type="http://schemas.microsoft.com/office/2011/relationships/chartStyle" Target="style1.xml"/><Relationship Id="rId2" Type="http://schemas.openxmlformats.org/officeDocument/2006/relationships/themeOverride" Target="../theme/themeOverride1.xml"/><Relationship Id="rId1" Type="http://schemas.openxmlformats.org/officeDocument/2006/relationships/package" Target="../embeddings/Workbook1.xlsx"/></Relationships>
</file>

<file path=word/charts/_rels/chart12.xml.rels><?xml version="1.0" encoding="UTF-8" standalone="yes"?>
<Relationships xmlns="http://schemas.openxmlformats.org/package/2006/relationships"><Relationship Id="rId4" Type="http://schemas.microsoft.com/office/2011/relationships/chartColorStyle" Target="colors3.xml"/><Relationship Id="rId3" Type="http://schemas.microsoft.com/office/2011/relationships/chartStyle" Target="style3.xml"/><Relationship Id="rId2" Type="http://schemas.openxmlformats.org/officeDocument/2006/relationships/themeOverride" Target="../theme/themeOverride3.xml"/><Relationship Id="rId1" Type="http://schemas.openxmlformats.org/officeDocument/2006/relationships/package" Target="../embeddings/Workbook2.xlsx"/></Relationships>
</file>

<file path=word/charts/_rels/chart13.xml.rels><?xml version="1.0" encoding="UTF-8" standalone="yes"?>
<Relationships xmlns="http://schemas.openxmlformats.org/package/2006/relationships"><Relationship Id="rId4" Type="http://schemas.microsoft.com/office/2011/relationships/chartColorStyle" Target="colors4.xml"/><Relationship Id="rId3" Type="http://schemas.microsoft.com/office/2011/relationships/chartStyle" Target="style4.xml"/><Relationship Id="rId2" Type="http://schemas.openxmlformats.org/officeDocument/2006/relationships/themeOverride" Target="../theme/themeOverride4.xml"/><Relationship Id="rId1" Type="http://schemas.openxmlformats.org/officeDocument/2006/relationships/package" Target="../embeddings/Workbook3.xlsx"/></Relationships>
</file>

<file path=word/charts/_rels/chart14.xml.rels><?xml version="1.0" encoding="UTF-8" standalone="yes"?>
<Relationships xmlns="http://schemas.openxmlformats.org/package/2006/relationships"><Relationship Id="rId4" Type="http://schemas.microsoft.com/office/2011/relationships/chartColorStyle" Target="colors5.xml"/><Relationship Id="rId3" Type="http://schemas.microsoft.com/office/2011/relationships/chartStyle" Target="style5.xml"/><Relationship Id="rId2" Type="http://schemas.openxmlformats.org/officeDocument/2006/relationships/themeOverride" Target="../theme/themeOverride5.xml"/><Relationship Id="rId1" Type="http://schemas.openxmlformats.org/officeDocument/2006/relationships/package" Target="../embeddings/Workbook4.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cked"/>
        <c:varyColors val="0"/>
        <c:ser>
          <c:idx val="0"/>
          <c:order val="0"/>
          <c:tx>
            <c:strRef>
              <c:f>[周报第一部分底稿.xlsx]标普历史价格!$B$1</c:f>
              <c:strCache>
                <c:ptCount val="1"/>
                <c:pt idx="0">
                  <c:v>收盘价</c:v>
                </c:pt>
              </c:strCache>
            </c:strRef>
          </c:tx>
          <c:spPr>
            <a:ln w="28575" cap="rnd">
              <a:solidFill>
                <a:schemeClr val="tx2">
                  <a:lumMod val="50000"/>
                  <a:lumOff val="50000"/>
                </a:schemeClr>
              </a:solidFill>
              <a:round/>
            </a:ln>
            <a:effectLst/>
          </c:spPr>
          <c:marker>
            <c:symbol val="none"/>
          </c:marker>
          <c:dLbls>
            <c:delete val="1"/>
          </c:dLbls>
          <c:cat>
            <c:strRef>
              <c:f>[周报第一部分底稿.xlsx]标普历史价格!$A$2:$A$38</c:f>
              <c:strCache>
                <c:ptCount val="37"/>
                <c:pt idx="0">
                  <c:v>2026-01-02</c:v>
                </c:pt>
                <c:pt idx="1">
                  <c:v>2026-01-05</c:v>
                </c:pt>
                <c:pt idx="2">
                  <c:v>2026-01-06</c:v>
                </c:pt>
                <c:pt idx="3">
                  <c:v>2026-01-07</c:v>
                </c:pt>
                <c:pt idx="4">
                  <c:v>2026-01-08</c:v>
                </c:pt>
                <c:pt idx="5">
                  <c:v>2026-01-09</c:v>
                </c:pt>
                <c:pt idx="6">
                  <c:v>2026-01-12</c:v>
                </c:pt>
                <c:pt idx="7">
                  <c:v>2026-01-13</c:v>
                </c:pt>
                <c:pt idx="8">
                  <c:v>2026-01-14</c:v>
                </c:pt>
                <c:pt idx="9">
                  <c:v>2026-01-15</c:v>
                </c:pt>
                <c:pt idx="10">
                  <c:v>2026-01-16</c:v>
                </c:pt>
                <c:pt idx="11">
                  <c:v>2026-01-20</c:v>
                </c:pt>
                <c:pt idx="12">
                  <c:v>2026-01-21</c:v>
                </c:pt>
                <c:pt idx="13">
                  <c:v>2026-01-22</c:v>
                </c:pt>
                <c:pt idx="14">
                  <c:v>2026-01-23</c:v>
                </c:pt>
                <c:pt idx="15">
                  <c:v>2026-01-26</c:v>
                </c:pt>
                <c:pt idx="16">
                  <c:v>2026-01-27</c:v>
                </c:pt>
                <c:pt idx="17">
                  <c:v>2026-01-28</c:v>
                </c:pt>
                <c:pt idx="18">
                  <c:v>2026-01-29</c:v>
                </c:pt>
                <c:pt idx="19">
                  <c:v>2026-01-30</c:v>
                </c:pt>
                <c:pt idx="20">
                  <c:v>2026-02-02</c:v>
                </c:pt>
                <c:pt idx="21">
                  <c:v>2026-02-03</c:v>
                </c:pt>
                <c:pt idx="22">
                  <c:v>2026-02-04</c:v>
                </c:pt>
                <c:pt idx="23">
                  <c:v>2026-02-05</c:v>
                </c:pt>
                <c:pt idx="24">
                  <c:v>2026-02-06</c:v>
                </c:pt>
                <c:pt idx="25">
                  <c:v>2026-02-09</c:v>
                </c:pt>
                <c:pt idx="26">
                  <c:v>2026-02-10</c:v>
                </c:pt>
                <c:pt idx="27">
                  <c:v>2026-02-11</c:v>
                </c:pt>
                <c:pt idx="28">
                  <c:v>2026-02-12</c:v>
                </c:pt>
                <c:pt idx="29">
                  <c:v>2026-02-13</c:v>
                </c:pt>
                <c:pt idx="30">
                  <c:v>2026-02-17</c:v>
                </c:pt>
                <c:pt idx="31">
                  <c:v>2026-02-18</c:v>
                </c:pt>
                <c:pt idx="32">
                  <c:v>2026-02-19</c:v>
                </c:pt>
                <c:pt idx="33">
                  <c:v>2026-02-20</c:v>
                </c:pt>
                <c:pt idx="34">
                  <c:v>2026-02-23</c:v>
                </c:pt>
                <c:pt idx="35">
                  <c:v>2026-02-24</c:v>
                </c:pt>
                <c:pt idx="36">
                  <c:v>2026-02-25</c:v>
                </c:pt>
              </c:strCache>
            </c:strRef>
          </c:cat>
          <c:val>
            <c:numRef>
              <c:f>[周报第一部分底稿.xlsx]标普历史价格!$B$2:$B$38</c:f>
              <c:numCache>
                <c:formatCode>#,##0.00</c:formatCode>
                <c:ptCount val="37"/>
                <c:pt idx="0">
                  <c:v>6858.47</c:v>
                </c:pt>
                <c:pt idx="1">
                  <c:v>6902.05</c:v>
                </c:pt>
                <c:pt idx="2">
                  <c:v>6944.82</c:v>
                </c:pt>
                <c:pt idx="3">
                  <c:v>6920.93</c:v>
                </c:pt>
                <c:pt idx="4">
                  <c:v>6921.46</c:v>
                </c:pt>
                <c:pt idx="5">
                  <c:v>6966.28</c:v>
                </c:pt>
                <c:pt idx="6">
                  <c:v>6977.27</c:v>
                </c:pt>
                <c:pt idx="7">
                  <c:v>6963.74</c:v>
                </c:pt>
                <c:pt idx="8">
                  <c:v>6926.6</c:v>
                </c:pt>
                <c:pt idx="9">
                  <c:v>6944.47</c:v>
                </c:pt>
                <c:pt idx="10">
                  <c:v>6940.01</c:v>
                </c:pt>
                <c:pt idx="11">
                  <c:v>6796.86</c:v>
                </c:pt>
                <c:pt idx="12">
                  <c:v>6875.62</c:v>
                </c:pt>
                <c:pt idx="13">
                  <c:v>6913.35</c:v>
                </c:pt>
                <c:pt idx="14">
                  <c:v>6915.61</c:v>
                </c:pt>
                <c:pt idx="15">
                  <c:v>6950.23</c:v>
                </c:pt>
                <c:pt idx="16">
                  <c:v>6978.6</c:v>
                </c:pt>
                <c:pt idx="17">
                  <c:v>6978.03</c:v>
                </c:pt>
                <c:pt idx="18">
                  <c:v>6969.01</c:v>
                </c:pt>
                <c:pt idx="19">
                  <c:v>6939.03</c:v>
                </c:pt>
                <c:pt idx="20">
                  <c:v>6976.44</c:v>
                </c:pt>
                <c:pt idx="21">
                  <c:v>6917.81</c:v>
                </c:pt>
                <c:pt idx="22">
                  <c:v>6882.72</c:v>
                </c:pt>
                <c:pt idx="23">
                  <c:v>6798.4</c:v>
                </c:pt>
                <c:pt idx="24">
                  <c:v>6932.3</c:v>
                </c:pt>
                <c:pt idx="25">
                  <c:v>6964.82</c:v>
                </c:pt>
                <c:pt idx="26">
                  <c:v>6941.81</c:v>
                </c:pt>
                <c:pt idx="27">
                  <c:v>6941.47</c:v>
                </c:pt>
                <c:pt idx="28">
                  <c:v>6832.76</c:v>
                </c:pt>
                <c:pt idx="29">
                  <c:v>6836.17</c:v>
                </c:pt>
                <c:pt idx="30">
                  <c:v>6843.22</c:v>
                </c:pt>
                <c:pt idx="31">
                  <c:v>6881.31</c:v>
                </c:pt>
                <c:pt idx="32">
                  <c:v>6861.89</c:v>
                </c:pt>
                <c:pt idx="33">
                  <c:v>6909.51</c:v>
                </c:pt>
                <c:pt idx="34">
                  <c:v>6837.75</c:v>
                </c:pt>
                <c:pt idx="35">
                  <c:v>6890.07</c:v>
                </c:pt>
                <c:pt idx="36">
                  <c:v>6946.13</c:v>
                </c:pt>
              </c:numCache>
            </c:numRef>
          </c:val>
          <c:smooth val="0"/>
        </c:ser>
        <c:dLbls>
          <c:showLegendKey val="0"/>
          <c:showVal val="0"/>
          <c:showCatName val="0"/>
          <c:showSerName val="0"/>
          <c:showPercent val="0"/>
          <c:showBubbleSize val="0"/>
        </c:dLbls>
        <c:marker val="0"/>
        <c:smooth val="0"/>
        <c:axId val="169343520"/>
        <c:axId val="335000144"/>
      </c:lineChart>
      <c:catAx>
        <c:axId val="169343520"/>
        <c:scaling>
          <c:orientation val="minMax"/>
        </c:scaling>
        <c:delete val="0"/>
        <c:axPos val="b"/>
        <c:title>
          <c:tx>
            <c:rich>
              <a:bodyPr rot="0" spcFirstLastPara="1" vertOverflow="ellipsis" vert="horz" wrap="square" anchor="ctr" anchorCtr="1"/>
              <a:lstStyle/>
              <a:p>
                <a:pPr>
                  <a:defRPr lang="zh-CN" sz="1000" b="0" i="0" u="none" strike="noStrike" kern="1200" baseline="0">
                    <a:solidFill>
                      <a:sysClr val="windowText" lastClr="000000"/>
                    </a:solidFill>
                    <a:latin typeface="楷体" panose="02010609060101010101" pitchFamily="49" charset="-122"/>
                    <a:ea typeface="楷体" panose="02010609060101010101" pitchFamily="49" charset="-122"/>
                    <a:cs typeface="+mn-cs"/>
                  </a:defRPr>
                </a:pPr>
                <a:r>
                  <a:rPr lang="zh-CN">
                    <a:latin typeface="楷体" panose="02010609060101010101" pitchFamily="49" charset="-122"/>
                    <a:ea typeface="楷体" panose="02010609060101010101" pitchFamily="49" charset="-122"/>
                  </a:rPr>
                  <a:t>标普</a:t>
                </a:r>
                <a:r>
                  <a:rPr lang="en-US">
                    <a:latin typeface="楷体" panose="02010609060101010101" pitchFamily="49" charset="-122"/>
                    <a:ea typeface="楷体" panose="02010609060101010101" pitchFamily="49" charset="-122"/>
                  </a:rPr>
                  <a:t>500</a:t>
                </a:r>
                <a:r>
                  <a:rPr lang="zh-CN">
                    <a:latin typeface="楷体" panose="02010609060101010101" pitchFamily="49" charset="-122"/>
                    <a:ea typeface="楷体" panose="02010609060101010101" pitchFamily="49" charset="-122"/>
                  </a:rPr>
                  <a:t>指数</a:t>
                </a:r>
                <a:endParaRPr lang="zh-CN">
                  <a:latin typeface="楷体" panose="02010609060101010101" pitchFamily="49" charset="-122"/>
                  <a:ea typeface="楷体" panose="02010609060101010101" pitchFamily="49" charset="-122"/>
                </a:endParaRPr>
              </a:p>
            </c:rich>
          </c:tx>
          <c:layout>
            <c:manualLayout>
              <c:xMode val="edge"/>
              <c:yMode val="edge"/>
              <c:x val="0.417524236726395"/>
              <c:y val="0.884797768479777"/>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p>
        </c:txPr>
        <c:crossAx val="335000144"/>
        <c:crosses val="autoZero"/>
        <c:auto val="1"/>
        <c:lblAlgn val="ctr"/>
        <c:lblOffset val="100"/>
        <c:noMultiLvlLbl val="0"/>
      </c:catAx>
      <c:valAx>
        <c:axId val="33500014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p>
        </c:txPr>
        <c:crossAx val="169343520"/>
        <c:crosses val="autoZero"/>
        <c:crossBetween val="between"/>
      </c:valAx>
      <c:spPr>
        <a:noFill/>
        <a:ln>
          <a:noFill/>
        </a:ln>
        <a:effectLst/>
      </c:spPr>
    </c:plotArea>
    <c:plotVisOnly val="1"/>
    <c:dispBlanksAs val="gap"/>
    <c:showDLblsOverMax val="0"/>
    <c:extLst>
      <c:ext uri="{0b15fc19-7d7d-44ad-8c2d-2c3a37ce22c3}">
        <chartProps xmlns="https://web.wps.cn/et/2018/main" chartId="{2a4f98b6-0f68-432e-bdc6-6a408bec6054}"/>
      </c:ext>
    </c:extLst>
  </c:chart>
  <c:spPr>
    <a:solidFill>
      <a:schemeClr val="bg1"/>
    </a:solidFill>
    <a:ln w="9525" cap="flat" cmpd="sng" algn="ctr">
      <a:noFill/>
      <a:round/>
    </a:ln>
    <a:effectLst/>
  </c:spPr>
  <c:txPr>
    <a:bodyPr/>
    <a:lstStyle/>
    <a:p>
      <a:pPr>
        <a:defRPr lang="zh-CN">
          <a:solidFill>
            <a:sysClr val="windowText" lastClr="000000"/>
          </a:solidFill>
        </a:defRPr>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cked"/>
        <c:varyColors val="0"/>
        <c:ser>
          <c:idx val="0"/>
          <c:order val="0"/>
          <c:tx>
            <c:strRef>
              <c:f>[周报第一部分底稿.xlsx]道琼斯历史价格!$B$1</c:f>
              <c:strCache>
                <c:ptCount val="1"/>
                <c:pt idx="0">
                  <c:v>收盘价</c:v>
                </c:pt>
              </c:strCache>
            </c:strRef>
          </c:tx>
          <c:spPr>
            <a:ln w="28575" cap="rnd">
              <a:solidFill>
                <a:schemeClr val="tx2">
                  <a:lumMod val="50000"/>
                  <a:lumOff val="50000"/>
                </a:schemeClr>
              </a:solidFill>
              <a:round/>
            </a:ln>
            <a:effectLst/>
          </c:spPr>
          <c:marker>
            <c:symbol val="none"/>
          </c:marker>
          <c:dLbls>
            <c:delete val="1"/>
          </c:dLbls>
          <c:cat>
            <c:strRef>
              <c:f>[周报第一部分底稿.xlsx]道琼斯历史价格!$A$2:$A$38</c:f>
              <c:strCache>
                <c:ptCount val="37"/>
                <c:pt idx="0">
                  <c:v>2026-01-02</c:v>
                </c:pt>
                <c:pt idx="1">
                  <c:v>2026-01-05</c:v>
                </c:pt>
                <c:pt idx="2">
                  <c:v>2026-01-06</c:v>
                </c:pt>
                <c:pt idx="3">
                  <c:v>2026-01-07</c:v>
                </c:pt>
                <c:pt idx="4">
                  <c:v>2026-01-08</c:v>
                </c:pt>
                <c:pt idx="5">
                  <c:v>2026-01-09</c:v>
                </c:pt>
                <c:pt idx="6">
                  <c:v>2026-01-12</c:v>
                </c:pt>
                <c:pt idx="7">
                  <c:v>2026-01-13</c:v>
                </c:pt>
                <c:pt idx="8">
                  <c:v>2026-01-14</c:v>
                </c:pt>
                <c:pt idx="9">
                  <c:v>2026-01-15</c:v>
                </c:pt>
                <c:pt idx="10">
                  <c:v>2026-01-16</c:v>
                </c:pt>
                <c:pt idx="11">
                  <c:v>2026-01-20</c:v>
                </c:pt>
                <c:pt idx="12">
                  <c:v>2026-01-21</c:v>
                </c:pt>
                <c:pt idx="13">
                  <c:v>2026-01-22</c:v>
                </c:pt>
                <c:pt idx="14">
                  <c:v>2026-01-23</c:v>
                </c:pt>
                <c:pt idx="15">
                  <c:v>2026-01-26</c:v>
                </c:pt>
                <c:pt idx="16">
                  <c:v>2026-01-27</c:v>
                </c:pt>
                <c:pt idx="17">
                  <c:v>2026-01-28</c:v>
                </c:pt>
                <c:pt idx="18">
                  <c:v>2026-01-29</c:v>
                </c:pt>
                <c:pt idx="19">
                  <c:v>2026-01-30</c:v>
                </c:pt>
                <c:pt idx="20">
                  <c:v>2026-02-02</c:v>
                </c:pt>
                <c:pt idx="21">
                  <c:v>2026-02-03</c:v>
                </c:pt>
                <c:pt idx="22">
                  <c:v>2026-02-04</c:v>
                </c:pt>
                <c:pt idx="23">
                  <c:v>2026-02-05</c:v>
                </c:pt>
                <c:pt idx="24">
                  <c:v>2026-02-06</c:v>
                </c:pt>
                <c:pt idx="25">
                  <c:v>2026-02-09</c:v>
                </c:pt>
                <c:pt idx="26">
                  <c:v>2026-02-10</c:v>
                </c:pt>
                <c:pt idx="27">
                  <c:v>2026-02-11</c:v>
                </c:pt>
                <c:pt idx="28">
                  <c:v>2026-02-12</c:v>
                </c:pt>
                <c:pt idx="29">
                  <c:v>2026-02-13</c:v>
                </c:pt>
                <c:pt idx="30">
                  <c:v>2026-02-17</c:v>
                </c:pt>
                <c:pt idx="31">
                  <c:v>2026-02-18</c:v>
                </c:pt>
                <c:pt idx="32">
                  <c:v>2026-02-19</c:v>
                </c:pt>
                <c:pt idx="33">
                  <c:v>2026-02-20</c:v>
                </c:pt>
                <c:pt idx="34">
                  <c:v>2026-02-23</c:v>
                </c:pt>
                <c:pt idx="35">
                  <c:v>2026-02-24</c:v>
                </c:pt>
                <c:pt idx="36">
                  <c:v>2026-02-25</c:v>
                </c:pt>
              </c:strCache>
            </c:strRef>
          </c:cat>
          <c:val>
            <c:numRef>
              <c:f>[周报第一部分底稿.xlsx]道琼斯历史价格!$B$2:$B$38</c:f>
              <c:numCache>
                <c:formatCode>#,##0.00</c:formatCode>
                <c:ptCount val="37"/>
                <c:pt idx="0">
                  <c:v>48382.39</c:v>
                </c:pt>
                <c:pt idx="1">
                  <c:v>48977.18</c:v>
                </c:pt>
                <c:pt idx="2">
                  <c:v>49462.08</c:v>
                </c:pt>
                <c:pt idx="3">
                  <c:v>48996.08</c:v>
                </c:pt>
                <c:pt idx="4">
                  <c:v>49266.11</c:v>
                </c:pt>
                <c:pt idx="5">
                  <c:v>49504.07</c:v>
                </c:pt>
                <c:pt idx="6">
                  <c:v>49590.2</c:v>
                </c:pt>
                <c:pt idx="7">
                  <c:v>49191.99</c:v>
                </c:pt>
                <c:pt idx="8">
                  <c:v>49149.63</c:v>
                </c:pt>
                <c:pt idx="9">
                  <c:v>49442.44</c:v>
                </c:pt>
                <c:pt idx="10">
                  <c:v>49359.33</c:v>
                </c:pt>
                <c:pt idx="11">
                  <c:v>48488.59</c:v>
                </c:pt>
                <c:pt idx="12">
                  <c:v>49077.23</c:v>
                </c:pt>
                <c:pt idx="13">
                  <c:v>49384.01</c:v>
                </c:pt>
                <c:pt idx="14">
                  <c:v>49098.71</c:v>
                </c:pt>
                <c:pt idx="15">
                  <c:v>49412.4</c:v>
                </c:pt>
                <c:pt idx="16">
                  <c:v>49003.41</c:v>
                </c:pt>
                <c:pt idx="17">
                  <c:v>49015.6</c:v>
                </c:pt>
                <c:pt idx="18">
                  <c:v>49071.56</c:v>
                </c:pt>
                <c:pt idx="19">
                  <c:v>48892.47</c:v>
                </c:pt>
                <c:pt idx="20">
                  <c:v>49407.66</c:v>
                </c:pt>
                <c:pt idx="21">
                  <c:v>49240.99</c:v>
                </c:pt>
                <c:pt idx="22">
                  <c:v>49501.3</c:v>
                </c:pt>
                <c:pt idx="23">
                  <c:v>48908.72</c:v>
                </c:pt>
                <c:pt idx="24">
                  <c:v>50115.67</c:v>
                </c:pt>
                <c:pt idx="25">
                  <c:v>50135.87</c:v>
                </c:pt>
                <c:pt idx="26">
                  <c:v>50188.14</c:v>
                </c:pt>
                <c:pt idx="27">
                  <c:v>50121.4</c:v>
                </c:pt>
                <c:pt idx="28">
                  <c:v>49451.98</c:v>
                </c:pt>
                <c:pt idx="29">
                  <c:v>49500.93</c:v>
                </c:pt>
                <c:pt idx="30">
                  <c:v>49533.19</c:v>
                </c:pt>
                <c:pt idx="31">
                  <c:v>49662.66</c:v>
                </c:pt>
                <c:pt idx="32">
                  <c:v>49395.16</c:v>
                </c:pt>
                <c:pt idx="33">
                  <c:v>49625.97</c:v>
                </c:pt>
                <c:pt idx="34">
                  <c:v>48804.06</c:v>
                </c:pt>
                <c:pt idx="35">
                  <c:v>49174.5</c:v>
                </c:pt>
                <c:pt idx="36">
                  <c:v>49482.15</c:v>
                </c:pt>
              </c:numCache>
            </c:numRef>
          </c:val>
          <c:smooth val="0"/>
        </c:ser>
        <c:dLbls>
          <c:showLegendKey val="0"/>
          <c:showVal val="0"/>
          <c:showCatName val="0"/>
          <c:showSerName val="0"/>
          <c:showPercent val="0"/>
          <c:showBubbleSize val="0"/>
        </c:dLbls>
        <c:marker val="0"/>
        <c:smooth val="0"/>
        <c:axId val="475594864"/>
        <c:axId val="475595344"/>
      </c:lineChart>
      <c:catAx>
        <c:axId val="475594864"/>
        <c:scaling>
          <c:orientation val="minMax"/>
        </c:scaling>
        <c:delete val="0"/>
        <c:axPos val="b"/>
        <c:title>
          <c:tx>
            <c:rich>
              <a:bodyPr rot="0" spcFirstLastPara="1" vertOverflow="ellipsis" vert="horz" wrap="square" anchor="ctr" anchorCtr="1"/>
              <a:lstStyle/>
              <a:p>
                <a:pPr algn="ctr">
                  <a:defRPr lang="zh-CN" sz="1000" b="0" i="0" u="none" strike="noStrike" kern="1200" baseline="0">
                    <a:solidFill>
                      <a:sysClr val="windowText" lastClr="000000"/>
                    </a:solidFill>
                    <a:latin typeface="楷体" panose="02010609060101010101" pitchFamily="49" charset="-122"/>
                    <a:ea typeface="楷体" panose="02010609060101010101" pitchFamily="49" charset="-122"/>
                    <a:cs typeface="+mn-cs"/>
                  </a:defRPr>
                </a:pPr>
                <a:r>
                  <a:rPr lang="zh-CN">
                    <a:latin typeface="楷体" panose="02010609060101010101" pitchFamily="49" charset="-122"/>
                    <a:ea typeface="楷体" panose="02010609060101010101" pitchFamily="49" charset="-122"/>
                  </a:rPr>
                  <a:t>道琼斯指数</a:t>
                </a:r>
                <a:endParaRPr lang="zh-CN">
                  <a:latin typeface="楷体" panose="02010609060101010101" pitchFamily="49" charset="-122"/>
                  <a:ea typeface="楷体" panose="02010609060101010101" pitchFamily="49" charset="-122"/>
                </a:endParaRPr>
              </a:p>
            </c:rich>
          </c:tx>
          <c:layout>
            <c:manualLayout>
              <c:xMode val="edge"/>
              <c:yMode val="edge"/>
              <c:x val="0.445269042181086"/>
              <c:y val="0.881712946832973"/>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p>
        </c:txPr>
        <c:crossAx val="475595344"/>
        <c:crosses val="autoZero"/>
        <c:auto val="1"/>
        <c:lblAlgn val="ctr"/>
        <c:lblOffset val="100"/>
        <c:noMultiLvlLbl val="0"/>
      </c:catAx>
      <c:valAx>
        <c:axId val="475595344"/>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0"/>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p>
        </c:txPr>
        <c:crossAx val="475594864"/>
        <c:crosses val="autoZero"/>
        <c:crossBetween val="between"/>
      </c:valAx>
      <c:spPr>
        <a:noFill/>
        <a:ln>
          <a:noFill/>
        </a:ln>
        <a:effectLst/>
      </c:spPr>
    </c:plotArea>
    <c:plotVisOnly val="1"/>
    <c:dispBlanksAs val="gap"/>
    <c:showDLblsOverMax val="0"/>
    <c:extLst>
      <c:ext uri="{0b15fc19-7d7d-44ad-8c2d-2c3a37ce22c3}">
        <chartProps xmlns="https://web.wps.cn/et/2018/main" chartId="{43055ba7-4719-4a09-bcba-a3537ab28d67}"/>
      </c:ext>
    </c:extLst>
  </c:chart>
  <c:spPr>
    <a:solidFill>
      <a:schemeClr val="bg1"/>
    </a:solidFill>
    <a:ln w="9525" cap="flat" cmpd="sng" algn="ctr">
      <a:noFill/>
      <a:round/>
    </a:ln>
    <a:effectLst/>
  </c:spPr>
  <c:txPr>
    <a:bodyPr/>
    <a:lstStyle/>
    <a:p>
      <a:pPr>
        <a:defRPr lang="zh-CN">
          <a:solidFill>
            <a:sysClr val="windowText" lastClr="000000"/>
          </a:solidFill>
        </a:defRPr>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551007790280697"/>
          <c:y val="0.0415437561455261"/>
          <c:w val="0.906566093730679"/>
          <c:h val="0.606784660766962"/>
        </c:manualLayout>
      </c:layout>
      <c:barChart>
        <c:barDir val="col"/>
        <c:grouping val="stacked"/>
        <c:varyColors val="0"/>
        <c:ser>
          <c:idx val="0"/>
          <c:order val="0"/>
          <c:tx>
            <c:strRef>
              <c:f>[变压器出口金额北美洲当月值等_20260213_170615.xlsx]Sheet1!$B$22</c:f>
              <c:strCache>
                <c:ptCount val="1"/>
                <c:pt idx="0">
                  <c:v>北美洲</c:v>
                </c:pt>
              </c:strCache>
            </c:strRef>
          </c:tx>
          <c:spPr>
            <a:solidFill>
              <a:schemeClr val="accent1"/>
            </a:solidFill>
            <a:ln>
              <a:solidFill>
                <a:schemeClr val="bg1"/>
              </a:solidFill>
            </a:ln>
            <a:effectLst/>
          </c:spPr>
          <c:invertIfNegative val="0"/>
          <c:dLbls>
            <c:delete val="1"/>
          </c:dLbls>
          <c:cat>
            <c:numRef>
              <c:f>[变压器出口金额北美洲当月值等_20260213_170615.xlsx]Sheet1!$A$23:$A$35</c:f>
              <c:numCache>
                <c:formatCode>yyyy/mm;@</c:formatCode>
                <c:ptCount val="13"/>
                <c:pt idx="0" c:formatCode="yyyy/mm;@">
                  <c:v>46022</c:v>
                </c:pt>
                <c:pt idx="1" c:formatCode="yyyy/mm;@">
                  <c:v>45991</c:v>
                </c:pt>
                <c:pt idx="2" c:formatCode="yyyy/mm;@">
                  <c:v>45961</c:v>
                </c:pt>
                <c:pt idx="3" c:formatCode="yyyy/mm;@">
                  <c:v>45930</c:v>
                </c:pt>
                <c:pt idx="4" c:formatCode="yyyy/mm;@">
                  <c:v>45900</c:v>
                </c:pt>
                <c:pt idx="5" c:formatCode="yyyy/mm;@">
                  <c:v>45869</c:v>
                </c:pt>
                <c:pt idx="6" c:formatCode="yyyy/mm;@">
                  <c:v>45838</c:v>
                </c:pt>
                <c:pt idx="7" c:formatCode="yyyy/mm;@">
                  <c:v>45808</c:v>
                </c:pt>
                <c:pt idx="8" c:formatCode="yyyy/mm;@">
                  <c:v>45777</c:v>
                </c:pt>
                <c:pt idx="9" c:formatCode="yyyy/mm;@">
                  <c:v>45747</c:v>
                </c:pt>
                <c:pt idx="10" c:formatCode="yyyy/mm;@">
                  <c:v>45716</c:v>
                </c:pt>
                <c:pt idx="11" c:formatCode="yyyy/mm;@">
                  <c:v>45688</c:v>
                </c:pt>
                <c:pt idx="12" c:formatCode="yyyy/mm;@">
                  <c:v>45657</c:v>
                </c:pt>
              </c:numCache>
            </c:numRef>
          </c:cat>
          <c:val>
            <c:numRef>
              <c:f>[变压器出口金额北美洲当月值等_20260213_170615.xlsx]Sheet1!$B$23:$B$35</c:f>
              <c:numCache>
                <c:formatCode>General</c:formatCode>
                <c:ptCount val="13"/>
                <c:pt idx="0">
                  <c:v>9.183531</c:v>
                </c:pt>
                <c:pt idx="1">
                  <c:v>10.3230664</c:v>
                </c:pt>
                <c:pt idx="2">
                  <c:v>14.2596435</c:v>
                </c:pt>
                <c:pt idx="3">
                  <c:v>9.8165976</c:v>
                </c:pt>
                <c:pt idx="4">
                  <c:v>8.6567967</c:v>
                </c:pt>
                <c:pt idx="5">
                  <c:v>14.7843536</c:v>
                </c:pt>
                <c:pt idx="6">
                  <c:v>14.2741553</c:v>
                </c:pt>
                <c:pt idx="7">
                  <c:v>10.6435783</c:v>
                </c:pt>
                <c:pt idx="8">
                  <c:v>10.0089844</c:v>
                </c:pt>
                <c:pt idx="9">
                  <c:v>10.7563442</c:v>
                </c:pt>
                <c:pt idx="10">
                  <c:v>8.8354351</c:v>
                </c:pt>
                <c:pt idx="11">
                  <c:v>10.8237484</c:v>
                </c:pt>
                <c:pt idx="12">
                  <c:v>13.741968</c:v>
                </c:pt>
              </c:numCache>
            </c:numRef>
          </c:val>
        </c:ser>
        <c:ser>
          <c:idx val="1"/>
          <c:order val="1"/>
          <c:tx>
            <c:strRef>
              <c:f>[变压器出口金额北美洲当月值等_20260213_170615.xlsx]Sheet1!$C$22</c:f>
              <c:strCache>
                <c:ptCount val="1"/>
                <c:pt idx="0">
                  <c:v>欧洲</c:v>
                </c:pt>
              </c:strCache>
            </c:strRef>
          </c:tx>
          <c:spPr>
            <a:solidFill>
              <a:schemeClr val="accent3"/>
            </a:solidFill>
            <a:ln>
              <a:solidFill>
                <a:schemeClr val="bg1"/>
              </a:solidFill>
            </a:ln>
            <a:effectLst/>
          </c:spPr>
          <c:invertIfNegative val="0"/>
          <c:dLbls>
            <c:delete val="1"/>
          </c:dLbls>
          <c:cat>
            <c:numRef>
              <c:f>[变压器出口金额北美洲当月值等_20260213_170615.xlsx]Sheet1!$A$23:$A$35</c:f>
              <c:numCache>
                <c:formatCode>yyyy/mm;@</c:formatCode>
                <c:ptCount val="13"/>
                <c:pt idx="0" c:formatCode="yyyy/mm;@">
                  <c:v>46022</c:v>
                </c:pt>
                <c:pt idx="1" c:formatCode="yyyy/mm;@">
                  <c:v>45991</c:v>
                </c:pt>
                <c:pt idx="2" c:formatCode="yyyy/mm;@">
                  <c:v>45961</c:v>
                </c:pt>
                <c:pt idx="3" c:formatCode="yyyy/mm;@">
                  <c:v>45930</c:v>
                </c:pt>
                <c:pt idx="4" c:formatCode="yyyy/mm;@">
                  <c:v>45900</c:v>
                </c:pt>
                <c:pt idx="5" c:formatCode="yyyy/mm;@">
                  <c:v>45869</c:v>
                </c:pt>
                <c:pt idx="6" c:formatCode="yyyy/mm;@">
                  <c:v>45838</c:v>
                </c:pt>
                <c:pt idx="7" c:formatCode="yyyy/mm;@">
                  <c:v>45808</c:v>
                </c:pt>
                <c:pt idx="8" c:formatCode="yyyy/mm;@">
                  <c:v>45777</c:v>
                </c:pt>
                <c:pt idx="9" c:formatCode="yyyy/mm;@">
                  <c:v>45747</c:v>
                </c:pt>
                <c:pt idx="10" c:formatCode="yyyy/mm;@">
                  <c:v>45716</c:v>
                </c:pt>
                <c:pt idx="11" c:formatCode="yyyy/mm;@">
                  <c:v>45688</c:v>
                </c:pt>
                <c:pt idx="12" c:formatCode="yyyy/mm;@">
                  <c:v>45657</c:v>
                </c:pt>
              </c:numCache>
            </c:numRef>
          </c:cat>
          <c:val>
            <c:numRef>
              <c:f>[变压器出口金额北美洲当月值等_20260213_170615.xlsx]Sheet1!$C$23:$C$35</c:f>
              <c:numCache>
                <c:formatCode>General</c:formatCode>
                <c:ptCount val="13"/>
                <c:pt idx="0">
                  <c:v>15.9210363</c:v>
                </c:pt>
                <c:pt idx="1">
                  <c:v>14.248486</c:v>
                </c:pt>
                <c:pt idx="2">
                  <c:v>16.2602236</c:v>
                </c:pt>
                <c:pt idx="3">
                  <c:v>18.3771696</c:v>
                </c:pt>
                <c:pt idx="4">
                  <c:v>23.4660234</c:v>
                </c:pt>
                <c:pt idx="5">
                  <c:v>13.864544</c:v>
                </c:pt>
                <c:pt idx="6">
                  <c:v>17.3187995</c:v>
                </c:pt>
                <c:pt idx="7">
                  <c:v>14.5175875</c:v>
                </c:pt>
                <c:pt idx="8">
                  <c:v>13.385597</c:v>
                </c:pt>
                <c:pt idx="9">
                  <c:v>9.9630322</c:v>
                </c:pt>
                <c:pt idx="10">
                  <c:v>11.5020001</c:v>
                </c:pt>
                <c:pt idx="11">
                  <c:v>14.8614408</c:v>
                </c:pt>
                <c:pt idx="12">
                  <c:v>15.1216921</c:v>
                </c:pt>
              </c:numCache>
            </c:numRef>
          </c:val>
        </c:ser>
        <c:ser>
          <c:idx val="2"/>
          <c:order val="2"/>
          <c:tx>
            <c:strRef>
              <c:f>[变压器出口金额北美洲当月值等_20260213_170615.xlsx]Sheet1!$D$22</c:f>
              <c:strCache>
                <c:ptCount val="1"/>
                <c:pt idx="0">
                  <c:v>亚洲</c:v>
                </c:pt>
              </c:strCache>
            </c:strRef>
          </c:tx>
          <c:spPr>
            <a:solidFill>
              <a:schemeClr val="accent5"/>
            </a:solidFill>
            <a:ln>
              <a:solidFill>
                <a:schemeClr val="bg1"/>
              </a:solidFill>
            </a:ln>
            <a:effectLst/>
          </c:spPr>
          <c:invertIfNegative val="0"/>
          <c:dLbls>
            <c:delete val="1"/>
          </c:dLbls>
          <c:cat>
            <c:numRef>
              <c:f>[变压器出口金额北美洲当月值等_20260213_170615.xlsx]Sheet1!$A$23:$A$35</c:f>
              <c:numCache>
                <c:formatCode>yyyy/mm;@</c:formatCode>
                <c:ptCount val="13"/>
                <c:pt idx="0" c:formatCode="yyyy/mm;@">
                  <c:v>46022</c:v>
                </c:pt>
                <c:pt idx="1" c:formatCode="yyyy/mm;@">
                  <c:v>45991</c:v>
                </c:pt>
                <c:pt idx="2" c:formatCode="yyyy/mm;@">
                  <c:v>45961</c:v>
                </c:pt>
                <c:pt idx="3" c:formatCode="yyyy/mm;@">
                  <c:v>45930</c:v>
                </c:pt>
                <c:pt idx="4" c:formatCode="yyyy/mm;@">
                  <c:v>45900</c:v>
                </c:pt>
                <c:pt idx="5" c:formatCode="yyyy/mm;@">
                  <c:v>45869</c:v>
                </c:pt>
                <c:pt idx="6" c:formatCode="yyyy/mm;@">
                  <c:v>45838</c:v>
                </c:pt>
                <c:pt idx="7" c:formatCode="yyyy/mm;@">
                  <c:v>45808</c:v>
                </c:pt>
                <c:pt idx="8" c:formatCode="yyyy/mm;@">
                  <c:v>45777</c:v>
                </c:pt>
                <c:pt idx="9" c:formatCode="yyyy/mm;@">
                  <c:v>45747</c:v>
                </c:pt>
                <c:pt idx="10" c:formatCode="yyyy/mm;@">
                  <c:v>45716</c:v>
                </c:pt>
                <c:pt idx="11" c:formatCode="yyyy/mm;@">
                  <c:v>45688</c:v>
                </c:pt>
                <c:pt idx="12" c:formatCode="yyyy/mm;@">
                  <c:v>45657</c:v>
                </c:pt>
              </c:numCache>
            </c:numRef>
          </c:cat>
          <c:val>
            <c:numRef>
              <c:f>[变压器出口金额北美洲当月值等_20260213_170615.xlsx]Sheet1!$D$23:$D$35</c:f>
              <c:numCache>
                <c:formatCode>General</c:formatCode>
                <c:ptCount val="13"/>
                <c:pt idx="0">
                  <c:v>53.247232</c:v>
                </c:pt>
                <c:pt idx="1">
                  <c:v>40.6198862</c:v>
                </c:pt>
                <c:pt idx="2">
                  <c:v>39.2916946</c:v>
                </c:pt>
                <c:pt idx="3">
                  <c:v>49.1677918</c:v>
                </c:pt>
                <c:pt idx="4">
                  <c:v>40.2602867</c:v>
                </c:pt>
                <c:pt idx="5">
                  <c:v>39.0789547</c:v>
                </c:pt>
                <c:pt idx="6">
                  <c:v>36.0547684</c:v>
                </c:pt>
                <c:pt idx="7">
                  <c:v>30.0712475</c:v>
                </c:pt>
                <c:pt idx="8">
                  <c:v>31.3483074</c:v>
                </c:pt>
                <c:pt idx="9">
                  <c:v>31.3131299</c:v>
                </c:pt>
                <c:pt idx="10">
                  <c:v>27.2791615</c:v>
                </c:pt>
                <c:pt idx="11">
                  <c:v>31.859003</c:v>
                </c:pt>
                <c:pt idx="12">
                  <c:v>30.3967909</c:v>
                </c:pt>
              </c:numCache>
            </c:numRef>
          </c:val>
        </c:ser>
        <c:ser>
          <c:idx val="3"/>
          <c:order val="3"/>
          <c:tx>
            <c:strRef>
              <c:f>[变压器出口金额北美洲当月值等_20260213_170615.xlsx]Sheet1!$E$22</c:f>
              <c:strCache>
                <c:ptCount val="1"/>
                <c:pt idx="0">
                  <c:v>南美洲</c:v>
                </c:pt>
              </c:strCache>
            </c:strRef>
          </c:tx>
          <c:spPr>
            <a:solidFill>
              <a:schemeClr val="accent1">
                <a:lumMod val="60000"/>
              </a:schemeClr>
            </a:solidFill>
            <a:ln>
              <a:solidFill>
                <a:schemeClr val="bg1"/>
              </a:solidFill>
            </a:ln>
            <a:effectLst/>
          </c:spPr>
          <c:invertIfNegative val="0"/>
          <c:dLbls>
            <c:delete val="1"/>
          </c:dLbls>
          <c:cat>
            <c:numRef>
              <c:f>[变压器出口金额北美洲当月值等_20260213_170615.xlsx]Sheet1!$A$23:$A$35</c:f>
              <c:numCache>
                <c:formatCode>yyyy/mm;@</c:formatCode>
                <c:ptCount val="13"/>
                <c:pt idx="0" c:formatCode="yyyy/mm;@">
                  <c:v>46022</c:v>
                </c:pt>
                <c:pt idx="1" c:formatCode="yyyy/mm;@">
                  <c:v>45991</c:v>
                </c:pt>
                <c:pt idx="2" c:formatCode="yyyy/mm;@">
                  <c:v>45961</c:v>
                </c:pt>
                <c:pt idx="3" c:formatCode="yyyy/mm;@">
                  <c:v>45930</c:v>
                </c:pt>
                <c:pt idx="4" c:formatCode="yyyy/mm;@">
                  <c:v>45900</c:v>
                </c:pt>
                <c:pt idx="5" c:formatCode="yyyy/mm;@">
                  <c:v>45869</c:v>
                </c:pt>
                <c:pt idx="6" c:formatCode="yyyy/mm;@">
                  <c:v>45838</c:v>
                </c:pt>
                <c:pt idx="7" c:formatCode="yyyy/mm;@">
                  <c:v>45808</c:v>
                </c:pt>
                <c:pt idx="8" c:formatCode="yyyy/mm;@">
                  <c:v>45777</c:v>
                </c:pt>
                <c:pt idx="9" c:formatCode="yyyy/mm;@">
                  <c:v>45747</c:v>
                </c:pt>
                <c:pt idx="10" c:formatCode="yyyy/mm;@">
                  <c:v>45716</c:v>
                </c:pt>
                <c:pt idx="11" c:formatCode="yyyy/mm;@">
                  <c:v>45688</c:v>
                </c:pt>
                <c:pt idx="12" c:formatCode="yyyy/mm;@">
                  <c:v>45657</c:v>
                </c:pt>
              </c:numCache>
            </c:numRef>
          </c:cat>
          <c:val>
            <c:numRef>
              <c:f>[变压器出口金额北美洲当月值等_20260213_170615.xlsx]Sheet1!$E$23:$E$35</c:f>
              <c:numCache>
                <c:formatCode>General</c:formatCode>
                <c:ptCount val="13"/>
                <c:pt idx="0">
                  <c:v>3.6052757</c:v>
                </c:pt>
                <c:pt idx="1">
                  <c:v>4.8470515</c:v>
                </c:pt>
                <c:pt idx="2">
                  <c:v>2.3869255</c:v>
                </c:pt>
                <c:pt idx="3">
                  <c:v>4.9447698</c:v>
                </c:pt>
                <c:pt idx="4">
                  <c:v>3.7054771</c:v>
                </c:pt>
                <c:pt idx="5">
                  <c:v>3.7145733</c:v>
                </c:pt>
                <c:pt idx="6">
                  <c:v>3.5699889</c:v>
                </c:pt>
                <c:pt idx="7">
                  <c:v>3.0127892</c:v>
                </c:pt>
                <c:pt idx="8">
                  <c:v>3.0667046</c:v>
                </c:pt>
                <c:pt idx="9">
                  <c:v>2.9545282</c:v>
                </c:pt>
                <c:pt idx="10">
                  <c:v>1.910025</c:v>
                </c:pt>
                <c:pt idx="11">
                  <c:v>3.4742687</c:v>
                </c:pt>
                <c:pt idx="12">
                  <c:v>5.9714205</c:v>
                </c:pt>
              </c:numCache>
            </c:numRef>
          </c:val>
        </c:ser>
        <c:ser>
          <c:idx val="4"/>
          <c:order val="4"/>
          <c:tx>
            <c:strRef>
              <c:f>[变压器出口金额北美洲当月值等_20260213_170615.xlsx]Sheet1!$F$22</c:f>
              <c:strCache>
                <c:ptCount val="1"/>
                <c:pt idx="0">
                  <c:v>非洲</c:v>
                </c:pt>
              </c:strCache>
            </c:strRef>
          </c:tx>
          <c:spPr>
            <a:solidFill>
              <a:schemeClr val="accent3">
                <a:lumMod val="60000"/>
              </a:schemeClr>
            </a:solidFill>
            <a:ln>
              <a:solidFill>
                <a:schemeClr val="bg1"/>
              </a:solidFill>
            </a:ln>
            <a:effectLst/>
          </c:spPr>
          <c:invertIfNegative val="0"/>
          <c:dLbls>
            <c:delete val="1"/>
          </c:dLbls>
          <c:cat>
            <c:numRef>
              <c:f>[变压器出口金额北美洲当月值等_20260213_170615.xlsx]Sheet1!$A$23:$A$35</c:f>
              <c:numCache>
                <c:formatCode>yyyy/mm;@</c:formatCode>
                <c:ptCount val="13"/>
                <c:pt idx="0" c:formatCode="yyyy/mm;@">
                  <c:v>46022</c:v>
                </c:pt>
                <c:pt idx="1" c:formatCode="yyyy/mm;@">
                  <c:v>45991</c:v>
                </c:pt>
                <c:pt idx="2" c:formatCode="yyyy/mm;@">
                  <c:v>45961</c:v>
                </c:pt>
                <c:pt idx="3" c:formatCode="yyyy/mm;@">
                  <c:v>45930</c:v>
                </c:pt>
                <c:pt idx="4" c:formatCode="yyyy/mm;@">
                  <c:v>45900</c:v>
                </c:pt>
                <c:pt idx="5" c:formatCode="yyyy/mm;@">
                  <c:v>45869</c:v>
                </c:pt>
                <c:pt idx="6" c:formatCode="yyyy/mm;@">
                  <c:v>45838</c:v>
                </c:pt>
                <c:pt idx="7" c:formatCode="yyyy/mm;@">
                  <c:v>45808</c:v>
                </c:pt>
                <c:pt idx="8" c:formatCode="yyyy/mm;@">
                  <c:v>45777</c:v>
                </c:pt>
                <c:pt idx="9" c:formatCode="yyyy/mm;@">
                  <c:v>45747</c:v>
                </c:pt>
                <c:pt idx="10" c:formatCode="yyyy/mm;@">
                  <c:v>45716</c:v>
                </c:pt>
                <c:pt idx="11" c:formatCode="yyyy/mm;@">
                  <c:v>45688</c:v>
                </c:pt>
                <c:pt idx="12" c:formatCode="yyyy/mm;@">
                  <c:v>45657</c:v>
                </c:pt>
              </c:numCache>
            </c:numRef>
          </c:cat>
          <c:val>
            <c:numRef>
              <c:f>[变压器出口金额北美洲当月值等_20260213_170615.xlsx]Sheet1!$F$23:$F$35</c:f>
              <c:numCache>
                <c:formatCode>General</c:formatCode>
                <c:ptCount val="13"/>
                <c:pt idx="0">
                  <c:v>12.243738</c:v>
                </c:pt>
                <c:pt idx="1">
                  <c:v>8.3421508</c:v>
                </c:pt>
                <c:pt idx="2">
                  <c:v>6.0689386</c:v>
                </c:pt>
                <c:pt idx="3">
                  <c:v>9.8323577</c:v>
                </c:pt>
                <c:pt idx="4">
                  <c:v>7.0264234</c:v>
                </c:pt>
                <c:pt idx="5">
                  <c:v>6.1915975</c:v>
                </c:pt>
                <c:pt idx="6">
                  <c:v>5.1546711</c:v>
                </c:pt>
                <c:pt idx="7">
                  <c:v>4.4227272</c:v>
                </c:pt>
                <c:pt idx="8">
                  <c:v>7.1872807</c:v>
                </c:pt>
                <c:pt idx="9">
                  <c:v>4.5761959</c:v>
                </c:pt>
                <c:pt idx="10">
                  <c:v>1.2276971</c:v>
                </c:pt>
                <c:pt idx="11">
                  <c:v>6.76372</c:v>
                </c:pt>
                <c:pt idx="12">
                  <c:v>5.7584042</c:v>
                </c:pt>
              </c:numCache>
            </c:numRef>
          </c:val>
        </c:ser>
        <c:ser>
          <c:idx val="5"/>
          <c:order val="5"/>
          <c:tx>
            <c:strRef>
              <c:f>[变压器出口金额北美洲当月值等_20260213_170615.xlsx]Sheet1!$G$22</c:f>
              <c:strCache>
                <c:ptCount val="1"/>
                <c:pt idx="0">
                  <c:v>大洋洲</c:v>
                </c:pt>
              </c:strCache>
            </c:strRef>
          </c:tx>
          <c:spPr>
            <a:solidFill>
              <a:schemeClr val="accent5">
                <a:lumMod val="60000"/>
              </a:schemeClr>
            </a:solidFill>
            <a:ln>
              <a:solidFill>
                <a:schemeClr val="bg1"/>
              </a:solidFill>
            </a:ln>
            <a:effectLst/>
          </c:spPr>
          <c:invertIfNegative val="0"/>
          <c:dLbls>
            <c:delete val="1"/>
          </c:dLbls>
          <c:cat>
            <c:numRef>
              <c:f>[变压器出口金额北美洲当月值等_20260213_170615.xlsx]Sheet1!$A$23:$A$35</c:f>
              <c:numCache>
                <c:formatCode>yyyy/mm;@</c:formatCode>
                <c:ptCount val="13"/>
                <c:pt idx="0" c:formatCode="yyyy/mm;@">
                  <c:v>46022</c:v>
                </c:pt>
                <c:pt idx="1" c:formatCode="yyyy/mm;@">
                  <c:v>45991</c:v>
                </c:pt>
                <c:pt idx="2" c:formatCode="yyyy/mm;@">
                  <c:v>45961</c:v>
                </c:pt>
                <c:pt idx="3" c:formatCode="yyyy/mm;@">
                  <c:v>45930</c:v>
                </c:pt>
                <c:pt idx="4" c:formatCode="yyyy/mm;@">
                  <c:v>45900</c:v>
                </c:pt>
                <c:pt idx="5" c:formatCode="yyyy/mm;@">
                  <c:v>45869</c:v>
                </c:pt>
                <c:pt idx="6" c:formatCode="yyyy/mm;@">
                  <c:v>45838</c:v>
                </c:pt>
                <c:pt idx="7" c:formatCode="yyyy/mm;@">
                  <c:v>45808</c:v>
                </c:pt>
                <c:pt idx="8" c:formatCode="yyyy/mm;@">
                  <c:v>45777</c:v>
                </c:pt>
                <c:pt idx="9" c:formatCode="yyyy/mm;@">
                  <c:v>45747</c:v>
                </c:pt>
                <c:pt idx="10" c:formatCode="yyyy/mm;@">
                  <c:v>45716</c:v>
                </c:pt>
                <c:pt idx="11" c:formatCode="yyyy/mm;@">
                  <c:v>45688</c:v>
                </c:pt>
                <c:pt idx="12" c:formatCode="yyyy/mm;@">
                  <c:v>45657</c:v>
                </c:pt>
              </c:numCache>
            </c:numRef>
          </c:cat>
          <c:val>
            <c:numRef>
              <c:f>[变压器出口金额北美洲当月值等_20260213_170615.xlsx]Sheet1!$G$23:$G$35</c:f>
              <c:numCache>
                <c:formatCode>General</c:formatCode>
                <c:ptCount val="13"/>
                <c:pt idx="0">
                  <c:v>1.3701255</c:v>
                </c:pt>
                <c:pt idx="1">
                  <c:v>1.0105386</c:v>
                </c:pt>
                <c:pt idx="2">
                  <c:v>2.5451648</c:v>
                </c:pt>
                <c:pt idx="3">
                  <c:v>0.7076382</c:v>
                </c:pt>
                <c:pt idx="4">
                  <c:v>0.5565021</c:v>
                </c:pt>
                <c:pt idx="5">
                  <c:v>1.7558231</c:v>
                </c:pt>
                <c:pt idx="6">
                  <c:v>2.1636746</c:v>
                </c:pt>
                <c:pt idx="7">
                  <c:v>2.4279997</c:v>
                </c:pt>
                <c:pt idx="8">
                  <c:v>1.5493091</c:v>
                </c:pt>
                <c:pt idx="9">
                  <c:v>1.3511801</c:v>
                </c:pt>
                <c:pt idx="10">
                  <c:v>0.6789581</c:v>
                </c:pt>
                <c:pt idx="11">
                  <c:v>1.5477141</c:v>
                </c:pt>
                <c:pt idx="12">
                  <c:v>1.4522239</c:v>
                </c:pt>
              </c:numCache>
            </c:numRef>
          </c:val>
        </c:ser>
        <c:dLbls>
          <c:showLegendKey val="0"/>
          <c:showVal val="0"/>
          <c:showCatName val="0"/>
          <c:showSerName val="0"/>
          <c:showPercent val="0"/>
          <c:showBubbleSize val="0"/>
        </c:dLbls>
        <c:gapWidth val="246"/>
        <c:overlap val="100"/>
        <c:axId val="528066269"/>
        <c:axId val="725964151"/>
      </c:barChart>
      <c:dateAx>
        <c:axId val="528066269"/>
        <c:scaling>
          <c:orientation val="minMax"/>
        </c:scaling>
        <c:delete val="0"/>
        <c:axPos val="b"/>
        <c:numFmt formatCode="yyyy/mm;@"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楷体" panose="02010609060101010101" pitchFamily="49" charset="-122"/>
                <a:ea typeface="楷体" panose="02010609060101010101" pitchFamily="49" charset="-122"/>
                <a:cs typeface="楷体" panose="02010609060101010101" pitchFamily="49" charset="-122"/>
                <a:sym typeface="楷体" panose="02010609060101010101" pitchFamily="49" charset="-122"/>
              </a:defRPr>
            </a:pPr>
          </a:p>
        </c:txPr>
        <c:crossAx val="725964151"/>
        <c:crosses val="autoZero"/>
        <c:auto val="1"/>
        <c:lblOffset val="100"/>
        <c:baseTimeUnit val="months"/>
      </c:dateAx>
      <c:valAx>
        <c:axId val="725964151"/>
        <c:scaling>
          <c:orientation val="minMax"/>
        </c:scaling>
        <c:delete val="0"/>
        <c:axPos val="l"/>
        <c:numFmt formatCode="General"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楷体" panose="02010609060101010101" pitchFamily="49" charset="-122"/>
                <a:ea typeface="楷体" panose="02010609060101010101" pitchFamily="49" charset="-122"/>
                <a:cs typeface="楷体" panose="02010609060101010101" pitchFamily="49" charset="-122"/>
                <a:sym typeface="楷体" panose="02010609060101010101" pitchFamily="49" charset="-122"/>
              </a:defRPr>
            </a:pPr>
          </a:p>
        </c:txPr>
        <c:crossAx val="528066269"/>
        <c:crosses val="autoZero"/>
        <c:crossBetween val="between"/>
      </c:valAx>
      <c:spPr>
        <a:noFill/>
        <a:ln>
          <a:noFill/>
        </a:ln>
        <a:effectLst/>
      </c:spPr>
    </c:plotArea>
    <c:legend>
      <c:legendPos val="b"/>
      <c:legendEntry>
        <c:idx val="0"/>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楷体" panose="02010609060101010101" pitchFamily="49" charset="-122"/>
                <a:ea typeface="楷体" panose="02010609060101010101" pitchFamily="49" charset="-122"/>
                <a:cs typeface="楷体" panose="02010609060101010101" pitchFamily="49" charset="-122"/>
                <a:sym typeface="楷体" panose="02010609060101010101" pitchFamily="49" charset="-122"/>
              </a:defRPr>
            </a:pPr>
          </a:p>
        </c:txPr>
      </c:legendEntry>
      <c:legendEntry>
        <c:idx val="1"/>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楷体" panose="02010609060101010101" pitchFamily="49" charset="-122"/>
                <a:ea typeface="楷体" panose="02010609060101010101" pitchFamily="49" charset="-122"/>
                <a:cs typeface="楷体" panose="02010609060101010101" pitchFamily="49" charset="-122"/>
                <a:sym typeface="楷体" panose="02010609060101010101" pitchFamily="49" charset="-122"/>
              </a:defRPr>
            </a:pPr>
          </a:p>
        </c:txPr>
      </c:legendEntry>
      <c:legendEntry>
        <c:idx val="2"/>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楷体" panose="02010609060101010101" pitchFamily="49" charset="-122"/>
                <a:ea typeface="楷体" panose="02010609060101010101" pitchFamily="49" charset="-122"/>
                <a:cs typeface="楷体" panose="02010609060101010101" pitchFamily="49" charset="-122"/>
                <a:sym typeface="楷体" panose="02010609060101010101" pitchFamily="49" charset="-122"/>
              </a:defRPr>
            </a:pPr>
          </a:p>
        </c:txPr>
      </c:legendEntry>
      <c:legendEntry>
        <c:idx val="3"/>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楷体" panose="02010609060101010101" pitchFamily="49" charset="-122"/>
                <a:ea typeface="楷体" panose="02010609060101010101" pitchFamily="49" charset="-122"/>
                <a:cs typeface="楷体" panose="02010609060101010101" pitchFamily="49" charset="-122"/>
                <a:sym typeface="楷体" panose="02010609060101010101" pitchFamily="49" charset="-122"/>
              </a:defRPr>
            </a:pPr>
          </a:p>
        </c:txPr>
      </c:legendEntry>
      <c:legendEntry>
        <c:idx val="4"/>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楷体" panose="02010609060101010101" pitchFamily="49" charset="-122"/>
                <a:ea typeface="楷体" panose="02010609060101010101" pitchFamily="49" charset="-122"/>
                <a:cs typeface="楷体" panose="02010609060101010101" pitchFamily="49" charset="-122"/>
                <a:sym typeface="楷体" panose="02010609060101010101" pitchFamily="49" charset="-122"/>
              </a:defRPr>
            </a:pPr>
          </a:p>
        </c:txPr>
      </c:legendEntry>
      <c:legendEntry>
        <c:idx val="5"/>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楷体" panose="02010609060101010101" pitchFamily="49" charset="-122"/>
                <a:ea typeface="楷体" panose="02010609060101010101" pitchFamily="49" charset="-122"/>
                <a:cs typeface="楷体" panose="02010609060101010101" pitchFamily="49" charset="-122"/>
                <a:sym typeface="楷体" panose="02010609060101010101" pitchFamily="49" charset="-122"/>
              </a:defRPr>
            </a:pPr>
          </a:p>
        </c:txPr>
      </c:legendEntry>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楷体" panose="02010609060101010101" pitchFamily="49" charset="-122"/>
              <a:ea typeface="楷体" panose="02010609060101010101" pitchFamily="49" charset="-122"/>
              <a:cs typeface="楷体" panose="02010609060101010101" pitchFamily="49" charset="-122"/>
              <a:sym typeface="楷体" panose="02010609060101010101" pitchFamily="49" charset="-122"/>
            </a:defRPr>
          </a:pPr>
        </a:p>
      </c:txPr>
    </c:legend>
    <c:plotVisOnly val="1"/>
    <c:dispBlanksAs val="gap"/>
    <c:showDLblsOverMax val="0"/>
    <c:extLst>
      <c:ext uri="{0b15fc19-7d7d-44ad-8c2d-2c3a37ce22c3}">
        <chartProps xmlns="https://web.wps.cn/et/2018/main" chartId="{820156e9-4a4b-46ff-a5db-1c44470c5389}"/>
      </c:ext>
    </c:extLst>
  </c:chart>
  <c:spPr>
    <a:solidFill>
      <a:schemeClr val="bg1"/>
    </a:solidFill>
    <a:ln w="9525" cap="flat" cmpd="sng" algn="ctr">
      <a:solidFill>
        <a:schemeClr val="tx1">
          <a:lumMod val="15000"/>
          <a:lumOff val="85000"/>
        </a:schemeClr>
      </a:solidFill>
      <a:round/>
    </a:ln>
    <a:effectLst/>
  </c:spPr>
  <c:txPr>
    <a:bodyPr/>
    <a:lstStyle/>
    <a:p>
      <a:pPr>
        <a:defRPr lang="zh-CN">
          <a:latin typeface="楷体" panose="02010609060101010101" pitchFamily="49" charset="-122"/>
          <a:ea typeface="楷体" panose="02010609060101010101" pitchFamily="49" charset="-122"/>
          <a:cs typeface="楷体" panose="02010609060101010101" pitchFamily="49" charset="-122"/>
          <a:sym typeface="楷体" panose="02010609060101010101" pitchFamily="49" charset="-122"/>
        </a:defRPr>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984817518248175"/>
          <c:y val="0.0659682899207248"/>
          <c:w val="0.770919708029197"/>
          <c:h val="0.80079275198188"/>
        </c:manualLayout>
      </c:layout>
      <c:barChart>
        <c:barDir val="col"/>
        <c:grouping val="clustered"/>
        <c:varyColors val="0"/>
        <c:ser>
          <c:idx val="0"/>
          <c:order val="0"/>
          <c:tx>
            <c:strRef>
              <c:f>[工作簿1]Sheet1!$B$1</c:f>
              <c:strCache>
                <c:ptCount val="1"/>
                <c:pt idx="0">
                  <c:v>指标值</c:v>
                </c:pt>
              </c:strCache>
            </c:strRef>
          </c:tx>
          <c:spPr>
            <a:solidFill>
              <a:srgbClr val="98CBFE"/>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8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[工作簿1]Sheet1!$A$2:$A$12</c:f>
              <c:numCache>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Cache>
            </c:numRef>
          </c:cat>
          <c:val>
            <c:numRef>
              <c:f>[工作簿1]Sheet1!$B$2:$B$12</c:f>
              <c:numCache>
                <c:formatCode>General</c:formatCode>
                <c:ptCount val="11"/>
                <c:pt idx="0">
                  <c:v>10.23</c:v>
                </c:pt>
                <c:pt idx="1">
                  <c:v>9.62</c:v>
                </c:pt>
                <c:pt idx="2">
                  <c:v>8.63</c:v>
                </c:pt>
                <c:pt idx="3">
                  <c:v>6.3</c:v>
                </c:pt>
                <c:pt idx="4">
                  <c:v>6.17</c:v>
                </c:pt>
                <c:pt idx="5">
                  <c:v>5.81</c:v>
                </c:pt>
                <c:pt idx="6">
                  <c:v>5.45</c:v>
                </c:pt>
                <c:pt idx="7">
                  <c:v>8.19</c:v>
                </c:pt>
                <c:pt idx="8">
                  <c:v>15.08</c:v>
                </c:pt>
                <c:pt idx="9">
                  <c:v>22.37</c:v>
                </c:pt>
                <c:pt idx="10" c:formatCode="0.00_ ">
                  <c:v>21.1</c:v>
                </c:pt>
              </c:numCache>
            </c:numRef>
          </c:val>
        </c:ser>
        <c:dLbls>
          <c:showLegendKey val="0"/>
          <c:showVal val="1"/>
          <c:showCatName val="0"/>
          <c:showSerName val="0"/>
          <c:showPercent val="0"/>
          <c:showBubbleSize val="0"/>
        </c:dLbls>
        <c:gapWidth val="219"/>
        <c:overlap val="-27"/>
        <c:axId val="426221196"/>
        <c:axId val="731129421"/>
      </c:barChart>
      <c:lineChart>
        <c:grouping val="standard"/>
        <c:varyColors val="0"/>
        <c:ser>
          <c:idx val="1"/>
          <c:order val="1"/>
          <c:tx>
            <c:strRef>
              <c:f>[工作簿1]Sheet1!$C$1</c:f>
              <c:strCache>
                <c:ptCount val="1"/>
                <c:pt idx="0">
                  <c:v>同比增速</c:v>
                </c:pt>
              </c:strCache>
            </c:strRef>
          </c:tx>
          <c:spPr>
            <a:ln w="28575" cap="rnd">
              <a:solidFill>
                <a:srgbClr val="FF8080"/>
              </a:solidFill>
              <a:round/>
            </a:ln>
            <a:effectLst/>
          </c:spPr>
          <c:marker>
            <c:symbol val="none"/>
          </c:marker>
          <c:dLbls>
            <c:dLbl>
              <c:idx val="4"/>
              <c:layout>
                <c:manualLayout>
                  <c:x val="0.000790826413602214"/>
                  <c:y val="0.132075471698113"/>
                </c:manualLayout>
              </c:layout>
              <c:dLblPos val="t"/>
              <c:showLegendKey val="0"/>
              <c:showVal val="1"/>
              <c:showCatName val="0"/>
              <c:showSerName val="0"/>
              <c:showPercent val="0"/>
              <c:showBubbleSize val="0"/>
              <c:extLst>
                <c:ext xmlns:c15="http://schemas.microsoft.com/office/drawing/2012/chart" uri="{CE6537A1-D6FC-4f65-9D91-7224C49458BB}">
                  <c15:layout/>
                </c:ext>
              </c:extLst>
            </c:dLbl>
            <c:dLbl>
              <c:idx val="5"/>
              <c:layout>
                <c:manualLayout>
                  <c:x val="-0.00250428364307368"/>
                  <c:y val="0.112275797810389"/>
                </c:manualLayout>
              </c:layout>
              <c:dLblPos val="t"/>
              <c:showLegendKey val="0"/>
              <c:showVal val="1"/>
              <c:showCatName val="0"/>
              <c:showSerName val="0"/>
              <c:showPercent val="0"/>
              <c:showBubbleSize val="0"/>
              <c:extLst>
                <c:ext xmlns:c15="http://schemas.microsoft.com/office/drawing/2012/chart" uri="{CE6537A1-D6FC-4f65-9D91-7224C49458BB}">
                  <c15:layout/>
                </c:ext>
              </c:extLst>
            </c:dLbl>
            <c:dLbl>
              <c:idx val="6"/>
              <c:layout>
                <c:manualLayout>
                  <c:x val="0.00237247924080664"/>
                  <c:y val="0.0980666200791987"/>
                </c:manualLayout>
              </c:layout>
              <c:dLblPos val="t"/>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800" b="0" i="0" u="none" strike="noStrike" kern="1200" baseline="0">
                    <a:solidFill>
                      <a:schemeClr val="tx1">
                        <a:lumMod val="75000"/>
                        <a:lumOff val="25000"/>
                      </a:schemeClr>
                    </a:solidFill>
                    <a:latin typeface="+mn-lt"/>
                    <a:ea typeface="+mn-ea"/>
                    <a:cs typeface="+mn-cs"/>
                  </a:defRPr>
                </a:pPr>
              </a:p>
            </c:txPr>
            <c:dLblPos val="t"/>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val>
            <c:numRef>
              <c:f>[工作簿1]Sheet1!$C$2:$C$12</c:f>
              <c:numCache>
                <c:formatCode>0.00%</c:formatCode>
                <c:ptCount val="11"/>
                <c:pt idx="0">
                  <c:v>-0.006</c:v>
                </c:pt>
                <c:pt idx="1">
                  <c:v>-0.059</c:v>
                </c:pt>
                <c:pt idx="2">
                  <c:v>-0.103</c:v>
                </c:pt>
                <c:pt idx="3">
                  <c:v>-0.271</c:v>
                </c:pt>
                <c:pt idx="4">
                  <c:v>-0.02</c:v>
                </c:pt>
                <c:pt idx="5">
                  <c:v>-0.059</c:v>
                </c:pt>
                <c:pt idx="6">
                  <c:v>-0.061</c:v>
                </c:pt>
                <c:pt idx="7">
                  <c:v>0.502</c:v>
                </c:pt>
                <c:pt idx="8">
                  <c:v>0.841</c:v>
                </c:pt>
                <c:pt idx="9">
                  <c:v>0.483</c:v>
                </c:pt>
                <c:pt idx="10">
                  <c:v>0.15</c:v>
                </c:pt>
              </c:numCache>
            </c:numRef>
          </c:val>
          <c:smooth val="0"/>
        </c:ser>
        <c:dLbls>
          <c:showLegendKey val="0"/>
          <c:showVal val="1"/>
          <c:showCatName val="0"/>
          <c:showSerName val="0"/>
          <c:showPercent val="0"/>
          <c:showBubbleSize val="0"/>
        </c:dLbls>
        <c:marker val="0"/>
        <c:smooth val="0"/>
        <c:axId val="11242354"/>
        <c:axId val="153220351"/>
      </c:lineChart>
      <c:catAx>
        <c:axId val="426221196"/>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31129421"/>
        <c:crosses val="autoZero"/>
        <c:auto val="1"/>
        <c:lblAlgn val="ctr"/>
        <c:lblOffset val="100"/>
        <c:noMultiLvlLbl val="0"/>
      </c:catAx>
      <c:valAx>
        <c:axId val="731129421"/>
        <c:scaling>
          <c:orientation val="minMax"/>
          <c:max val="25"/>
        </c:scaling>
        <c:delete val="0"/>
        <c:axPos val="l"/>
        <c:numFmt formatCode="#,##0.00_);[Red]\(#,##0.00\)" sourceLinked="0"/>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426221196"/>
        <c:crosses val="autoZero"/>
        <c:crossBetween val="between"/>
      </c:valAx>
      <c:catAx>
        <c:axId val="11242354"/>
        <c:scaling>
          <c:orientation val="minMax"/>
        </c:scaling>
        <c:delete val="1"/>
        <c:axPos val="b"/>
        <c:majorTickMark val="out"/>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53220351"/>
        <c:crosses val="autoZero"/>
        <c:auto val="1"/>
        <c:lblAlgn val="ctr"/>
        <c:lblOffset val="100"/>
        <c:noMultiLvlLbl val="0"/>
      </c:catAx>
      <c:valAx>
        <c:axId val="153220351"/>
        <c:scaling>
          <c:orientation val="minMax"/>
        </c:scaling>
        <c:delete val="0"/>
        <c:axPos val="r"/>
        <c:numFmt formatCode="0.00%" sourceLinked="1"/>
        <c:majorTickMark val="out"/>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1242354"/>
        <c:crosses val="max"/>
        <c:crossBetween val="between"/>
      </c:valAx>
      <c:spPr>
        <a:solidFill>
          <a:schemeClr val="bg1"/>
        </a:solidFill>
        <a:ln>
          <a:noFill/>
        </a:ln>
        <a:effectLst/>
      </c:spPr>
    </c:plotArea>
    <c:plotVisOnly val="1"/>
    <c:dispBlanksAs val="gap"/>
    <c:showDLblsOverMax val="0"/>
    <c:extLst>
      <c:ext uri="{0b15fc19-7d7d-44ad-8c2d-2c3a37ce22c3}">
        <chartProps xmlns="https://web.wps.cn/et/2018/main" chartId="{f8286f61-0ff7-4222-9b64-89ae96c0cebb}"/>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00414421881475342"/>
          <c:y val="0.0625785373209349"/>
          <c:w val="0.939218124050283"/>
          <c:h val="0.708821311887409"/>
        </c:manualLayout>
      </c:layout>
      <c:barChart>
        <c:barDir val="col"/>
        <c:grouping val="clustered"/>
        <c:varyColors val="0"/>
        <c:ser>
          <c:idx val="0"/>
          <c:order val="0"/>
          <c:tx>
            <c:strRef>
              <c:f>[工作簿1]Sheet1!$A$2</c:f>
              <c:strCache>
                <c:ptCount val="1"/>
                <c:pt idx="0">
                  <c:v>Asia/Australia</c:v>
                </c:pt>
              </c:strCache>
            </c:strRef>
          </c:tx>
          <c:spPr>
            <a:solidFill>
              <a:schemeClr val="accent1">
                <a:lumMod val="50000"/>
              </a:schemeClr>
            </a:solidFill>
            <a:ln>
              <a:noFill/>
            </a:ln>
            <a:effectLst/>
          </c:spPr>
          <c:invertIfNegative val="0"/>
          <c:dLbls>
            <c:spPr>
              <a:noFill/>
              <a:ln>
                <a:noFill/>
              </a:ln>
              <a:effectLst/>
            </c:spPr>
            <c:txPr>
              <a:bodyPr rot="0" spcFirstLastPara="1" vertOverflow="ellipsis" vert="horz" wrap="square" lIns="38100" tIns="19050" rIns="38100" bIns="19050" anchor="ctr" anchorCtr="1"/>
              <a:lstStyle/>
              <a:p>
                <a:pPr>
                  <a:defRPr lang="zh-CN" sz="1000" b="0" i="0" u="none" strike="noStrike" kern="1200" baseline="0">
                    <a:solidFill>
                      <a:sysClr val="windowText" lastClr="000000"/>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[工作簿1]Sheet1!$B$1:$M$1</c:f>
              <c:numCache>
                <c:formatCode>General</c:formatCode>
                <c:ptCount val="12"/>
                <c:pt idx="0">
                  <c:v>2013</c:v>
                </c:pt>
                <c:pt idx="1">
                  <c:v>2014</c:v>
                </c:pt>
                <c:pt idx="2">
                  <c:v>2015</c:v>
                </c:pt>
                <c:pt idx="3">
                  <c:v>2016</c:v>
                </c:pt>
                <c:pt idx="4">
                  <c:v>2017</c:v>
                </c:pt>
                <c:pt idx="5">
                  <c:v>2018</c:v>
                </c:pt>
                <c:pt idx="6">
                  <c:v>2019</c:v>
                </c:pt>
                <c:pt idx="7">
                  <c:v>2020</c:v>
                </c:pt>
                <c:pt idx="8">
                  <c:v>2021</c:v>
                </c:pt>
                <c:pt idx="9">
                  <c:v>2022</c:v>
                </c:pt>
                <c:pt idx="10">
                  <c:v>2023</c:v>
                </c:pt>
                <c:pt idx="11">
                  <c:v>2024</c:v>
                </c:pt>
              </c:numCache>
            </c:numRef>
          </c:cat>
          <c:val>
            <c:numRef>
              <c:f>[工作簿1]Sheet1!$B$2:$M$2</c:f>
              <c:numCache>
                <c:formatCode>General</c:formatCode>
                <c:ptCount val="12"/>
                <c:pt idx="0">
                  <c:v>99</c:v>
                </c:pt>
                <c:pt idx="1">
                  <c:v>134</c:v>
                </c:pt>
                <c:pt idx="2">
                  <c:v>161</c:v>
                </c:pt>
                <c:pt idx="3">
                  <c:v>200</c:v>
                </c:pt>
                <c:pt idx="4">
                  <c:v>280</c:v>
                </c:pt>
                <c:pt idx="5">
                  <c:v>284</c:v>
                </c:pt>
                <c:pt idx="6">
                  <c:v>255</c:v>
                </c:pt>
                <c:pt idx="7">
                  <c:v>274</c:v>
                </c:pt>
                <c:pt idx="8">
                  <c:v>385</c:v>
                </c:pt>
                <c:pt idx="9">
                  <c:v>404</c:v>
                </c:pt>
                <c:pt idx="10">
                  <c:v>382</c:v>
                </c:pt>
                <c:pt idx="11">
                  <c:v>402</c:v>
                </c:pt>
              </c:numCache>
            </c:numRef>
          </c:val>
        </c:ser>
        <c:ser>
          <c:idx val="1"/>
          <c:order val="1"/>
          <c:tx>
            <c:strRef>
              <c:f>[工作簿1]Sheet1!$A$3</c:f>
              <c:strCache>
                <c:ptCount val="1"/>
                <c:pt idx="0">
                  <c:v>Europe</c:v>
                </c:pt>
              </c:strCache>
            </c:strRef>
          </c:tx>
          <c:spPr>
            <a:solidFill>
              <a:schemeClr val="accent2">
                <a:lumMod val="75000"/>
              </a:schemeClr>
            </a:solidFill>
            <a:ln>
              <a:noFill/>
            </a:ln>
            <a:effectLst/>
          </c:spPr>
          <c:invertIfNegative val="0"/>
          <c:dLbls>
            <c:dLbl>
              <c:idx val="0"/>
              <c:layout>
                <c:manualLayout>
                  <c:x val="0.00718331261223926"/>
                  <c:y val="0.00653430510178437"/>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0718331261223926"/>
                  <c:y val="0"/>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897914076529907"/>
                  <c:y val="0"/>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107749689183589"/>
                  <c:y val="0"/>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0897914076529907"/>
                  <c:y val="0.00326715255089218"/>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5"/>
              <c:layout>
                <c:manualLayout>
                  <c:x val="0.00538748445917945"/>
                  <c:y val="0.0196029153053531"/>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6"/>
              <c:layout>
                <c:manualLayout>
                  <c:x val="0.00704517198508081"/>
                  <c:y val="0.0130686102035687"/>
                </c:manualLayout>
              </c:layout>
              <c:dLblPos val="outEnd"/>
              <c:showLegendKey val="0"/>
              <c:showVal val="1"/>
              <c:showCatName val="0"/>
              <c:showSerName val="0"/>
              <c:showPercent val="0"/>
              <c:showBubbleSize val="0"/>
              <c:extLst>
                <c:ext xmlns:c15="http://schemas.microsoft.com/office/drawing/2012/chart" uri="{CE6537A1-D6FC-4f65-9D91-7224C49458BB}">
                  <c15:layout>
                    <c:manualLayout>
                      <c:w val="0.0442050006907031"/>
                      <c:h val="0.0600653430510178"/>
                    </c:manualLayout>
                  </c15:layout>
                </c:ext>
              </c:extLst>
            </c:dLbl>
            <c:dLbl>
              <c:idx val="7"/>
              <c:layout>
                <c:manualLayout>
                  <c:x val="0.00538748445917945"/>
                  <c:y val="0.0130686102035687"/>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8"/>
              <c:layout>
                <c:manualLayout>
                  <c:x val="0.00359165630611963"/>
                  <c:y val="0.0130686102035687"/>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9"/>
              <c:layout>
                <c:manualLayout>
                  <c:x val="0.0107749689183589"/>
                  <c:y val="0.00980145765267655"/>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0"/>
              <c:layout>
                <c:manualLayout>
                  <c:x val="0.00897914076529907"/>
                  <c:y val="0.0163357627544609"/>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1"/>
              <c:layout>
                <c:manualLayout>
                  <c:x val="0.0107749689183589"/>
                  <c:y val="0.00980145765267655"/>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lstStyle/>
              <a:p>
                <a:pPr>
                  <a:defRPr lang="zh-CN" sz="1000" b="0" i="0" u="none" strike="noStrike" kern="1200" baseline="0">
                    <a:solidFill>
                      <a:sysClr val="windowText" lastClr="000000"/>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[工作簿1]Sheet1!$B$1:$M$1</c:f>
              <c:numCache>
                <c:formatCode>General</c:formatCode>
                <c:ptCount val="12"/>
                <c:pt idx="0">
                  <c:v>2013</c:v>
                </c:pt>
                <c:pt idx="1">
                  <c:v>2014</c:v>
                </c:pt>
                <c:pt idx="2">
                  <c:v>2015</c:v>
                </c:pt>
                <c:pt idx="3">
                  <c:v>2016</c:v>
                </c:pt>
                <c:pt idx="4">
                  <c:v>2017</c:v>
                </c:pt>
                <c:pt idx="5">
                  <c:v>2018</c:v>
                </c:pt>
                <c:pt idx="6">
                  <c:v>2019</c:v>
                </c:pt>
                <c:pt idx="7">
                  <c:v>2020</c:v>
                </c:pt>
                <c:pt idx="8">
                  <c:v>2021</c:v>
                </c:pt>
                <c:pt idx="9">
                  <c:v>2022</c:v>
                </c:pt>
                <c:pt idx="10">
                  <c:v>2023</c:v>
                </c:pt>
                <c:pt idx="11">
                  <c:v>2024</c:v>
                </c:pt>
              </c:numCache>
            </c:numRef>
          </c:cat>
          <c:val>
            <c:numRef>
              <c:f>[工作簿1]Sheet1!$B$3:$M$3</c:f>
              <c:numCache>
                <c:formatCode>General</c:formatCode>
                <c:ptCount val="12"/>
                <c:pt idx="0">
                  <c:v>43</c:v>
                </c:pt>
                <c:pt idx="1">
                  <c:v>46</c:v>
                </c:pt>
                <c:pt idx="2">
                  <c:v>50</c:v>
                </c:pt>
                <c:pt idx="3">
                  <c:v>56</c:v>
                </c:pt>
                <c:pt idx="4">
                  <c:v>67</c:v>
                </c:pt>
                <c:pt idx="5">
                  <c:v>76</c:v>
                </c:pt>
                <c:pt idx="6">
                  <c:v>74</c:v>
                </c:pt>
                <c:pt idx="7">
                  <c:v>66</c:v>
                </c:pt>
                <c:pt idx="8">
                  <c:v>82</c:v>
                </c:pt>
                <c:pt idx="9">
                  <c:v>85</c:v>
                </c:pt>
                <c:pt idx="10">
                  <c:v>92</c:v>
                </c:pt>
                <c:pt idx="11">
                  <c:v>85</c:v>
                </c:pt>
              </c:numCache>
            </c:numRef>
          </c:val>
        </c:ser>
        <c:ser>
          <c:idx val="2"/>
          <c:order val="2"/>
          <c:tx>
            <c:strRef>
              <c:f>[工作簿1]Sheet1!$A$4</c:f>
              <c:strCache>
                <c:ptCount val="1"/>
                <c:pt idx="0">
                  <c:v>The Americas</c:v>
                </c:pt>
              </c:strCache>
            </c:strRef>
          </c:tx>
          <c:spPr>
            <a:solidFill>
              <a:schemeClr val="bg1">
                <a:lumMod val="65000"/>
              </a:schemeClr>
            </a:solidFill>
            <a:ln>
              <a:noFill/>
            </a:ln>
            <a:effectLst/>
          </c:spPr>
          <c:invertIfNegative val="0"/>
          <c:dLbls>
            <c:dLbl>
              <c:idx val="0"/>
              <c:layout>
                <c:manualLayout>
                  <c:x val="0.00897914076529907"/>
                  <c:y val="0.0261372204071375"/>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0718331261223926"/>
                  <c:y val="0.0261372204071375"/>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897914076529907"/>
                  <c:y val="0.0294043729580297"/>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0718331261223926"/>
                  <c:y val="0.0326715255089218"/>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0538748445917945"/>
                  <c:y val="0.0258859009801458"/>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5"/>
              <c:layout>
                <c:manualLayout>
                  <c:x val="0.00897914076529907"/>
                  <c:y val="0.0356873586328223"/>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6"/>
              <c:layout>
                <c:manualLayout>
                  <c:x val="0.0107749689183589"/>
                  <c:y val="0.0291530535310379"/>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7"/>
              <c:layout>
                <c:manualLayout>
                  <c:x val="0.0107749689183589"/>
                  <c:y val="0.035938678059814"/>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8"/>
              <c:layout>
                <c:manualLayout>
                  <c:x val="0.0107749689183589"/>
                  <c:y val="0.0258859009801458"/>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9"/>
              <c:layout>
                <c:manualLayout>
                  <c:x val="0.00718331261223926"/>
                  <c:y val="0.0356873586328223"/>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0"/>
              <c:layout>
                <c:manualLayout>
                  <c:x val="0.00897914076529907"/>
                  <c:y val="0.0226187484292536"/>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1"/>
              <c:layout>
                <c:manualLayout>
                  <c:x val="0.0124326564442603"/>
                  <c:y val="0.0291530535310379"/>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1" vertOverflow="ellipsis" vert="horz" wrap="square" lIns="38100" tIns="19050" rIns="38100" bIns="19050" anchor="ctr" anchorCtr="1"/>
              <a:lstStyle/>
              <a:p>
                <a:pPr>
                  <a:defRPr lang="zh-CN" sz="1000" b="0" i="0" u="none" strike="noStrike" kern="1200" baseline="0">
                    <a:solidFill>
                      <a:sysClr val="windowText" lastClr="000000"/>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[工作簿1]Sheet1!$B$1:$M$1</c:f>
              <c:numCache>
                <c:formatCode>General</c:formatCode>
                <c:ptCount val="12"/>
                <c:pt idx="0">
                  <c:v>2013</c:v>
                </c:pt>
                <c:pt idx="1">
                  <c:v>2014</c:v>
                </c:pt>
                <c:pt idx="2">
                  <c:v>2015</c:v>
                </c:pt>
                <c:pt idx="3">
                  <c:v>2016</c:v>
                </c:pt>
                <c:pt idx="4">
                  <c:v>2017</c:v>
                </c:pt>
                <c:pt idx="5">
                  <c:v>2018</c:v>
                </c:pt>
                <c:pt idx="6">
                  <c:v>2019</c:v>
                </c:pt>
                <c:pt idx="7">
                  <c:v>2020</c:v>
                </c:pt>
                <c:pt idx="8">
                  <c:v>2021</c:v>
                </c:pt>
                <c:pt idx="9">
                  <c:v>2022</c:v>
                </c:pt>
                <c:pt idx="10">
                  <c:v>2023</c:v>
                </c:pt>
                <c:pt idx="11">
                  <c:v>2024</c:v>
                </c:pt>
              </c:numCache>
            </c:numRef>
          </c:cat>
          <c:val>
            <c:numRef>
              <c:f>[工作簿1]Sheet1!$B$4:$M$4</c:f>
              <c:numCache>
                <c:formatCode>General</c:formatCode>
                <c:ptCount val="12"/>
                <c:pt idx="0">
                  <c:v>30</c:v>
                </c:pt>
                <c:pt idx="1">
                  <c:v>33</c:v>
                </c:pt>
                <c:pt idx="2">
                  <c:v>38</c:v>
                </c:pt>
                <c:pt idx="3">
                  <c:v>41</c:v>
                </c:pt>
                <c:pt idx="4">
                  <c:v>46</c:v>
                </c:pt>
                <c:pt idx="5">
                  <c:v>55</c:v>
                </c:pt>
                <c:pt idx="6">
                  <c:v>47</c:v>
                </c:pt>
                <c:pt idx="7">
                  <c:v>39</c:v>
                </c:pt>
                <c:pt idx="8">
                  <c:v>52</c:v>
                </c:pt>
                <c:pt idx="9">
                  <c:v>56</c:v>
                </c:pt>
                <c:pt idx="10">
                  <c:v>55</c:v>
                </c:pt>
                <c:pt idx="11">
                  <c:v>50</c:v>
                </c:pt>
              </c:numCache>
            </c:numRef>
          </c:val>
        </c:ser>
        <c:dLbls>
          <c:showLegendKey val="0"/>
          <c:showVal val="1"/>
          <c:showCatName val="0"/>
          <c:showSerName val="0"/>
          <c:showPercent val="0"/>
          <c:showBubbleSize val="0"/>
        </c:dLbls>
        <c:gapWidth val="246"/>
        <c:overlap val="-28"/>
        <c:axId val="940018905"/>
        <c:axId val="209828599"/>
      </c:barChart>
      <c:catAx>
        <c:axId val="940018905"/>
        <c:scaling>
          <c:orientation val="minMax"/>
        </c:scaling>
        <c:delete val="0"/>
        <c:axPos val="b"/>
        <c:numFmt formatCode="General" sourceLinked="0"/>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p>
        </c:txPr>
        <c:crossAx val="209828599"/>
        <c:crosses val="autoZero"/>
        <c:auto val="1"/>
        <c:lblAlgn val="ctr"/>
        <c:lblOffset val="100"/>
        <c:noMultiLvlLbl val="0"/>
      </c:catAx>
      <c:valAx>
        <c:axId val="209828599"/>
        <c:scaling>
          <c:orientation val="minMax"/>
        </c:scaling>
        <c:delete val="1"/>
        <c:axPos val="l"/>
        <c:numFmt formatCode="General" sourceLinked="1"/>
        <c:majorTickMark val="out"/>
        <c:minorTickMark val="none"/>
        <c:tickLblPos val="nextTo"/>
        <c:txPr>
          <a:bodyPr rot="-60000000" spcFirstLastPara="0" vertOverflow="ellipsis" vert="horz" wrap="square" anchor="ctr" anchorCtr="1"/>
          <a:lstStyle/>
          <a:p>
            <a:pPr>
              <a:defRPr lang="zh-CN" sz="900" b="0" i="0" u="none" strike="noStrike" kern="1200" baseline="0">
                <a:solidFill>
                  <a:sysClr val="windowText" lastClr="000000"/>
                </a:solidFill>
                <a:latin typeface="+mn-lt"/>
                <a:ea typeface="+mn-ea"/>
                <a:cs typeface="+mn-cs"/>
              </a:defRPr>
            </a:pPr>
          </a:p>
        </c:txPr>
        <c:crossAx val="940018905"/>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p>
      </c:txPr>
    </c:legend>
    <c:plotVisOnly val="1"/>
    <c:dispBlanksAs val="gap"/>
    <c:showDLblsOverMax val="0"/>
    <c:extLst>
      <c:ext uri="{0b15fc19-7d7d-44ad-8c2d-2c3a37ce22c3}">
        <chartProps xmlns="https://web.wps.cn/et/2018/main" chartId="{b91f058a-53f0-4527-b1db-5203f664cae8}"/>
      </c:ext>
    </c:extLst>
  </c:chart>
  <c:spPr>
    <a:solidFill>
      <a:schemeClr val="bg1"/>
    </a:solidFill>
    <a:ln w="9525" cap="flat" cmpd="sng" algn="ctr">
      <a:noFill/>
      <a:round/>
    </a:ln>
    <a:effectLst/>
  </c:spPr>
  <c:txPr>
    <a:bodyPr/>
    <a:lstStyle/>
    <a:p>
      <a:pPr>
        <a:defRPr lang="zh-CN">
          <a:solidFill>
            <a:sysClr val="windowText" lastClr="000000"/>
          </a:solidFill>
        </a:defRPr>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'图45-46'!$B$2</c:f>
              <c:strCache>
                <c:ptCount val="1"/>
                <c:pt idx="0">
                  <c:v>总交付量（架） （Piston + Turboprop + Business Jets）</c:v>
                </c:pt>
              </c:strCache>
            </c:strRef>
          </c:tx>
          <c:spPr>
            <a:solidFill>
              <a:srgbClr val="4472C4"/>
            </a:solidFill>
            <a:ln>
              <a:noFill/>
            </a:ln>
            <a:effectLst/>
          </c:spPr>
          <c:invertIfNegative val="0"/>
          <c:dLbls>
            <c:delete val="1"/>
          </c:dLbls>
          <c:cat>
            <c:strRef>
              <c:f>'图45-46'!$A$3:$A$12</c:f>
              <c:strCache>
                <c:ptCount val="10"/>
                <c:pt idx="0">
                  <c:v>2019</c:v>
                </c:pt>
                <c:pt idx="1">
                  <c:v>2020</c:v>
                </c:pt>
                <c:pt idx="2">
                  <c:v>2021</c:v>
                </c:pt>
                <c:pt idx="3">
                  <c:v>2022</c:v>
                </c:pt>
                <c:pt idx="4">
                  <c:v>2023</c:v>
                </c:pt>
                <c:pt idx="5">
                  <c:v>2024</c:v>
                </c:pt>
                <c:pt idx="6">
                  <c:v>2025</c:v>
                </c:pt>
                <c:pt idx="7">
                  <c:v>2026E</c:v>
                </c:pt>
                <c:pt idx="8">
                  <c:v>2027E</c:v>
                </c:pt>
                <c:pt idx="9">
                  <c:v>2028E</c:v>
                </c:pt>
              </c:strCache>
            </c:strRef>
          </c:cat>
          <c:val>
            <c:numRef>
              <c:f>'图45-46'!$B$3:$B$12</c:f>
              <c:numCache>
                <c:formatCode>General</c:formatCode>
                <c:ptCount val="10"/>
                <c:pt idx="0">
                  <c:v>2658</c:v>
                </c:pt>
                <c:pt idx="1">
                  <c:v>2408</c:v>
                </c:pt>
                <c:pt idx="2">
                  <c:v>2646</c:v>
                </c:pt>
                <c:pt idx="3">
                  <c:v>2813</c:v>
                </c:pt>
                <c:pt idx="4">
                  <c:v>3069</c:v>
                </c:pt>
                <c:pt idx="5">
                  <c:v>3162</c:v>
                </c:pt>
                <c:pt idx="6">
                  <c:v>3230</c:v>
                </c:pt>
                <c:pt idx="7">
                  <c:v>3410</c:v>
                </c:pt>
                <c:pt idx="8">
                  <c:v>3520</c:v>
                </c:pt>
                <c:pt idx="9">
                  <c:v>3650</c:v>
                </c:pt>
              </c:numCache>
            </c:numRef>
          </c:val>
        </c:ser>
        <c:dLbls>
          <c:showLegendKey val="0"/>
          <c:showVal val="0"/>
          <c:showCatName val="0"/>
          <c:showSerName val="0"/>
          <c:showPercent val="0"/>
          <c:showBubbleSize val="0"/>
        </c:dLbls>
        <c:gapWidth val="150"/>
        <c:axId val="1021593488"/>
        <c:axId val="1"/>
      </c:barChart>
      <c:lineChart>
        <c:grouping val="standard"/>
        <c:varyColors val="0"/>
        <c:ser>
          <c:idx val="1"/>
          <c:order val="1"/>
          <c:tx>
            <c:strRef>
              <c:f>'图45-46'!$C$2</c:f>
              <c:strCache>
                <c:ptCount val="1"/>
                <c:pt idx="0">
                  <c:v>YoY</c:v>
                </c:pt>
              </c:strCache>
            </c:strRef>
          </c:tx>
          <c:spPr>
            <a:ln w="19050" cap="rnd" cmpd="sng" algn="ctr">
              <a:solidFill>
                <a:sysClr val="windowText" lastClr="000000"/>
              </a:solidFill>
              <a:prstDash val="solid"/>
              <a:round/>
            </a:ln>
            <a:effectLst/>
          </c:spPr>
          <c:marker>
            <c:symbol val="none"/>
          </c:marker>
          <c:dLbls>
            <c:delete val="1"/>
          </c:dLbls>
          <c:cat>
            <c:strRef>
              <c:f>'图45-46'!$A$3:$A$12</c:f>
              <c:strCache>
                <c:ptCount val="10"/>
                <c:pt idx="0">
                  <c:v>2019</c:v>
                </c:pt>
                <c:pt idx="1">
                  <c:v>2020</c:v>
                </c:pt>
                <c:pt idx="2">
                  <c:v>2021</c:v>
                </c:pt>
                <c:pt idx="3">
                  <c:v>2022</c:v>
                </c:pt>
                <c:pt idx="4">
                  <c:v>2023</c:v>
                </c:pt>
                <c:pt idx="5">
                  <c:v>2024</c:v>
                </c:pt>
                <c:pt idx="6">
                  <c:v>2025</c:v>
                </c:pt>
                <c:pt idx="7">
                  <c:v>2026E</c:v>
                </c:pt>
                <c:pt idx="8">
                  <c:v>2027E</c:v>
                </c:pt>
                <c:pt idx="9">
                  <c:v>2028E</c:v>
                </c:pt>
              </c:strCache>
            </c:strRef>
          </c:cat>
          <c:val>
            <c:numRef>
              <c:f>'图45-46'!$C$3:$C$12</c:f>
              <c:numCache>
                <c:formatCode>General</c:formatCode>
                <c:ptCount val="10"/>
                <c:pt idx="1" c:formatCode="0.00%">
                  <c:v>-0.094</c:v>
                </c:pt>
                <c:pt idx="2" c:formatCode="0.00%">
                  <c:v>0.099</c:v>
                </c:pt>
                <c:pt idx="3" c:formatCode="0.00%">
                  <c:v>0.063</c:v>
                </c:pt>
                <c:pt idx="4" c:formatCode="0.00%">
                  <c:v>0.091</c:v>
                </c:pt>
                <c:pt idx="5" c:formatCode="0.00%">
                  <c:v>0.03</c:v>
                </c:pt>
                <c:pt idx="6" c:formatCode="0.00%">
                  <c:v>0.022</c:v>
                </c:pt>
                <c:pt idx="7" c:formatCode="0.00%">
                  <c:v>0.056</c:v>
                </c:pt>
                <c:pt idx="8" c:formatCode="0.00%">
                  <c:v>0.032</c:v>
                </c:pt>
                <c:pt idx="9" c:formatCode="0.00%">
                  <c:v>0.037</c:v>
                </c:pt>
              </c:numCache>
            </c:numRef>
          </c:val>
          <c:smooth val="0"/>
        </c:ser>
        <c:dLbls>
          <c:showLegendKey val="0"/>
          <c:showVal val="0"/>
          <c:showCatName val="0"/>
          <c:showSerName val="0"/>
          <c:showPercent val="0"/>
          <c:showBubbleSize val="0"/>
        </c:dLbls>
        <c:marker val="0"/>
        <c:smooth val="0"/>
        <c:axId val="259816367"/>
        <c:axId val="259820207"/>
      </c:line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800" b="0" i="0" u="none" strike="noStrike" kern="1200" baseline="0">
                <a:solidFill>
                  <a:srgbClr val="000000"/>
                </a:solidFill>
                <a:latin typeface="+mn-lt"/>
                <a:ea typeface="楷体" panose="02010609060101010101" pitchFamily="49"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800" b="0" i="0" u="none" strike="noStrike" kern="1200" baseline="0">
                <a:solidFill>
                  <a:srgbClr val="000000"/>
                </a:solidFill>
                <a:latin typeface="+mn-lt"/>
                <a:ea typeface="楷体" panose="02010609060101010101" pitchFamily="49" charset="-122"/>
                <a:cs typeface="Times New Roman" panose="02020603050405020304" charset="0"/>
              </a:defRPr>
            </a:pPr>
          </a:p>
        </c:txPr>
        <c:crossAx val="1021593488"/>
        <c:crosses val="autoZero"/>
        <c:crossBetween val="between"/>
      </c:valAx>
      <c:catAx>
        <c:axId val="259816367"/>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800" b="0" i="0" u="none" strike="noStrike" kern="1200" baseline="0">
                <a:solidFill>
                  <a:srgbClr val="000000"/>
                </a:solidFill>
                <a:latin typeface="+mn-lt"/>
                <a:ea typeface="楷体" panose="02010609060101010101" pitchFamily="49" charset="-122"/>
                <a:cs typeface="Times New Roman" panose="02020603050405020304" charset="0"/>
              </a:defRPr>
            </a:pPr>
          </a:p>
        </c:txPr>
        <c:crossAx val="259820207"/>
        <c:crosses val="autoZero"/>
        <c:auto val="1"/>
        <c:lblAlgn val="ctr"/>
        <c:lblOffset val="100"/>
        <c:noMultiLvlLbl val="0"/>
      </c:catAx>
      <c:valAx>
        <c:axId val="259820207"/>
        <c:scaling>
          <c:orientation val="minMax"/>
        </c:scaling>
        <c:delete val="0"/>
        <c:axPos val="r"/>
        <c:numFmt formatCode="0%" sourceLinked="0"/>
        <c:majorTickMark val="out"/>
        <c:minorTickMark val="none"/>
        <c:tickLblPos val="nextTo"/>
        <c:spPr>
          <a:noFill/>
          <a:ln w="6350" cap="flat" cmpd="sng" algn="ctr">
            <a:solidFill>
              <a:schemeClr val="tx1">
                <a:tint val="75000"/>
              </a:schemeClr>
            </a:solidFill>
            <a:prstDash val="solid"/>
            <a:round/>
          </a:ln>
          <a:effectLst/>
        </c:spPr>
        <c:txPr>
          <a:bodyPr rot="-60000000" spcFirstLastPara="1" vertOverflow="ellipsis" vert="horz" wrap="square" anchor="ctr" anchorCtr="1"/>
          <a:lstStyle/>
          <a:p>
            <a:pPr>
              <a:defRPr lang="zh-CN" sz="800" b="0" i="0" u="none" strike="noStrike" kern="1200" baseline="0">
                <a:solidFill>
                  <a:srgbClr val="000000"/>
                </a:solidFill>
                <a:latin typeface="+mn-lt"/>
                <a:ea typeface="楷体" panose="02010609060101010101" pitchFamily="49" charset="-122"/>
                <a:cs typeface="Times New Roman" panose="02020603050405020304" charset="0"/>
              </a:defRPr>
            </a:pPr>
          </a:p>
        </c:txPr>
        <c:crossAx val="259816367"/>
        <c:crosses val="max"/>
        <c:crossBetween val="between"/>
      </c:valAx>
      <c:spPr>
        <a:noFill/>
        <a:ln w="25400">
          <a:noFill/>
        </a:ln>
        <a:effectLst/>
      </c:spPr>
    </c:plotArea>
    <c:legend>
      <c:legendPos val="t"/>
      <c:layout>
        <c:manualLayout>
          <c:xMode val="edge"/>
          <c:yMode val="edge"/>
          <c:x val="0.00475442043222004"/>
          <c:y val="0.0347826086956522"/>
          <c:w val="0.994420432220039"/>
          <c:h val="0.126577656053863"/>
        </c:manualLayout>
      </c:layout>
      <c:overlay val="0"/>
      <c:spPr>
        <a:solidFill>
          <a:srgbClr val="FFFFFF"/>
        </a:solidFill>
        <a:ln w="25400">
          <a:noFill/>
        </a:ln>
        <a:effectLst/>
      </c:spPr>
      <c:txPr>
        <a:bodyPr rot="0" spcFirstLastPara="1" vertOverflow="ellipsis" vert="horz" wrap="square" anchor="ctr" anchorCtr="1"/>
        <a:lstStyle/>
        <a:p>
          <a:pPr>
            <a:defRPr lang="zh-CN" sz="800" b="0" i="0" u="none" strike="noStrike" kern="1200" baseline="0">
              <a:solidFill>
                <a:srgbClr val="000000"/>
              </a:solidFill>
              <a:latin typeface="+mn-lt"/>
              <a:ea typeface="楷体" panose="02010609060101010101" pitchFamily="49" charset="-122"/>
              <a:cs typeface="Times New Roman" panose="02020603050405020304" charset="0"/>
            </a:defRPr>
          </a:pPr>
        </a:p>
      </c:txPr>
    </c:legend>
    <c:plotVisOnly val="1"/>
    <c:dispBlanksAs val="gap"/>
    <c:showDLblsOverMax val="0"/>
    <c:extLst>
      <c:ext uri="{0b15fc19-7d7d-44ad-8c2d-2c3a37ce22c3}">
        <chartProps xmlns="https://web.wps.cn/et/2018/main" chartId="{e61129af-35ed-47bf-a9a7-f2a4b110e9cb}"/>
      </c:ext>
    </c:extLst>
  </c:chart>
  <c:spPr>
    <a:solidFill>
      <a:srgbClr val="FFFFFF"/>
    </a:solidFill>
    <a:ln w="9525" cap="flat" cmpd="sng" algn="ctr">
      <a:noFill/>
      <a:prstDash val="solid"/>
      <a:round/>
    </a:ln>
    <a:effectLst/>
  </c:spPr>
  <c:txPr>
    <a:bodyPr/>
    <a:lstStyle/>
    <a:p>
      <a:pPr>
        <a:defRPr lang="zh-CN" sz="800" b="0" i="0" u="none" strike="noStrike" baseline="0">
          <a:solidFill>
            <a:srgbClr val="000000"/>
          </a:solidFill>
          <a:latin typeface="+mn-lt"/>
          <a:ea typeface="楷体" panose="02010609060101010101" pitchFamily="49" charset="-122"/>
          <a:cs typeface="Times New Roman" panose="02020603050405020304" charset="0"/>
        </a:defRPr>
      </a:pP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'图45-46'!$F$2</c:f>
              <c:strCache>
                <c:ptCount val="1"/>
                <c:pt idx="0">
                  <c:v>总交付价值（十亿美元）</c:v>
                </c:pt>
              </c:strCache>
            </c:strRef>
          </c:tx>
          <c:spPr>
            <a:solidFill>
              <a:srgbClr val="4472C4"/>
            </a:solidFill>
            <a:ln>
              <a:noFill/>
            </a:ln>
            <a:effectLst/>
          </c:spPr>
          <c:invertIfNegative val="0"/>
          <c:dLbls>
            <c:delete val="1"/>
          </c:dLbls>
          <c:cat>
            <c:strRef>
              <c:f>'图45-46'!$E$3:$E$12</c:f>
              <c:strCache>
                <c:ptCount val="10"/>
                <c:pt idx="0">
                  <c:v>2019</c:v>
                </c:pt>
                <c:pt idx="1">
                  <c:v>2020</c:v>
                </c:pt>
                <c:pt idx="2">
                  <c:v>2021</c:v>
                </c:pt>
                <c:pt idx="3">
                  <c:v>2022</c:v>
                </c:pt>
                <c:pt idx="4">
                  <c:v>2023</c:v>
                </c:pt>
                <c:pt idx="5">
                  <c:v>2024</c:v>
                </c:pt>
                <c:pt idx="6">
                  <c:v>2025</c:v>
                </c:pt>
                <c:pt idx="7">
                  <c:v>2026E</c:v>
                </c:pt>
                <c:pt idx="8">
                  <c:v>2027E</c:v>
                </c:pt>
                <c:pt idx="9">
                  <c:v>2028E</c:v>
                </c:pt>
              </c:strCache>
            </c:strRef>
          </c:cat>
          <c:val>
            <c:numRef>
              <c:f>'图45-46'!$F$3:$F$12</c:f>
              <c:numCache>
                <c:formatCode>General</c:formatCode>
                <c:ptCount val="10"/>
                <c:pt idx="0">
                  <c:v>23.5</c:v>
                </c:pt>
                <c:pt idx="1">
                  <c:v>20</c:v>
                </c:pt>
                <c:pt idx="2">
                  <c:v>21.6</c:v>
                </c:pt>
                <c:pt idx="3">
                  <c:v>22.9</c:v>
                </c:pt>
                <c:pt idx="4">
                  <c:v>23.4</c:v>
                </c:pt>
                <c:pt idx="5">
                  <c:v>26.7</c:v>
                </c:pt>
                <c:pt idx="6">
                  <c:v>31</c:v>
                </c:pt>
                <c:pt idx="7">
                  <c:v>33</c:v>
                </c:pt>
                <c:pt idx="8">
                  <c:v>34.5</c:v>
                </c:pt>
                <c:pt idx="9">
                  <c:v>36</c:v>
                </c:pt>
              </c:numCache>
            </c:numRef>
          </c:val>
        </c:ser>
        <c:dLbls>
          <c:showLegendKey val="0"/>
          <c:showVal val="0"/>
          <c:showCatName val="0"/>
          <c:showSerName val="0"/>
          <c:showPercent val="0"/>
          <c:showBubbleSize val="0"/>
        </c:dLbls>
        <c:gapWidth val="150"/>
        <c:axId val="1021593488"/>
        <c:axId val="1"/>
      </c:barChart>
      <c:lineChart>
        <c:grouping val="standard"/>
        <c:varyColors val="0"/>
        <c:ser>
          <c:idx val="1"/>
          <c:order val="1"/>
          <c:tx>
            <c:strRef>
              <c:f>'图45-46'!$G$2</c:f>
              <c:strCache>
                <c:ptCount val="1"/>
                <c:pt idx="0">
                  <c:v>YoY</c:v>
                </c:pt>
              </c:strCache>
            </c:strRef>
          </c:tx>
          <c:spPr>
            <a:ln w="19050" cap="rnd" cmpd="sng" algn="ctr">
              <a:solidFill>
                <a:sysClr val="windowText" lastClr="000000"/>
              </a:solidFill>
              <a:prstDash val="solid"/>
              <a:round/>
            </a:ln>
            <a:effectLst/>
          </c:spPr>
          <c:marker>
            <c:symbol val="none"/>
          </c:marker>
          <c:dLbls>
            <c:delete val="1"/>
          </c:dLbls>
          <c:cat>
            <c:strRef>
              <c:f>'图45-46'!$E$3:$E$12</c:f>
              <c:strCache>
                <c:ptCount val="10"/>
                <c:pt idx="0">
                  <c:v>2019</c:v>
                </c:pt>
                <c:pt idx="1">
                  <c:v>2020</c:v>
                </c:pt>
                <c:pt idx="2">
                  <c:v>2021</c:v>
                </c:pt>
                <c:pt idx="3">
                  <c:v>2022</c:v>
                </c:pt>
                <c:pt idx="4">
                  <c:v>2023</c:v>
                </c:pt>
                <c:pt idx="5">
                  <c:v>2024</c:v>
                </c:pt>
                <c:pt idx="6">
                  <c:v>2025</c:v>
                </c:pt>
                <c:pt idx="7">
                  <c:v>2026E</c:v>
                </c:pt>
                <c:pt idx="8">
                  <c:v>2027E</c:v>
                </c:pt>
                <c:pt idx="9">
                  <c:v>2028E</c:v>
                </c:pt>
              </c:strCache>
            </c:strRef>
          </c:cat>
          <c:val>
            <c:numRef>
              <c:f>'图45-46'!$G$3:$G$12</c:f>
              <c:numCache>
                <c:formatCode>General</c:formatCode>
                <c:ptCount val="10"/>
                <c:pt idx="1" c:formatCode="0.00%">
                  <c:v>-0.149</c:v>
                </c:pt>
                <c:pt idx="2" c:formatCode="0.00%">
                  <c:v>0.08</c:v>
                </c:pt>
                <c:pt idx="3" c:formatCode="0.00%">
                  <c:v>0.06</c:v>
                </c:pt>
                <c:pt idx="4" c:formatCode="0.00%">
                  <c:v>0.022</c:v>
                </c:pt>
                <c:pt idx="5" c:formatCode="0.00%">
                  <c:v>0.141</c:v>
                </c:pt>
                <c:pt idx="6" c:formatCode="0.00%">
                  <c:v>0.161</c:v>
                </c:pt>
                <c:pt idx="7" c:formatCode="0.00%">
                  <c:v>0.065</c:v>
                </c:pt>
                <c:pt idx="8" c:formatCode="0.00%">
                  <c:v>0.045</c:v>
                </c:pt>
                <c:pt idx="9" c:formatCode="0.00%">
                  <c:v>0.043</c:v>
                </c:pt>
              </c:numCache>
            </c:numRef>
          </c:val>
          <c:smooth val="0"/>
        </c:ser>
        <c:dLbls>
          <c:showLegendKey val="0"/>
          <c:showVal val="0"/>
          <c:showCatName val="0"/>
          <c:showSerName val="0"/>
          <c:showPercent val="0"/>
          <c:showBubbleSize val="0"/>
        </c:dLbls>
        <c:marker val="0"/>
        <c:smooth val="0"/>
        <c:axId val="259816367"/>
        <c:axId val="259820207"/>
      </c:line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800" b="0" i="0" u="none" strike="noStrike" kern="1200" baseline="0">
                <a:solidFill>
                  <a:srgbClr val="000000"/>
                </a:solidFill>
                <a:latin typeface="+mn-lt"/>
                <a:ea typeface="楷体" panose="02010609060101010101" pitchFamily="49"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800" b="0" i="0" u="none" strike="noStrike" kern="1200" baseline="0">
                <a:solidFill>
                  <a:srgbClr val="000000"/>
                </a:solidFill>
                <a:latin typeface="+mn-lt"/>
                <a:ea typeface="楷体" panose="02010609060101010101" pitchFamily="49" charset="-122"/>
                <a:cs typeface="Times New Roman" panose="02020603050405020304" charset="0"/>
              </a:defRPr>
            </a:pPr>
          </a:p>
        </c:txPr>
        <c:crossAx val="1021593488"/>
        <c:crosses val="autoZero"/>
        <c:crossBetween val="between"/>
      </c:valAx>
      <c:catAx>
        <c:axId val="259816367"/>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800" b="0" i="0" u="none" strike="noStrike" kern="1200" baseline="0">
                <a:solidFill>
                  <a:srgbClr val="000000"/>
                </a:solidFill>
                <a:latin typeface="+mn-lt"/>
                <a:ea typeface="楷体" panose="02010609060101010101" pitchFamily="49" charset="-122"/>
                <a:cs typeface="Times New Roman" panose="02020603050405020304" charset="0"/>
              </a:defRPr>
            </a:pPr>
          </a:p>
        </c:txPr>
        <c:crossAx val="259820207"/>
        <c:crosses val="autoZero"/>
        <c:auto val="1"/>
        <c:lblAlgn val="ctr"/>
        <c:lblOffset val="100"/>
        <c:noMultiLvlLbl val="0"/>
      </c:catAx>
      <c:valAx>
        <c:axId val="259820207"/>
        <c:scaling>
          <c:orientation val="minMax"/>
        </c:scaling>
        <c:delete val="0"/>
        <c:axPos val="r"/>
        <c:numFmt formatCode="0%" sourceLinked="0"/>
        <c:majorTickMark val="out"/>
        <c:minorTickMark val="none"/>
        <c:tickLblPos val="nextTo"/>
        <c:spPr>
          <a:noFill/>
          <a:ln w="6350" cap="flat" cmpd="sng" algn="ctr">
            <a:solidFill>
              <a:schemeClr val="tx1">
                <a:tint val="75000"/>
              </a:schemeClr>
            </a:solidFill>
            <a:prstDash val="solid"/>
            <a:round/>
          </a:ln>
          <a:effectLst/>
        </c:spPr>
        <c:txPr>
          <a:bodyPr rot="-60000000" spcFirstLastPara="1" vertOverflow="ellipsis" vert="horz" wrap="square" anchor="ctr" anchorCtr="1"/>
          <a:lstStyle/>
          <a:p>
            <a:pPr>
              <a:defRPr lang="zh-CN" sz="800" b="0" i="0" u="none" strike="noStrike" kern="1200" baseline="0">
                <a:solidFill>
                  <a:srgbClr val="000000"/>
                </a:solidFill>
                <a:latin typeface="+mn-lt"/>
                <a:ea typeface="楷体" panose="02010609060101010101" pitchFamily="49" charset="-122"/>
                <a:cs typeface="Times New Roman" panose="02020603050405020304" charset="0"/>
              </a:defRPr>
            </a:pPr>
          </a:p>
        </c:txPr>
        <c:crossAx val="259816367"/>
        <c:crosses val="max"/>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800" b="0" i="0" u="none" strike="noStrike" kern="1200" baseline="0">
              <a:solidFill>
                <a:srgbClr val="000000"/>
              </a:solidFill>
              <a:latin typeface="+mn-lt"/>
              <a:ea typeface="楷体" panose="02010609060101010101" pitchFamily="49" charset="-122"/>
              <a:cs typeface="Times New Roman" panose="02020603050405020304" charset="0"/>
            </a:defRPr>
          </a:pPr>
        </a:p>
      </c:txPr>
    </c:legend>
    <c:plotVisOnly val="1"/>
    <c:dispBlanksAs val="gap"/>
    <c:showDLblsOverMax val="0"/>
    <c:extLst>
      <c:ext uri="{0b15fc19-7d7d-44ad-8c2d-2c3a37ce22c3}">
        <chartProps xmlns="https://web.wps.cn/et/2018/main" chartId="{44b2de96-f041-4ad3-b2d6-a1f6770e1231}"/>
      </c:ext>
    </c:extLst>
  </c:chart>
  <c:spPr>
    <a:solidFill>
      <a:srgbClr val="FFFFFF"/>
    </a:solidFill>
    <a:ln w="9525" cap="flat" cmpd="sng" algn="ctr">
      <a:noFill/>
      <a:prstDash val="solid"/>
      <a:round/>
    </a:ln>
    <a:effectLst/>
  </c:spPr>
  <c:txPr>
    <a:bodyPr/>
    <a:lstStyle/>
    <a:p>
      <a:pPr>
        <a:defRPr lang="zh-CN" sz="800" b="0" i="0" u="none" strike="noStrike" baseline="0">
          <a:solidFill>
            <a:srgbClr val="000000"/>
          </a:solidFill>
          <a:latin typeface="+mn-lt"/>
          <a:ea typeface="楷体" panose="02010609060101010101" pitchFamily="49" charset="-122"/>
          <a:cs typeface="Times New Roman" panose="02020603050405020304" charset="0"/>
        </a:defRPr>
      </a:pPr>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stacked"/>
        <c:varyColors val="0"/>
        <c:ser>
          <c:idx val="0"/>
          <c:order val="0"/>
          <c:tx>
            <c:strRef>
              <c:f>'图45-46'!$S$32</c:f>
              <c:strCache>
                <c:ptCount val="1"/>
                <c:pt idx="0">
                  <c:v>世界其他地区</c:v>
                </c:pt>
              </c:strCache>
            </c:strRef>
          </c:tx>
          <c:spPr>
            <a:solidFill>
              <a:schemeClr val="accent1">
                <a:lumMod val="50000"/>
              </a:schemeClr>
            </a:solidFill>
            <a:ln>
              <a:noFill/>
            </a:ln>
            <a:effectLst/>
          </c:spPr>
          <c:invertIfNegative val="0"/>
          <c:dLbls>
            <c:delete val="1"/>
          </c:dLbls>
          <c:cat>
            <c:strRef>
              <c:f>'图45-46'!$R$33:$R$42</c:f>
              <c:strCache>
                <c:ptCount val="10"/>
                <c:pt idx="0">
                  <c:v>2018</c:v>
                </c:pt>
                <c:pt idx="1">
                  <c:v>2019</c:v>
                </c:pt>
                <c:pt idx="2">
                  <c:v>2020</c:v>
                </c:pt>
                <c:pt idx="3">
                  <c:v>2021</c:v>
                </c:pt>
                <c:pt idx="4">
                  <c:v>2022</c:v>
                </c:pt>
                <c:pt idx="5">
                  <c:v>2023</c:v>
                </c:pt>
                <c:pt idx="6">
                  <c:v>2024</c:v>
                </c:pt>
                <c:pt idx="7">
                  <c:v>2025</c:v>
                </c:pt>
                <c:pt idx="8">
                  <c:v>2026E</c:v>
                </c:pt>
                <c:pt idx="9">
                  <c:v>2027E</c:v>
                </c:pt>
              </c:strCache>
            </c:strRef>
          </c:cat>
          <c:val>
            <c:numRef>
              <c:f>'图45-46'!$S$33:$S$42</c:f>
              <c:numCache>
                <c:formatCode>General</c:formatCode>
                <c:ptCount val="10"/>
                <c:pt idx="0">
                  <c:v>1456</c:v>
                </c:pt>
                <c:pt idx="1">
                  <c:v>1686</c:v>
                </c:pt>
                <c:pt idx="2">
                  <c:v>1565</c:v>
                </c:pt>
                <c:pt idx="3">
                  <c:v>1713</c:v>
                </c:pt>
                <c:pt idx="4">
                  <c:v>1870</c:v>
                </c:pt>
                <c:pt idx="5">
                  <c:v>1944</c:v>
                </c:pt>
                <c:pt idx="6">
                  <c:v>2050</c:v>
                </c:pt>
                <c:pt idx="7">
                  <c:v>2190</c:v>
                </c:pt>
                <c:pt idx="8">
                  <c:v>2310</c:v>
                </c:pt>
                <c:pt idx="9">
                  <c:v>2380</c:v>
                </c:pt>
              </c:numCache>
            </c:numRef>
          </c:val>
        </c:ser>
        <c:ser>
          <c:idx val="1"/>
          <c:order val="1"/>
          <c:tx>
            <c:strRef>
              <c:f>'图45-46'!$T$32</c:f>
              <c:strCache>
                <c:ptCount val="1"/>
                <c:pt idx="0">
                  <c:v>亚太地区</c:v>
                </c:pt>
              </c:strCache>
            </c:strRef>
          </c:tx>
          <c:spPr>
            <a:solidFill>
              <a:schemeClr val="accent2"/>
            </a:solidFill>
            <a:ln>
              <a:noFill/>
            </a:ln>
            <a:effectLst/>
          </c:spPr>
          <c:invertIfNegative val="0"/>
          <c:dLbls>
            <c:delete val="1"/>
          </c:dLbls>
          <c:cat>
            <c:strRef>
              <c:f>'图45-46'!$R$33:$R$42</c:f>
              <c:strCache>
                <c:ptCount val="10"/>
                <c:pt idx="0">
                  <c:v>2018</c:v>
                </c:pt>
                <c:pt idx="1">
                  <c:v>2019</c:v>
                </c:pt>
                <c:pt idx="2">
                  <c:v>2020</c:v>
                </c:pt>
                <c:pt idx="3">
                  <c:v>2021</c:v>
                </c:pt>
                <c:pt idx="4">
                  <c:v>2022</c:v>
                </c:pt>
                <c:pt idx="5">
                  <c:v>2023</c:v>
                </c:pt>
                <c:pt idx="6">
                  <c:v>2024</c:v>
                </c:pt>
                <c:pt idx="7">
                  <c:v>2025</c:v>
                </c:pt>
                <c:pt idx="8">
                  <c:v>2026E</c:v>
                </c:pt>
                <c:pt idx="9">
                  <c:v>2027E</c:v>
                </c:pt>
              </c:strCache>
            </c:strRef>
          </c:cat>
          <c:val>
            <c:numRef>
              <c:f>'图45-46'!$T$33:$T$42</c:f>
              <c:numCache>
                <c:formatCode>General</c:formatCode>
                <c:ptCount val="10"/>
                <c:pt idx="0">
                  <c:v>118</c:v>
                </c:pt>
                <c:pt idx="1">
                  <c:v>133</c:v>
                </c:pt>
                <c:pt idx="2">
                  <c:v>110</c:v>
                </c:pt>
                <c:pt idx="3">
                  <c:v>131</c:v>
                </c:pt>
                <c:pt idx="4">
                  <c:v>114</c:v>
                </c:pt>
                <c:pt idx="5">
                  <c:v>145</c:v>
                </c:pt>
                <c:pt idx="6">
                  <c:v>320</c:v>
                </c:pt>
                <c:pt idx="7">
                  <c:v>355</c:v>
                </c:pt>
                <c:pt idx="8">
                  <c:v>375</c:v>
                </c:pt>
                <c:pt idx="9">
                  <c:v>390</c:v>
                </c:pt>
              </c:numCache>
            </c:numRef>
          </c:val>
        </c:ser>
        <c:ser>
          <c:idx val="2"/>
          <c:order val="2"/>
          <c:tx>
            <c:strRef>
              <c:f>'图45-46'!$U$32</c:f>
              <c:strCache>
                <c:ptCount val="1"/>
                <c:pt idx="0">
                  <c:v>欧洲</c:v>
                </c:pt>
              </c:strCache>
            </c:strRef>
          </c:tx>
          <c:spPr>
            <a:solidFill>
              <a:schemeClr val="accent3"/>
            </a:solidFill>
            <a:ln>
              <a:noFill/>
            </a:ln>
            <a:effectLst/>
          </c:spPr>
          <c:invertIfNegative val="0"/>
          <c:dLbls>
            <c:delete val="1"/>
          </c:dLbls>
          <c:cat>
            <c:strRef>
              <c:f>'图45-46'!$R$33:$R$42</c:f>
              <c:strCache>
                <c:ptCount val="10"/>
                <c:pt idx="0">
                  <c:v>2018</c:v>
                </c:pt>
                <c:pt idx="1">
                  <c:v>2019</c:v>
                </c:pt>
                <c:pt idx="2">
                  <c:v>2020</c:v>
                </c:pt>
                <c:pt idx="3">
                  <c:v>2021</c:v>
                </c:pt>
                <c:pt idx="4">
                  <c:v>2022</c:v>
                </c:pt>
                <c:pt idx="5">
                  <c:v>2023</c:v>
                </c:pt>
                <c:pt idx="6">
                  <c:v>2024</c:v>
                </c:pt>
                <c:pt idx="7">
                  <c:v>2025</c:v>
                </c:pt>
                <c:pt idx="8">
                  <c:v>2026E</c:v>
                </c:pt>
                <c:pt idx="9">
                  <c:v>2027E</c:v>
                </c:pt>
              </c:strCache>
            </c:strRef>
          </c:cat>
          <c:val>
            <c:numRef>
              <c:f>'图45-46'!$U$33:$U$42</c:f>
              <c:numCache>
                <c:formatCode>General</c:formatCode>
                <c:ptCount val="10"/>
                <c:pt idx="0">
                  <c:v>188</c:v>
                </c:pt>
                <c:pt idx="1">
                  <c:v>194</c:v>
                </c:pt>
                <c:pt idx="2">
                  <c:v>125</c:v>
                </c:pt>
                <c:pt idx="3">
                  <c:v>166</c:v>
                </c:pt>
                <c:pt idx="4">
                  <c:v>237</c:v>
                </c:pt>
                <c:pt idx="5">
                  <c:v>237</c:v>
                </c:pt>
                <c:pt idx="6">
                  <c:v>280</c:v>
                </c:pt>
                <c:pt idx="7">
                  <c:v>341</c:v>
                </c:pt>
                <c:pt idx="8">
                  <c:v>360</c:v>
                </c:pt>
                <c:pt idx="9">
                  <c:v>370</c:v>
                </c:pt>
              </c:numCache>
            </c:numRef>
          </c:val>
        </c:ser>
        <c:ser>
          <c:idx val="3"/>
          <c:order val="3"/>
          <c:tx>
            <c:strRef>
              <c:f>'图45-46'!$V$32</c:f>
              <c:strCache>
                <c:ptCount val="1"/>
                <c:pt idx="0">
                  <c:v>拉丁美洲</c:v>
                </c:pt>
              </c:strCache>
            </c:strRef>
          </c:tx>
          <c:spPr>
            <a:solidFill>
              <a:schemeClr val="tx2">
                <a:lumMod val="20000"/>
                <a:lumOff val="80000"/>
              </a:schemeClr>
            </a:solidFill>
            <a:ln>
              <a:noFill/>
            </a:ln>
            <a:effectLst/>
          </c:spPr>
          <c:invertIfNegative val="0"/>
          <c:dLbls>
            <c:delete val="1"/>
          </c:dLbls>
          <c:cat>
            <c:strRef>
              <c:f>'图45-46'!$R$33:$R$42</c:f>
              <c:strCache>
                <c:ptCount val="10"/>
                <c:pt idx="0">
                  <c:v>2018</c:v>
                </c:pt>
                <c:pt idx="1">
                  <c:v>2019</c:v>
                </c:pt>
                <c:pt idx="2">
                  <c:v>2020</c:v>
                </c:pt>
                <c:pt idx="3">
                  <c:v>2021</c:v>
                </c:pt>
                <c:pt idx="4">
                  <c:v>2022</c:v>
                </c:pt>
                <c:pt idx="5">
                  <c:v>2023</c:v>
                </c:pt>
                <c:pt idx="6">
                  <c:v>2024</c:v>
                </c:pt>
                <c:pt idx="7">
                  <c:v>2025</c:v>
                </c:pt>
                <c:pt idx="8">
                  <c:v>2026E</c:v>
                </c:pt>
                <c:pt idx="9">
                  <c:v>2027E</c:v>
                </c:pt>
              </c:strCache>
            </c:strRef>
          </c:cat>
          <c:val>
            <c:numRef>
              <c:f>'图45-46'!$V$33:$V$42</c:f>
              <c:numCache>
                <c:formatCode>General</c:formatCode>
                <c:ptCount val="10"/>
                <c:pt idx="0">
                  <c:v>309</c:v>
                </c:pt>
                <c:pt idx="1">
                  <c:v>331</c:v>
                </c:pt>
                <c:pt idx="2">
                  <c:v>309</c:v>
                </c:pt>
                <c:pt idx="3">
                  <c:v>355</c:v>
                </c:pt>
                <c:pt idx="4">
                  <c:v>358</c:v>
                </c:pt>
                <c:pt idx="5">
                  <c:v>302</c:v>
                </c:pt>
                <c:pt idx="6">
                  <c:v>320</c:v>
                </c:pt>
                <c:pt idx="7">
                  <c:v>206</c:v>
                </c:pt>
                <c:pt idx="8">
                  <c:v>220</c:v>
                </c:pt>
                <c:pt idx="9">
                  <c:v>230</c:v>
                </c:pt>
              </c:numCache>
            </c:numRef>
          </c:val>
        </c:ser>
        <c:ser>
          <c:idx val="4"/>
          <c:order val="4"/>
          <c:tx>
            <c:strRef>
              <c:f>'图45-46'!$W$32</c:f>
              <c:strCache>
                <c:ptCount val="1"/>
                <c:pt idx="0">
                  <c:v>北美洲</c:v>
                </c:pt>
              </c:strCache>
            </c:strRef>
          </c:tx>
          <c:spPr>
            <a:solidFill>
              <a:schemeClr val="accent5"/>
            </a:solidFill>
            <a:ln>
              <a:noFill/>
            </a:ln>
            <a:effectLst/>
          </c:spPr>
          <c:invertIfNegative val="0"/>
          <c:dLbls>
            <c:delete val="1"/>
          </c:dLbls>
          <c:cat>
            <c:strRef>
              <c:f>'图45-46'!$R$33:$R$42</c:f>
              <c:strCache>
                <c:ptCount val="10"/>
                <c:pt idx="0">
                  <c:v>2018</c:v>
                </c:pt>
                <c:pt idx="1">
                  <c:v>2019</c:v>
                </c:pt>
                <c:pt idx="2">
                  <c:v>2020</c:v>
                </c:pt>
                <c:pt idx="3">
                  <c:v>2021</c:v>
                </c:pt>
                <c:pt idx="4">
                  <c:v>2022</c:v>
                </c:pt>
                <c:pt idx="5">
                  <c:v>2023</c:v>
                </c:pt>
                <c:pt idx="6">
                  <c:v>2024</c:v>
                </c:pt>
                <c:pt idx="7">
                  <c:v>2025</c:v>
                </c:pt>
                <c:pt idx="8">
                  <c:v>2026E</c:v>
                </c:pt>
                <c:pt idx="9">
                  <c:v>2027E</c:v>
                </c:pt>
              </c:strCache>
            </c:strRef>
          </c:cat>
          <c:val>
            <c:numRef>
              <c:f>'图45-46'!$W$33:$W$42</c:f>
              <c:numCache>
                <c:formatCode>General</c:formatCode>
                <c:ptCount val="10"/>
                <c:pt idx="0">
                  <c:v>371</c:v>
                </c:pt>
                <c:pt idx="1">
                  <c:v>311</c:v>
                </c:pt>
                <c:pt idx="2">
                  <c:v>299</c:v>
                </c:pt>
                <c:pt idx="3">
                  <c:v>453</c:v>
                </c:pt>
                <c:pt idx="4">
                  <c:v>471</c:v>
                </c:pt>
                <c:pt idx="5">
                  <c:v>441</c:v>
                </c:pt>
                <c:pt idx="6">
                  <c:v>192</c:v>
                </c:pt>
                <c:pt idx="7">
                  <c:v>138</c:v>
                </c:pt>
                <c:pt idx="8">
                  <c:v>145</c:v>
                </c:pt>
                <c:pt idx="9">
                  <c:v>150</c:v>
                </c:pt>
              </c:numCache>
            </c:numRef>
          </c:val>
        </c:ser>
        <c:dLbls>
          <c:showLegendKey val="0"/>
          <c:showVal val="0"/>
          <c:showCatName val="0"/>
          <c:showSerName val="0"/>
          <c:showPercent val="0"/>
          <c:showBubbleSize val="0"/>
        </c:dLbls>
        <c:gapWidth val="150"/>
        <c:overlap val="100"/>
        <c:axId val="1119398399"/>
        <c:axId val="1119398879"/>
      </c:barChart>
      <c:catAx>
        <c:axId val="111939839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楷体" panose="02010609060101010101" pitchFamily="49" charset="-122"/>
                <a:cs typeface="+mn-cs"/>
              </a:defRPr>
            </a:pPr>
          </a:p>
        </c:txPr>
        <c:crossAx val="1119398879"/>
        <c:crosses val="autoZero"/>
        <c:auto val="1"/>
        <c:lblAlgn val="ctr"/>
        <c:lblOffset val="100"/>
        <c:noMultiLvlLbl val="0"/>
      </c:catAx>
      <c:valAx>
        <c:axId val="1119398879"/>
        <c:scaling>
          <c:orientation val="minMax"/>
        </c:scaling>
        <c:delete val="0"/>
        <c:axPos val="l"/>
        <c:majorGridlines>
          <c:spPr>
            <a:ln w="9525" cap="flat" cmpd="sng" algn="ctr">
              <a:solidFill>
                <a:schemeClr val="tx1">
                  <a:lumMod val="15000"/>
                  <a:lumOff val="85000"/>
                </a:schemeClr>
              </a:solidFill>
              <a:round/>
            </a:ln>
            <a:effectLst/>
          </c:spPr>
        </c:majorGridlines>
        <c:numFmt formatCode="#,##0_);[Red]\(#,##0\)" sourceLinked="0"/>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楷体" panose="02010609060101010101" pitchFamily="49" charset="-122"/>
                <a:cs typeface="+mn-cs"/>
              </a:defRPr>
            </a:pPr>
          </a:p>
        </c:txPr>
        <c:crossAx val="1119398399"/>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ysClr val="windowText" lastClr="000000"/>
              </a:solidFill>
              <a:latin typeface="+mn-lt"/>
              <a:ea typeface="楷体" panose="02010609060101010101" pitchFamily="49" charset="-122"/>
              <a:cs typeface="+mn-cs"/>
            </a:defRPr>
          </a:pPr>
        </a:p>
      </c:txPr>
    </c:legend>
    <c:plotVisOnly val="1"/>
    <c:dispBlanksAs val="gap"/>
    <c:showDLblsOverMax val="0"/>
    <c:extLst>
      <c:ext uri="{0b15fc19-7d7d-44ad-8c2d-2c3a37ce22c3}">
        <chartProps xmlns="https://web.wps.cn/et/2018/main" chartId="{96c3575c-f839-4b1a-b5db-e547ad2f07e2}"/>
      </c:ext>
    </c:extLst>
  </c:chart>
  <c:spPr>
    <a:solidFill>
      <a:schemeClr val="bg1"/>
    </a:solidFill>
    <a:ln w="9525" cap="flat" cmpd="sng" algn="ctr">
      <a:noFill/>
      <a:round/>
    </a:ln>
    <a:effectLst/>
  </c:spPr>
  <c:txPr>
    <a:bodyPr/>
    <a:lstStyle/>
    <a:p>
      <a:pPr>
        <a:defRPr lang="zh-CN">
          <a:solidFill>
            <a:sysClr val="windowText" lastClr="000000"/>
          </a:solidFill>
          <a:latin typeface="+mn-lt"/>
          <a:ea typeface="楷体" panose="02010609060101010101" pitchFamily="49" charset="-122"/>
        </a:defRPr>
      </a:pPr>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436053162677375"/>
          <c:y val="0.182435918914391"/>
          <c:w val="0.956394683732263"/>
          <c:h val="0.735308694923773"/>
        </c:manualLayout>
      </c:layout>
      <c:barChart>
        <c:barDir val="col"/>
        <c:grouping val="percentStacked"/>
        <c:varyColors val="0"/>
        <c:ser>
          <c:idx val="0"/>
          <c:order val="0"/>
          <c:tx>
            <c:strRef>
              <c:f>活塞式飞机市场份额图!$B$205</c:f>
              <c:strCache>
                <c:ptCount val="1"/>
                <c:pt idx="0">
                  <c:v>Textron Aviation (Beechcraft)</c:v>
                </c:pt>
              </c:strCache>
            </c:strRef>
          </c:tx>
          <c:spPr>
            <a:solidFill>
              <a:schemeClr val="accent1"/>
            </a:solidFill>
            <a:ln>
              <a:solidFill>
                <a:schemeClr val="bg1"/>
              </a:solidFill>
            </a:ln>
            <a:effectLst/>
          </c:spPr>
          <c:invertIfNegative val="0"/>
          <c:dLbls>
            <c:delete val="1"/>
          </c:dLbls>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活塞式飞机市场份额图!$C$205:$AB$205</c:f>
              <c:numCache>
                <c:formatCode>General</c:formatCode>
                <c:ptCount val="26"/>
                <c:pt idx="0">
                  <c:v>153</c:v>
                </c:pt>
                <c:pt idx="1">
                  <c:v>136</c:v>
                </c:pt>
                <c:pt idx="2">
                  <c:v>83</c:v>
                </c:pt>
                <c:pt idx="3">
                  <c:v>82</c:v>
                </c:pt>
                <c:pt idx="4">
                  <c:v>93</c:v>
                </c:pt>
                <c:pt idx="5">
                  <c:v>99</c:v>
                </c:pt>
                <c:pt idx="6">
                  <c:v>118</c:v>
                </c:pt>
                <c:pt idx="7">
                  <c:v>111</c:v>
                </c:pt>
                <c:pt idx="8">
                  <c:v>103</c:v>
                </c:pt>
                <c:pt idx="9">
                  <c:v>56</c:v>
                </c:pt>
                <c:pt idx="10">
                  <c:v>51</c:v>
                </c:pt>
                <c:pt idx="11">
                  <c:v>54</c:v>
                </c:pt>
                <c:pt idx="12">
                  <c:v>36</c:v>
                </c:pt>
                <c:pt idx="13">
                  <c:v>70</c:v>
                </c:pt>
                <c:pt idx="14">
                  <c:v>72</c:v>
                </c:pt>
                <c:pt idx="15">
                  <c:v>41</c:v>
                </c:pt>
                <c:pt idx="16">
                  <c:v>45</c:v>
                </c:pt>
                <c:pt idx="17">
                  <c:v>36</c:v>
                </c:pt>
                <c:pt idx="18">
                  <c:v>34</c:v>
                </c:pt>
                <c:pt idx="19">
                  <c:v>22</c:v>
                </c:pt>
                <c:pt idx="20">
                  <c:v>20</c:v>
                </c:pt>
                <c:pt idx="21">
                  <c:v>0</c:v>
                </c:pt>
                <c:pt idx="22">
                  <c:v>3</c:v>
                </c:pt>
                <c:pt idx="23">
                  <c:v>10</c:v>
                </c:pt>
                <c:pt idx="24">
                  <c:v>7</c:v>
                </c:pt>
                <c:pt idx="25">
                  <c:v>5</c:v>
                </c:pt>
              </c:numCache>
            </c:numRef>
          </c:val>
        </c:ser>
        <c:ser>
          <c:idx val="1"/>
          <c:order val="1"/>
          <c:tx>
            <c:strRef>
              <c:f>活塞式飞机市场份额图!$B$206</c:f>
              <c:strCache>
                <c:ptCount val="1"/>
                <c:pt idx="0">
                  <c:v>Textron Aviation (Cessna Aircraft)</c:v>
                </c:pt>
              </c:strCache>
            </c:strRef>
          </c:tx>
          <c:spPr>
            <a:solidFill>
              <a:schemeClr val="accent2"/>
            </a:solidFill>
            <a:ln>
              <a:solidFill>
                <a:schemeClr val="bg1"/>
              </a:solidFill>
            </a:ln>
            <a:effectLst/>
          </c:spPr>
          <c:invertIfNegative val="0"/>
          <c:dLbls>
            <c:delete val="1"/>
          </c:dLbls>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活塞式飞机市场份额图!$C$206:$AB$206</c:f>
              <c:numCache>
                <c:formatCode>General</c:formatCode>
                <c:ptCount val="26"/>
                <c:pt idx="0">
                  <c:v>912</c:v>
                </c:pt>
                <c:pt idx="1">
                  <c:v>821</c:v>
                </c:pt>
                <c:pt idx="2">
                  <c:v>559</c:v>
                </c:pt>
                <c:pt idx="3">
                  <c:v>588</c:v>
                </c:pt>
                <c:pt idx="4">
                  <c:v>654</c:v>
                </c:pt>
                <c:pt idx="5">
                  <c:v>822</c:v>
                </c:pt>
                <c:pt idx="6">
                  <c:v>865</c:v>
                </c:pt>
                <c:pt idx="7">
                  <c:v>807</c:v>
                </c:pt>
                <c:pt idx="8">
                  <c:v>733</c:v>
                </c:pt>
                <c:pt idx="9">
                  <c:v>355</c:v>
                </c:pt>
                <c:pt idx="10">
                  <c:v>261</c:v>
                </c:pt>
                <c:pt idx="11">
                  <c:v>413</c:v>
                </c:pt>
                <c:pt idx="12">
                  <c:v>283</c:v>
                </c:pt>
                <c:pt idx="13">
                  <c:v>206</c:v>
                </c:pt>
                <c:pt idx="14">
                  <c:v>220</c:v>
                </c:pt>
                <c:pt idx="15">
                  <c:v>271</c:v>
                </c:pt>
                <c:pt idx="16">
                  <c:v>217</c:v>
                </c:pt>
                <c:pt idx="17">
                  <c:v>238</c:v>
                </c:pt>
                <c:pt idx="18">
                  <c:v>193</c:v>
                </c:pt>
                <c:pt idx="19">
                  <c:v>196</c:v>
                </c:pt>
                <c:pt idx="20">
                  <c:v>294</c:v>
                </c:pt>
                <c:pt idx="21">
                  <c:v>254</c:v>
                </c:pt>
                <c:pt idx="22">
                  <c:v>241</c:v>
                </c:pt>
                <c:pt idx="23">
                  <c:v>287</c:v>
                </c:pt>
                <c:pt idx="24">
                  <c:v>274</c:v>
                </c:pt>
                <c:pt idx="25">
                  <c:v>311</c:v>
                </c:pt>
              </c:numCache>
            </c:numRef>
          </c:val>
        </c:ser>
        <c:ser>
          <c:idx val="2"/>
          <c:order val="2"/>
          <c:tx>
            <c:strRef>
              <c:f>活塞式飞机市场份额图!$B$207</c:f>
              <c:strCache>
                <c:ptCount val="1"/>
                <c:pt idx="0">
                  <c:v>TECNAM Aircraft</c:v>
                </c:pt>
              </c:strCache>
            </c:strRef>
          </c:tx>
          <c:spPr>
            <a:solidFill>
              <a:schemeClr val="accent3"/>
            </a:solidFill>
            <a:ln>
              <a:solidFill>
                <a:schemeClr val="bg1"/>
              </a:solidFill>
            </a:ln>
            <a:effectLst/>
          </c:spPr>
          <c:invertIfNegative val="0"/>
          <c:dLbls>
            <c:delete val="1"/>
          </c:dLbls>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活塞式飞机市场份额图!$C$207:$AB$207</c:f>
              <c:numCache>
                <c:formatCode>General</c:formatCode>
                <c:ptCount val="26"/>
                <c:pt idx="13">
                  <c:v>197</c:v>
                </c:pt>
                <c:pt idx="14">
                  <c:v>190</c:v>
                </c:pt>
                <c:pt idx="15">
                  <c:v>191</c:v>
                </c:pt>
                <c:pt idx="16">
                  <c:v>191</c:v>
                </c:pt>
                <c:pt idx="17">
                  <c:v>171</c:v>
                </c:pt>
                <c:pt idx="18">
                  <c:v>180</c:v>
                </c:pt>
                <c:pt idx="19">
                  <c:v>205</c:v>
                </c:pt>
                <c:pt idx="20">
                  <c:v>154</c:v>
                </c:pt>
                <c:pt idx="21">
                  <c:v>203</c:v>
                </c:pt>
                <c:pt idx="22">
                  <c:v>209</c:v>
                </c:pt>
                <c:pt idx="23">
                  <c:v>244</c:v>
                </c:pt>
                <c:pt idx="24">
                  <c:v>283</c:v>
                </c:pt>
                <c:pt idx="25">
                  <c:v>216</c:v>
                </c:pt>
              </c:numCache>
            </c:numRef>
          </c:val>
        </c:ser>
        <c:ser>
          <c:idx val="3"/>
          <c:order val="3"/>
          <c:tx>
            <c:strRef>
              <c:f>活塞式飞机市场份额图!$B$208</c:f>
              <c:strCache>
                <c:ptCount val="1"/>
                <c:pt idx="0">
                  <c:v>Pipistrel by Textron Aviation</c:v>
                </c:pt>
              </c:strCache>
            </c:strRef>
          </c:tx>
          <c:spPr>
            <a:solidFill>
              <a:schemeClr val="accent4"/>
            </a:solidFill>
            <a:ln>
              <a:solidFill>
                <a:schemeClr val="bg1"/>
              </a:solidFill>
            </a:ln>
            <a:effectLst/>
          </c:spPr>
          <c:invertIfNegative val="0"/>
          <c:dLbls>
            <c:delete val="1"/>
          </c:dLbls>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活塞式飞机市场份额图!$C$208:$AB$208</c:f>
              <c:numCache>
                <c:formatCode>General</c:formatCode>
                <c:ptCount val="26"/>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19</c:v>
                </c:pt>
                <c:pt idx="18">
                  <c:v>22</c:v>
                </c:pt>
                <c:pt idx="19">
                  <c:v>24</c:v>
                </c:pt>
                <c:pt idx="20">
                  <c:v>30</c:v>
                </c:pt>
                <c:pt idx="21">
                  <c:v>74</c:v>
                </c:pt>
                <c:pt idx="22">
                  <c:v>66</c:v>
                </c:pt>
                <c:pt idx="23">
                  <c:v>112</c:v>
                </c:pt>
                <c:pt idx="24">
                  <c:v>91</c:v>
                </c:pt>
                <c:pt idx="25">
                  <c:v>53</c:v>
                </c:pt>
              </c:numCache>
            </c:numRef>
          </c:val>
        </c:ser>
        <c:ser>
          <c:idx val="4"/>
          <c:order val="4"/>
          <c:tx>
            <c:strRef>
              <c:f>活塞式飞机市场份额图!$B$209</c:f>
              <c:strCache>
                <c:ptCount val="1"/>
                <c:pt idx="0">
                  <c:v>Piper Aircraft, Inc.</c:v>
                </c:pt>
              </c:strCache>
            </c:strRef>
          </c:tx>
          <c:spPr>
            <a:solidFill>
              <a:schemeClr val="accent5"/>
            </a:solidFill>
            <a:ln>
              <a:solidFill>
                <a:schemeClr val="bg1"/>
              </a:solidFill>
            </a:ln>
            <a:effectLst/>
          </c:spPr>
          <c:invertIfNegative val="0"/>
          <c:dLbls>
            <c:delete val="1"/>
          </c:dLbls>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活塞式飞机市场份额图!$C$209:$AB$209</c:f>
              <c:numCache>
                <c:formatCode>General</c:formatCode>
                <c:ptCount val="26"/>
                <c:pt idx="0">
                  <c:v>377</c:v>
                </c:pt>
                <c:pt idx="1">
                  <c:v>343</c:v>
                </c:pt>
                <c:pt idx="2">
                  <c:v>265</c:v>
                </c:pt>
                <c:pt idx="3">
                  <c:v>205</c:v>
                </c:pt>
                <c:pt idx="4">
                  <c:v>163</c:v>
                </c:pt>
                <c:pt idx="5">
                  <c:v>193</c:v>
                </c:pt>
                <c:pt idx="6">
                  <c:v>189</c:v>
                </c:pt>
                <c:pt idx="7">
                  <c:v>168</c:v>
                </c:pt>
                <c:pt idx="8">
                  <c:v>216</c:v>
                </c:pt>
                <c:pt idx="9">
                  <c:v>61</c:v>
                </c:pt>
                <c:pt idx="10">
                  <c:v>135</c:v>
                </c:pt>
                <c:pt idx="11">
                  <c:v>104</c:v>
                </c:pt>
                <c:pt idx="12">
                  <c:v>126</c:v>
                </c:pt>
                <c:pt idx="13">
                  <c:v>154</c:v>
                </c:pt>
                <c:pt idx="14">
                  <c:v>136</c:v>
                </c:pt>
                <c:pt idx="15">
                  <c:v>111</c:v>
                </c:pt>
                <c:pt idx="16">
                  <c:v>93</c:v>
                </c:pt>
                <c:pt idx="17">
                  <c:v>108</c:v>
                </c:pt>
                <c:pt idx="18">
                  <c:v>173</c:v>
                </c:pt>
                <c:pt idx="19">
                  <c:v>246</c:v>
                </c:pt>
                <c:pt idx="20">
                  <c:v>201</c:v>
                </c:pt>
                <c:pt idx="21">
                  <c:v>161</c:v>
                </c:pt>
                <c:pt idx="22">
                  <c:v>186</c:v>
                </c:pt>
                <c:pt idx="23">
                  <c:v>185</c:v>
                </c:pt>
                <c:pt idx="24">
                  <c:v>229</c:v>
                </c:pt>
                <c:pt idx="25">
                  <c:v>203</c:v>
                </c:pt>
              </c:numCache>
            </c:numRef>
          </c:val>
        </c:ser>
        <c:ser>
          <c:idx val="5"/>
          <c:order val="5"/>
          <c:tx>
            <c:strRef>
              <c:f>活塞式飞机市场份额图!$B$210</c:f>
              <c:strCache>
                <c:ptCount val="1"/>
                <c:pt idx="0">
                  <c:v>Mooney International Corporation</c:v>
                </c:pt>
              </c:strCache>
            </c:strRef>
          </c:tx>
          <c:spPr>
            <a:solidFill>
              <a:schemeClr val="accent6"/>
            </a:solidFill>
            <a:ln>
              <a:solidFill>
                <a:schemeClr val="bg1"/>
              </a:solidFill>
            </a:ln>
            <a:effectLst/>
          </c:spPr>
          <c:invertIfNegative val="0"/>
          <c:dLbls>
            <c:delete val="1"/>
          </c:dLbls>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活塞式飞机市场份额图!$C$210:$AB$210</c:f>
              <c:numCache>
                <c:formatCode>General</c:formatCode>
                <c:ptCount val="26"/>
                <c:pt idx="0">
                  <c:v>100</c:v>
                </c:pt>
                <c:pt idx="1">
                  <c:v>29</c:v>
                </c:pt>
                <c:pt idx="2">
                  <c:v>10</c:v>
                </c:pt>
                <c:pt idx="3">
                  <c:v>36</c:v>
                </c:pt>
                <c:pt idx="4">
                  <c:v>37</c:v>
                </c:pt>
                <c:pt idx="5">
                  <c:v>85</c:v>
                </c:pt>
                <c:pt idx="6">
                  <c:v>75</c:v>
                </c:pt>
                <c:pt idx="7">
                  <c:v>79</c:v>
                </c:pt>
                <c:pt idx="8">
                  <c:v>65</c:v>
                </c:pt>
                <c:pt idx="9">
                  <c:v>19</c:v>
                </c:pt>
                <c:pt idx="10">
                  <c:v>2</c:v>
                </c:pt>
                <c:pt idx="11">
                  <c:v>0</c:v>
                </c:pt>
                <c:pt idx="12">
                  <c:v>0</c:v>
                </c:pt>
                <c:pt idx="13">
                  <c:v>0</c:v>
                </c:pt>
                <c:pt idx="14">
                  <c:v>1</c:v>
                </c:pt>
                <c:pt idx="15">
                  <c:v>11</c:v>
                </c:pt>
                <c:pt idx="16">
                  <c:v>7</c:v>
                </c:pt>
                <c:pt idx="17">
                  <c:v>7</c:v>
                </c:pt>
                <c:pt idx="18">
                  <c:v>14</c:v>
                </c:pt>
                <c:pt idx="19">
                  <c:v>9</c:v>
                </c:pt>
                <c:pt idx="20">
                  <c:v>0</c:v>
                </c:pt>
                <c:pt idx="21">
                  <c:v>0</c:v>
                </c:pt>
                <c:pt idx="22">
                  <c:v>0</c:v>
                </c:pt>
                <c:pt idx="23">
                  <c:v>0</c:v>
                </c:pt>
                <c:pt idx="24">
                  <c:v>0</c:v>
                </c:pt>
                <c:pt idx="25">
                  <c:v>0</c:v>
                </c:pt>
              </c:numCache>
            </c:numRef>
          </c:val>
        </c:ser>
        <c:ser>
          <c:idx val="6"/>
          <c:order val="6"/>
          <c:tx>
            <c:strRef>
              <c:f>活塞式飞机市场份额图!$B$211</c:f>
              <c:strCache>
                <c:ptCount val="1"/>
                <c:pt idx="0">
                  <c:v>Diamond Aircraft</c:v>
                </c:pt>
              </c:strCache>
            </c:strRef>
          </c:tx>
          <c:spPr>
            <a:solidFill>
              <a:schemeClr val="accent1">
                <a:lumMod val="60000"/>
              </a:schemeClr>
            </a:solidFill>
            <a:ln>
              <a:solidFill>
                <a:schemeClr val="bg1"/>
              </a:solidFill>
            </a:ln>
            <a:effectLst/>
          </c:spPr>
          <c:invertIfNegative val="0"/>
          <c:dLbls>
            <c:delete val="1"/>
          </c:dLbls>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活塞式飞机市场份额图!$C$211:$AB$211</c:f>
              <c:numCache>
                <c:formatCode>General</c:formatCode>
                <c:ptCount val="26"/>
                <c:pt idx="0">
                  <c:v>0</c:v>
                </c:pt>
                <c:pt idx="1">
                  <c:v>0</c:v>
                </c:pt>
                <c:pt idx="2">
                  <c:v>0</c:v>
                </c:pt>
                <c:pt idx="3">
                  <c:v>228</c:v>
                </c:pt>
                <c:pt idx="4">
                  <c:v>261</c:v>
                </c:pt>
                <c:pt idx="5">
                  <c:v>329</c:v>
                </c:pt>
                <c:pt idx="6">
                  <c:v>438</c:v>
                </c:pt>
                <c:pt idx="7">
                  <c:v>471</c:v>
                </c:pt>
                <c:pt idx="8">
                  <c:v>308</c:v>
                </c:pt>
                <c:pt idx="9">
                  <c:v>163</c:v>
                </c:pt>
                <c:pt idx="10">
                  <c:v>130</c:v>
                </c:pt>
                <c:pt idx="11">
                  <c:v>185</c:v>
                </c:pt>
                <c:pt idx="12">
                  <c:v>156</c:v>
                </c:pt>
                <c:pt idx="13">
                  <c:v>139</c:v>
                </c:pt>
                <c:pt idx="14">
                  <c:v>202</c:v>
                </c:pt>
                <c:pt idx="15">
                  <c:v>144</c:v>
                </c:pt>
                <c:pt idx="16">
                  <c:v>132</c:v>
                </c:pt>
                <c:pt idx="17">
                  <c:v>137</c:v>
                </c:pt>
                <c:pt idx="18">
                  <c:v>134</c:v>
                </c:pt>
                <c:pt idx="19">
                  <c:v>233</c:v>
                </c:pt>
                <c:pt idx="20">
                  <c:v>239</c:v>
                </c:pt>
                <c:pt idx="21">
                  <c:v>240</c:v>
                </c:pt>
                <c:pt idx="22">
                  <c:v>239</c:v>
                </c:pt>
                <c:pt idx="23">
                  <c:v>273</c:v>
                </c:pt>
                <c:pt idx="24">
                  <c:v>252</c:v>
                </c:pt>
                <c:pt idx="25">
                  <c:v>235</c:v>
                </c:pt>
              </c:numCache>
            </c:numRef>
          </c:val>
        </c:ser>
        <c:ser>
          <c:idx val="7"/>
          <c:order val="7"/>
          <c:tx>
            <c:strRef>
              <c:f>活塞式飞机市场份额图!$B$212</c:f>
              <c:strCache>
                <c:ptCount val="1"/>
                <c:pt idx="0">
                  <c:v>CubCrafters</c:v>
                </c:pt>
              </c:strCache>
            </c:strRef>
          </c:tx>
          <c:spPr>
            <a:solidFill>
              <a:schemeClr val="accent2">
                <a:lumMod val="60000"/>
              </a:schemeClr>
            </a:solidFill>
            <a:ln>
              <a:solidFill>
                <a:schemeClr val="bg1"/>
              </a:solidFill>
            </a:ln>
            <a:effectLst/>
          </c:spPr>
          <c:invertIfNegative val="0"/>
          <c:dLbls>
            <c:delete val="1"/>
          </c:dLbls>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活塞式飞机市场份额图!$C$212:$AB$212</c:f>
              <c:numCache>
                <c:formatCode>General</c:formatCode>
                <c:ptCount val="26"/>
                <c:pt idx="0">
                  <c:v>0</c:v>
                </c:pt>
                <c:pt idx="1">
                  <c:v>0</c:v>
                </c:pt>
                <c:pt idx="2">
                  <c:v>0</c:v>
                </c:pt>
                <c:pt idx="3">
                  <c:v>0</c:v>
                </c:pt>
                <c:pt idx="11">
                  <c:v>47</c:v>
                </c:pt>
                <c:pt idx="12">
                  <c:v>58</c:v>
                </c:pt>
                <c:pt idx="13">
                  <c:v>63</c:v>
                </c:pt>
                <c:pt idx="14">
                  <c:v>60</c:v>
                </c:pt>
                <c:pt idx="15">
                  <c:v>52</c:v>
                </c:pt>
                <c:pt idx="16">
                  <c:v>34</c:v>
                </c:pt>
                <c:pt idx="17">
                  <c:v>27</c:v>
                </c:pt>
                <c:pt idx="18">
                  <c:v>19</c:v>
                </c:pt>
                <c:pt idx="19">
                  <c:v>16</c:v>
                </c:pt>
                <c:pt idx="20">
                  <c:v>9</c:v>
                </c:pt>
                <c:pt idx="21">
                  <c:v>50</c:v>
                </c:pt>
                <c:pt idx="22">
                  <c:v>67</c:v>
                </c:pt>
                <c:pt idx="23">
                  <c:v>69</c:v>
                </c:pt>
                <c:pt idx="24">
                  <c:v>87</c:v>
                </c:pt>
                <c:pt idx="25">
                  <c:v>73</c:v>
                </c:pt>
              </c:numCache>
            </c:numRef>
          </c:val>
        </c:ser>
        <c:ser>
          <c:idx val="8"/>
          <c:order val="8"/>
          <c:tx>
            <c:strRef>
              <c:f>活塞式飞机市场份额图!$B$213</c:f>
              <c:strCache>
                <c:ptCount val="1"/>
                <c:pt idx="0">
                  <c:v>Columbia Aircraft (prev. Lancair)</c:v>
                </c:pt>
              </c:strCache>
            </c:strRef>
          </c:tx>
          <c:spPr>
            <a:solidFill>
              <a:schemeClr val="accent3">
                <a:lumMod val="60000"/>
              </a:schemeClr>
            </a:solidFill>
            <a:ln>
              <a:solidFill>
                <a:schemeClr val="bg1"/>
              </a:solidFill>
            </a:ln>
            <a:effectLst/>
          </c:spPr>
          <c:invertIfNegative val="0"/>
          <c:dLbls>
            <c:delete val="1"/>
          </c:dLbls>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活塞式飞机市场份额图!$C$213:$AB$213</c:f>
              <c:numCache>
                <c:formatCode>General</c:formatCode>
                <c:ptCount val="26"/>
                <c:pt idx="0">
                  <c:v>5</c:v>
                </c:pt>
                <c:pt idx="1">
                  <c:v>27</c:v>
                </c:pt>
                <c:pt idx="2">
                  <c:v>24</c:v>
                </c:pt>
                <c:pt idx="3">
                  <c:v>51</c:v>
                </c:pt>
                <c:pt idx="4">
                  <c:v>78</c:v>
                </c:pt>
                <c:pt idx="5">
                  <c:v>114</c:v>
                </c:pt>
                <c:pt idx="6">
                  <c:v>185</c:v>
                </c:pt>
                <c:pt idx="7">
                  <c:v>152</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numCache>
            </c:numRef>
          </c:val>
        </c:ser>
        <c:ser>
          <c:idx val="9"/>
          <c:order val="9"/>
          <c:tx>
            <c:strRef>
              <c:f>活塞式飞机市场份额图!$B$214</c:f>
              <c:strCache>
                <c:ptCount val="1"/>
                <c:pt idx="0">
                  <c:v>Cirrus Aircraft</c:v>
                </c:pt>
              </c:strCache>
            </c:strRef>
          </c:tx>
          <c:spPr>
            <a:solidFill>
              <a:schemeClr val="accent4">
                <a:lumMod val="60000"/>
              </a:schemeClr>
            </a:solidFill>
            <a:ln>
              <a:solidFill>
                <a:schemeClr val="bg1"/>
              </a:solidFill>
            </a:ln>
            <a:effectLst/>
          </c:spPr>
          <c:invertIfNegative val="0"/>
          <c:dLbls>
            <c:delete val="1"/>
          </c:dLbls>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活塞式飞机市场份额图!$C$214:$AB$214</c:f>
              <c:numCache>
                <c:formatCode>General</c:formatCode>
                <c:ptCount val="26"/>
                <c:pt idx="0">
                  <c:v>95</c:v>
                </c:pt>
                <c:pt idx="1">
                  <c:v>183</c:v>
                </c:pt>
                <c:pt idx="2">
                  <c:v>397</c:v>
                </c:pt>
                <c:pt idx="3">
                  <c:v>469</c:v>
                </c:pt>
                <c:pt idx="4">
                  <c:v>553</c:v>
                </c:pt>
                <c:pt idx="5">
                  <c:v>600</c:v>
                </c:pt>
                <c:pt idx="6">
                  <c:v>721</c:v>
                </c:pt>
                <c:pt idx="7">
                  <c:v>710</c:v>
                </c:pt>
                <c:pt idx="8">
                  <c:v>549</c:v>
                </c:pt>
                <c:pt idx="9">
                  <c:v>266</c:v>
                </c:pt>
                <c:pt idx="10">
                  <c:v>264</c:v>
                </c:pt>
                <c:pt idx="11">
                  <c:v>255</c:v>
                </c:pt>
                <c:pt idx="12">
                  <c:v>253</c:v>
                </c:pt>
                <c:pt idx="13">
                  <c:v>276</c:v>
                </c:pt>
                <c:pt idx="14">
                  <c:v>308</c:v>
                </c:pt>
                <c:pt idx="15">
                  <c:v>301</c:v>
                </c:pt>
                <c:pt idx="16">
                  <c:v>317</c:v>
                </c:pt>
                <c:pt idx="17">
                  <c:v>355</c:v>
                </c:pt>
                <c:pt idx="18">
                  <c:v>380</c:v>
                </c:pt>
                <c:pt idx="19">
                  <c:v>384</c:v>
                </c:pt>
                <c:pt idx="20">
                  <c:v>347</c:v>
                </c:pt>
                <c:pt idx="21">
                  <c:v>442</c:v>
                </c:pt>
                <c:pt idx="22">
                  <c:v>539</c:v>
                </c:pt>
                <c:pt idx="23">
                  <c:v>612</c:v>
                </c:pt>
                <c:pt idx="24">
                  <c:v>630</c:v>
                </c:pt>
                <c:pt idx="25">
                  <c:v>691</c:v>
                </c:pt>
              </c:numCache>
            </c:numRef>
          </c:val>
        </c:ser>
        <c:ser>
          <c:idx val="10"/>
          <c:order val="10"/>
          <c:tx>
            <c:strRef>
              <c:f>活塞式飞机市场份额图!$B$215</c:f>
              <c:strCache>
                <c:ptCount val="1"/>
                <c:pt idx="0">
                  <c:v>Others</c:v>
                </c:pt>
              </c:strCache>
            </c:strRef>
          </c:tx>
          <c:spPr>
            <a:solidFill>
              <a:schemeClr val="accent5">
                <a:lumMod val="60000"/>
              </a:schemeClr>
            </a:solidFill>
            <a:ln>
              <a:solidFill>
                <a:schemeClr val="bg1"/>
              </a:solidFill>
            </a:ln>
            <a:effectLst/>
          </c:spPr>
          <c:invertIfNegative val="0"/>
          <c:dLbls>
            <c:delete val="1"/>
          </c:dLbls>
          <c:cat>
            <c:numRef>
              <c:f>活塞式飞机市场份额图!$C$204:$AB$204</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活塞式飞机市场份额图!$C$215:$AB$215</c:f>
              <c:numCache>
                <c:formatCode>_(* #,##0_);_(* \(#,##0\);_(* "-"??_);_(@_)</c:formatCode>
                <c:ptCount val="26"/>
                <c:pt idx="0">
                  <c:v>271</c:v>
                </c:pt>
                <c:pt idx="1">
                  <c:v>251</c:v>
                </c:pt>
                <c:pt idx="2">
                  <c:v>238</c:v>
                </c:pt>
                <c:pt idx="3">
                  <c:v>237</c:v>
                </c:pt>
                <c:pt idx="4">
                  <c:v>212</c:v>
                </c:pt>
                <c:pt idx="5">
                  <c:v>223</c:v>
                </c:pt>
                <c:pt idx="6">
                  <c:v>164</c:v>
                </c:pt>
                <c:pt idx="7">
                  <c:v>177</c:v>
                </c:pt>
                <c:pt idx="8">
                  <c:v>145</c:v>
                </c:pt>
                <c:pt idx="9">
                  <c:v>57</c:v>
                </c:pt>
                <c:pt idx="10">
                  <c:v>69</c:v>
                </c:pt>
                <c:pt idx="11">
                  <c:v>149</c:v>
                </c:pt>
                <c:pt idx="12">
                  <c:v>160</c:v>
                </c:pt>
                <c:pt idx="13">
                  <c:v>177</c:v>
                </c:pt>
                <c:pt idx="14">
                  <c:v>189</c:v>
                </c:pt>
                <c:pt idx="15">
                  <c:v>143</c:v>
                </c:pt>
                <c:pt idx="16">
                  <c:v>119</c:v>
                </c:pt>
                <c:pt idx="17">
                  <c:v>120</c:v>
                </c:pt>
                <c:pt idx="18">
                  <c:v>154</c:v>
                </c:pt>
                <c:pt idx="19">
                  <c:v>186</c:v>
                </c:pt>
                <c:pt idx="20">
                  <c:v>148</c:v>
                </c:pt>
                <c:pt idx="21">
                  <c:v>153</c:v>
                </c:pt>
                <c:pt idx="22">
                  <c:v>170</c:v>
                </c:pt>
                <c:pt idx="23">
                  <c:v>141</c:v>
                </c:pt>
                <c:pt idx="24">
                  <c:v>119</c:v>
                </c:pt>
                <c:pt idx="25" c:formatCode="General">
                  <c:v>71</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crossAx val="412992478"/>
        <c:crosses val="autoZero"/>
        <c:crossBetween val="between"/>
      </c:valAx>
      <c:spPr>
        <a:noFill/>
        <a:ln>
          <a:noFill/>
        </a:ln>
        <a:effectLst/>
      </c:spPr>
    </c:plotArea>
    <c:legend>
      <c:legendPos val="t"/>
      <c:layout>
        <c:manualLayout>
          <c:xMode val="edge"/>
          <c:yMode val="edge"/>
          <c:x val="0.014795265276748"/>
          <c:y val="0.0291616038882139"/>
          <c:w val="0.985204734723252"/>
          <c:h val="0.138734991054429"/>
        </c:manualLayout>
      </c:layout>
      <c:overlay val="0"/>
      <c:spPr>
        <a:noFill/>
        <a:ln>
          <a:noFill/>
        </a:ln>
        <a:effectLst/>
      </c:spPr>
      <c:txPr>
        <a:bodyPr rot="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legend>
    <c:plotVisOnly val="1"/>
    <c:dispBlanksAs val="gap"/>
    <c:showDLblsOverMax val="0"/>
    <c:extLst>
      <c:ext uri="{0b15fc19-7d7d-44ad-8c2d-2c3a37ce22c3}">
        <chartProps xmlns="https://web.wps.cn/et/2018/main" chartId="{24180db2-9ddf-410a-b5d5-5430d8ddccfa}"/>
      </c:ext>
    </c:extLst>
  </c:chart>
  <c:spPr>
    <a:solidFill>
      <a:schemeClr val="bg1"/>
    </a:solidFill>
    <a:ln w="9525" cap="flat" cmpd="sng" algn="ctr">
      <a:noFill/>
      <a:round/>
    </a:ln>
    <a:effectLst/>
  </c:spPr>
  <c:txPr>
    <a:bodyPr/>
    <a:lstStyle/>
    <a:p>
      <a:pPr>
        <a:defRPr lang="zh-CN" sz="600" baseline="0">
          <a:solidFill>
            <a:sysClr val="windowText" lastClr="000000"/>
          </a:solidFill>
        </a:defRPr>
      </a:pPr>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250521139292582"/>
          <c:w val="0.931162239562145"/>
          <c:h val="0.619563915385425"/>
        </c:manualLayout>
      </c:layout>
      <c:barChart>
        <c:barDir val="col"/>
        <c:grouping val="percentStacked"/>
        <c:varyColors val="0"/>
        <c:ser>
          <c:idx val="0"/>
          <c:order val="0"/>
          <c:tx>
            <c:strRef>
              <c:f>喷气式飞机市场份额图!$B$144</c:f>
              <c:strCache>
                <c:ptCount val="1"/>
                <c:pt idx="0">
                  <c:v>Textron Aviation (Beechcraft)</c:v>
                </c:pt>
              </c:strCache>
            </c:strRef>
          </c:tx>
          <c:spPr>
            <a:solidFill>
              <a:srgbClr val="C00000"/>
            </a:solidFill>
            <a:ln>
              <a:noFill/>
            </a:ln>
            <a:effectLst/>
          </c:spPr>
          <c:invertIfNegative val="0"/>
          <c:dLbls>
            <c:delete val="1"/>
          </c:dLbls>
          <c:cat>
            <c:numRef>
              <c:f>喷气式飞机市场份额图!$C$143:$AB$143</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喷气式飞机市场份额图!$C$144:$AB$144</c:f>
              <c:numCache>
                <c:formatCode>General</c:formatCode>
                <c:ptCount val="26"/>
                <c:pt idx="0">
                  <c:v>118</c:v>
                </c:pt>
                <c:pt idx="1">
                  <c:v>98</c:v>
                </c:pt>
                <c:pt idx="2">
                  <c:v>94</c:v>
                </c:pt>
                <c:pt idx="3">
                  <c:v>100</c:v>
                </c:pt>
                <c:pt idx="4">
                  <c:v>115</c:v>
                </c:pt>
                <c:pt idx="5">
                  <c:v>141</c:v>
                </c:pt>
                <c:pt idx="6">
                  <c:v>140</c:v>
                </c:pt>
                <c:pt idx="7">
                  <c:v>162</c:v>
                </c:pt>
                <c:pt idx="8">
                  <c:v>160</c:v>
                </c:pt>
                <c:pt idx="9">
                  <c:v>98</c:v>
                </c:pt>
                <c:pt idx="10">
                  <c:v>73</c:v>
                </c:pt>
                <c:pt idx="11">
                  <c:v>52</c:v>
                </c:pt>
                <c:pt idx="12">
                  <c:v>32</c:v>
                </c:pt>
                <c:pt idx="13">
                  <c:v>6</c:v>
                </c:pt>
                <c:pt idx="14">
                  <c:v>0</c:v>
                </c:pt>
                <c:pt idx="15">
                  <c:v>0</c:v>
                </c:pt>
                <c:pt idx="16">
                  <c:v>0</c:v>
                </c:pt>
                <c:pt idx="17">
                  <c:v>0</c:v>
                </c:pt>
                <c:pt idx="18">
                  <c:v>0</c:v>
                </c:pt>
                <c:pt idx="19">
                  <c:v>0</c:v>
                </c:pt>
                <c:pt idx="20">
                  <c:v>0</c:v>
                </c:pt>
                <c:pt idx="21">
                  <c:v>0</c:v>
                </c:pt>
                <c:pt idx="22">
                  <c:v>0</c:v>
                </c:pt>
                <c:pt idx="23">
                  <c:v>0</c:v>
                </c:pt>
                <c:pt idx="24">
                  <c:v>0</c:v>
                </c:pt>
                <c:pt idx="25">
                  <c:v>0</c:v>
                </c:pt>
              </c:numCache>
            </c:numRef>
          </c:val>
        </c:ser>
        <c:ser>
          <c:idx val="1"/>
          <c:order val="1"/>
          <c:tx>
            <c:strRef>
              <c:f>喷气式飞机市场份额图!$B$145</c:f>
              <c:strCache>
                <c:ptCount val="1"/>
                <c:pt idx="0">
                  <c:v>Textron Aviation (Cessna Aircraft)</c:v>
                </c:pt>
              </c:strCache>
            </c:strRef>
          </c:tx>
          <c:spPr>
            <a:solidFill>
              <a:srgbClr val="666666"/>
            </a:solidFill>
            <a:ln>
              <a:noFill/>
            </a:ln>
            <a:effectLst/>
          </c:spPr>
          <c:invertIfNegative val="0"/>
          <c:dLbls>
            <c:delete val="1"/>
          </c:dLbls>
          <c:cat>
            <c:numRef>
              <c:f>喷气式飞机市场份额图!$C$143:$AB$143</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喷气式飞机市场份额图!$C$145:$AB$145</c:f>
              <c:numCache>
                <c:formatCode>General</c:formatCode>
                <c:ptCount val="26"/>
                <c:pt idx="0">
                  <c:v>252</c:v>
                </c:pt>
                <c:pt idx="1">
                  <c:v>306</c:v>
                </c:pt>
                <c:pt idx="2">
                  <c:v>305</c:v>
                </c:pt>
                <c:pt idx="3">
                  <c:v>196</c:v>
                </c:pt>
                <c:pt idx="4">
                  <c:v>181</c:v>
                </c:pt>
                <c:pt idx="5">
                  <c:v>247</c:v>
                </c:pt>
                <c:pt idx="6">
                  <c:v>307</c:v>
                </c:pt>
                <c:pt idx="7">
                  <c:v>388</c:v>
                </c:pt>
                <c:pt idx="8">
                  <c:v>466</c:v>
                </c:pt>
                <c:pt idx="9">
                  <c:v>289</c:v>
                </c:pt>
                <c:pt idx="10">
                  <c:v>178</c:v>
                </c:pt>
                <c:pt idx="11">
                  <c:v>183</c:v>
                </c:pt>
                <c:pt idx="12">
                  <c:v>181</c:v>
                </c:pt>
                <c:pt idx="13">
                  <c:v>139</c:v>
                </c:pt>
                <c:pt idx="14">
                  <c:v>159</c:v>
                </c:pt>
                <c:pt idx="15">
                  <c:v>166</c:v>
                </c:pt>
                <c:pt idx="16">
                  <c:v>178</c:v>
                </c:pt>
                <c:pt idx="17">
                  <c:v>180</c:v>
                </c:pt>
                <c:pt idx="18">
                  <c:v>188</c:v>
                </c:pt>
                <c:pt idx="19">
                  <c:v>206</c:v>
                </c:pt>
                <c:pt idx="20">
                  <c:v>132</c:v>
                </c:pt>
                <c:pt idx="21">
                  <c:v>167</c:v>
                </c:pt>
                <c:pt idx="22">
                  <c:v>178</c:v>
                </c:pt>
                <c:pt idx="23">
                  <c:v>168</c:v>
                </c:pt>
                <c:pt idx="24">
                  <c:v>151</c:v>
                </c:pt>
                <c:pt idx="25">
                  <c:v>171</c:v>
                </c:pt>
              </c:numCache>
            </c:numRef>
          </c:val>
        </c:ser>
        <c:ser>
          <c:idx val="2"/>
          <c:order val="2"/>
          <c:tx>
            <c:strRef>
              <c:f>喷气式飞机市场份额图!$B$146</c:f>
              <c:strCache>
                <c:ptCount val="1"/>
                <c:pt idx="0">
                  <c:v>ONE Aviation Corp. (prev. Eclipse Aero)</c:v>
                </c:pt>
              </c:strCache>
            </c:strRef>
          </c:tx>
          <c:spPr>
            <a:solidFill>
              <a:srgbClr val="E6B9B8"/>
            </a:solidFill>
            <a:ln w="9525" cap="flat" cmpd="sng">
              <a:noFill/>
              <a:prstDash val="solid"/>
            </a:ln>
            <a:effectLst/>
            <a:sp3d contourW="9525"/>
          </c:spPr>
          <c:invertIfNegative val="0"/>
          <c:dLbls>
            <c:delete val="1"/>
          </c:dLbls>
          <c:cat>
            <c:numRef>
              <c:f>喷气式飞机市场份额图!$C$143:$AB$143</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喷气式飞机市场份额图!$C$146:$AB$146</c:f>
              <c:numCache>
                <c:formatCode>General</c:formatCode>
                <c:ptCount val="26"/>
                <c:pt idx="0">
                  <c:v>0</c:v>
                </c:pt>
                <c:pt idx="1">
                  <c:v>0</c:v>
                </c:pt>
                <c:pt idx="2">
                  <c:v>0</c:v>
                </c:pt>
                <c:pt idx="3">
                  <c:v>0</c:v>
                </c:pt>
                <c:pt idx="4">
                  <c:v>0</c:v>
                </c:pt>
                <c:pt idx="5">
                  <c:v>0</c:v>
                </c:pt>
                <c:pt idx="6">
                  <c:v>1</c:v>
                </c:pt>
                <c:pt idx="7">
                  <c:v>98</c:v>
                </c:pt>
                <c:pt idx="8">
                  <c:v>161</c:v>
                </c:pt>
                <c:pt idx="9">
                  <c:v>0</c:v>
                </c:pt>
                <c:pt idx="10">
                  <c:v>0</c:v>
                </c:pt>
                <c:pt idx="11">
                  <c:v>0</c:v>
                </c:pt>
                <c:pt idx="12">
                  <c:v>0</c:v>
                </c:pt>
                <c:pt idx="13">
                  <c:v>0</c:v>
                </c:pt>
                <c:pt idx="14">
                  <c:v>12</c:v>
                </c:pt>
                <c:pt idx="15">
                  <c:v>7</c:v>
                </c:pt>
                <c:pt idx="16">
                  <c:v>8</c:v>
                </c:pt>
                <c:pt idx="17">
                  <c:v>6</c:v>
                </c:pt>
                <c:pt idx="18">
                  <c:v>0</c:v>
                </c:pt>
                <c:pt idx="19">
                  <c:v>0</c:v>
                </c:pt>
                <c:pt idx="20">
                  <c:v>0</c:v>
                </c:pt>
                <c:pt idx="21">
                  <c:v>0</c:v>
                </c:pt>
                <c:pt idx="22">
                  <c:v>0</c:v>
                </c:pt>
                <c:pt idx="23">
                  <c:v>2</c:v>
                </c:pt>
                <c:pt idx="24">
                  <c:v>0</c:v>
                </c:pt>
                <c:pt idx="25">
                  <c:v>0</c:v>
                </c:pt>
              </c:numCache>
            </c:numRef>
          </c:val>
        </c:ser>
        <c:ser>
          <c:idx val="3"/>
          <c:order val="3"/>
          <c:tx>
            <c:strRef>
              <c:f>喷气式飞机市场份额图!$B$147</c:f>
              <c:strCache>
                <c:ptCount val="1"/>
                <c:pt idx="0">
                  <c:v>Gulfstream Aerospace Corporation</c:v>
                </c:pt>
              </c:strCache>
            </c:strRef>
          </c:tx>
          <c:spPr>
            <a:solidFill>
              <a:srgbClr val="999999"/>
            </a:solidFill>
            <a:ln>
              <a:noFill/>
            </a:ln>
            <a:effectLst/>
          </c:spPr>
          <c:invertIfNegative val="0"/>
          <c:dLbls>
            <c:delete val="1"/>
          </c:dLbls>
          <c:cat>
            <c:numRef>
              <c:f>喷气式飞机市场份额图!$C$143:$AB$143</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喷气式飞机市场份额图!$C$147:$AB$147</c:f>
              <c:numCache>
                <c:formatCode>General</c:formatCode>
                <c:ptCount val="26"/>
                <c:pt idx="0">
                  <c:v>88</c:v>
                </c:pt>
                <c:pt idx="1">
                  <c:v>101</c:v>
                </c:pt>
                <c:pt idx="2">
                  <c:v>85</c:v>
                </c:pt>
                <c:pt idx="3">
                  <c:v>74</c:v>
                </c:pt>
                <c:pt idx="4">
                  <c:v>78</c:v>
                </c:pt>
                <c:pt idx="5">
                  <c:v>89</c:v>
                </c:pt>
                <c:pt idx="6">
                  <c:v>113</c:v>
                </c:pt>
                <c:pt idx="7">
                  <c:v>138</c:v>
                </c:pt>
                <c:pt idx="8">
                  <c:v>156</c:v>
                </c:pt>
                <c:pt idx="9">
                  <c:v>94</c:v>
                </c:pt>
                <c:pt idx="10">
                  <c:v>99</c:v>
                </c:pt>
                <c:pt idx="11">
                  <c:v>99</c:v>
                </c:pt>
                <c:pt idx="12">
                  <c:v>94</c:v>
                </c:pt>
                <c:pt idx="13">
                  <c:v>144</c:v>
                </c:pt>
                <c:pt idx="14">
                  <c:v>150</c:v>
                </c:pt>
                <c:pt idx="15">
                  <c:v>154</c:v>
                </c:pt>
                <c:pt idx="16">
                  <c:v>121</c:v>
                </c:pt>
                <c:pt idx="17">
                  <c:v>120</c:v>
                </c:pt>
                <c:pt idx="18">
                  <c:v>121</c:v>
                </c:pt>
                <c:pt idx="19">
                  <c:v>147</c:v>
                </c:pt>
                <c:pt idx="20">
                  <c:v>127</c:v>
                </c:pt>
                <c:pt idx="21">
                  <c:v>119</c:v>
                </c:pt>
                <c:pt idx="22">
                  <c:v>120</c:v>
                </c:pt>
                <c:pt idx="23">
                  <c:v>111</c:v>
                </c:pt>
                <c:pt idx="24">
                  <c:v>136</c:v>
                </c:pt>
                <c:pt idx="25">
                  <c:v>158</c:v>
                </c:pt>
              </c:numCache>
            </c:numRef>
          </c:val>
        </c:ser>
        <c:ser>
          <c:idx val="4"/>
          <c:order val="4"/>
          <c:tx>
            <c:strRef>
              <c:f>喷气式飞机市场份额图!$B$148</c:f>
              <c:strCache>
                <c:ptCount val="1"/>
                <c:pt idx="0">
                  <c:v>Embraer</c:v>
                </c:pt>
              </c:strCache>
            </c:strRef>
          </c:tx>
          <c:spPr>
            <a:solidFill>
              <a:srgbClr val="996633"/>
            </a:solidFill>
            <a:ln>
              <a:noFill/>
            </a:ln>
            <a:effectLst/>
          </c:spPr>
          <c:invertIfNegative val="0"/>
          <c:dLbls>
            <c:delete val="1"/>
          </c:dLbls>
          <c:cat>
            <c:numRef>
              <c:f>喷气式飞机市场份额图!$C$143:$AB$143</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喷气式飞机市场份额图!$C$148:$AB$148</c:f>
              <c:numCache>
                <c:formatCode>General</c:formatCode>
                <c:ptCount val="26"/>
                <c:pt idx="0">
                  <c:v>0</c:v>
                </c:pt>
                <c:pt idx="1">
                  <c:v>0</c:v>
                </c:pt>
                <c:pt idx="2">
                  <c:v>8</c:v>
                </c:pt>
                <c:pt idx="3">
                  <c:v>13</c:v>
                </c:pt>
                <c:pt idx="4">
                  <c:v>13</c:v>
                </c:pt>
                <c:pt idx="5">
                  <c:v>20</c:v>
                </c:pt>
                <c:pt idx="6">
                  <c:v>27</c:v>
                </c:pt>
                <c:pt idx="7">
                  <c:v>36</c:v>
                </c:pt>
                <c:pt idx="8">
                  <c:v>38</c:v>
                </c:pt>
                <c:pt idx="9">
                  <c:v>122</c:v>
                </c:pt>
                <c:pt idx="10">
                  <c:v>145</c:v>
                </c:pt>
                <c:pt idx="11">
                  <c:v>99</c:v>
                </c:pt>
                <c:pt idx="12">
                  <c:v>99</c:v>
                </c:pt>
                <c:pt idx="13">
                  <c:v>119</c:v>
                </c:pt>
                <c:pt idx="14">
                  <c:v>116</c:v>
                </c:pt>
                <c:pt idx="15">
                  <c:v>120</c:v>
                </c:pt>
                <c:pt idx="16">
                  <c:v>117</c:v>
                </c:pt>
                <c:pt idx="17">
                  <c:v>109</c:v>
                </c:pt>
                <c:pt idx="18">
                  <c:v>91</c:v>
                </c:pt>
                <c:pt idx="19">
                  <c:v>109</c:v>
                </c:pt>
                <c:pt idx="20">
                  <c:v>86</c:v>
                </c:pt>
                <c:pt idx="21">
                  <c:v>93</c:v>
                </c:pt>
                <c:pt idx="22">
                  <c:v>102</c:v>
                </c:pt>
                <c:pt idx="23">
                  <c:v>115</c:v>
                </c:pt>
                <c:pt idx="24">
                  <c:v>130</c:v>
                </c:pt>
                <c:pt idx="25">
                  <c:v>155</c:v>
                </c:pt>
              </c:numCache>
            </c:numRef>
          </c:val>
        </c:ser>
        <c:ser>
          <c:idx val="5"/>
          <c:order val="5"/>
          <c:tx>
            <c:strRef>
              <c:f>喷气式飞机市场份额图!$B$149</c:f>
              <c:strCache>
                <c:ptCount val="1"/>
                <c:pt idx="0">
                  <c:v>Dassault Aviation</c:v>
                </c:pt>
              </c:strCache>
            </c:strRef>
          </c:tx>
          <c:spPr>
            <a:solidFill>
              <a:srgbClr val="E7D6B5"/>
            </a:solidFill>
            <a:ln>
              <a:noFill/>
            </a:ln>
            <a:effectLst/>
          </c:spPr>
          <c:invertIfNegative val="0"/>
          <c:dLbls>
            <c:delete val="1"/>
          </c:dLbls>
          <c:cat>
            <c:numRef>
              <c:f>喷气式飞机市场份额图!$C$143:$AB$143</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喷气式飞机市场份额图!$C$149:$AB$149</c:f>
              <c:numCache>
                <c:formatCode>General</c:formatCode>
                <c:ptCount val="26"/>
                <c:pt idx="0">
                  <c:v>73</c:v>
                </c:pt>
                <c:pt idx="1">
                  <c:v>75</c:v>
                </c:pt>
                <c:pt idx="2">
                  <c:v>66</c:v>
                </c:pt>
                <c:pt idx="3">
                  <c:v>49</c:v>
                </c:pt>
                <c:pt idx="4">
                  <c:v>63</c:v>
                </c:pt>
                <c:pt idx="5">
                  <c:v>51</c:v>
                </c:pt>
                <c:pt idx="6">
                  <c:v>61</c:v>
                </c:pt>
                <c:pt idx="7">
                  <c:v>70</c:v>
                </c:pt>
                <c:pt idx="8">
                  <c:v>72</c:v>
                </c:pt>
                <c:pt idx="9">
                  <c:v>77</c:v>
                </c:pt>
                <c:pt idx="10">
                  <c:v>95</c:v>
                </c:pt>
                <c:pt idx="11">
                  <c:v>63</c:v>
                </c:pt>
                <c:pt idx="12">
                  <c:v>66</c:v>
                </c:pt>
                <c:pt idx="13">
                  <c:v>77</c:v>
                </c:pt>
                <c:pt idx="14">
                  <c:v>66</c:v>
                </c:pt>
                <c:pt idx="15">
                  <c:v>55</c:v>
                </c:pt>
                <c:pt idx="16">
                  <c:v>49</c:v>
                </c:pt>
                <c:pt idx="17">
                  <c:v>49</c:v>
                </c:pt>
                <c:pt idx="18">
                  <c:v>41</c:v>
                </c:pt>
                <c:pt idx="19">
                  <c:v>40</c:v>
                </c:pt>
                <c:pt idx="20">
                  <c:v>34</c:v>
                </c:pt>
                <c:pt idx="21">
                  <c:v>30</c:v>
                </c:pt>
                <c:pt idx="22">
                  <c:v>32</c:v>
                </c:pt>
                <c:pt idx="23">
                  <c:v>26</c:v>
                </c:pt>
                <c:pt idx="24">
                  <c:v>31</c:v>
                </c:pt>
                <c:pt idx="25">
                  <c:v>37</c:v>
                </c:pt>
              </c:numCache>
            </c:numRef>
          </c:val>
        </c:ser>
        <c:ser>
          <c:idx val="6"/>
          <c:order val="6"/>
          <c:tx>
            <c:strRef>
              <c:f>喷气式飞机市场份额图!$B$150</c:f>
              <c:strCache>
                <c:ptCount val="1"/>
                <c:pt idx="0">
                  <c:v>Cirrus Aircraft</c:v>
                </c:pt>
              </c:strCache>
            </c:strRef>
          </c:tx>
          <c:spPr>
            <a:solidFill>
              <a:schemeClr val="accent4">
                <a:lumMod val="75000"/>
              </a:schemeClr>
            </a:solidFill>
            <a:ln>
              <a:noFill/>
            </a:ln>
            <a:effectLst/>
          </c:spPr>
          <c:invertIfNegative val="0"/>
          <c:dLbls>
            <c:delete val="1"/>
          </c:dLbls>
          <c:cat>
            <c:numRef>
              <c:f>喷气式飞机市场份额图!$C$143:$AB$143</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喷气式飞机市场份额图!$C$150:$AB$150</c:f>
              <c:numCache>
                <c:formatCode>General</c:formatCode>
                <c:ptCount val="26"/>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3</c:v>
                </c:pt>
                <c:pt idx="17">
                  <c:v>22</c:v>
                </c:pt>
                <c:pt idx="18">
                  <c:v>63</c:v>
                </c:pt>
                <c:pt idx="19">
                  <c:v>81</c:v>
                </c:pt>
                <c:pt idx="20">
                  <c:v>73</c:v>
                </c:pt>
                <c:pt idx="21">
                  <c:v>86</c:v>
                </c:pt>
                <c:pt idx="22">
                  <c:v>90</c:v>
                </c:pt>
                <c:pt idx="23">
                  <c:v>96</c:v>
                </c:pt>
                <c:pt idx="24">
                  <c:v>101</c:v>
                </c:pt>
                <c:pt idx="25">
                  <c:v>106</c:v>
                </c:pt>
              </c:numCache>
            </c:numRef>
          </c:val>
        </c:ser>
        <c:ser>
          <c:idx val="7"/>
          <c:order val="7"/>
          <c:tx>
            <c:strRef>
              <c:f>喷气式飞机市场份额图!$B$151</c:f>
              <c:strCache>
                <c:ptCount val="1"/>
                <c:pt idx="0">
                  <c:v>Bombardier</c:v>
                </c:pt>
              </c:strCache>
            </c:strRef>
          </c:tx>
          <c:spPr>
            <a:solidFill>
              <a:schemeClr val="accent3">
                <a:lumMod val="60000"/>
                <a:lumOff val="40000"/>
              </a:schemeClr>
            </a:solidFill>
            <a:ln>
              <a:noFill/>
            </a:ln>
            <a:effectLst/>
          </c:spPr>
          <c:invertIfNegative val="0"/>
          <c:dLbls>
            <c:delete val="1"/>
          </c:dLbls>
          <c:cat>
            <c:numRef>
              <c:f>喷气式飞机市场份额图!$C$143:$AB$143</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喷气式飞机市场份额图!$C$151:$AB$151</c:f>
              <c:numCache>
                <c:formatCode>General</c:formatCode>
                <c:ptCount val="26"/>
                <c:pt idx="0">
                  <c:v>207</c:v>
                </c:pt>
                <c:pt idx="1">
                  <c:v>179</c:v>
                </c:pt>
                <c:pt idx="2">
                  <c:v>101</c:v>
                </c:pt>
                <c:pt idx="3">
                  <c:v>70</c:v>
                </c:pt>
                <c:pt idx="4">
                  <c:v>129</c:v>
                </c:pt>
                <c:pt idx="5">
                  <c:v>188</c:v>
                </c:pt>
                <c:pt idx="6">
                  <c:v>213</c:v>
                </c:pt>
                <c:pt idx="7">
                  <c:v>224</c:v>
                </c:pt>
                <c:pt idx="8">
                  <c:v>247</c:v>
                </c:pt>
                <c:pt idx="9">
                  <c:v>173</c:v>
                </c:pt>
                <c:pt idx="10">
                  <c:v>150</c:v>
                </c:pt>
                <c:pt idx="11">
                  <c:v>182</c:v>
                </c:pt>
                <c:pt idx="12">
                  <c:v>179</c:v>
                </c:pt>
                <c:pt idx="13">
                  <c:v>180</c:v>
                </c:pt>
                <c:pt idx="14">
                  <c:v>204</c:v>
                </c:pt>
                <c:pt idx="15">
                  <c:v>199</c:v>
                </c:pt>
                <c:pt idx="16">
                  <c:v>162</c:v>
                </c:pt>
                <c:pt idx="17">
                  <c:v>138</c:v>
                </c:pt>
                <c:pt idx="18">
                  <c:v>137</c:v>
                </c:pt>
                <c:pt idx="19">
                  <c:v>142</c:v>
                </c:pt>
                <c:pt idx="20">
                  <c:v>114</c:v>
                </c:pt>
                <c:pt idx="21">
                  <c:v>120</c:v>
                </c:pt>
                <c:pt idx="22">
                  <c:v>123</c:v>
                </c:pt>
                <c:pt idx="23">
                  <c:v>138</c:v>
                </c:pt>
                <c:pt idx="24">
                  <c:v>146</c:v>
                </c:pt>
                <c:pt idx="25">
                  <c:v>157</c:v>
                </c:pt>
              </c:numCache>
            </c:numRef>
          </c:val>
        </c:ser>
        <c:ser>
          <c:idx val="8"/>
          <c:order val="8"/>
          <c:tx>
            <c:strRef>
              <c:f>喷气式飞机市场份额图!$B$152</c:f>
              <c:strCache>
                <c:ptCount val="1"/>
                <c:pt idx="0">
                  <c:v>Others</c:v>
                </c:pt>
              </c:strCache>
            </c:strRef>
          </c:tx>
          <c:spPr>
            <a:solidFill>
              <a:schemeClr val="accent3">
                <a:lumMod val="60000"/>
              </a:schemeClr>
            </a:solidFill>
            <a:ln>
              <a:solidFill>
                <a:schemeClr val="bg1"/>
              </a:solidFill>
            </a:ln>
            <a:effectLst/>
          </c:spPr>
          <c:invertIfNegative val="0"/>
          <c:dLbls>
            <c:delete val="1"/>
          </c:dLbls>
          <c:cat>
            <c:numRef>
              <c:f>喷气式飞机市场份额图!$C$143:$AB$143</c:f>
              <c:numCache>
                <c:formatCode>General</c:formatCode>
                <c:ptCount val="26"/>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pt idx="25">
                  <c:v>2025</c:v>
                </c:pt>
              </c:numCache>
            </c:numRef>
          </c:cat>
          <c:val>
            <c:numRef>
              <c:f>喷气式飞机市场份额图!$C$152:$AB$152</c:f>
              <c:numCache>
                <c:formatCode>_(* #,##0_);_(* \(#,##0\);_(* "-"??_);_(@_)</c:formatCode>
                <c:ptCount val="26"/>
                <c:pt idx="0">
                  <c:v>132</c:v>
                </c:pt>
                <c:pt idx="1">
                  <c:v>123</c:v>
                </c:pt>
                <c:pt idx="2">
                  <c:v>111</c:v>
                </c:pt>
                <c:pt idx="3">
                  <c:v>116</c:v>
                </c:pt>
                <c:pt idx="4">
                  <c:v>127</c:v>
                </c:pt>
                <c:pt idx="5">
                  <c:v>155</c:v>
                </c:pt>
                <c:pt idx="6">
                  <c:v>165</c:v>
                </c:pt>
                <c:pt idx="7">
                  <c:v>183</c:v>
                </c:pt>
                <c:pt idx="8">
                  <c:v>177</c:v>
                </c:pt>
                <c:pt idx="9">
                  <c:v>119</c:v>
                </c:pt>
                <c:pt idx="10">
                  <c:v>100</c:v>
                </c:pt>
                <c:pt idx="11">
                  <c:v>70</c:v>
                </c:pt>
                <c:pt idx="12">
                  <c:v>53</c:v>
                </c:pt>
                <c:pt idx="13">
                  <c:v>19</c:v>
                </c:pt>
                <c:pt idx="14">
                  <c:v>15</c:v>
                </c:pt>
                <c:pt idx="15">
                  <c:v>17</c:v>
                </c:pt>
                <c:pt idx="16">
                  <c:v>28</c:v>
                </c:pt>
                <c:pt idx="17">
                  <c:v>53</c:v>
                </c:pt>
                <c:pt idx="18">
                  <c:v>62</c:v>
                </c:pt>
                <c:pt idx="19">
                  <c:v>84</c:v>
                </c:pt>
                <c:pt idx="20">
                  <c:v>78</c:v>
                </c:pt>
                <c:pt idx="21">
                  <c:v>95</c:v>
                </c:pt>
                <c:pt idx="22">
                  <c:v>67</c:v>
                </c:pt>
                <c:pt idx="23">
                  <c:v>74</c:v>
                </c:pt>
                <c:pt idx="24">
                  <c:v>69</c:v>
                </c:pt>
                <c:pt idx="25" c:formatCode="General">
                  <c:v>70</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legendEntry>
      <c:legendEntry>
        <c:idx val="1"/>
        <c:txPr>
          <a:bodyPr rot="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legendEntry>
      <c:legendEntry>
        <c:idx val="2"/>
        <c:txPr>
          <a:bodyPr rot="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legendEntry>
      <c:legendEntry>
        <c:idx val="3"/>
        <c:txPr>
          <a:bodyPr rot="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legendEntry>
      <c:legendEntry>
        <c:idx val="4"/>
        <c:txPr>
          <a:bodyPr rot="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legendEntry>
      <c:legendEntry>
        <c:idx val="5"/>
        <c:txPr>
          <a:bodyPr rot="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legendEntry>
      <c:legendEntry>
        <c:idx val="6"/>
        <c:txPr>
          <a:bodyPr rot="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legendEntry>
      <c:legendEntry>
        <c:idx val="7"/>
        <c:txPr>
          <a:bodyPr rot="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legendEntry>
      <c:layout>
        <c:manualLayout>
          <c:xMode val="edge"/>
          <c:yMode val="edge"/>
          <c:x val="0.0147952755905512"/>
          <c:y val="0.0245319245654985"/>
          <c:w val="0.985204734723252"/>
          <c:h val="0.138734991054429"/>
        </c:manualLayout>
      </c:layout>
      <c:overlay val="0"/>
      <c:spPr>
        <a:noFill/>
        <a:ln>
          <a:noFill/>
        </a:ln>
        <a:effectLst/>
      </c:spPr>
      <c:txPr>
        <a:bodyPr rot="0" spcFirstLastPara="1" vertOverflow="ellipsis" vert="horz" wrap="square" anchor="ctr" anchorCtr="1"/>
        <a:lstStyle/>
        <a:p>
          <a:pPr>
            <a:defRPr lang="zh-CN" sz="600" b="0" i="0" u="none" strike="noStrike" kern="1200" baseline="0">
              <a:solidFill>
                <a:sysClr val="windowText" lastClr="000000"/>
              </a:solidFill>
              <a:latin typeface="+mn-lt"/>
              <a:ea typeface="+mn-ea"/>
              <a:cs typeface="+mn-cs"/>
            </a:defRPr>
          </a:pPr>
        </a:p>
      </c:txPr>
    </c:legend>
    <c:plotVisOnly val="1"/>
    <c:dispBlanksAs val="gap"/>
    <c:showDLblsOverMax val="0"/>
    <c:extLst>
      <c:ext uri="{0b15fc19-7d7d-44ad-8c2d-2c3a37ce22c3}">
        <chartProps xmlns="https://web.wps.cn/et/2018/main" chartId="{24180db2-9ddf-410a-b5d5-5430d8ddccfa}"/>
      </c:ext>
    </c:extLst>
  </c:chart>
  <c:spPr>
    <a:solidFill>
      <a:schemeClr val="bg1"/>
    </a:solidFill>
    <a:ln w="9525" cap="flat" cmpd="sng" algn="ctr">
      <a:noFill/>
      <a:round/>
    </a:ln>
    <a:effectLst/>
  </c:spPr>
  <c:txPr>
    <a:bodyPr/>
    <a:lstStyle/>
    <a:p>
      <a:pPr>
        <a:defRPr lang="zh-CN" sz="600" baseline="0">
          <a:solidFill>
            <a:sysClr val="windowText" lastClr="000000"/>
          </a:solidFill>
        </a:defRPr>
      </a:pPr>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Sheet1!$B$1</c:f>
              <c:strCache>
                <c:ptCount val="1"/>
                <c:pt idx="0">
                  <c:v>2024</c:v>
                </c:pt>
              </c:strCache>
            </c:strRef>
          </c:tx>
          <c:spPr>
            <a:solidFill>
              <a:schemeClr val="accent1">
                <a:lumMod val="75000"/>
              </a:schemeClr>
            </a:solidFill>
            <a:ln>
              <a:noFill/>
            </a:ln>
            <a:effectLst/>
          </c:spPr>
          <c:invertIfNegative val="0"/>
          <c:dLbls>
            <c:delete val="1"/>
          </c:dLbls>
          <c:cat>
            <c:strRef>
              <c:f>Sheet1!$A$2:$A$5</c:f>
              <c:strCache>
                <c:ptCount val="4"/>
                <c:pt idx="0">
                  <c:v>Q1</c:v>
                </c:pt>
                <c:pt idx="1">
                  <c:v>Q2</c:v>
                </c:pt>
                <c:pt idx="2">
                  <c:v>Q3</c:v>
                </c:pt>
                <c:pt idx="3">
                  <c:v>Q4</c:v>
                </c:pt>
              </c:strCache>
            </c:strRef>
          </c:cat>
          <c:val>
            <c:numRef>
              <c:f>Sheet1!$B$2:$B$5</c:f>
              <c:numCache>
                <c:formatCode>General</c:formatCode>
                <c:ptCount val="4"/>
                <c:pt idx="0">
                  <c:v>531</c:v>
                </c:pt>
                <c:pt idx="1">
                  <c:v>842</c:v>
                </c:pt>
                <c:pt idx="2">
                  <c:v>796</c:v>
                </c:pt>
                <c:pt idx="3">
                  <c:v>993</c:v>
                </c:pt>
              </c:numCache>
            </c:numRef>
          </c:val>
        </c:ser>
        <c:ser>
          <c:idx val="1"/>
          <c:order val="1"/>
          <c:tx>
            <c:strRef>
              <c:f>Sheet1!$C$1</c:f>
              <c:strCache>
                <c:ptCount val="1"/>
                <c:pt idx="0">
                  <c:v>2025</c:v>
                </c:pt>
              </c:strCache>
            </c:strRef>
          </c:tx>
          <c:spPr>
            <a:solidFill>
              <a:schemeClr val="accent3"/>
            </a:solidFill>
            <a:ln>
              <a:noFill/>
            </a:ln>
            <a:effectLst/>
          </c:spPr>
          <c:invertIfNegative val="0"/>
          <c:dLbls>
            <c:delete val="1"/>
          </c:dLbls>
          <c:cat>
            <c:strRef>
              <c:f>Sheet1!$A$2:$A$5</c:f>
              <c:strCache>
                <c:ptCount val="4"/>
                <c:pt idx="0">
                  <c:v>Q1</c:v>
                </c:pt>
                <c:pt idx="1">
                  <c:v>Q2</c:v>
                </c:pt>
                <c:pt idx="2">
                  <c:v>Q3</c:v>
                </c:pt>
                <c:pt idx="3">
                  <c:v>Q4</c:v>
                </c:pt>
              </c:strCache>
            </c:strRef>
          </c:cat>
          <c:val>
            <c:numRef>
              <c:f>Sheet1!$C$2:$C$5</c:f>
              <c:numCache>
                <c:formatCode>General</c:formatCode>
                <c:ptCount val="4"/>
                <c:pt idx="0">
                  <c:v>632</c:v>
                </c:pt>
                <c:pt idx="1">
                  <c:v>801</c:v>
                </c:pt>
                <c:pt idx="2">
                  <c:v>770</c:v>
                </c:pt>
                <c:pt idx="3" c:formatCode="#,##0">
                  <c:v>1027</c:v>
                </c:pt>
              </c:numCache>
            </c:numRef>
          </c:val>
        </c:ser>
        <c:dLbls>
          <c:showLegendKey val="0"/>
          <c:showVal val="0"/>
          <c:showCatName val="0"/>
          <c:showSerName val="0"/>
          <c:showPercent val="0"/>
          <c:showBubbleSize val="0"/>
        </c:dLbls>
        <c:gapWidth val="219"/>
        <c:overlap val="-27"/>
        <c:axId val="1711145183"/>
        <c:axId val="1711146143"/>
      </c:barChart>
      <c:catAx>
        <c:axId val="171114518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p>
        </c:txPr>
        <c:crossAx val="1711146143"/>
        <c:crosses val="autoZero"/>
        <c:auto val="1"/>
        <c:lblAlgn val="ctr"/>
        <c:lblOffset val="100"/>
        <c:noMultiLvlLbl val="0"/>
      </c:catAx>
      <c:valAx>
        <c:axId val="1711146143"/>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p>
        </c:txPr>
        <c:crossAx val="1711145183"/>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p>
      </c:txPr>
    </c:legend>
    <c:plotVisOnly val="1"/>
    <c:dispBlanksAs val="gap"/>
    <c:showDLblsOverMax val="0"/>
    <c:extLst>
      <c:ext uri="{0b15fc19-7d7d-44ad-8c2d-2c3a37ce22c3}">
        <chartProps xmlns="https://web.wps.cn/et/2018/main" chartId="{151698da-ba86-49f4-ba52-9b3a65dc470b}"/>
      </c:ext>
    </c:extLst>
  </c:chart>
  <c:spPr>
    <a:solidFill>
      <a:schemeClr val="bg1"/>
    </a:solidFill>
    <a:ln w="9525" cap="flat" cmpd="sng" algn="ctr">
      <a:noFill/>
      <a:round/>
    </a:ln>
    <a:effectLst/>
  </c:spPr>
  <c:txPr>
    <a:bodyPr/>
    <a:lstStyle/>
    <a:p>
      <a:pPr>
        <a:defRPr lang="zh-CN">
          <a:solidFill>
            <a:sysClr val="windowText" lastClr="000000"/>
          </a:solidFill>
        </a:defRPr>
      </a:pPr>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Sheet1!$B$27</c:f>
              <c:strCache>
                <c:ptCount val="1"/>
                <c:pt idx="0">
                  <c:v>民用直升机</c:v>
                </c:pt>
              </c:strCache>
            </c:strRef>
          </c:tx>
          <c:spPr>
            <a:solidFill>
              <a:schemeClr val="accent1">
                <a:lumMod val="75000"/>
              </a:schemeClr>
            </a:solidFill>
            <a:ln>
              <a:noFill/>
            </a:ln>
            <a:effectLst/>
          </c:spPr>
          <c:invertIfNegative val="0"/>
          <c:dLbls>
            <c:delete val="1"/>
          </c:dLbls>
          <c:cat>
            <c:strRef>
              <c:f>Sheet1!$A$28:$A$35</c:f>
              <c:strCache>
                <c:ptCount val="8"/>
                <c:pt idx="0">
                  <c:v>2024 Q1</c:v>
                </c:pt>
                <c:pt idx="1">
                  <c:v>2024 Q2</c:v>
                </c:pt>
                <c:pt idx="2">
                  <c:v>2024 Q3</c:v>
                </c:pt>
                <c:pt idx="3">
                  <c:v>2024 Q4</c:v>
                </c:pt>
                <c:pt idx="4">
                  <c:v>2025 Q1</c:v>
                </c:pt>
                <c:pt idx="5">
                  <c:v>2025 Q2</c:v>
                </c:pt>
                <c:pt idx="6">
                  <c:v>2025 Q3</c:v>
                </c:pt>
                <c:pt idx="7">
                  <c:v>2025 Q4</c:v>
                </c:pt>
              </c:strCache>
            </c:strRef>
          </c:cat>
          <c:val>
            <c:numRef>
              <c:f>Sheet1!$B$28:$B$35</c:f>
              <c:numCache>
                <c:formatCode>General</c:formatCode>
                <c:ptCount val="8"/>
                <c:pt idx="0">
                  <c:v>169</c:v>
                </c:pt>
                <c:pt idx="1">
                  <c:v>199</c:v>
                </c:pt>
                <c:pt idx="2">
                  <c:v>181</c:v>
                </c:pt>
                <c:pt idx="3">
                  <c:v>276</c:v>
                </c:pt>
                <c:pt idx="4">
                  <c:v>170</c:v>
                </c:pt>
                <c:pt idx="5">
                  <c:v>183</c:v>
                </c:pt>
                <c:pt idx="6">
                  <c:v>176</c:v>
                </c:pt>
                <c:pt idx="7">
                  <c:v>276</c:v>
                </c:pt>
              </c:numCache>
            </c:numRef>
          </c:val>
        </c:ser>
        <c:ser>
          <c:idx val="1"/>
          <c:order val="1"/>
          <c:tx>
            <c:strRef>
              <c:f>Sheet1!$C$27</c:f>
              <c:strCache>
                <c:ptCount val="1"/>
                <c:pt idx="0">
                  <c:v>商用直升机</c:v>
                </c:pt>
              </c:strCache>
            </c:strRef>
          </c:tx>
          <c:spPr>
            <a:solidFill>
              <a:schemeClr val="accent3"/>
            </a:solidFill>
            <a:ln>
              <a:noFill/>
            </a:ln>
            <a:effectLst/>
          </c:spPr>
          <c:invertIfNegative val="0"/>
          <c:dLbls>
            <c:delete val="1"/>
          </c:dLbls>
          <c:cat>
            <c:strRef>
              <c:f>Sheet1!$A$28:$A$35</c:f>
              <c:strCache>
                <c:ptCount val="8"/>
                <c:pt idx="0">
                  <c:v>2024 Q1</c:v>
                </c:pt>
                <c:pt idx="1">
                  <c:v>2024 Q2</c:v>
                </c:pt>
                <c:pt idx="2">
                  <c:v>2024 Q3</c:v>
                </c:pt>
                <c:pt idx="3">
                  <c:v>2024 Q4</c:v>
                </c:pt>
                <c:pt idx="4">
                  <c:v>2025 Q1</c:v>
                </c:pt>
                <c:pt idx="5">
                  <c:v>2025 Q2</c:v>
                </c:pt>
                <c:pt idx="6">
                  <c:v>2025 Q3</c:v>
                </c:pt>
                <c:pt idx="7">
                  <c:v>2025 Q4</c:v>
                </c:pt>
              </c:strCache>
            </c:strRef>
          </c:cat>
          <c:val>
            <c:numRef>
              <c:f>Sheet1!$C$28:$C$35</c:f>
              <c:numCache>
                <c:formatCode>General</c:formatCode>
                <c:ptCount val="8"/>
                <c:pt idx="0">
                  <c:v>15</c:v>
                </c:pt>
                <c:pt idx="1">
                  <c:v>33</c:v>
                </c:pt>
                <c:pt idx="2">
                  <c:v>36</c:v>
                </c:pt>
                <c:pt idx="3">
                  <c:v>47</c:v>
                </c:pt>
                <c:pt idx="4">
                  <c:v>17</c:v>
                </c:pt>
                <c:pt idx="5">
                  <c:v>33</c:v>
                </c:pt>
                <c:pt idx="6">
                  <c:v>33</c:v>
                </c:pt>
                <c:pt idx="7">
                  <c:v>50</c:v>
                </c:pt>
              </c:numCache>
            </c:numRef>
          </c:val>
        </c:ser>
        <c:dLbls>
          <c:showLegendKey val="0"/>
          <c:showVal val="0"/>
          <c:showCatName val="0"/>
          <c:showSerName val="0"/>
          <c:showPercent val="0"/>
          <c:showBubbleSize val="0"/>
        </c:dLbls>
        <c:gapWidth val="219"/>
        <c:overlap val="-27"/>
        <c:axId val="54871647"/>
        <c:axId val="54872127"/>
      </c:barChart>
      <c:catAx>
        <c:axId val="5487164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p>
        </c:txPr>
        <c:crossAx val="54872127"/>
        <c:crosses val="autoZero"/>
        <c:auto val="1"/>
        <c:lblAlgn val="ctr"/>
        <c:lblOffset val="100"/>
        <c:noMultiLvlLbl val="0"/>
      </c:catAx>
      <c:valAx>
        <c:axId val="54872127"/>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p>
        </c:txPr>
        <c:crossAx val="54871647"/>
        <c:crosses val="autoZero"/>
        <c:crossBetween val="between"/>
      </c:valAx>
      <c:spPr>
        <a:noFill/>
        <a:ln>
          <a:noFill/>
        </a:ln>
        <a:effectLst/>
      </c:spPr>
    </c:plotArea>
    <c:legend>
      <c:legendPos val="b"/>
      <c:layout>
        <c:manualLayout>
          <c:xMode val="edge"/>
          <c:yMode val="edge"/>
          <c:x val="0.109111111111111"/>
          <c:y val="0.903194444444444"/>
          <c:w val="0.834555555555556"/>
          <c:h val="0.0690277777777778"/>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ysClr val="windowText" lastClr="000000"/>
              </a:solidFill>
              <a:latin typeface="黑体" panose="02010609060101010101" charset="-122"/>
              <a:ea typeface="黑体" panose="02010609060101010101" charset="-122"/>
              <a:cs typeface="+mn-cs"/>
            </a:defRPr>
          </a:pPr>
        </a:p>
      </c:txPr>
    </c:legend>
    <c:plotVisOnly val="1"/>
    <c:dispBlanksAs val="gap"/>
    <c:showDLblsOverMax val="0"/>
    <c:extLst>
      <c:ext uri="{0b15fc19-7d7d-44ad-8c2d-2c3a37ce22c3}">
        <chartProps xmlns="https://web.wps.cn/et/2018/main" chartId="{188fe82a-1d68-48f1-a33f-f79dfc7320ce}"/>
      </c:ext>
    </c:extLst>
  </c:chart>
  <c:spPr>
    <a:solidFill>
      <a:schemeClr val="bg1"/>
    </a:solidFill>
    <a:ln w="9525" cap="flat" cmpd="sng" algn="ctr">
      <a:noFill/>
      <a:round/>
    </a:ln>
    <a:effectLst/>
  </c:spPr>
  <c:txPr>
    <a:bodyPr/>
    <a:lstStyle/>
    <a:p>
      <a:pPr>
        <a:defRPr lang="zh-CN">
          <a:solidFill>
            <a:sysClr val="windowText" lastClr="000000"/>
          </a:solidFill>
        </a:defRPr>
      </a:pPr>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Sheet1!$B$59</c:f>
              <c:strCache>
                <c:ptCount val="1"/>
                <c:pt idx="0">
                  <c:v>喷气机</c:v>
                </c:pt>
              </c:strCache>
            </c:strRef>
          </c:tx>
          <c:spPr>
            <a:solidFill>
              <a:schemeClr val="accent1">
                <a:lumMod val="75000"/>
              </a:schemeClr>
            </a:solidFill>
            <a:ln>
              <a:noFill/>
            </a:ln>
            <a:effectLst/>
          </c:spPr>
          <c:invertIfNegative val="0"/>
          <c:dLbls>
            <c:delete val="1"/>
          </c:dLbls>
          <c:cat>
            <c:strRef>
              <c:f>Sheet1!$A$60:$A$67</c:f>
              <c:strCache>
                <c:ptCount val="8"/>
                <c:pt idx="0">
                  <c:v>2024 Q1</c:v>
                </c:pt>
                <c:pt idx="1">
                  <c:v>2024 Q2</c:v>
                </c:pt>
                <c:pt idx="2">
                  <c:v>2024 Q3</c:v>
                </c:pt>
                <c:pt idx="3">
                  <c:v>2024 Q4</c:v>
                </c:pt>
                <c:pt idx="4">
                  <c:v>2025 Q1</c:v>
                </c:pt>
                <c:pt idx="5">
                  <c:v>2025 Q2</c:v>
                </c:pt>
                <c:pt idx="6">
                  <c:v>2025 Q3</c:v>
                </c:pt>
                <c:pt idx="7">
                  <c:v>2025 Q4</c:v>
                </c:pt>
              </c:strCache>
            </c:strRef>
          </c:cat>
          <c:val>
            <c:numRef>
              <c:f>Sheet1!$B$60:$B$67</c:f>
              <c:numCache>
                <c:formatCode>General</c:formatCode>
                <c:ptCount val="8"/>
                <c:pt idx="0">
                  <c:v>127</c:v>
                </c:pt>
                <c:pt idx="1">
                  <c:v>195</c:v>
                </c:pt>
                <c:pt idx="2">
                  <c:v>179</c:v>
                </c:pt>
                <c:pt idx="3">
                  <c:v>263</c:v>
                </c:pt>
                <c:pt idx="4">
                  <c:v>141</c:v>
                </c:pt>
                <c:pt idx="5">
                  <c:v>213</c:v>
                </c:pt>
                <c:pt idx="6">
                  <c:v>200</c:v>
                </c:pt>
                <c:pt idx="7">
                  <c:v>300</c:v>
                </c:pt>
              </c:numCache>
            </c:numRef>
          </c:val>
        </c:ser>
        <c:ser>
          <c:idx val="1"/>
          <c:order val="1"/>
          <c:tx>
            <c:strRef>
              <c:f>Sheet1!$C$59</c:f>
              <c:strCache>
                <c:ptCount val="1"/>
                <c:pt idx="0">
                  <c:v>活塞飞机</c:v>
                </c:pt>
              </c:strCache>
            </c:strRef>
          </c:tx>
          <c:spPr>
            <a:solidFill>
              <a:schemeClr val="bg2">
                <a:lumMod val="25000"/>
              </a:schemeClr>
            </a:solidFill>
            <a:ln>
              <a:noFill/>
            </a:ln>
            <a:effectLst/>
          </c:spPr>
          <c:invertIfNegative val="0"/>
          <c:dLbls>
            <c:delete val="1"/>
          </c:dLbls>
          <c:cat>
            <c:strRef>
              <c:f>Sheet1!$A$60:$A$67</c:f>
              <c:strCache>
                <c:ptCount val="8"/>
                <c:pt idx="0">
                  <c:v>2024 Q1</c:v>
                </c:pt>
                <c:pt idx="1">
                  <c:v>2024 Q2</c:v>
                </c:pt>
                <c:pt idx="2">
                  <c:v>2024 Q3</c:v>
                </c:pt>
                <c:pt idx="3">
                  <c:v>2024 Q4</c:v>
                </c:pt>
                <c:pt idx="4">
                  <c:v>2025 Q1</c:v>
                </c:pt>
                <c:pt idx="5">
                  <c:v>2025 Q2</c:v>
                </c:pt>
                <c:pt idx="6">
                  <c:v>2025 Q3</c:v>
                </c:pt>
                <c:pt idx="7">
                  <c:v>2025 Q4</c:v>
                </c:pt>
              </c:strCache>
            </c:strRef>
          </c:cat>
          <c:val>
            <c:numRef>
              <c:f>Sheet1!$C$60:$C$67</c:f>
              <c:numCache>
                <c:formatCode>General</c:formatCode>
                <c:ptCount val="8"/>
                <c:pt idx="0">
                  <c:v>296</c:v>
                </c:pt>
                <c:pt idx="1">
                  <c:v>475</c:v>
                </c:pt>
                <c:pt idx="2">
                  <c:v>462</c:v>
                </c:pt>
                <c:pt idx="3">
                  <c:v>539</c:v>
                </c:pt>
                <c:pt idx="4">
                  <c:v>358</c:v>
                </c:pt>
                <c:pt idx="5">
                  <c:v>453</c:v>
                </c:pt>
                <c:pt idx="6">
                  <c:v>427</c:v>
                </c:pt>
                <c:pt idx="7">
                  <c:v>544</c:v>
                </c:pt>
              </c:numCache>
            </c:numRef>
          </c:val>
        </c:ser>
        <c:ser>
          <c:idx val="2"/>
          <c:order val="2"/>
          <c:tx>
            <c:strRef>
              <c:f>Sheet1!$D$59</c:f>
              <c:strCache>
                <c:ptCount val="1"/>
                <c:pt idx="0">
                  <c:v>涡轮螺旋桨</c:v>
                </c:pt>
              </c:strCache>
            </c:strRef>
          </c:tx>
          <c:spPr>
            <a:solidFill>
              <a:schemeClr val="accent3"/>
            </a:solidFill>
            <a:ln>
              <a:noFill/>
            </a:ln>
            <a:effectLst/>
          </c:spPr>
          <c:invertIfNegative val="0"/>
          <c:dLbls>
            <c:delete val="1"/>
          </c:dLbls>
          <c:cat>
            <c:strRef>
              <c:f>Sheet1!$A$60:$A$67</c:f>
              <c:strCache>
                <c:ptCount val="8"/>
                <c:pt idx="0">
                  <c:v>2024 Q1</c:v>
                </c:pt>
                <c:pt idx="1">
                  <c:v>2024 Q2</c:v>
                </c:pt>
                <c:pt idx="2">
                  <c:v>2024 Q3</c:v>
                </c:pt>
                <c:pt idx="3">
                  <c:v>2024 Q4</c:v>
                </c:pt>
                <c:pt idx="4">
                  <c:v>2025 Q1</c:v>
                </c:pt>
                <c:pt idx="5">
                  <c:v>2025 Q2</c:v>
                </c:pt>
                <c:pt idx="6">
                  <c:v>2025 Q3</c:v>
                </c:pt>
                <c:pt idx="7">
                  <c:v>2025 Q4</c:v>
                </c:pt>
              </c:strCache>
            </c:strRef>
          </c:cat>
          <c:val>
            <c:numRef>
              <c:f>Sheet1!$D$60:$D$67</c:f>
              <c:numCache>
                <c:formatCode>General</c:formatCode>
                <c:ptCount val="8"/>
                <c:pt idx="0">
                  <c:v>108</c:v>
                </c:pt>
                <c:pt idx="1">
                  <c:v>172</c:v>
                </c:pt>
                <c:pt idx="2">
                  <c:v>155</c:v>
                </c:pt>
                <c:pt idx="3">
                  <c:v>191</c:v>
                </c:pt>
                <c:pt idx="4">
                  <c:v>133</c:v>
                </c:pt>
                <c:pt idx="5">
                  <c:v>135</c:v>
                </c:pt>
                <c:pt idx="6">
                  <c:v>141</c:v>
                </c:pt>
                <c:pt idx="7">
                  <c:v>185</c:v>
                </c:pt>
              </c:numCache>
            </c:numRef>
          </c:val>
        </c:ser>
        <c:dLbls>
          <c:showLegendKey val="0"/>
          <c:showVal val="0"/>
          <c:showCatName val="0"/>
          <c:showSerName val="0"/>
          <c:showPercent val="0"/>
          <c:showBubbleSize val="0"/>
        </c:dLbls>
        <c:gapWidth val="219"/>
        <c:overlap val="-27"/>
        <c:axId val="780827119"/>
        <c:axId val="780826639"/>
      </c:barChart>
      <c:catAx>
        <c:axId val="78082711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p>
        </c:txPr>
        <c:crossAx val="780826639"/>
        <c:crosses val="autoZero"/>
        <c:auto val="1"/>
        <c:lblAlgn val="ctr"/>
        <c:lblOffset val="100"/>
        <c:noMultiLvlLbl val="0"/>
      </c:catAx>
      <c:valAx>
        <c:axId val="780826639"/>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p>
        </c:txPr>
        <c:crossAx val="780827119"/>
        <c:crosses val="autoZero"/>
        <c:crossBetween val="between"/>
      </c:valAx>
      <c:spPr>
        <a:noFill/>
        <a:ln>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ysClr val="windowText" lastClr="000000"/>
              </a:solidFill>
              <a:latin typeface="黑体" panose="02010609060101010101" charset="-122"/>
              <a:ea typeface="黑体" panose="02010609060101010101" charset="-122"/>
              <a:cs typeface="+mn-cs"/>
            </a:defRPr>
          </a:pPr>
        </a:p>
      </c:txPr>
    </c:legend>
    <c:plotVisOnly val="1"/>
    <c:dispBlanksAs val="gap"/>
    <c:showDLblsOverMax val="0"/>
    <c:extLst>
      <c:ext uri="{0b15fc19-7d7d-44ad-8c2d-2c3a37ce22c3}">
        <chartProps xmlns="https://web.wps.cn/et/2018/main" chartId="{6d097d64-da7e-40a5-b085-95232fdf6c3d}"/>
      </c:ext>
    </c:extLst>
  </c:chart>
  <c:spPr>
    <a:solidFill>
      <a:schemeClr val="bg1"/>
    </a:solidFill>
    <a:ln w="9525" cap="flat" cmpd="sng" algn="ctr">
      <a:noFill/>
      <a:round/>
    </a:ln>
    <a:effectLst/>
  </c:spPr>
  <c:txPr>
    <a:bodyPr/>
    <a:lstStyle/>
    <a:p>
      <a:pPr>
        <a:defRPr lang="zh-CN">
          <a:solidFill>
            <a:sysClr val="windowText" lastClr="000000"/>
          </a:solidFill>
        </a:defRPr>
      </a:pPr>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Sheet1!$B$44</c:f>
              <c:strCache>
                <c:ptCount val="1"/>
                <c:pt idx="0">
                  <c:v>活塞直升机</c:v>
                </c:pt>
              </c:strCache>
            </c:strRef>
          </c:tx>
          <c:spPr>
            <a:solidFill>
              <a:schemeClr val="accent1">
                <a:lumMod val="75000"/>
              </a:schemeClr>
            </a:solidFill>
            <a:ln>
              <a:noFill/>
            </a:ln>
            <a:effectLst/>
          </c:spPr>
          <c:invertIfNegative val="0"/>
          <c:dLbls>
            <c:delete val="1"/>
          </c:dLbls>
          <c:cat>
            <c:strRef>
              <c:f>Sheet1!$A$45:$A$52</c:f>
              <c:strCache>
                <c:ptCount val="8"/>
                <c:pt idx="0">
                  <c:v>2024 Q1</c:v>
                </c:pt>
                <c:pt idx="1">
                  <c:v>2024 Q2</c:v>
                </c:pt>
                <c:pt idx="2">
                  <c:v>2024 Q3</c:v>
                </c:pt>
                <c:pt idx="3">
                  <c:v>2024 Q4</c:v>
                </c:pt>
                <c:pt idx="4">
                  <c:v>2025 Q1</c:v>
                </c:pt>
                <c:pt idx="5">
                  <c:v>2025 Q2</c:v>
                </c:pt>
                <c:pt idx="6">
                  <c:v>2025 Q3</c:v>
                </c:pt>
                <c:pt idx="7">
                  <c:v>2025 Q4</c:v>
                </c:pt>
              </c:strCache>
            </c:strRef>
          </c:cat>
          <c:val>
            <c:numRef>
              <c:f>Sheet1!$B$45:$B$52</c:f>
              <c:numCache>
                <c:formatCode>General</c:formatCode>
                <c:ptCount val="8"/>
                <c:pt idx="0">
                  <c:v>53</c:v>
                </c:pt>
                <c:pt idx="1">
                  <c:v>54</c:v>
                </c:pt>
                <c:pt idx="2">
                  <c:v>48</c:v>
                </c:pt>
                <c:pt idx="3">
                  <c:v>55</c:v>
                </c:pt>
                <c:pt idx="4">
                  <c:v>54</c:v>
                </c:pt>
                <c:pt idx="5">
                  <c:v>50</c:v>
                </c:pt>
                <c:pt idx="6">
                  <c:v>45</c:v>
                </c:pt>
                <c:pt idx="7">
                  <c:v>57</c:v>
                </c:pt>
              </c:numCache>
            </c:numRef>
          </c:val>
        </c:ser>
        <c:ser>
          <c:idx val="1"/>
          <c:order val="1"/>
          <c:tx>
            <c:strRef>
              <c:f>Sheet1!$C$44</c:f>
              <c:strCache>
                <c:ptCount val="1"/>
                <c:pt idx="0">
                  <c:v>涡轮直升机</c:v>
                </c:pt>
              </c:strCache>
            </c:strRef>
          </c:tx>
          <c:spPr>
            <a:solidFill>
              <a:schemeClr val="accent3"/>
            </a:solidFill>
            <a:ln>
              <a:noFill/>
            </a:ln>
            <a:effectLst/>
          </c:spPr>
          <c:invertIfNegative val="0"/>
          <c:dLbls>
            <c:delete val="1"/>
          </c:dLbls>
          <c:cat>
            <c:strRef>
              <c:f>Sheet1!$A$45:$A$52</c:f>
              <c:strCache>
                <c:ptCount val="8"/>
                <c:pt idx="0">
                  <c:v>2024 Q1</c:v>
                </c:pt>
                <c:pt idx="1">
                  <c:v>2024 Q2</c:v>
                </c:pt>
                <c:pt idx="2">
                  <c:v>2024 Q3</c:v>
                </c:pt>
                <c:pt idx="3">
                  <c:v>2024 Q4</c:v>
                </c:pt>
                <c:pt idx="4">
                  <c:v>2025 Q1</c:v>
                </c:pt>
                <c:pt idx="5">
                  <c:v>2025 Q2</c:v>
                </c:pt>
                <c:pt idx="6">
                  <c:v>2025 Q3</c:v>
                </c:pt>
                <c:pt idx="7">
                  <c:v>2025 Q4</c:v>
                </c:pt>
              </c:strCache>
            </c:strRef>
          </c:cat>
          <c:val>
            <c:numRef>
              <c:f>Sheet1!$C$45:$C$52</c:f>
              <c:numCache>
                <c:formatCode>General</c:formatCode>
                <c:ptCount val="8"/>
                <c:pt idx="0">
                  <c:v>131</c:v>
                </c:pt>
                <c:pt idx="1">
                  <c:v>178</c:v>
                </c:pt>
                <c:pt idx="2">
                  <c:v>169</c:v>
                </c:pt>
                <c:pt idx="3">
                  <c:v>347</c:v>
                </c:pt>
                <c:pt idx="4">
                  <c:v>133</c:v>
                </c:pt>
                <c:pt idx="5">
                  <c:v>166</c:v>
                </c:pt>
                <c:pt idx="6">
                  <c:v>164</c:v>
                </c:pt>
                <c:pt idx="7">
                  <c:v>269</c:v>
                </c:pt>
              </c:numCache>
            </c:numRef>
          </c:val>
        </c:ser>
        <c:dLbls>
          <c:showLegendKey val="0"/>
          <c:showVal val="0"/>
          <c:showCatName val="0"/>
          <c:showSerName val="0"/>
          <c:showPercent val="0"/>
          <c:showBubbleSize val="0"/>
        </c:dLbls>
        <c:gapWidth val="219"/>
        <c:overlap val="-27"/>
        <c:axId val="92512655"/>
        <c:axId val="92514575"/>
      </c:barChart>
      <c:catAx>
        <c:axId val="9251265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p>
        </c:txPr>
        <c:crossAx val="92514575"/>
        <c:crosses val="autoZero"/>
        <c:auto val="1"/>
        <c:lblAlgn val="ctr"/>
        <c:lblOffset val="100"/>
        <c:noMultiLvlLbl val="0"/>
      </c:catAx>
      <c:valAx>
        <c:axId val="92514575"/>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ysClr val="windowText" lastClr="000000"/>
                </a:solidFill>
                <a:latin typeface="+mn-lt"/>
                <a:ea typeface="+mn-ea"/>
                <a:cs typeface="+mn-cs"/>
              </a:defRPr>
            </a:pPr>
          </a:p>
        </c:txPr>
        <c:crossAx val="92512655"/>
        <c:crosses val="autoZero"/>
        <c:crossBetween val="between"/>
      </c:valAx>
      <c:spPr>
        <a:noFill/>
        <a:ln w="25400">
          <a:noFill/>
        </a:ln>
        <a:effectLst/>
      </c:spPr>
    </c:plotArea>
    <c:legend>
      <c:legendPos val="b"/>
      <c:layout/>
      <c:overlay val="0"/>
      <c:spPr>
        <a:noFill/>
        <a:ln>
          <a:noFill/>
        </a:ln>
        <a:effectLst/>
      </c:spPr>
      <c:txPr>
        <a:bodyPr rot="0" spcFirstLastPara="1" vertOverflow="ellipsis" vert="horz" wrap="square" anchor="ctr" anchorCtr="1"/>
        <a:lstStyle/>
        <a:p>
          <a:pPr>
            <a:defRPr lang="zh-CN" sz="900" b="0" i="0" u="none" strike="noStrike" kern="1200" baseline="0">
              <a:solidFill>
                <a:sysClr val="windowText" lastClr="000000"/>
              </a:solidFill>
              <a:latin typeface="黑体" panose="02010609060101010101" charset="-122"/>
              <a:ea typeface="黑体" panose="02010609060101010101" charset="-122"/>
              <a:cs typeface="+mn-cs"/>
            </a:defRPr>
          </a:pPr>
        </a:p>
      </c:txPr>
    </c:legend>
    <c:plotVisOnly val="1"/>
    <c:dispBlanksAs val="gap"/>
    <c:showDLblsOverMax val="0"/>
    <c:extLst>
      <c:ext uri="{0b15fc19-7d7d-44ad-8c2d-2c3a37ce22c3}">
        <chartProps xmlns="https://web.wps.cn/et/2018/main" chartId="{25a68daf-1f82-4556-8fea-6ac8b816ff9f}"/>
      </c:ext>
    </c:extLst>
  </c:chart>
  <c:spPr>
    <a:solidFill>
      <a:schemeClr val="bg1"/>
    </a:solidFill>
    <a:ln w="9525" cap="flat" cmpd="sng" algn="ctr">
      <a:noFill/>
      <a:round/>
    </a:ln>
    <a:effectLst/>
  </c:spPr>
  <c:txPr>
    <a:bodyPr/>
    <a:lstStyle/>
    <a:p>
      <a:pPr>
        <a:defRPr lang="zh-CN">
          <a:solidFill>
            <a:sysClr val="windowText" lastClr="000000"/>
          </a:solidFill>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withinLinear" id="18">
  <a:schemeClr val="accent5"/>
</cs:colorStyle>
</file>

<file path=word/charts/colors9.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withinLinear" id="18">
  <a:schemeClr val="accent5"/>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100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9.xml><?xml version="1.0" encoding="utf-8"?>
<cs:chartStyle xmlns:cs="http://schemas.microsoft.com/office/drawing/2012/chartStyle" xmlns:a="http://schemas.openxmlformats.org/drawingml/2006/main" id="1001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1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MyNewTheme">
      <a:dk1>
        <a:sysClr val="windowText" lastClr="000000"/>
      </a:dk1>
      <a:lt1>
        <a:sysClr val="window" lastClr="FFFFFF"/>
      </a:lt1>
      <a:dk2>
        <a:srgbClr val="1F497D"/>
      </a:dk2>
      <a:lt2>
        <a:srgbClr val="EEECE1"/>
      </a:lt2>
      <a:accent1>
        <a:srgbClr val="99CCFF"/>
      </a:accent1>
      <a:accent2>
        <a:srgbClr val="FF8181"/>
      </a:accent2>
      <a:accent3>
        <a:srgbClr val="86C091"/>
      </a:accent3>
      <a:accent4>
        <a:srgbClr val="ECB340"/>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23558C">
            <a:alpha val="90000"/>
          </a:srgbClr>
        </a:solidFill>
        <a:ln>
          <a:noFill/>
        </a:ln>
        <a:effectLst>
          <a:softEdge rad="0"/>
        </a:effectLst>
      </a:spPr>
      <a:bodyPr rot="0" spcFirstLastPara="0" vertOverflow="overflow" horzOverflow="overflow" vert="horz" wrap="square" lIns="91440" tIns="45720" rIns="91440" bIns="45720" numCol="1" spcCol="0" rtlCol="0" fromWordArt="0" anchor="ctr" anchorCtr="0" forceAA="0" compatLnSpc="1">
        <a:noAutofit/>
      </a:bodyPr>
      <a:lstStyle/>
      <a:style>
        <a:lnRef idx="2">
          <a:schemeClr val="accent1">
            <a:shade val="50000"/>
          </a:schemeClr>
        </a:lnRef>
        <a:fillRef idx="1">
          <a:schemeClr val="accent1"/>
        </a:fillRef>
        <a:effectRef idx="0">
          <a:schemeClr val="accent1"/>
        </a:effectRef>
        <a:fontRef idx="minor">
          <a:schemeClr val="lt1"/>
        </a:fontRef>
      </a:style>
    </a:spDef>
  </a:objectDefaults>
</a:theme>
</file>

<file path=word/theme/themeOverride1.xml><?xml version="1.0" encoding="utf-8"?>
<a:themeOverride xmlns:a="http://schemas.openxmlformats.org/drawingml/2006/main">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2013 - 2022">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13 - 2022">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tyleName="APA Fifth Edition" SelectedStyle="\APA.XSL"/>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0BD6CBB-6617-4FF7-953A-408A28C97626}">
  <ds:schemaRefs/>
</ds:datastoreItem>
</file>

<file path=docProps/app.xml><?xml version="1.0" encoding="utf-8"?>
<Properties xmlns="http://schemas.openxmlformats.org/officeDocument/2006/extended-properties" xmlns:vt="http://schemas.openxmlformats.org/officeDocument/2006/docPropsVTypes">
  <Template>Normal</Template>
  <Company>Japaninvest</Company>
  <Pages>33</Pages>
  <Words>18828</Words>
  <Characters>32215</Characters>
  <Lines>887</Lines>
  <Paragraphs>570</Paragraphs>
  <TotalTime>1</TotalTime>
  <ScaleCrop>false</ScaleCrop>
  <LinksUpToDate>false</LinksUpToDate>
  <CharactersWithSpaces>35377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2026-02-26T16:33:00Z</dcterms:created>
  <dc:creator>zhoulinhong</dc:creator>
  <cp:lastModifiedBy>微信用户</cp:lastModifiedBy>
  <cp:lastPrinted>2019-08-09T20:02:00Z</cp:lastPrinted>
  <dcterms:modified xsi:type="dcterms:W3CDTF">2026-02-27T07:13:17Z</dcterms:modified>
  <dc:title>Sector note</dc:title>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EFADisclaimerHiddenTextStyle">
    <vt:lpwstr>EFADisclaimerHiddenText</vt:lpwstr>
  </property>
  <property fmtid="{D5CDD505-2E9C-101B-9397-08002B2CF9AE}" pid="3" name="EFADisclaimerTextStyle">
    <vt:lpwstr>EFADisclaimerText</vt:lpwstr>
  </property>
  <property fmtid="{D5CDD505-2E9C-101B-9397-08002B2CF9AE}" pid="4" name="EFADocTemplateVer">
    <vt:lpwstr>HaiTong</vt:lpwstr>
  </property>
  <property fmtid="{D5CDD505-2E9C-101B-9397-08002B2CF9AE}" pid="5" name="EFALanguageID">
    <vt:lpwstr>2057</vt:lpwstr>
  </property>
  <property fmtid="{D5CDD505-2E9C-101B-9397-08002B2CF9AE}" pid="6" name="EFATemplate">
    <vt:lpwstr>Macro note - HTI.dotx</vt:lpwstr>
  </property>
  <property fmtid="{D5CDD505-2E9C-101B-9397-08002B2CF9AE}" pid="7" name="EFATemplateID">
    <vt:lpwstr>203</vt:lpwstr>
  </property>
  <property fmtid="{D5CDD505-2E9C-101B-9397-08002B2CF9AE}" pid="8" name="EFACorpID">
    <vt:lpwstr>-1</vt:lpwstr>
  </property>
  <property fmtid="{D5CDD505-2E9C-101B-9397-08002B2CF9AE}" pid="9" name="EFACoName">
    <vt:lpwstr/>
  </property>
  <property fmtid="{D5CDD505-2E9C-101B-9397-08002B2CF9AE}" pid="10" name="EFAModel">
    <vt:lpwstr/>
  </property>
  <property fmtid="{D5CDD505-2E9C-101B-9397-08002B2CF9AE}" pid="11" name="EFADevData">
    <vt:lpwstr>0</vt:lpwstr>
  </property>
  <property fmtid="{D5CDD505-2E9C-101B-9397-08002B2CF9AE}" pid="12" name="EFAUnits">
    <vt:lpwstr>Use Default</vt:lpwstr>
  </property>
  <property fmtid="{D5CDD505-2E9C-101B-9397-08002B2CF9AE}" pid="13" name="EFAStartYear">
    <vt:lpwstr>0</vt:lpwstr>
  </property>
  <property fmtid="{D5CDD505-2E9C-101B-9397-08002B2CF9AE}" pid="14" name="EFADefaultPriceDate">
    <vt:lpwstr>-1</vt:lpwstr>
  </property>
  <property fmtid="{D5CDD505-2E9C-101B-9397-08002B2CF9AE}" pid="15" name="EFAPriceDate">
    <vt:lpwstr>20190727 00:00:00</vt:lpwstr>
  </property>
  <property fmtid="{D5CDD505-2E9C-101B-9397-08002B2CF9AE}" pid="16" name="EFADocID">
    <vt:lpwstr>38659</vt:lpwstr>
  </property>
  <property fmtid="{D5CDD505-2E9C-101B-9397-08002B2CF9AE}" pid="17" name="EFALastRefreshDate">
    <vt:lpwstr>20190728 11:52:34</vt:lpwstr>
  </property>
  <property fmtid="{D5CDD505-2E9C-101B-9397-08002B2CF9AE}" pid="18" name="EFAUserID">
    <vt:lpwstr>2100</vt:lpwstr>
  </property>
  <property fmtid="{D5CDD505-2E9C-101B-9397-08002B2CF9AE}" pid="19" name="EFAAccountID">
    <vt:lpwstr>1010</vt:lpwstr>
  </property>
  <property fmtid="{D5CDD505-2E9C-101B-9397-08002B2CF9AE}" pid="20" name="EFAExcelVersion">
    <vt:lpwstr>14</vt:lpwstr>
  </property>
  <property fmtid="{D5CDD505-2E9C-101B-9397-08002B2CF9AE}" pid="21" name="EFAWordVersion">
    <vt:lpwstr>14</vt:lpwstr>
  </property>
  <property fmtid="{D5CDD505-2E9C-101B-9397-08002B2CF9AE}" pid="22" name="EFAUseIntTables">
    <vt:lpwstr>0</vt:lpwstr>
  </property>
  <property fmtid="{D5CDD505-2E9C-101B-9397-08002B2CF9AE}" pid="23" name="EFAIntStartYear">
    <vt:lpwstr>0</vt:lpwstr>
  </property>
  <property fmtid="{D5CDD505-2E9C-101B-9397-08002B2CF9AE}" pid="24" name="EFAIntEndYear">
    <vt:lpwstr>0</vt:lpwstr>
  </property>
  <property fmtid="{D5CDD505-2E9C-101B-9397-08002B2CF9AE}" pid="25" name="EFAFirstIntOffset">
    <vt:lpwstr>1</vt:lpwstr>
  </property>
  <property fmtid="{D5CDD505-2E9C-101B-9397-08002B2CF9AE}" pid="26" name="EFAIntPeriodNumber">
    <vt:lpwstr>0</vt:lpwstr>
  </property>
  <property fmtid="{D5CDD505-2E9C-101B-9397-08002B2CF9AE}" pid="27" name="EFASectorID">
    <vt:lpwstr/>
  </property>
  <property fmtid="{D5CDD505-2E9C-101B-9397-08002B2CF9AE}" pid="28" name="EFAIndustryID">
    <vt:lpwstr/>
  </property>
  <property fmtid="{D5CDD505-2E9C-101B-9397-08002B2CF9AE}" pid="29" name="EFAMarket">
    <vt:lpwstr>HK</vt:lpwstr>
  </property>
  <property fmtid="{D5CDD505-2E9C-101B-9397-08002B2CF9AE}" pid="30" name="EFASecurityIndex">
    <vt:lpwstr>0</vt:lpwstr>
  </property>
  <property fmtid="{D5CDD505-2E9C-101B-9397-08002B2CF9AE}" pid="31" name="EFASecurityID">
    <vt:lpwstr/>
  </property>
  <property fmtid="{D5CDD505-2E9C-101B-9397-08002B2CF9AE}" pid="32" name="EFAAnnualise">
    <vt:lpwstr>0</vt:lpwstr>
  </property>
  <property fmtid="{D5CDD505-2E9C-101B-9397-08002B2CF9AE}" pid="33" name="EFAAnnMonth">
    <vt:lpwstr>12</vt:lpwstr>
  </property>
  <property fmtid="{D5CDD505-2E9C-101B-9397-08002B2CF9AE}" pid="34" name="EFACompCorpIDs">
    <vt:lpwstr/>
  </property>
  <property fmtid="{D5CDD505-2E9C-101B-9397-08002B2CF9AE}" pid="35" name="EFACompCorpNames">
    <vt:lpwstr/>
  </property>
  <property fmtid="{D5CDD505-2E9C-101B-9397-08002B2CF9AE}" pid="36" name="EFACoShortName">
    <vt:lpwstr/>
  </property>
  <property fmtid="{D5CDD505-2E9C-101B-9397-08002B2CF9AE}" pid="37" name="EFACompCorpShortNames">
    <vt:lpwstr/>
  </property>
  <property fmtid="{D5CDD505-2E9C-101B-9397-08002B2CF9AE}" pid="38" name="EFACorpMentionIDs">
    <vt:lpwstr/>
  </property>
  <property fmtid="{D5CDD505-2E9C-101B-9397-08002B2CF9AE}" pid="39" name="EFACorpMentionNames">
    <vt:lpwstr/>
  </property>
  <property fmtid="{D5CDD505-2E9C-101B-9397-08002B2CF9AE}" pid="40" name="EFACorpMentionShortNames">
    <vt:lpwstr/>
  </property>
  <property fmtid="{D5CDD505-2E9C-101B-9397-08002B2CF9AE}" pid="41" name="EFAAuthorIDs">
    <vt:lpwstr>2081</vt:lpwstr>
  </property>
  <property fmtid="{D5CDD505-2E9C-101B-9397-08002B2CF9AE}" pid="42" name="EFAAuthorNames">
    <vt:lpwstr>Andy So, CFA</vt:lpwstr>
  </property>
  <property fmtid="{D5CDD505-2E9C-101B-9397-08002B2CF9AE}" pid="43" name="EFAAuthorEmails">
    <vt:lpwstr>andy.cy.so@htisec.com</vt:lpwstr>
  </property>
  <property fmtid="{D5CDD505-2E9C-101B-9397-08002B2CF9AE}" pid="44" name="EFAAuthorPhones">
    <vt:lpwstr/>
  </property>
  <property fmtid="{D5CDD505-2E9C-101B-9397-08002B2CF9AE}" pid="45" name="EFAAuthorJobTitles">
    <vt:lpwstr/>
  </property>
  <property fmtid="{D5CDD505-2E9C-101B-9397-08002B2CF9AE}" pid="46" name="EFAPageCount">
    <vt:lpwstr>14</vt:lpwstr>
  </property>
  <property fmtid="{D5CDD505-2E9C-101B-9397-08002B2CF9AE}" pid="47" name="date">
    <vt:lpwstr>30 Jun 2020</vt:lpwstr>
  </property>
  <property fmtid="{D5CDD505-2E9C-101B-9397-08002B2CF9AE}" pid="48" name="languageType">
    <vt:lpwstr>1</vt:lpwstr>
  </property>
  <property fmtid="{D5CDD505-2E9C-101B-9397-08002B2CF9AE}" pid="49" name="reporttype">
    <vt:lpwstr>6</vt:lpwstr>
  </property>
  <property fmtid="{D5CDD505-2E9C-101B-9397-08002B2CF9AE}" pid="50" name="versiontype">
    <vt:lpwstr>HTI_Event_CN</vt:lpwstr>
  </property>
  <property fmtid="{D5CDD505-2E9C-101B-9397-08002B2CF9AE}" pid="51" name="version">
    <vt:lpwstr>1.0</vt:lpwstr>
  </property>
  <property fmtid="{D5CDD505-2E9C-101B-9397-08002B2CF9AE}" pid="52" name="typeId">
    <vt:lpwstr>2</vt:lpwstr>
  </property>
  <property fmtid="{D5CDD505-2E9C-101B-9397-08002B2CF9AE}" pid="53" name="analysts">
    <vt:lpwstr>System.Collections.ArrayList</vt:lpwstr>
  </property>
  <property fmtid="{D5CDD505-2E9C-101B-9397-08002B2CF9AE}" pid="54" name="analystids">
    <vt:lpwstr>2,77</vt:lpwstr>
  </property>
  <property fmtid="{D5CDD505-2E9C-101B-9397-08002B2CF9AE}" pid="55" name="sectorinfo">
    <vt:lpwstr>Custom Sector1</vt:lpwstr>
  </property>
  <property fmtid="{D5CDD505-2E9C-101B-9397-08002B2CF9AE}" pid="56" name="reportid">
    <vt:lpwstr/>
  </property>
  <property fmtid="{D5CDD505-2E9C-101B-9397-08002B2CF9AE}" pid="57" name="reporttitle">
    <vt:lpwstr/>
  </property>
  <property fmtid="{D5CDD505-2E9C-101B-9397-08002B2CF9AE}" pid="58" name="KSOTemplateDocerSaveRecord">
    <vt:lpwstr>eyJoZGlkIjoiN2YzNjBkOTgyNWQ1YTMxYzM3MzMwNWFiODNmOWIzYWMiLCJ1c2VySWQiOiIxMjgyNzI4NjcyIn0=</vt:lpwstr>
  </property>
  <property fmtid="{D5CDD505-2E9C-101B-9397-08002B2CF9AE}" pid="59" name="KSOProductBuildVer">
    <vt:lpwstr>2052-12.1.0.24034</vt:lpwstr>
  </property>
  <property fmtid="{D5CDD505-2E9C-101B-9397-08002B2CF9AE}" pid="60" name="ICV">
    <vt:lpwstr>C9113695ED420E7CAB14A169B70C16E7_43</vt:lpwstr>
  </property>
</Properties>
</file>