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bottomFromText="360" w:tblpXSpec="right" w:tblpY="-239"/>
        <w:tblOverlap w:val="never"/>
        <w:tblW w:w="10376"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33"/>
      </w:tblGrid>
      <w:tr w14:paraId="17E08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76" w:type="dxa"/>
            <w:gridSpan w:val="2"/>
          </w:tcPr>
          <w:p w14:paraId="721E84FB">
            <w:pPr>
              <w:pStyle w:val="37"/>
              <w:framePr w:hRule="auto" w:wrap="auto" w:vAnchor="margin" w:hAnchor="text" w:xAlign="left" w:yAlign="inline"/>
            </w:pPr>
            <w:r>
              <w:rPr>
                <w:rFonts w:hint="eastAsia" w:eastAsia="宋体"/>
                <w:b w:val="0"/>
                <w:color w:val="FFFFFF" w:themeColor="background1"/>
                <w:sz w:val="16"/>
                <w:lang w:eastAsia="zh-CN"/>
                <w14:textFill>
                  <w14:solidFill>
                    <w14:schemeClr w14:val="bg1"/>
                  </w14:solidFill>
                </w14:textFill>
              </w:rPr>
              <w:t>[</w:t>
            </w:r>
            <w:r>
              <w:rPr>
                <w:rFonts w:eastAsia="宋体"/>
                <w:b w:val="0"/>
                <w:color w:val="FFFFFF" w:themeColor="background1"/>
                <w:sz w:val="16"/>
                <w:lang w:eastAsia="zh-CN"/>
                <w14:textFill>
                  <w14:solidFill>
                    <w14:schemeClr w14:val="bg1"/>
                  </w14:solidFill>
                </w14:textFill>
              </w:rPr>
              <w:t>Table_Title]</w:t>
            </w:r>
          </w:p>
        </w:tc>
      </w:tr>
      <w:tr w14:paraId="472F9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1C1401DA">
            <w:pPr>
              <w:pStyle w:val="37"/>
              <w:framePr w:hRule="auto" w:wrap="auto" w:vAnchor="margin" w:hAnchor="text" w:xAlign="left" w:yAlign="inline"/>
              <w:rPr>
                <w:rFonts w:eastAsia="楷体_GB2312"/>
                <w:b w:val="0"/>
                <w:sz w:val="16"/>
                <w:lang w:eastAsia="zh-CN"/>
              </w:rPr>
            </w:pPr>
            <w:r>
              <w:rPr>
                <w:rFonts w:hint="eastAsia" w:eastAsia="楷体_GB2312"/>
                <w:b w:val="0"/>
                <w:sz w:val="16"/>
                <w:lang w:eastAsia="zh-CN"/>
              </w:rPr>
              <w:t>研究报告Research Report</w:t>
            </w:r>
          </w:p>
        </w:tc>
        <w:tc>
          <w:tcPr>
            <w:tcW w:w="2733" w:type="dxa"/>
            <w:vAlign w:val="center"/>
          </w:tcPr>
          <w:p w14:paraId="4697C363">
            <w:pPr>
              <w:pStyle w:val="37"/>
              <w:framePr w:hRule="auto" w:wrap="auto" w:vAnchor="margin" w:hAnchor="text" w:xAlign="left" w:yAlign="inline"/>
            </w:pPr>
          </w:p>
        </w:tc>
      </w:tr>
      <w:tr w14:paraId="64ED6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082D7DAA">
            <w:pPr>
              <w:pStyle w:val="37"/>
              <w:framePr w:hRule="auto" w:wrap="auto" w:vAnchor="margin" w:hAnchor="text" w:xAlign="left" w:yAlign="inline"/>
              <w:rPr>
                <w:rFonts w:eastAsia="宋体"/>
                <w:b w:val="0"/>
                <w:sz w:val="20"/>
                <w:szCs w:val="20"/>
                <w:lang w:eastAsia="zh-CN"/>
              </w:rPr>
            </w:pPr>
            <w:r>
              <w:rPr>
                <w:rFonts w:ascii="Calibri" w:eastAsia="楷体_GB2312"/>
                <w:b w:val="0"/>
                <w:i w:val="0"/>
                <w:color w:val="215E99"/>
                <w:sz w:val="16"/>
              </w:rPr>
              <w:t>19 Jan 2026</w:t>
            </w:r>
          </w:p>
        </w:tc>
        <w:tc>
          <w:tcPr>
            <w:tcW w:w="2733" w:type="dxa"/>
            <w:vAlign w:val="center"/>
          </w:tcPr>
          <w:p w14:paraId="543A8AD8">
            <w:pPr>
              <w:pStyle w:val="37"/>
              <w:framePr w:hRule="auto" w:wrap="auto" w:vAnchor="margin" w:hAnchor="text" w:xAlign="left" w:yAlign="inline"/>
              <w:wordWrap w:val="0"/>
              <w:jc w:val="right"/>
              <w:rPr>
                <w:rFonts w:eastAsia="楷体_GB2312"/>
                <w:lang w:eastAsia="zh-CN"/>
              </w:rPr>
            </w:pPr>
          </w:p>
        </w:tc>
      </w:tr>
      <w:tr w14:paraId="0C9B3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47" w:hRule="exact"/>
        </w:trPr>
        <w:tc>
          <w:tcPr>
            <w:tcW w:w="7643" w:type="dxa"/>
          </w:tcPr>
          <w:p w14:paraId="01B3EE9B">
            <w:pPr>
              <w:pStyle w:val="104"/>
              <w:framePr w:w="0" w:hRule="auto" w:wrap="auto" w:vAnchor="margin" w:hAnchor="text" w:xAlign="left" w:yAlign="inline"/>
              <w:rPr>
                <w:rFonts w:eastAsia="宋体"/>
                <w:sz w:val="16"/>
                <w:szCs w:val="16"/>
                <w:lang w:val="en-GB" w:eastAsia="zh-CN"/>
              </w:rPr>
            </w:pPr>
          </w:p>
        </w:tc>
        <w:tc>
          <w:tcPr>
            <w:tcW w:w="2733" w:type="dxa"/>
            <w:vAlign w:val="center"/>
          </w:tcPr>
          <w:p w14:paraId="6ED56BF3">
            <w:pPr>
              <w:pStyle w:val="37"/>
              <w:framePr w:hRule="auto" w:wrap="auto" w:vAnchor="margin" w:hAnchor="text" w:xAlign="left" w:yAlign="inline"/>
              <w:jc w:val="right"/>
            </w:pPr>
          </w:p>
        </w:tc>
      </w:tr>
      <w:tr w14:paraId="4BE8D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583" w:hRule="exact"/>
        </w:trPr>
        <w:tc>
          <w:tcPr>
            <w:tcW w:w="10376" w:type="dxa"/>
            <w:gridSpan w:val="2"/>
          </w:tcPr>
          <w:p w14:paraId="39FD77C7">
            <w:pPr>
              <w:pStyle w:val="37"/>
              <w:framePr w:hRule="auto" w:wrap="auto" w:vAnchor="margin" w:hAnchor="text" w:xAlign="left" w:yAlign="inline"/>
              <w:rPr>
                <w:rFonts w:eastAsia="楷体_GB2312" w:cs="Calibri"/>
                <w:sz w:val="30"/>
              </w:rPr>
            </w:pPr>
            <w:r>
              <w:rPr>
                <w:rFonts w:hint="eastAsia" w:ascii="Calibri" w:eastAsia="楷体_GB2312"/>
                <w:b w:val="0"/>
                <w:i w:val="0"/>
                <w:color w:val="215E99"/>
                <w:sz w:val="32"/>
                <w:lang w:eastAsia="zh-CN"/>
              </w:rPr>
              <w:t>全球先进制造与能源</w:t>
            </w:r>
            <w:r>
              <w:rPr>
                <w:rFonts w:ascii="Calibri" w:eastAsia="楷体_GB2312"/>
                <w:b w:val="0"/>
                <w:i w:val="0"/>
                <w:color w:val="215E99"/>
                <w:sz w:val="32"/>
              </w:rPr>
              <w:t>Global Advanced Manufacturing and Energy</w:t>
            </w:r>
          </w:p>
        </w:tc>
      </w:tr>
      <w:tr w14:paraId="3DE22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08" w:hRule="exact"/>
        </w:trPr>
        <w:tc>
          <w:tcPr>
            <w:tcW w:w="10376" w:type="dxa"/>
            <w:gridSpan w:val="2"/>
            <w:vAlign w:val="center"/>
          </w:tcPr>
          <w:p w14:paraId="3E3D5473">
            <w:pPr>
              <w:pStyle w:val="153"/>
              <w:keepNext w:val="0"/>
              <w:keepLines w:val="0"/>
              <w:pageBreakBefore w:val="0"/>
              <w:widowControl/>
              <w:kinsoku/>
              <w:wordWrap/>
              <w:overflowPunct/>
              <w:topLinePunct w:val="0"/>
              <w:autoSpaceDE/>
              <w:autoSpaceDN/>
              <w:bidi w:val="0"/>
              <w:adjustRightInd/>
              <w:snapToGrid/>
              <w:spacing w:line="228" w:lineRule="auto"/>
              <w:textAlignment w:val="auto"/>
              <w:rPr>
                <w:rFonts w:ascii="Calibri" w:eastAsia="楷体_GB2312"/>
                <w:b w:val="0"/>
                <w:i w:val="0"/>
                <w:color w:val="215E99"/>
                <w:sz w:val="30"/>
                <w:szCs w:val="30"/>
              </w:rPr>
            </w:pPr>
            <w:r>
              <w:rPr>
                <w:rFonts w:ascii="Calibri" w:eastAsia="楷体_GB2312"/>
                <w:b w:val="0"/>
                <w:i w:val="0"/>
                <w:color w:val="215E99"/>
                <w:sz w:val="30"/>
                <w:szCs w:val="30"/>
              </w:rPr>
              <w:t>美国行政声明推动数据中心使用者承担电网扩容成本，提升SOFC现场发电选项的相对经济性</w:t>
            </w:r>
          </w:p>
          <w:p w14:paraId="34852504">
            <w:pPr>
              <w:pStyle w:val="153"/>
              <w:keepNext w:val="0"/>
              <w:keepLines w:val="0"/>
              <w:pageBreakBefore w:val="0"/>
              <w:widowControl/>
              <w:kinsoku/>
              <w:wordWrap/>
              <w:overflowPunct/>
              <w:topLinePunct w:val="0"/>
              <w:autoSpaceDE/>
              <w:autoSpaceDN/>
              <w:bidi w:val="0"/>
              <w:adjustRightInd/>
              <w:snapToGrid/>
              <w:spacing w:line="228" w:lineRule="auto"/>
              <w:jc w:val="both"/>
              <w:textAlignment w:val="auto"/>
              <w:rPr>
                <w:rFonts w:hint="eastAsia" w:ascii="Calibri" w:eastAsia="楷体_GB2312"/>
                <w:b w:val="0"/>
                <w:i w:val="0"/>
                <w:color w:val="215E99"/>
                <w:sz w:val="25"/>
                <w:szCs w:val="25"/>
                <w:lang w:eastAsia="zh-CN"/>
              </w:rPr>
            </w:pPr>
            <w:r>
              <w:rPr>
                <w:rFonts w:hint="eastAsia" w:ascii="Calibri" w:eastAsia="楷体_GB2312"/>
                <w:b w:val="0"/>
                <w:i w:val="0"/>
                <w:color w:val="215E99"/>
                <w:sz w:val="25"/>
                <w:szCs w:val="25"/>
                <w:lang w:eastAsia="zh-CN"/>
              </w:rPr>
              <w:t>U.S. administration promotes data center users to bear the costs of power generation and grid expansion, improving the relative economic competitiveness of on-site power generation options</w:t>
            </w:r>
          </w:p>
          <w:p w14:paraId="51DD9D23">
            <w:pPr>
              <w:pStyle w:val="102"/>
              <w:framePr w:wrap="auto" w:vAnchor="margin" w:hAnchor="text" w:xAlign="left" w:yAlign="inline"/>
              <w:spacing w:line="360" w:lineRule="exact"/>
              <w:ind w:left="0" w:right="0"/>
              <w:rPr>
                <w:rFonts w:eastAsia="宋体"/>
                <w:lang w:val="en-GB" w:eastAsia="zh-CN"/>
              </w:rPr>
            </w:pPr>
          </w:p>
        </w:tc>
      </w:tr>
      <w:tr w14:paraId="2FC16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50" w:hRule="exact"/>
        </w:trPr>
        <w:tc>
          <w:tcPr>
            <w:tcW w:w="10376" w:type="dxa"/>
            <w:gridSpan w:val="2"/>
            <w:vAlign w:val="center"/>
          </w:tcPr>
          <w:p w14:paraId="290B40CB">
            <w:pPr>
              <w:pStyle w:val="153"/>
              <w:spacing w:line="360" w:lineRule="exact"/>
              <w:rPr>
                <w:rFonts w:eastAsia="宋体"/>
                <w:sz w:val="20"/>
                <w:szCs w:val="11"/>
                <w:lang w:eastAsia="zh-CN"/>
              </w:rPr>
            </w:pPr>
          </w:p>
        </w:tc>
      </w:tr>
      <w:tr w14:paraId="1C4FA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76" w:type="dxa"/>
            <w:gridSpan w:val="2"/>
          </w:tcPr>
          <w:tbl>
            <w:tblPr>
              <w:tblStyle w:val="27"/>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6701E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2954D509">
                  <w:pPr>
                    <w:pStyle w:val="115"/>
                    <w:framePr w:wrap="auto" w:vAnchor="margin" w:hAnchor="text" w:yAlign="inline"/>
                    <w:rPr>
                      <w:rFonts w:eastAsia="宋体"/>
                      <w:color w:val="FFFFFF" w:themeColor="background1"/>
                      <w14:textFill>
                        <w14:solidFill>
                          <w14:schemeClr w14:val="bg1"/>
                        </w14:solidFill>
                      </w14:textFill>
                    </w:rPr>
                  </w:pPr>
                  <w:r>
                    <w:rPr>
                      <w:rFonts w:hint="eastAsia" w:eastAsia="宋体"/>
                      <w:color w:val="FFFFFF" w:themeColor="background1"/>
                      <w14:textFill>
                        <w14:solidFill>
                          <w14:schemeClr w14:val="bg1"/>
                        </w14:solidFill>
                      </w14:textFill>
                    </w:rPr>
                    <w:t>[</w:t>
                  </w:r>
                  <w:r>
                    <w:rPr>
                      <w:rFonts w:eastAsia="宋体"/>
                      <w:color w:val="FFFFFF" w:themeColor="background1"/>
                      <w14:textFill>
                        <w14:solidFill>
                          <w14:schemeClr w14:val="bg1"/>
                        </w14:solidFill>
                      </w14:textFill>
                    </w:rPr>
                    <w:t>Table_Author]</w:t>
                  </w:r>
                </w:p>
              </w:tc>
              <w:tc>
                <w:tcPr>
                  <w:tcW w:w="2551" w:type="dxa"/>
                </w:tcPr>
                <w:p w14:paraId="367D7CE2">
                  <w:pPr>
                    <w:pStyle w:val="115"/>
                    <w:framePr w:wrap="auto" w:vAnchor="margin" w:hAnchor="text" w:yAlign="inline"/>
                    <w:rPr>
                      <w:rFonts w:eastAsia="MS Gothic"/>
                      <w:color w:val="FFFFFF" w:themeColor="background1"/>
                      <w14:textFill>
                        <w14:solidFill>
                          <w14:schemeClr w14:val="bg1"/>
                        </w14:solidFill>
                      </w14:textFill>
                    </w:rPr>
                  </w:pPr>
                </w:p>
              </w:tc>
              <w:tc>
                <w:tcPr>
                  <w:tcW w:w="2693" w:type="dxa"/>
                </w:tcPr>
                <w:p w14:paraId="072CAFF0">
                  <w:pPr>
                    <w:pStyle w:val="115"/>
                    <w:framePr w:wrap="auto" w:vAnchor="margin" w:hAnchor="text" w:yAlign="inline"/>
                    <w:rPr>
                      <w:rFonts w:eastAsia="MS Gothic"/>
                      <w:color w:val="FFFFFF" w:themeColor="background1"/>
                      <w14:textFill>
                        <w14:solidFill>
                          <w14:schemeClr w14:val="bg1"/>
                        </w14:solidFill>
                      </w14:textFill>
                    </w:rPr>
                  </w:pPr>
                </w:p>
              </w:tc>
              <w:tc>
                <w:tcPr>
                  <w:tcW w:w="2694" w:type="dxa"/>
                </w:tcPr>
                <w:p w14:paraId="586648C0">
                  <w:pPr>
                    <w:pStyle w:val="115"/>
                    <w:framePr w:wrap="auto" w:vAnchor="margin" w:hAnchor="text" w:yAlign="inline"/>
                    <w:rPr>
                      <w:rFonts w:eastAsia="MS Gothic"/>
                      <w:color w:val="FFFFFF" w:themeColor="background1"/>
                      <w14:textFill>
                        <w14:solidFill>
                          <w14:schemeClr w14:val="bg1"/>
                        </w14:solidFill>
                      </w14:textFill>
                    </w:rPr>
                  </w:pPr>
                </w:p>
              </w:tc>
            </w:tr>
            <w:tr w14:paraId="093A4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4E2CB12B">
                  <w:pPr>
                    <w:pStyle w:val="114"/>
                    <w:framePr w:wrap="auto" w:vAnchor="margin" w:hAnchor="text" w:yAlign="inline"/>
                    <w:rPr>
                      <w:rFonts w:eastAsia="楷体_GB2312"/>
                    </w:rPr>
                  </w:pPr>
                  <w:r>
                    <w:rPr>
                      <w:rFonts w:ascii="Calibri" w:eastAsia="楷体_GB2312"/>
                      <w:b/>
                      <w:i w:val="0"/>
                      <w:color w:val="000000"/>
                      <w:sz w:val="16"/>
                    </w:rPr>
                    <w:t>杨斌Bin Yang, SFC:BSQ313</w:t>
                  </w:r>
                </w:p>
              </w:tc>
              <w:tc>
                <w:tcPr>
                  <w:tcW w:w="2551" w:type="dxa"/>
                </w:tcPr>
                <w:p w14:paraId="23959DEF">
                  <w:pPr>
                    <w:pStyle w:val="114"/>
                    <w:framePr w:wrap="auto" w:vAnchor="margin" w:hAnchor="text" w:yAlign="inline"/>
                    <w:rPr>
                      <w:rFonts w:eastAsia="楷体_GB2312"/>
                    </w:rPr>
                  </w:pPr>
                </w:p>
              </w:tc>
              <w:tc>
                <w:tcPr>
                  <w:tcW w:w="2693" w:type="dxa"/>
                </w:tcPr>
                <w:p w14:paraId="3DD88F19">
                  <w:pPr>
                    <w:pStyle w:val="114"/>
                    <w:framePr w:wrap="auto" w:vAnchor="margin" w:hAnchor="text" w:yAlign="inline"/>
                    <w:rPr>
                      <w:rFonts w:eastAsia="楷体_GB2312"/>
                    </w:rPr>
                  </w:pPr>
                </w:p>
              </w:tc>
              <w:tc>
                <w:tcPr>
                  <w:tcW w:w="2694" w:type="dxa"/>
                </w:tcPr>
                <w:p w14:paraId="37F6918B">
                  <w:pPr>
                    <w:pStyle w:val="114"/>
                    <w:framePr w:wrap="auto" w:vAnchor="margin" w:hAnchor="text" w:yAlign="inline"/>
                    <w:rPr>
                      <w:rFonts w:eastAsia="楷体_GB2312"/>
                    </w:rPr>
                  </w:pPr>
                </w:p>
              </w:tc>
            </w:tr>
            <w:tr w14:paraId="4546B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1B6AAAF9">
                  <w:pPr>
                    <w:pStyle w:val="114"/>
                    <w:framePr w:wrap="auto" w:vAnchor="margin" w:hAnchor="text" w:yAlign="inline"/>
                    <w:rPr>
                      <w:rFonts w:eastAsia="楷体_GB2312"/>
                      <w:b w:val="0"/>
                    </w:rPr>
                  </w:pPr>
                  <w:r>
                    <w:rPr>
                      <w:rFonts w:ascii="Calibri" w:eastAsia="楷体_GB2312"/>
                      <w:b w:val="0"/>
                      <w:i w:val="0"/>
                      <w:color w:val="000000"/>
                      <w:sz w:val="16"/>
                    </w:rPr>
                    <w:t>harryyang@hfisec.com.hk</w:t>
                  </w:r>
                </w:p>
              </w:tc>
              <w:tc>
                <w:tcPr>
                  <w:tcW w:w="2551" w:type="dxa"/>
                </w:tcPr>
                <w:p w14:paraId="662DD66A">
                  <w:pPr>
                    <w:pStyle w:val="114"/>
                    <w:framePr w:wrap="auto" w:vAnchor="margin" w:hAnchor="text" w:yAlign="inline"/>
                    <w:rPr>
                      <w:rFonts w:eastAsia="楷体_GB2312"/>
                      <w:b w:val="0"/>
                    </w:rPr>
                  </w:pPr>
                </w:p>
              </w:tc>
              <w:tc>
                <w:tcPr>
                  <w:tcW w:w="2693" w:type="dxa"/>
                </w:tcPr>
                <w:p w14:paraId="0787970C">
                  <w:pPr>
                    <w:pStyle w:val="114"/>
                    <w:framePr w:wrap="auto" w:vAnchor="margin" w:hAnchor="text" w:yAlign="inline"/>
                    <w:rPr>
                      <w:rFonts w:eastAsia="楷体_GB2312"/>
                      <w:b w:val="0"/>
                    </w:rPr>
                  </w:pPr>
                </w:p>
              </w:tc>
              <w:tc>
                <w:tcPr>
                  <w:tcW w:w="2694" w:type="dxa"/>
                </w:tcPr>
                <w:p w14:paraId="77BA6878">
                  <w:pPr>
                    <w:pStyle w:val="114"/>
                    <w:framePr w:wrap="auto" w:vAnchor="margin" w:hAnchor="text" w:yAlign="inline"/>
                    <w:rPr>
                      <w:rFonts w:eastAsia="楷体_GB2312"/>
                      <w:b w:val="0"/>
                    </w:rPr>
                  </w:pPr>
                </w:p>
              </w:tc>
            </w:tr>
            <w:tr w14:paraId="00C27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45EF24FF">
                  <w:pPr>
                    <w:pStyle w:val="114"/>
                    <w:framePr w:wrap="auto" w:vAnchor="margin" w:hAnchor="text" w:yAlign="inline"/>
                    <w:rPr>
                      <w:rFonts w:eastAsia="楷体_GB2312"/>
                      <w:b w:val="0"/>
                    </w:rPr>
                  </w:pPr>
                </w:p>
              </w:tc>
              <w:tc>
                <w:tcPr>
                  <w:tcW w:w="2551" w:type="dxa"/>
                </w:tcPr>
                <w:p w14:paraId="026B36B0">
                  <w:pPr>
                    <w:pStyle w:val="114"/>
                    <w:framePr w:wrap="auto" w:vAnchor="margin" w:hAnchor="text" w:yAlign="inline"/>
                    <w:rPr>
                      <w:rFonts w:eastAsia="楷体_GB2312"/>
                      <w:b w:val="0"/>
                    </w:rPr>
                  </w:pPr>
                </w:p>
              </w:tc>
              <w:tc>
                <w:tcPr>
                  <w:tcW w:w="2693" w:type="dxa"/>
                </w:tcPr>
                <w:p w14:paraId="661DAE90">
                  <w:pPr>
                    <w:pStyle w:val="114"/>
                    <w:framePr w:wrap="auto" w:vAnchor="margin" w:hAnchor="text" w:yAlign="inline"/>
                    <w:rPr>
                      <w:rFonts w:eastAsia="楷体_GB2312"/>
                      <w:b w:val="0"/>
                    </w:rPr>
                  </w:pPr>
                </w:p>
              </w:tc>
              <w:tc>
                <w:tcPr>
                  <w:tcW w:w="2694" w:type="dxa"/>
                </w:tcPr>
                <w:p w14:paraId="1BBEC619">
                  <w:pPr>
                    <w:pStyle w:val="114"/>
                    <w:framePr w:wrap="auto" w:vAnchor="margin" w:hAnchor="text" w:yAlign="inline"/>
                    <w:rPr>
                      <w:rFonts w:eastAsia="楷体_GB2312"/>
                      <w:b w:val="0"/>
                    </w:rPr>
                  </w:pPr>
                </w:p>
              </w:tc>
            </w:tr>
            <w:tr w14:paraId="29834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FD91343">
                  <w:pPr>
                    <w:pStyle w:val="114"/>
                    <w:framePr w:wrap="auto" w:vAnchor="margin" w:hAnchor="text" w:yAlign="inline"/>
                    <w:rPr>
                      <w:rFonts w:eastAsia="楷体_GB2312"/>
                      <w:b w:val="0"/>
                    </w:rPr>
                  </w:pPr>
                </w:p>
              </w:tc>
              <w:tc>
                <w:tcPr>
                  <w:tcW w:w="2551" w:type="dxa"/>
                </w:tcPr>
                <w:p w14:paraId="05C4D0A7">
                  <w:pPr>
                    <w:pStyle w:val="114"/>
                    <w:framePr w:wrap="auto" w:vAnchor="margin" w:hAnchor="text" w:yAlign="inline"/>
                    <w:rPr>
                      <w:rFonts w:eastAsia="楷体_GB2312"/>
                      <w:b w:val="0"/>
                    </w:rPr>
                  </w:pPr>
                </w:p>
              </w:tc>
              <w:tc>
                <w:tcPr>
                  <w:tcW w:w="2693" w:type="dxa"/>
                </w:tcPr>
                <w:p w14:paraId="6A855767">
                  <w:pPr>
                    <w:pStyle w:val="114"/>
                    <w:framePr w:wrap="auto" w:vAnchor="margin" w:hAnchor="text" w:yAlign="inline"/>
                    <w:rPr>
                      <w:rFonts w:eastAsia="楷体_GB2312"/>
                      <w:b w:val="0"/>
                    </w:rPr>
                  </w:pPr>
                </w:p>
              </w:tc>
              <w:tc>
                <w:tcPr>
                  <w:tcW w:w="2694" w:type="dxa"/>
                </w:tcPr>
                <w:p w14:paraId="1877083A">
                  <w:pPr>
                    <w:pStyle w:val="114"/>
                    <w:framePr w:wrap="auto" w:vAnchor="margin" w:hAnchor="text" w:yAlign="inline"/>
                    <w:rPr>
                      <w:rFonts w:eastAsia="楷体_GB2312"/>
                      <w:b w:val="0"/>
                    </w:rPr>
                  </w:pPr>
                </w:p>
              </w:tc>
            </w:tr>
          </w:tbl>
          <w:p w14:paraId="2CF70A37">
            <w:pPr>
              <w:pStyle w:val="114"/>
              <w:framePr w:wrap="auto" w:vAnchor="margin" w:hAnchor="text" w:yAlign="inline"/>
              <w:rPr>
                <w:rFonts w:eastAsia="楷体_GB2312"/>
                <w:sz w:val="18"/>
                <w:szCs w:val="18"/>
                <w:lang w:val="en-GB"/>
              </w:rPr>
            </w:pPr>
          </w:p>
        </w:tc>
      </w:tr>
      <w:tr w14:paraId="79A73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76" w:type="dxa"/>
            <w:gridSpan w:val="2"/>
          </w:tcPr>
          <w:p w14:paraId="360F07B3">
            <w:pPr>
              <w:pStyle w:val="114"/>
              <w:framePr w:wrap="auto" w:vAnchor="margin" w:hAnchor="text" w:yAlign="inline"/>
              <w:rPr>
                <w:rFonts w:eastAsia="楷体_GB2312"/>
                <w:b w:val="0"/>
              </w:rPr>
            </w:pPr>
          </w:p>
        </w:tc>
      </w:tr>
    </w:tbl>
    <w:p w14:paraId="1E173CD5">
      <w:pPr>
        <w:pStyle w:val="94"/>
        <w:spacing w:after="0" w:line="20" w:lineRule="exact"/>
        <w:rPr>
          <w:rFonts w:eastAsia="楷体_GB2312"/>
          <w:sz w:val="20"/>
          <w:lang w:eastAsia="zh-CN"/>
        </w:rPr>
      </w:pPr>
      <w:bookmarkStart w:id="0" w:name="OLE_LINK2"/>
      <w:bookmarkStart w:id="1" w:name="OLE_LINK1"/>
    </w:p>
    <w:tbl>
      <w:tblPr>
        <w:tblStyle w:val="27"/>
        <w:tblW w:w="0" w:type="auto"/>
        <w:tblCaption w:val="[Table_summary]"/>
        <w:tblDescription w:val="表格隐藏唯一标识（请勿删除或修改）"/>
        <w:tblInd w:w="-14"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349"/>
      </w:tblGrid>
      <w:tr w14:paraId="288BC0C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10349" w:type="dxa"/>
          </w:tcPr>
          <w:p w14:paraId="7C857FFB">
            <w:pPr>
              <w:pStyle w:val="94"/>
              <w:spacing w:after="0"/>
              <w:rPr>
                <w:rFonts w:eastAsia="楷体_GB2312" w:cs="Times New Roman"/>
                <w:bCs/>
                <w:kern w:val="28"/>
                <w:sz w:val="20"/>
                <w:lang w:val="en-GB" w:eastAsia="zh-CN"/>
              </w:rPr>
            </w:pPr>
            <w:r>
              <w:rPr>
                <w:rFonts w:hint="eastAsia" w:eastAsia="楷体_GB2312" w:cs="Times New Roman"/>
                <w:bCs/>
                <w:color w:val="FFFFFF" w:themeColor="background1"/>
                <w:kern w:val="28"/>
                <w:sz w:val="20"/>
                <w:lang w:val="en-GB" w:eastAsia="zh-CN"/>
                <w14:textFill>
                  <w14:solidFill>
                    <w14:schemeClr w14:val="bg1"/>
                  </w14:solidFill>
                </w14:textFill>
              </w:rPr>
              <w:t>[</w:t>
            </w:r>
            <w:r>
              <w:rPr>
                <w:rFonts w:eastAsia="楷体_GB2312" w:cs="Times New Roman"/>
                <w:bCs/>
                <w:color w:val="FFFFFF" w:themeColor="background1"/>
                <w:kern w:val="28"/>
                <w:sz w:val="20"/>
                <w:lang w:val="en-GB" w:eastAsia="zh-CN"/>
                <w14:textFill>
                  <w14:solidFill>
                    <w14:schemeClr w14:val="bg1"/>
                  </w14:solidFill>
                </w14:textFill>
              </w:rPr>
              <w:t>Table_summary]</w:t>
            </w:r>
          </w:p>
        </w:tc>
      </w:tr>
      <w:tr w14:paraId="51284E2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353" w:hRule="atLeast"/>
        </w:trPr>
        <w:tc>
          <w:tcPr>
            <w:tcW w:w="10349" w:type="dxa"/>
          </w:tcPr>
          <w:p w14:paraId="78D4C30E">
            <w:pPr>
              <w:pStyle w:val="94"/>
              <w:rPr>
                <w:rFonts w:hint="eastAsia" w:eastAsia="楷体_GB2312" w:cs="Times New Roman"/>
                <w:b/>
                <w:bCs/>
                <w:kern w:val="28"/>
                <w:lang w:eastAsia="zh-CN"/>
              </w:rPr>
            </w:pPr>
            <w:bookmarkStart w:id="2" w:name="_GoBack"/>
            <w:bookmarkEnd w:id="2"/>
            <w:r>
              <w:rPr>
                <w:rFonts w:eastAsia="楷体_GB2312" w:cs="Times New Roman"/>
                <w:b/>
                <w:bCs/>
                <w:kern w:val="28"/>
              </w:rPr>
              <w:t>事件</w:t>
            </w:r>
            <w:r>
              <w:rPr>
                <w:rFonts w:hint="eastAsia" w:eastAsia="楷体_GB2312" w:cs="Times New Roman"/>
                <w:b/>
                <w:bCs/>
                <w:kern w:val="28"/>
                <w:lang w:eastAsia="zh-CN"/>
              </w:rPr>
              <w:t>：</w:t>
            </w:r>
          </w:p>
          <w:p w14:paraId="7E300BAD">
            <w:pPr>
              <w:pStyle w:val="40"/>
              <w:jc w:val="both"/>
              <w:rPr>
                <w:rFonts w:eastAsia="楷体_GB2312"/>
                <w:szCs w:val="20"/>
                <w:lang w:val="zh-CN"/>
              </w:rPr>
            </w:pPr>
            <w:r>
              <w:rPr>
                <w:rFonts w:eastAsia="楷体_GB2312"/>
                <w:snapToGrid/>
                <w:szCs w:val="20"/>
                <w:lang w:val="zh-CN" w:eastAsia="zh-CN"/>
              </w:rPr>
              <w:t>2026年1月16日白宫国家能源主导委员会和多名</w:t>
            </w:r>
            <w:r>
              <w:rPr>
                <w:rFonts w:eastAsia="楷体_GB2312"/>
                <w:szCs w:val="20"/>
                <w:lang w:val="zh-CN"/>
              </w:rPr>
              <w:t>PJM覆盖区域内多个州（包括宾夕法尼亚、俄亥俄、弗吉尼亚、马里兰等13州左右）的</w:t>
            </w:r>
            <w:r>
              <w:rPr>
                <w:rFonts w:eastAsia="楷体_GB2312"/>
                <w:snapToGrid/>
                <w:szCs w:val="20"/>
                <w:lang w:val="zh-CN" w:eastAsia="zh-CN"/>
              </w:rPr>
              <w:t>州长签署</w:t>
            </w:r>
            <w:r>
              <w:rPr>
                <w:rFonts w:eastAsia="楷体_GB2312"/>
                <w:szCs w:val="20"/>
                <w:lang w:val="zh-CN"/>
              </w:rPr>
              <w:t>非约束性原则声明</w:t>
            </w:r>
            <w:r>
              <w:rPr>
                <w:rFonts w:hint="eastAsia" w:eastAsia="楷体_GB2312"/>
                <w:snapToGrid/>
                <w:szCs w:val="20"/>
                <w:lang w:val="zh-CN" w:eastAsia="zh-CN"/>
              </w:rPr>
              <w:t>，</w:t>
            </w:r>
            <w:r>
              <w:rPr>
                <w:rFonts w:eastAsia="楷体_GB2312"/>
                <w:szCs w:val="20"/>
                <w:lang w:val="zh-CN"/>
              </w:rPr>
              <w:t>联合敦促PJM尽快向</w:t>
            </w:r>
            <w:r>
              <w:rPr>
                <w:rFonts w:eastAsia="楷体_GB2312"/>
                <w:szCs w:val="20"/>
                <w:lang w:val="en-GB"/>
              </w:rPr>
              <w:t>联邦能源监管委员会 (FERC) </w:t>
            </w:r>
            <w:r>
              <w:rPr>
                <w:rFonts w:eastAsia="楷体_GB2312"/>
                <w:szCs w:val="20"/>
                <w:lang w:val="zh-CN"/>
              </w:rPr>
              <w:t>提交</w:t>
            </w:r>
            <w:r>
              <w:rPr>
                <w:rFonts w:hint="eastAsia" w:eastAsia="楷体_GB2312"/>
                <w:szCs w:val="20"/>
                <w:lang w:val="zh-CN" w:eastAsia="zh-CN"/>
              </w:rPr>
              <w:t>电费</w:t>
            </w:r>
            <w:r>
              <w:rPr>
                <w:rFonts w:eastAsia="楷体_GB2312"/>
                <w:szCs w:val="20"/>
                <w:lang w:val="en-GB"/>
              </w:rPr>
              <w:t>修订案，以应对数据中心激增带来的能源挑战</w:t>
            </w:r>
            <w:r>
              <w:rPr>
                <w:rFonts w:hint="eastAsia" w:eastAsia="楷体_GB2312"/>
                <w:szCs w:val="20"/>
                <w:lang w:val="en-GB" w:eastAsia="zh-CN"/>
              </w:rPr>
              <w:t>。声明对PJM的具体要求</w:t>
            </w:r>
            <w:r>
              <w:rPr>
                <w:rFonts w:hint="eastAsia" w:eastAsia="楷体_GB2312"/>
                <w:szCs w:val="20"/>
                <w:lang w:val="zh-CN" w:eastAsia="zh-CN"/>
              </w:rPr>
              <w:t>包括1）</w:t>
            </w:r>
            <w:r>
              <w:rPr>
                <w:rFonts w:eastAsia="楷体_GB2312"/>
                <w:szCs w:val="20"/>
                <w:lang w:val="zh-CN" w:eastAsia="zh-CN"/>
              </w:rPr>
              <w:t>最迟</w:t>
            </w:r>
            <w:r>
              <w:rPr>
                <w:rFonts w:hint="eastAsia" w:eastAsia="楷体_GB2312"/>
                <w:szCs w:val="20"/>
                <w:lang w:val="zh-CN" w:eastAsia="zh-CN"/>
              </w:rPr>
              <w:t>于</w:t>
            </w:r>
            <w:r>
              <w:rPr>
                <w:rFonts w:eastAsia="楷体_GB2312"/>
                <w:szCs w:val="20"/>
                <w:lang w:val="zh-CN" w:eastAsia="zh-CN"/>
              </w:rPr>
              <w:t>2026年9月</w:t>
            </w:r>
            <w:r>
              <w:rPr>
                <w:rFonts w:hint="eastAsia" w:eastAsia="楷体_GB2312"/>
                <w:szCs w:val="20"/>
                <w:lang w:val="zh-CN" w:eastAsia="zh-CN"/>
              </w:rPr>
              <w:t>之前</w:t>
            </w:r>
            <w:r>
              <w:rPr>
                <w:rFonts w:eastAsia="楷体_GB2312"/>
                <w:szCs w:val="20"/>
                <w:lang w:val="zh-CN" w:eastAsia="zh-CN"/>
              </w:rPr>
              <w:t xml:space="preserve">举办“可靠性后备拍卖”（Reliability Backstop Auction），为新发电资源提供15年价格确定性，预计支撑约150亿美元新电厂建设。 </w:t>
            </w:r>
            <w:r>
              <w:rPr>
                <w:rFonts w:hint="eastAsia" w:eastAsia="楷体_GB2312"/>
                <w:szCs w:val="20"/>
                <w:lang w:val="zh-CN" w:eastAsia="zh-CN"/>
              </w:rPr>
              <w:t>2）</w:t>
            </w:r>
            <w:r>
              <w:rPr>
                <w:rFonts w:eastAsia="楷体_GB2312"/>
                <w:szCs w:val="20"/>
                <w:lang w:val="zh-CN" w:eastAsia="zh-CN"/>
              </w:rPr>
              <w:t xml:space="preserve">  将新增容量成本优先分配给未自购容量或未同意可削减的新数据中心</w:t>
            </w:r>
            <w:r>
              <w:rPr>
                <w:rFonts w:eastAsia="楷体_GB2312"/>
                <w:szCs w:val="20"/>
                <w:lang w:val="zh-CN"/>
              </w:rPr>
              <w:t>负荷服务实体</w:t>
            </w:r>
            <w:r>
              <w:rPr>
                <w:rFonts w:eastAsia="楷体_GB2312"/>
                <w:szCs w:val="20"/>
                <w:lang w:val="zh-CN" w:eastAsia="zh-CN"/>
              </w:rPr>
              <w:t>（LSEs），剩余按净短缺比例分摊，避免居民电价上涨。</w:t>
            </w:r>
            <w:r>
              <w:rPr>
                <w:rFonts w:hint="eastAsia" w:eastAsia="楷体_GB2312"/>
                <w:szCs w:val="20"/>
                <w:lang w:val="zh-CN" w:eastAsia="zh-CN"/>
              </w:rPr>
              <w:t>3）</w:t>
            </w:r>
            <w:r>
              <w:rPr>
                <w:rFonts w:eastAsia="楷体_GB2312"/>
                <w:szCs w:val="20"/>
                <w:lang w:val="zh-CN"/>
              </w:rPr>
              <w:t>延长现有</w:t>
            </w:r>
            <w:r>
              <w:rPr>
                <w:rFonts w:eastAsia="楷体_GB2312"/>
                <w:szCs w:val="20"/>
                <w:lang w:val="en-GB"/>
              </w:rPr>
              <w:t>333.44 美元/兆瓦·天</w:t>
            </w:r>
            <w:r>
              <w:rPr>
                <w:rFonts w:hint="eastAsia" w:eastAsia="楷体_GB2312"/>
                <w:szCs w:val="20"/>
                <w:lang w:val="en-GB" w:eastAsia="zh-CN"/>
              </w:rPr>
              <w:t>的</w:t>
            </w:r>
            <w:r>
              <w:rPr>
                <w:rFonts w:eastAsia="楷体_GB2312"/>
                <w:szCs w:val="20"/>
                <w:lang w:val="zh-CN"/>
              </w:rPr>
              <w:t>价格上限（price collar）至下两次基础剩余拍卖（BRAs），</w:t>
            </w:r>
            <w:r>
              <w:rPr>
                <w:rFonts w:hint="eastAsia" w:eastAsia="楷体_GB2312"/>
                <w:szCs w:val="20"/>
                <w:lang w:val="zh-CN" w:eastAsia="zh-CN"/>
              </w:rPr>
              <w:t>以</w:t>
            </w:r>
            <w:r>
              <w:rPr>
                <w:rFonts w:eastAsia="楷体_GB2312"/>
                <w:szCs w:val="20"/>
                <w:lang w:val="en-GB"/>
              </w:rPr>
              <w:t>稳定并限制现有发电厂的收费</w:t>
            </w:r>
            <w:r>
              <w:rPr>
                <w:rFonts w:hint="eastAsia" w:eastAsia="楷体_GB2312"/>
                <w:szCs w:val="20"/>
                <w:lang w:val="en-GB" w:eastAsia="zh-CN"/>
              </w:rPr>
              <w:t>，</w:t>
            </w:r>
            <w:r>
              <w:rPr>
                <w:rFonts w:eastAsia="楷体_GB2312"/>
                <w:szCs w:val="20"/>
                <w:lang w:val="en-GB"/>
              </w:rPr>
              <w:t>保护消费者</w:t>
            </w:r>
            <w:r>
              <w:rPr>
                <w:rFonts w:eastAsia="楷体_GB2312"/>
                <w:szCs w:val="20"/>
                <w:lang w:val="zh-CN"/>
              </w:rPr>
              <w:t>。</w:t>
            </w:r>
          </w:p>
          <w:p w14:paraId="1BD86972">
            <w:pPr>
              <w:jc w:val="both"/>
              <w:rPr>
                <w:rFonts w:eastAsia="楷体_GB2312"/>
                <w:sz w:val="20"/>
                <w:szCs w:val="20"/>
                <w:lang w:val="zh-CN" w:eastAsia="zh-CN"/>
              </w:rPr>
            </w:pPr>
          </w:p>
          <w:p w14:paraId="5851F30F">
            <w:pPr>
              <w:pStyle w:val="94"/>
              <w:rPr>
                <w:rFonts w:hint="eastAsia" w:eastAsia="楷体_GB2312" w:cs="Times New Roman"/>
                <w:b/>
                <w:bCs/>
                <w:kern w:val="28"/>
                <w:lang w:eastAsia="zh-CN"/>
              </w:rPr>
            </w:pPr>
            <w:r>
              <w:rPr>
                <w:rFonts w:eastAsia="楷体_GB2312" w:cs="Times New Roman"/>
                <w:b/>
                <w:bCs/>
                <w:kern w:val="28"/>
              </w:rPr>
              <w:t>点评</w:t>
            </w:r>
            <w:r>
              <w:rPr>
                <w:rFonts w:hint="eastAsia" w:eastAsia="楷体_GB2312" w:cs="Times New Roman"/>
                <w:b/>
                <w:bCs/>
                <w:kern w:val="28"/>
                <w:lang w:eastAsia="zh-CN"/>
              </w:rPr>
              <w:t>：</w:t>
            </w:r>
          </w:p>
          <w:p w14:paraId="57359AC4">
            <w:pPr>
              <w:pStyle w:val="40"/>
              <w:jc w:val="both"/>
              <w:rPr>
                <w:rFonts w:eastAsia="楷体_GB2312"/>
                <w:snapToGrid/>
                <w:szCs w:val="20"/>
                <w:lang w:eastAsia="zh-CN"/>
              </w:rPr>
            </w:pPr>
            <w:r>
              <w:rPr>
                <w:rFonts w:hint="eastAsia" w:eastAsia="楷体_GB2312"/>
                <w:b/>
                <w:bCs/>
                <w:snapToGrid/>
                <w:szCs w:val="20"/>
                <w:lang w:eastAsia="zh-CN"/>
              </w:rPr>
              <w:t>这份声明在成本分配机制上的核心逻辑是打破传统电网扩容成本由全体用户平摊的惯例，让驱动用电成本增长的数据中心承担</w:t>
            </w:r>
            <w:r>
              <w:rPr>
                <w:rFonts w:hint="eastAsia" w:eastAsia="楷体_GB2312"/>
                <w:b/>
                <w:bCs/>
                <w:snapToGrid/>
                <w:szCs w:val="20"/>
                <w:lang w:val="en-GB" w:eastAsia="zh-CN"/>
              </w:rPr>
              <w:t>电网扩容和新建发电设施的资本开支</w:t>
            </w:r>
            <w:r>
              <w:rPr>
                <w:rFonts w:hint="eastAsia" w:eastAsia="楷体_GB2312"/>
                <w:b/>
                <w:bCs/>
                <w:snapToGrid/>
                <w:szCs w:val="20"/>
                <w:lang w:eastAsia="zh-CN"/>
              </w:rPr>
              <w:t>。</w:t>
            </w:r>
            <w:r>
              <w:rPr>
                <w:rFonts w:hint="eastAsia" w:eastAsia="楷体_GB2312"/>
                <w:snapToGrid/>
                <w:szCs w:val="20"/>
                <w:lang w:eastAsia="zh-CN"/>
              </w:rPr>
              <w:t>在传统的电力市场中，为了保障可靠性而采购的新容量成本通常被视为公共基础设施支出，由所有负载服务实体（</w:t>
            </w:r>
            <w:r>
              <w:rPr>
                <w:rFonts w:eastAsia="楷体_GB2312"/>
                <w:snapToGrid/>
                <w:szCs w:val="20"/>
                <w:lang w:eastAsia="zh-CN"/>
              </w:rPr>
              <w:t>LSEs</w:t>
            </w:r>
            <w:r>
              <w:rPr>
                <w:rFonts w:hint="eastAsia" w:eastAsia="楷体_GB2312"/>
                <w:snapToGrid/>
                <w:szCs w:val="20"/>
                <w:lang w:eastAsia="zh-CN"/>
              </w:rPr>
              <w:t>）按比例分摊。然而，这份声明明确要求将通过“可靠性后备拍卖”（</w:t>
            </w:r>
            <w:r>
              <w:rPr>
                <w:rFonts w:eastAsia="楷体_GB2312"/>
                <w:snapToGrid/>
                <w:szCs w:val="20"/>
                <w:lang w:eastAsia="zh-CN"/>
              </w:rPr>
              <w:t>Reliability Backstop Auction</w:t>
            </w:r>
            <w:r>
              <w:rPr>
                <w:rFonts w:hint="eastAsia" w:eastAsia="楷体_GB2312"/>
                <w:snapToGrid/>
                <w:szCs w:val="20"/>
                <w:lang w:eastAsia="zh-CN"/>
              </w:rPr>
              <w:t>）采购的所有新容量成本，直接定向分配给那些拥有“新数据中心负载”的</w:t>
            </w:r>
            <w:r>
              <w:rPr>
                <w:rFonts w:eastAsia="楷体_GB2312"/>
                <w:snapToGrid/>
                <w:szCs w:val="20"/>
                <w:lang w:eastAsia="zh-CN"/>
              </w:rPr>
              <w:t xml:space="preserve"> LSEs </w:t>
            </w:r>
            <w:r>
              <w:rPr>
                <w:rFonts w:hint="eastAsia" w:eastAsia="楷体_GB2312"/>
                <w:snapToGrid/>
                <w:szCs w:val="20"/>
                <w:lang w:eastAsia="zh-CN"/>
              </w:rPr>
              <w:t>。这种分配机制专门针对那些“未自行采购新容量”或“未同意成为可削减负荷（</w:t>
            </w:r>
            <w:r>
              <w:rPr>
                <w:rFonts w:eastAsia="楷体_GB2312"/>
                <w:snapToGrid/>
                <w:szCs w:val="20"/>
                <w:lang w:eastAsia="zh-CN"/>
              </w:rPr>
              <w:t>curtailable</w:t>
            </w:r>
            <w:r>
              <w:rPr>
                <w:rFonts w:hint="eastAsia" w:eastAsia="楷体_GB2312"/>
                <w:snapToGrid/>
                <w:szCs w:val="20"/>
                <w:lang w:eastAsia="zh-CN"/>
              </w:rPr>
              <w:t>）”的数据中心</w:t>
            </w:r>
            <w:r>
              <w:rPr>
                <w:rFonts w:eastAsia="楷体_GB2312"/>
                <w:snapToGrid/>
                <w:szCs w:val="20"/>
                <w:lang w:eastAsia="zh-CN"/>
              </w:rPr>
              <w:t xml:space="preserve"> </w:t>
            </w:r>
            <w:r>
              <w:rPr>
                <w:rFonts w:hint="eastAsia" w:eastAsia="楷体_GB2312"/>
                <w:snapToGrid/>
                <w:szCs w:val="20"/>
                <w:lang w:eastAsia="zh-CN"/>
              </w:rPr>
              <w:t>。这意味着如果数据中心没有通过自建电厂或签订长期购电协议来抵消其对电网的压力，它们将必须支付这笔额外产生的系统可靠性费用。</w:t>
            </w:r>
          </w:p>
          <w:p w14:paraId="02ABA4C8">
            <w:pPr>
              <w:pStyle w:val="40"/>
              <w:jc w:val="both"/>
              <w:rPr>
                <w:rFonts w:eastAsia="楷体_GB2312"/>
                <w:snapToGrid/>
                <w:szCs w:val="20"/>
                <w:lang w:eastAsia="zh-CN"/>
              </w:rPr>
            </w:pPr>
          </w:p>
          <w:p w14:paraId="38ABA3AC">
            <w:pPr>
              <w:pStyle w:val="40"/>
              <w:spacing w:before="120"/>
              <w:jc w:val="both"/>
              <w:rPr>
                <w:rFonts w:eastAsia="楷体_GB2312"/>
                <w:snapToGrid/>
                <w:szCs w:val="20"/>
                <w:lang w:eastAsia="zh-CN"/>
              </w:rPr>
            </w:pPr>
            <w:r>
              <w:rPr>
                <w:rFonts w:hint="eastAsia" w:eastAsia="楷体_GB2312"/>
                <w:b/>
                <w:bCs/>
                <w:snapToGrid/>
                <w:szCs w:val="20"/>
                <w:lang w:eastAsia="zh-CN"/>
              </w:rPr>
              <w:t>声明</w:t>
            </w:r>
            <w:r>
              <w:rPr>
                <w:rFonts w:hint="eastAsia" w:eastAsia="楷体_GB2312"/>
                <w:b/>
                <w:bCs/>
                <w:snapToGrid/>
                <w:szCs w:val="20"/>
                <w:lang w:val="en-GB" w:eastAsia="zh-CN"/>
              </w:rPr>
              <w:t>本质上将数据中心从普通用电池子中剥离出来，推动大型云服务厂商寻找现场发电解决方案，大幅提升燃料电池SOFC解决方案的相对经济性和吸引力。</w:t>
            </w:r>
            <w:r>
              <w:rPr>
                <w:rFonts w:eastAsia="楷体_GB2312"/>
                <w:snapToGrid/>
                <w:szCs w:val="20"/>
                <w:lang w:val="en-GB" w:eastAsia="zh-CN"/>
              </w:rPr>
              <w:t>尽管这份原则声明本身不具有法律约束力，但它的意义主要体现在统一立场政治施压</w:t>
            </w:r>
            <w:r>
              <w:rPr>
                <w:rFonts w:hint="eastAsia" w:eastAsia="楷体_GB2312"/>
                <w:snapToGrid/>
                <w:szCs w:val="20"/>
                <w:lang w:val="en-GB" w:eastAsia="zh-CN"/>
              </w:rPr>
              <w:t>意图，</w:t>
            </w:r>
            <w:r>
              <w:rPr>
                <w:rFonts w:eastAsia="楷体_GB2312"/>
                <w:snapToGrid/>
                <w:szCs w:val="20"/>
                <w:lang w:val="en-GB" w:eastAsia="zh-CN"/>
              </w:rPr>
              <w:t>以及为未来的监管和立法行动奠定基础。</w:t>
            </w:r>
            <w:r>
              <w:rPr>
                <w:rFonts w:hint="eastAsia" w:eastAsia="楷体_GB2312"/>
                <w:snapToGrid/>
                <w:szCs w:val="20"/>
                <w:lang w:eastAsia="zh-CN"/>
              </w:rPr>
              <w:t>对于数据中心运营商而言，这意味着在</w:t>
            </w:r>
            <w:r>
              <w:rPr>
                <w:rFonts w:eastAsia="楷体_GB2312"/>
                <w:snapToGrid/>
                <w:szCs w:val="20"/>
                <w:lang w:eastAsia="zh-CN"/>
              </w:rPr>
              <w:t xml:space="preserve"> PJM </w:t>
            </w:r>
            <w:r>
              <w:rPr>
                <w:rFonts w:hint="eastAsia" w:eastAsia="楷体_GB2312"/>
                <w:snapToGrid/>
                <w:szCs w:val="20"/>
                <w:lang w:eastAsia="zh-CN"/>
              </w:rPr>
              <w:t>区域内，甚至未来全美范围内的资本开支和运营成本将大幅上升，迫使其转向自备能源或增强负荷灵活性</w:t>
            </w:r>
            <w:r>
              <w:rPr>
                <w:rFonts w:eastAsia="楷体_GB2312"/>
                <w:snapToGrid/>
                <w:szCs w:val="20"/>
                <w:lang w:eastAsia="zh-CN"/>
              </w:rPr>
              <w:t xml:space="preserve"> </w:t>
            </w:r>
            <w:r>
              <w:rPr>
                <w:rFonts w:hint="eastAsia" w:eastAsia="楷体_GB2312"/>
                <w:snapToGrid/>
                <w:szCs w:val="20"/>
                <w:lang w:eastAsia="zh-CN"/>
              </w:rPr>
              <w:t>。</w:t>
            </w:r>
          </w:p>
          <w:p w14:paraId="445B7CF0">
            <w:pPr>
              <w:pStyle w:val="40"/>
              <w:spacing w:before="120"/>
              <w:jc w:val="both"/>
              <w:rPr>
                <w:rFonts w:eastAsia="楷体_GB2312"/>
                <w:snapToGrid/>
                <w:szCs w:val="20"/>
                <w:lang w:eastAsia="zh-CN"/>
              </w:rPr>
            </w:pPr>
            <w:r>
              <w:rPr>
                <w:rFonts w:hint="eastAsia" w:eastAsia="楷体_GB2312"/>
                <w:b/>
                <w:bCs/>
                <w:snapToGrid/>
                <w:szCs w:val="20"/>
                <w:lang w:eastAsia="zh-CN"/>
              </w:rPr>
              <w:t>我们测算，若未来为满足</w:t>
            </w:r>
            <w:r>
              <w:rPr>
                <w:rFonts w:eastAsia="楷体_GB2312"/>
                <w:b/>
                <w:bCs/>
                <w:snapToGrid/>
                <w:szCs w:val="20"/>
                <w:lang w:eastAsia="zh-CN"/>
              </w:rPr>
              <w:t>AI</w:t>
            </w:r>
            <w:r>
              <w:rPr>
                <w:rFonts w:hint="eastAsia" w:eastAsia="楷体_GB2312"/>
                <w:b/>
                <w:bCs/>
                <w:snapToGrid/>
                <w:szCs w:val="20"/>
                <w:lang w:eastAsia="zh-CN"/>
              </w:rPr>
              <w:t>算力需求而新建或升级电网的新增资本开支全部由大型云厂商承担，那么使用电网电力将使其资本开支增加</w:t>
            </w:r>
            <w:r>
              <w:rPr>
                <w:rFonts w:eastAsia="楷体_GB2312"/>
                <w:b/>
                <w:bCs/>
                <w:snapToGrid/>
                <w:szCs w:val="20"/>
                <w:lang w:eastAsia="zh-CN"/>
              </w:rPr>
              <w:t>$1500 -$2250/kW</w:t>
            </w:r>
            <w:r>
              <w:rPr>
                <w:rFonts w:hint="eastAsia" w:eastAsia="楷体_GB2312"/>
                <w:b/>
                <w:bCs/>
                <w:snapToGrid/>
                <w:szCs w:val="20"/>
                <w:lang w:eastAsia="zh-CN"/>
              </w:rPr>
              <w:t>。相比之下，该方案的经济性优势较</w:t>
            </w:r>
            <w:r>
              <w:rPr>
                <w:rFonts w:eastAsia="楷体_GB2312"/>
                <w:b/>
                <w:bCs/>
                <w:snapToGrid/>
                <w:szCs w:val="20"/>
                <w:lang w:eastAsia="zh-CN"/>
              </w:rPr>
              <w:t>CapEx</w:t>
            </w:r>
            <w:r>
              <w:rPr>
                <w:rFonts w:hint="eastAsia" w:eastAsia="楷体_GB2312"/>
                <w:b/>
                <w:bCs/>
                <w:snapToGrid/>
                <w:szCs w:val="20"/>
                <w:lang w:eastAsia="zh-CN"/>
              </w:rPr>
              <w:t>约为</w:t>
            </w:r>
            <w:r>
              <w:rPr>
                <w:rFonts w:eastAsia="楷体_GB2312"/>
                <w:b/>
                <w:bCs/>
                <w:snapToGrid/>
                <w:szCs w:val="20"/>
                <w:lang w:eastAsia="zh-CN"/>
              </w:rPr>
              <w:t>~$2000/kW</w:t>
            </w:r>
            <w:r>
              <w:rPr>
                <w:rFonts w:hint="eastAsia" w:eastAsia="楷体_GB2312"/>
                <w:b/>
                <w:bCs/>
                <w:snapToGrid/>
                <w:szCs w:val="20"/>
                <w:lang w:eastAsia="zh-CN"/>
              </w:rPr>
              <w:t>（</w:t>
            </w:r>
            <w:r>
              <w:rPr>
                <w:rFonts w:eastAsia="楷体_GB2312"/>
                <w:b/>
                <w:bCs/>
                <w:snapToGrid/>
                <w:szCs w:val="20"/>
                <w:lang w:eastAsia="zh-CN"/>
              </w:rPr>
              <w:t>ITC</w:t>
            </w:r>
            <w:r>
              <w:rPr>
                <w:rFonts w:hint="eastAsia" w:eastAsia="楷体_GB2312"/>
                <w:b/>
                <w:bCs/>
                <w:snapToGrid/>
                <w:szCs w:val="20"/>
                <w:lang w:eastAsia="zh-CN"/>
              </w:rPr>
              <w:t>补贴后）且能</w:t>
            </w:r>
            <w:r>
              <w:rPr>
                <w:rFonts w:eastAsia="楷体_GB2312"/>
                <w:b/>
                <w:bCs/>
                <w:snapToGrid/>
                <w:szCs w:val="20"/>
                <w:lang w:eastAsia="zh-CN"/>
              </w:rPr>
              <w:t>90</w:t>
            </w:r>
            <w:r>
              <w:rPr>
                <w:rFonts w:hint="eastAsia" w:eastAsia="楷体_GB2312"/>
                <w:b/>
                <w:bCs/>
                <w:snapToGrid/>
                <w:szCs w:val="20"/>
                <w:lang w:eastAsia="zh-CN"/>
              </w:rPr>
              <w:t>天内快速部署的</w:t>
            </w:r>
            <w:r>
              <w:rPr>
                <w:rFonts w:eastAsia="楷体_GB2312"/>
                <w:b/>
                <w:bCs/>
                <w:snapToGrid/>
                <w:szCs w:val="20"/>
                <w:lang w:eastAsia="zh-CN"/>
              </w:rPr>
              <w:t>SOFC</w:t>
            </w:r>
            <w:r>
              <w:rPr>
                <w:rFonts w:hint="eastAsia" w:eastAsia="楷体_GB2312"/>
                <w:b/>
                <w:bCs/>
                <w:snapToGrid/>
                <w:szCs w:val="20"/>
                <w:lang w:eastAsia="zh-CN"/>
              </w:rPr>
              <w:t>大大降低</w:t>
            </w:r>
            <w:r>
              <w:rPr>
                <w:rFonts w:hint="eastAsia" w:eastAsia="楷体_GB2312"/>
                <w:snapToGrid/>
                <w:szCs w:val="20"/>
                <w:lang w:eastAsia="zh-CN"/>
              </w:rPr>
              <w:t>。</w:t>
            </w:r>
          </w:p>
          <w:p w14:paraId="54E03358">
            <w:pPr>
              <w:pStyle w:val="40"/>
              <w:jc w:val="both"/>
              <w:rPr>
                <w:rFonts w:eastAsia="楷体_GB2312"/>
                <w:b/>
                <w:bCs/>
                <w:szCs w:val="20"/>
                <w:lang w:eastAsia="zh-CN"/>
              </w:rPr>
            </w:pPr>
          </w:p>
          <w:p w14:paraId="0C600487">
            <w:pPr>
              <w:pStyle w:val="94"/>
              <w:rPr>
                <w:rFonts w:hint="eastAsia" w:eastAsia="楷体_GB2312" w:cs="Times New Roman"/>
                <w:b w:val="0"/>
                <w:bCs w:val="0"/>
                <w:kern w:val="28"/>
                <w:lang w:val="en-US" w:eastAsia="zh-CN"/>
              </w:rPr>
            </w:pPr>
            <w:r>
              <w:rPr>
                <w:rFonts w:hint="eastAsia" w:eastAsia="楷体_GB2312" w:cs="Times New Roman"/>
                <w:b/>
                <w:bCs/>
                <w:kern w:val="28"/>
                <w:lang w:val="en-US" w:eastAsia="zh-CN"/>
              </w:rPr>
              <w:t>投资建议：</w:t>
            </w:r>
            <w:r>
              <w:rPr>
                <w:rFonts w:hint="eastAsia" w:eastAsia="楷体_GB2312" w:cs="Times New Roman"/>
                <w:b w:val="0"/>
                <w:bCs w:val="0"/>
                <w:kern w:val="28"/>
                <w:lang w:val="en-US" w:eastAsia="zh-CN"/>
              </w:rPr>
              <w:t>建议关注Bloom Energy、Cameco Corporation、Centrus Energy、</w:t>
            </w:r>
            <w:r>
              <w:rPr>
                <w:rFonts w:hint="eastAsia" w:eastAsia="楷体_GB2312" w:cs="Times New Roman"/>
                <w:b w:val="0"/>
                <w:bCs w:val="0"/>
                <w:kern w:val="28"/>
                <w:lang w:val="en-US" w:eastAsia="zh-CN"/>
              </w:rPr>
              <w:fldChar w:fldCharType="begin"/>
            </w:r>
            <w:r>
              <w:rPr>
                <w:rFonts w:hint="eastAsia" w:eastAsia="楷体_GB2312" w:cs="Times New Roman"/>
                <w:b w:val="0"/>
                <w:bCs w:val="0"/>
                <w:kern w:val="28"/>
                <w:lang w:val="en-US" w:eastAsia="zh-CN"/>
              </w:rPr>
              <w:instrText xml:space="preserve"> HYPERLINK "https://www.nuscalepower.com/" \t "https://www.google.com/_blank" </w:instrText>
            </w:r>
            <w:r>
              <w:rPr>
                <w:rFonts w:hint="eastAsia" w:eastAsia="楷体_GB2312" w:cs="Times New Roman"/>
                <w:b w:val="0"/>
                <w:bCs w:val="0"/>
                <w:kern w:val="28"/>
                <w:lang w:val="en-US" w:eastAsia="zh-CN"/>
              </w:rPr>
              <w:fldChar w:fldCharType="separate"/>
            </w:r>
            <w:r>
              <w:rPr>
                <w:rFonts w:hint="eastAsia" w:eastAsia="楷体_GB2312" w:cs="Times New Roman"/>
                <w:b w:val="0"/>
                <w:bCs w:val="0"/>
                <w:kern w:val="28"/>
                <w:lang w:val="en-US" w:eastAsia="zh-CN"/>
              </w:rPr>
              <w:t>NuScale Power Corporation</w:t>
            </w:r>
            <w:r>
              <w:rPr>
                <w:rFonts w:hint="eastAsia" w:eastAsia="楷体_GB2312" w:cs="Times New Roman"/>
                <w:b w:val="0"/>
                <w:bCs w:val="0"/>
                <w:kern w:val="28"/>
                <w:lang w:val="en-US" w:eastAsia="zh-CN"/>
              </w:rPr>
              <w:fldChar w:fldCharType="end"/>
            </w:r>
            <w:r>
              <w:rPr>
                <w:rFonts w:hint="eastAsia" w:eastAsia="楷体_GB2312" w:cs="Times New Roman"/>
                <w:b w:val="0"/>
                <w:bCs w:val="0"/>
                <w:kern w:val="28"/>
                <w:lang w:val="en-US" w:eastAsia="zh-CN"/>
              </w:rPr>
              <w:t xml:space="preserve">、Oklo Inc。 </w:t>
            </w:r>
          </w:p>
          <w:p w14:paraId="74193F57">
            <w:pPr>
              <w:pStyle w:val="94"/>
              <w:rPr>
                <w:rFonts w:hint="default" w:eastAsia="楷体_GB2312" w:cs="Times New Roman"/>
                <w:b w:val="0"/>
                <w:bCs w:val="0"/>
                <w:kern w:val="28"/>
                <w:sz w:val="6"/>
                <w:szCs w:val="6"/>
                <w:lang w:val="en-US" w:eastAsia="zh-CN"/>
              </w:rPr>
            </w:pPr>
            <w:r>
              <w:rPr>
                <w:rFonts w:hint="eastAsia" w:eastAsia="楷体_GB2312" w:cs="Times New Roman"/>
                <w:b w:val="0"/>
                <w:bCs w:val="0"/>
                <w:kern w:val="28"/>
                <w:sz w:val="6"/>
                <w:szCs w:val="6"/>
                <w:lang w:val="en-US" w:eastAsia="zh-CN"/>
              </w:rPr>
              <w:t xml:space="preserve">  </w:t>
            </w:r>
          </w:p>
          <w:p w14:paraId="6470A9A0">
            <w:pPr>
              <w:pStyle w:val="94"/>
              <w:rPr>
                <w:rFonts w:eastAsia="楷体_GB2312"/>
                <w:szCs w:val="20"/>
                <w:lang w:eastAsia="zh-CN"/>
              </w:rPr>
            </w:pPr>
            <w:r>
              <w:rPr>
                <w:rFonts w:hint="eastAsia" w:eastAsia="楷体_GB2312" w:cs="Times New Roman"/>
                <w:b/>
                <w:bCs/>
                <w:kern w:val="28"/>
              </w:rPr>
              <w:t>风险</w:t>
            </w:r>
            <w:r>
              <w:rPr>
                <w:rFonts w:hint="eastAsia" w:eastAsia="楷体_GB2312" w:cs="Times New Roman"/>
                <w:b/>
                <w:bCs/>
                <w:kern w:val="28"/>
                <w:lang w:val="en-US" w:eastAsia="zh-CN"/>
              </w:rPr>
              <w:t>提示：</w:t>
            </w:r>
            <w:r>
              <w:rPr>
                <w:rFonts w:hint="eastAsia" w:eastAsia="楷体_GB2312"/>
                <w:szCs w:val="20"/>
                <w:lang w:eastAsia="zh-CN"/>
              </w:rPr>
              <w:t>AI用电不及预期；SOFC降本不及预期；天然气价格超预期上升。</w:t>
            </w:r>
          </w:p>
        </w:tc>
      </w:tr>
      <w:bookmarkEnd w:id="0"/>
      <w:bookmarkEnd w:id="1"/>
    </w:tbl>
    <w:p w14:paraId="0568F9D0">
      <w:pPr>
        <w:spacing w:before="240" w:beforeLines="100" w:after="240" w:afterLines="100"/>
        <w:rPr>
          <w:rFonts w:eastAsia="宋体"/>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1134" w:right="851" w:bottom="1321" w:left="851" w:header="284" w:footer="1157" w:gutter="0"/>
          <w:cols w:space="720" w:num="1"/>
          <w:docGrid w:linePitch="360" w:charSpace="0"/>
        </w:sectPr>
      </w:pPr>
    </w:p>
    <w:tbl>
      <w:tblPr>
        <w:tblStyle w:val="27"/>
        <w:tblW w:w="11227"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252"/>
      </w:tblGrid>
      <w:tr w14:paraId="4D49D93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227" w:type="dxa"/>
          </w:tcPr>
          <w:p w14:paraId="0AC54738">
            <w:r>
              <w:rPr>
                <w:color w:val="FFFFFF" w:themeColor="background1"/>
                <w14:textFill>
                  <w14:solidFill>
                    <w14:schemeClr w14:val="bg1"/>
                  </w14:solidFill>
                </w14:textFill>
              </w:rPr>
              <w:t>[Table_APPENDIX]</w:t>
            </w:r>
          </w:p>
        </w:tc>
      </w:tr>
      <w:tr w14:paraId="6FE867B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227" w:type="dxa"/>
          </w:tcPr>
          <w:tbl>
            <w:tblPr>
              <w:tblStyle w:val="27"/>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42C5BBC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251F7484">
                  <w:pPr>
                    <w:pStyle w:val="44"/>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7B75943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36C09FC0">
                  <w:pPr>
                    <w:pStyle w:val="44"/>
                    <w:spacing w:after="60"/>
                    <w:rPr>
                      <w:rFonts w:eastAsia="楷体_GB2312" w:cs="Calibri"/>
                      <w:b/>
                      <w:bCs/>
                      <w:w w:val="70"/>
                      <w:sz w:val="22"/>
                      <w:szCs w:val="22"/>
                      <w:lang w:eastAsia="zh-CN"/>
                    </w:rPr>
                  </w:pPr>
                  <w:r>
                    <w:rPr>
                      <w:rFonts w:eastAsia="楷体_GB2312" w:cs="Calibri"/>
                      <w:b/>
                      <w:bCs/>
                      <w:w w:val="70"/>
                      <w:sz w:val="22"/>
                      <w:szCs w:val="22"/>
                    </w:rPr>
                    <w:t>附录APPENDIX</w:t>
                  </w:r>
                </w:p>
                <w:p w14:paraId="16BD4AEA">
                  <w:pPr>
                    <w:pStyle w:val="44"/>
                    <w:rPr>
                      <w:rFonts w:eastAsia="楷体_GB2312" w:cs="Calibri"/>
                      <w:b/>
                      <w:w w:val="70"/>
                      <w:sz w:val="20"/>
                      <w:szCs w:val="20"/>
                    </w:rPr>
                  </w:pPr>
                  <w:r>
                    <w:rPr>
                      <w:rFonts w:eastAsia="楷体_GB2312" w:cs="Calibri"/>
                      <w:b/>
                      <w:w w:val="70"/>
                      <w:sz w:val="20"/>
                      <w:szCs w:val="20"/>
                    </w:rPr>
                    <w:t>重要信息披露</w:t>
                  </w:r>
                </w:p>
                <w:p w14:paraId="76EFB564">
                  <w:pPr>
                    <w:pStyle w:val="44"/>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14:paraId="650EBAFB">
                  <w:pPr>
                    <w:pStyle w:val="44"/>
                    <w:rPr>
                      <w:rFonts w:eastAsia="楷体_GB2312" w:cs="Calibri"/>
                      <w:b/>
                      <w:bCs/>
                      <w:w w:val="70"/>
                      <w:sz w:val="20"/>
                      <w:szCs w:val="20"/>
                    </w:rPr>
                  </w:pPr>
                  <w:r>
                    <w:rPr>
                      <w:rFonts w:eastAsia="楷体_GB2312" w:cs="Calibri"/>
                      <w:b/>
                      <w:bCs/>
                      <w:w w:val="70"/>
                      <w:sz w:val="20"/>
                      <w:szCs w:val="20"/>
                    </w:rPr>
                    <w:t>IMPORTANT DISCLOSURES</w:t>
                  </w:r>
                </w:p>
                <w:p w14:paraId="0128208E">
                  <w:pPr>
                    <w:pStyle w:val="44"/>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668E83F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68C4F241">
                  <w:pPr>
                    <w:pStyle w:val="44"/>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1030E53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046ACC6B">
                  <w:pPr>
                    <w:jc w:val="both"/>
                    <w:rPr>
                      <w:rFonts w:eastAsia="楷体_GB2312" w:cs="Calibri"/>
                      <w:w w:val="70"/>
                      <w:sz w:val="20"/>
                      <w:szCs w:val="20"/>
                      <w:lang w:eastAsia="zh-CN"/>
                    </w:rPr>
                  </w:pPr>
                  <w:r>
                    <w:rPr>
                      <w:rFonts w:ascii="Calibri" w:eastAsia="楷体_GB2312"/>
                      <w:b w:val="0"/>
                      <w:i w:val="0"/>
                      <w:color w:val="000000"/>
                      <w:w w:val="70"/>
                      <w:sz w:val="20"/>
                    </w:rPr>
                    <w:t>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5A9E44F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3ED709C3">
                  <w:pPr>
                    <w:pStyle w:val="44"/>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03A88F5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04C7E038">
                  <w:pPr>
                    <w:pStyle w:val="44"/>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"mailto:请发邮件至lcd@hfisec.com.hk" </w:instrText>
                  </w:r>
                  <w:r>
                    <w:fldChar w:fldCharType="separate"/>
                  </w:r>
                  <w:r>
                    <w:rPr>
                      <w:rStyle w:val="32"/>
                      <w:rFonts w:eastAsia="楷体_GB2312" w:cs="Calibri"/>
                      <w:w w:val="70"/>
                      <w:sz w:val="20"/>
                      <w:szCs w:val="20"/>
                    </w:rPr>
                    <w:t>请发邮件至lcd@hfisec.com.hk</w:t>
                  </w:r>
                  <w:r>
                    <w:rPr>
                      <w:rStyle w:val="32"/>
                      <w:rFonts w:eastAsia="楷体_GB2312" w:cs="Calibri"/>
                      <w:w w:val="70"/>
                      <w:sz w:val="20"/>
                      <w:szCs w:val="20"/>
                    </w:rPr>
                    <w:fldChar w:fldCharType="end"/>
                  </w:r>
                  <w:r>
                    <w:rPr>
                      <w:rFonts w:eastAsia="楷体_GB2312" w:cs="Calibri"/>
                      <w:w w:val="70"/>
                      <w:sz w:val="20"/>
                      <w:szCs w:val="20"/>
                    </w:rPr>
                    <w:t>）</w:t>
                  </w:r>
                </w:p>
                <w:p w14:paraId="02F171D4">
                  <w:pPr>
                    <w:pStyle w:val="44"/>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1CBDA97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48E9381">
                  <w:pPr>
                    <w:pStyle w:val="44"/>
                    <w:rPr>
                      <w:rFonts w:eastAsia="楷体_GB2312" w:cs="Calibri"/>
                      <w:w w:val="70"/>
                      <w:sz w:val="20"/>
                      <w:szCs w:val="20"/>
                    </w:rPr>
                  </w:pPr>
                </w:p>
              </w:tc>
            </w:tr>
            <w:tr w14:paraId="4EF3F6A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331B6DFC">
                  <w:pPr>
                    <w:pStyle w:val="44"/>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3E572D05">
                  <w:pPr>
                    <w:pStyle w:val="44"/>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3166F5CE">
                  <w:pPr>
                    <w:pStyle w:val="44"/>
                    <w:rPr>
                      <w:rFonts w:eastAsia="楷体_GB2312" w:cs="Calibri"/>
                      <w:b/>
                      <w:w w:val="70"/>
                      <w:sz w:val="20"/>
                      <w:szCs w:val="20"/>
                      <w:lang w:eastAsia="zh-CN"/>
                    </w:rPr>
                  </w:pPr>
                  <w:r>
                    <w:rPr>
                      <w:rFonts w:eastAsia="楷体_GB2312" w:cs="Calibri"/>
                      <w:b/>
                      <w:w w:val="70"/>
                      <w:sz w:val="20"/>
                      <w:szCs w:val="20"/>
                      <w:lang w:eastAsia="zh-CN"/>
                    </w:rPr>
                    <w:t>分析师股票评级</w:t>
                  </w:r>
                </w:p>
                <w:p w14:paraId="55F0A345">
                  <w:pPr>
                    <w:pStyle w:val="44"/>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0BB47A31">
                  <w:pPr>
                    <w:pStyle w:val="44"/>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25C06166">
                  <w:pPr>
                    <w:pStyle w:val="44"/>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6065575A">
                  <w:pPr>
                    <w:pStyle w:val="44"/>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2AD4F49C">
                  <w:pPr>
                    <w:pStyle w:val="44"/>
                    <w:rPr>
                      <w:rFonts w:eastAsia="楷体_GB2312" w:cs="Calibri"/>
                      <w:w w:val="79"/>
                      <w:sz w:val="20"/>
                      <w:szCs w:val="20"/>
                    </w:rPr>
                  </w:pPr>
                  <w:r>
                    <w:rPr>
                      <w:rFonts w:eastAsia="楷体_GB2312" w:cs="Calibri"/>
                      <w:b/>
                      <w:w w:val="79"/>
                      <w:sz w:val="20"/>
                      <w:szCs w:val="20"/>
                    </w:rPr>
                    <w:t xml:space="preserve">Ratings Definitions (from 1 Jul 2020): </w:t>
                  </w:r>
                </w:p>
                <w:p w14:paraId="46B8C124">
                  <w:pPr>
                    <w:pStyle w:val="44"/>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38D64BF5">
                  <w:pPr>
                    <w:pStyle w:val="44"/>
                    <w:rPr>
                      <w:rFonts w:eastAsia="楷体_GB2312" w:cs="Calibri"/>
                      <w:b/>
                      <w:w w:val="79"/>
                      <w:sz w:val="20"/>
                      <w:szCs w:val="20"/>
                    </w:rPr>
                  </w:pPr>
                  <w:r>
                    <w:rPr>
                      <w:rFonts w:eastAsia="楷体_GB2312" w:cs="Calibri"/>
                      <w:b/>
                      <w:w w:val="79"/>
                      <w:sz w:val="20"/>
                      <w:szCs w:val="20"/>
                    </w:rPr>
                    <w:t>Analyst Stock Ratings</w:t>
                  </w:r>
                </w:p>
                <w:p w14:paraId="102CD398">
                  <w:pPr>
                    <w:pStyle w:val="44"/>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22BE1CAD">
                  <w:pPr>
                    <w:pStyle w:val="44"/>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725EE3FF">
                  <w:pPr>
                    <w:pStyle w:val="44"/>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3D5DB4F5">
                  <w:pPr>
                    <w:pStyle w:val="44"/>
                    <w:rPr>
                      <w:rFonts w:eastAsia="楷体_GB2312" w:cs="Calibri"/>
                      <w:w w:val="70"/>
                      <w:sz w:val="20"/>
                      <w:szCs w:val="20"/>
                      <w:lang w:eastAsia="zh-CN"/>
                    </w:rPr>
                  </w:pPr>
                </w:p>
              </w:tc>
            </w:tr>
            <w:tr w14:paraId="356948B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049D10A">
                  <w:pPr>
                    <w:pStyle w:val="44"/>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2AE52FD8">
                  <w:pPr>
                    <w:pStyle w:val="44"/>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2B8EE00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3165A49">
                  <w:pPr>
                    <w:pStyle w:val="44"/>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14:paraId="2B926DE6">
                  <w:pPr>
                    <w:pStyle w:val="44"/>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747D124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3364836">
                  <w:pPr>
                    <w:pStyle w:val="44"/>
                    <w:rPr>
                      <w:rFonts w:eastAsia="楷体_GB2312" w:cs="Calibri"/>
                      <w:w w:val="70"/>
                      <w:sz w:val="20"/>
                      <w:szCs w:val="20"/>
                    </w:rPr>
                  </w:pPr>
                </w:p>
              </w:tc>
            </w:tr>
            <w:tr w14:paraId="06D304C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D327B96">
                  <w:pPr>
                    <w:pStyle w:val="44"/>
                    <w:spacing w:after="60"/>
                    <w:rPr>
                      <w:rFonts w:eastAsia="楷体_GB2312" w:cs="Calibri"/>
                      <w:b/>
                      <w:w w:val="70"/>
                      <w:sz w:val="20"/>
                      <w:szCs w:val="20"/>
                    </w:rPr>
                  </w:pPr>
                  <w:r>
                    <w:rPr>
                      <w:rFonts w:eastAsia="楷体_GB2312" w:cs="Calibri"/>
                      <w:b/>
                      <w:w w:val="70"/>
                      <w:sz w:val="20"/>
                      <w:szCs w:val="20"/>
                    </w:rPr>
                    <w:t>重要免责声明：</w:t>
                  </w:r>
                </w:p>
                <w:p w14:paraId="14BC3563">
                  <w:pPr>
                    <w:pStyle w:val="44"/>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1358CF3D">
                  <w:pPr>
                    <w:pStyle w:val="44"/>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51131A72">
                  <w:pPr>
                    <w:pStyle w:val="44"/>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64EA6599">
                  <w:pPr>
                    <w:pStyle w:val="44"/>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"http://www.hfisec.com.hk" </w:instrText>
                  </w:r>
                  <w:r>
                    <w:fldChar w:fldCharType="separate"/>
                  </w:r>
                  <w:r>
                    <w:rPr>
                      <w:rStyle w:val="32"/>
                      <w:rFonts w:eastAsia="楷体_GB2312" w:cs="Calibri"/>
                      <w:snapToGrid/>
                      <w:w w:val="70"/>
                      <w:sz w:val="20"/>
                      <w:szCs w:val="20"/>
                      <w:lang w:eastAsia="zh-CN"/>
                    </w:rPr>
                    <w:t>www.hfisec.com.hk</w:t>
                  </w:r>
                  <w:r>
                    <w:rPr>
                      <w:rStyle w:val="32"/>
                      <w:rFonts w:eastAsia="楷体_GB2312" w:cs="Calibri"/>
                      <w:snapToGrid/>
                      <w:w w:val="70"/>
                      <w:sz w:val="20"/>
                      <w:szCs w:val="20"/>
                      <w:lang w:eastAsia="zh-CN"/>
                    </w:rPr>
                    <w:fldChar w:fldCharType="end"/>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0F4884CA">
                  <w:pPr>
                    <w:pStyle w:val="44"/>
                    <w:spacing w:after="40"/>
                    <w:rPr>
                      <w:rFonts w:eastAsia="楷体_GB2312" w:cs="Calibri"/>
                      <w:b/>
                      <w:bCs/>
                      <w:w w:val="70"/>
                      <w:sz w:val="20"/>
                      <w:szCs w:val="20"/>
                    </w:rPr>
                  </w:pPr>
                  <w:r>
                    <w:rPr>
                      <w:rFonts w:eastAsia="楷体_GB2312" w:cs="Calibri"/>
                      <w:b/>
                      <w:bCs/>
                      <w:w w:val="70"/>
                      <w:sz w:val="20"/>
                      <w:szCs w:val="20"/>
                    </w:rPr>
                    <w:t>IMPORTANT DISCLAIMER</w:t>
                  </w:r>
                </w:p>
                <w:p w14:paraId="6C1AE391">
                  <w:pPr>
                    <w:pStyle w:val="44"/>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5E9915A1">
                  <w:pPr>
                    <w:pStyle w:val="44"/>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31DFA751">
                  <w:pPr>
                    <w:pStyle w:val="44"/>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6C22A27E">
                  <w:pPr>
                    <w:pStyle w:val="44"/>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 xml:space="preserve">website </w:t>
                  </w:r>
                  <w:r>
                    <w:fldChar w:fldCharType="begin"/>
                  </w:r>
                  <w:r>
                    <w:instrText xml:space="preserve"> HYPERLINK "http://www.hfisec.com.hk" </w:instrText>
                  </w:r>
                  <w:r>
                    <w:fldChar w:fldCharType="separate"/>
                  </w:r>
                  <w:r>
                    <w:rPr>
                      <w:rStyle w:val="32"/>
                      <w:rFonts w:eastAsia="楷体_GB2312" w:cs="Calibri"/>
                      <w:bCs/>
                      <w:w w:val="70"/>
                      <w:sz w:val="20"/>
                      <w:szCs w:val="20"/>
                    </w:rPr>
                    <w:t>www.hfisec.com.hk</w:t>
                  </w:r>
                  <w:r>
                    <w:rPr>
                      <w:rStyle w:val="32"/>
                      <w:rFonts w:eastAsia="楷体_GB2312" w:cs="Calibri"/>
                      <w:bCs/>
                      <w:w w:val="70"/>
                      <w:sz w:val="20"/>
                      <w:szCs w:val="20"/>
                    </w:rPr>
                    <w:fldChar w:fldCharType="end"/>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07C0B456">
                  <w:pPr>
                    <w:pStyle w:val="44"/>
                    <w:spacing w:after="60"/>
                    <w:rPr>
                      <w:rFonts w:eastAsia="楷体_GB2312" w:cs="Calibri"/>
                      <w:b/>
                      <w:w w:val="70"/>
                      <w:sz w:val="20"/>
                      <w:szCs w:val="20"/>
                    </w:rPr>
                  </w:pPr>
                </w:p>
              </w:tc>
            </w:tr>
            <w:tr w14:paraId="7097373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86A652F">
                  <w:pPr>
                    <w:pStyle w:val="44"/>
                    <w:spacing w:after="60"/>
                    <w:rPr>
                      <w:rFonts w:eastAsia="楷体_GB2312" w:cs="Calibri"/>
                      <w:b/>
                      <w:snapToGrid/>
                      <w:w w:val="70"/>
                      <w:sz w:val="20"/>
                      <w:szCs w:val="20"/>
                    </w:rPr>
                  </w:pPr>
                  <w:r>
                    <w:rPr>
                      <w:rFonts w:eastAsia="楷体_GB2312" w:cs="Calibri"/>
                      <w:b/>
                      <w:snapToGrid/>
                      <w:w w:val="70"/>
                      <w:sz w:val="20"/>
                      <w:szCs w:val="20"/>
                    </w:rPr>
                    <w:t>分发和地区通知：</w:t>
                  </w:r>
                </w:p>
                <w:p w14:paraId="54B8ACB1">
                  <w:pPr>
                    <w:pStyle w:val="44"/>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4BC5DC5D">
                  <w:pPr>
                    <w:pStyle w:val="44"/>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14:paraId="00A3C25E">
                  <w:pPr>
                    <w:pStyle w:val="44"/>
                    <w:spacing w:after="40"/>
                    <w:rPr>
                      <w:rFonts w:eastAsia="楷体_GB2312" w:cs="Calibri"/>
                      <w:b/>
                      <w:bCs/>
                      <w:w w:val="70"/>
                      <w:sz w:val="20"/>
                      <w:szCs w:val="20"/>
                    </w:rPr>
                  </w:pPr>
                  <w:r>
                    <w:rPr>
                      <w:rFonts w:eastAsia="楷体_GB2312" w:cs="Calibri"/>
                      <w:b/>
                      <w:bCs/>
                      <w:w w:val="70"/>
                      <w:sz w:val="20"/>
                      <w:szCs w:val="20"/>
                    </w:rPr>
                    <w:t>DISTRIBUTION AND REGIONAL NOTICES</w:t>
                  </w:r>
                </w:p>
                <w:p w14:paraId="256436D0">
                  <w:pPr>
                    <w:pStyle w:val="44"/>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109798EA">
                  <w:pPr>
                    <w:pStyle w:val="44"/>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22D215B3">
                  <w:pPr>
                    <w:pStyle w:val="44"/>
                    <w:spacing w:after="60"/>
                    <w:rPr>
                      <w:rFonts w:eastAsia="楷体_GB2312" w:cs="Calibri"/>
                      <w:b/>
                      <w:w w:val="70"/>
                      <w:sz w:val="20"/>
                      <w:szCs w:val="20"/>
                    </w:rPr>
                  </w:pPr>
                </w:p>
              </w:tc>
            </w:tr>
            <w:tr w14:paraId="7D2F363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42D8670">
                  <w:pPr>
                    <w:pStyle w:val="44"/>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118B764B">
                  <w:pPr>
                    <w:pStyle w:val="44"/>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14:paraId="2E45DB9C">
                  <w:pPr>
                    <w:pStyle w:val="44"/>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14:paraId="4906CAA2">
                  <w:pPr>
                    <w:pStyle w:val="44"/>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24989653">
                  <w:pPr>
                    <w:pStyle w:val="44"/>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0CCBB018">
                  <w:pPr>
                    <w:pStyle w:val="44"/>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6CA8A30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173F262F">
                  <w:pPr>
                    <w:pStyle w:val="44"/>
                    <w:spacing w:after="60"/>
                    <w:rPr>
                      <w:rFonts w:eastAsia="楷体_GB2312" w:cs="Calibri"/>
                      <w:b/>
                      <w:w w:val="70"/>
                      <w:sz w:val="20"/>
                      <w:szCs w:val="20"/>
                    </w:rPr>
                  </w:pPr>
                </w:p>
              </w:tc>
            </w:tr>
            <w:tr w14:paraId="6EA617E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1C832819">
                  <w:pPr>
                    <w:pStyle w:val="44"/>
                    <w:spacing w:after="60"/>
                    <w:rPr>
                      <w:rFonts w:eastAsia="楷体_GB2312" w:cs="Calibri"/>
                      <w:b/>
                      <w:w w:val="70"/>
                      <w:sz w:val="20"/>
                      <w:szCs w:val="20"/>
                      <w:lang w:eastAsia="zh-CN"/>
                    </w:rPr>
                  </w:pPr>
                </w:p>
              </w:tc>
            </w:tr>
          </w:tbl>
          <w:p w14:paraId="74F0DEEC">
            <w:pPr>
              <w:pStyle w:val="81"/>
              <w:rPr>
                <w:rFonts w:eastAsia="宋体"/>
                <w:sz w:val="16"/>
              </w:rPr>
            </w:pPr>
          </w:p>
          <w:p w14:paraId="57A4FF71"/>
        </w:tc>
      </w:tr>
    </w:tbl>
    <w:p w14:paraId="41DEE2BE">
      <w:pPr>
        <w:pStyle w:val="81"/>
        <w:rPr>
          <w:w w:val="70"/>
          <w:sz w:val="20"/>
          <w:szCs w:val="20"/>
          <w:lang w:val="en-GB"/>
        </w:rPr>
      </w:pPr>
    </w:p>
    <w:p w14:paraId="1EAD6D2A">
      <w:pPr>
        <w:pStyle w:val="81"/>
        <w:rPr>
          <w:lang w:val="en-GB"/>
        </w:rPr>
      </w:pPr>
    </w:p>
    <w:sectPr>
      <w:headerReference r:id="rId10" w:type="first"/>
      <w:footerReference r:id="rId12" w:type="first"/>
      <w:headerReference r:id="rId9" w:type="default"/>
      <w:footerReference r:id="rId11" w:type="default"/>
      <w:pgSz w:w="11909" w:h="16834"/>
      <w:pgMar w:top="1077" w:right="567" w:bottom="1021" w:left="329" w:header="720" w:footer="1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0000010" w:usb3="00000000" w:csb0="4002009F" w:csb1="DFD7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楷体简">
    <w:altName w:val="宋体"/>
    <w:panose1 w:val="00000000000000000000"/>
    <w:charset w:val="86"/>
    <w:family w:val="modern"/>
    <w:pitch w:val="default"/>
    <w:sig w:usb0="00000000" w:usb1="00000000" w:usb2="00000012" w:usb3="00000000" w:csb0="00040000" w:csb1="00000000"/>
  </w:font>
  <w:font w:name="汉仪大黑简">
    <w:altName w:val="微软雅黑"/>
    <w:panose1 w:val="00000000000000000000"/>
    <w:charset w:val="86"/>
    <w:family w:val="modern"/>
    <w:pitch w:val="default"/>
    <w:sig w:usb0="00000000" w:usb1="00000000" w:usb2="00000012" w:usb3="00000000" w:csb0="0004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45861">
    <w:pPr>
      <w:pStyle w:val="42"/>
    </w:pPr>
    <w:r>
      <w:rPr>
        <w:lang w:eastAsia="zh-CN"/>
      </w:rPr>
      <mc:AlternateContent>
        <mc:Choice Requires="wps">
          <w:drawing>
            <wp:anchor distT="0" distB="0" distL="114300" distR="114300" simplePos="0" relativeHeight="251659264" behindDoc="0" locked="0" layoutInCell="1" allowOverlap="1">
              <wp:simplePos x="0" y="0"/>
              <wp:positionH relativeFrom="page">
                <wp:posOffset>75565</wp:posOffset>
              </wp:positionH>
              <wp:positionV relativeFrom="page">
                <wp:posOffset>9812020</wp:posOffset>
              </wp:positionV>
              <wp:extent cx="7404100" cy="50165"/>
              <wp:effectExtent l="0" t="0" r="6350" b="698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4CC15967">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5.95pt;margin-top:772.6pt;height:3.95pt;width:583pt;mso-position-horizontal-relative:page;mso-position-vertical-relative:page;z-index:251659264;mso-width-relative:page;mso-height-relative:page;" fillcolor="#005BAC" filled="t" stroked="f" coordsize="21600,21600" o:gfxdata="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2Z/+N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4CC15967">
                    <w:pPr>
                      <w:ind w:left="-180"/>
                    </w:pPr>
                  </w:p>
                </w:txbxContent>
              </v:textbox>
            </v:shape>
          </w:pict>
        </mc:Fallback>
      </mc:AlternateContent>
    </w:r>
    <w:r>
      <w:rPr>
        <w:lang w:eastAsia="zh-CN"/>
      </w:rPr>
      <mc:AlternateContent>
        <mc:Choice Requires="wps">
          <w:drawing>
            <wp:anchor distT="0" distB="0" distL="114300" distR="114300" simplePos="0" relativeHeight="251661312" behindDoc="0" locked="1" layoutInCell="1" allowOverlap="1">
              <wp:simplePos x="0" y="0"/>
              <wp:positionH relativeFrom="column">
                <wp:posOffset>-448945</wp:posOffset>
              </wp:positionH>
              <wp:positionV relativeFrom="page">
                <wp:posOffset>9860280</wp:posOffset>
              </wp:positionV>
              <wp:extent cx="7421880" cy="807720"/>
              <wp:effectExtent l="0" t="0" r="762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21880" cy="807720"/>
                      </a:xfrm>
                      <a:prstGeom prst="rect">
                        <a:avLst/>
                      </a:prstGeom>
                      <a:noFill/>
                      <a:ln>
                        <a:noFill/>
                      </a:ln>
                    </wps:spPr>
                    <wps:txbx>
                      <w:txbxContent>
                        <w:tbl>
                          <w:tblPr>
                            <w:tblStyle w:val="27"/>
                            <w:tblW w:w="11624" w:type="dxa"/>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24"/>
                          </w:tblGrid>
                          <w:tr w14:paraId="1893F86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624" w:type="dxa"/>
                              </w:tcPr>
                              <w:p w14:paraId="119191D3">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1F4100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24" w:type="dxa"/>
                              </w:tcPr>
                              <w:p w14:paraId="7FACB24C">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1BC1CD13">
                          <w:pPr>
                            <w:pStyle w:val="5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5.35pt;margin-top:776.4pt;height:63.6pt;width:584.4pt;mso-position-vertical-relative:page;z-index:251661312;mso-width-relative:page;mso-height-relative:page;" filled="f" stroked="f" coordsize="21600,21600" o:gfxdata="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2Al72wAAAA4BAAAPAAAAAAAAAAEAIAAAACIAAABkcnMvZG93&#10;bnJldi54bWxQSwECFAAUAAAACACHTuJAfGiuMv0BAAAHBAAADgAAAAAAAAABACAAAAAqAQAAZHJz&#10;L2Uyb0RvYy54bWxQSwUGAAAAAAYABgBZAQAAmQUAAAAA&#10;">
              <v:fill on="f" focussize="0,0"/>
              <v:stroke on="f"/>
              <v:imagedata o:title=""/>
              <o:lock v:ext="edit" aspectratio="f"/>
              <v:textbox inset="0mm,0mm,0mm,0mm">
                <w:txbxContent>
                  <w:tbl>
                    <w:tblPr>
                      <w:tblStyle w:val="27"/>
                      <w:tblW w:w="11624" w:type="dxa"/>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24"/>
                    </w:tblGrid>
                    <w:tr w14:paraId="1893F86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624" w:type="dxa"/>
                        </w:tcPr>
                        <w:p w14:paraId="119191D3">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1F4100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24" w:type="dxa"/>
                        </w:tcPr>
                        <w:p w14:paraId="7FACB24C">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1BC1CD13">
                    <w:pPr>
                      <w:pStyle w:val="59"/>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BEC6B">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12707">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FDD4A">
    <w:pPr>
      <w:pStyle w:val="42"/>
      <w:spacing w:line="20" w:lineRule="exact"/>
    </w:pPr>
  </w:p>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1F86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11A91B3B">
          <w:pPr>
            <w:pStyle w:val="49"/>
            <w:framePr w:wrap="auto" w:vAnchor="margin" w:hAnchor="text" w:xAlign="left" w:yAlign="inline"/>
          </w:pPr>
          <w:r>
            <w:tab/>
          </w:r>
          <w:r>
            <w:fldChar w:fldCharType="begin"/>
          </w:r>
          <w:r>
            <w:instrText xml:space="preserve"> PAGE </w:instrText>
          </w:r>
          <w:r>
            <w:fldChar w:fldCharType="separate"/>
          </w:r>
          <w:r>
            <w:t>6</w:t>
          </w:r>
          <w:r>
            <w:fldChar w:fldCharType="end"/>
          </w:r>
        </w:p>
      </w:tc>
    </w:tr>
  </w:tbl>
  <w:p w14:paraId="7F651AA0">
    <w:pPr>
      <w:pStyle w:val="4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5E658">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0C70">
    <w:pPr>
      <w:pStyle w:val="42"/>
    </w:pPr>
  </w:p>
  <w:p w14:paraId="7577129B"/>
  <w:p w14:paraId="7411B021">
    <w:r>
      <w:rPr>
        <w:snapToGrid/>
      </w:rPr>
      <w:drawing>
        <wp:anchor distT="0" distB="0" distL="114300" distR="114300" simplePos="0" relativeHeight="251663360" behindDoc="0" locked="0" layoutInCell="1" allowOverlap="1">
          <wp:simplePos x="0" y="0"/>
          <wp:positionH relativeFrom="margin">
            <wp:align>right</wp:align>
          </wp:positionH>
          <wp:positionV relativeFrom="paragraph">
            <wp:posOffset>81915</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335915</wp:posOffset>
              </wp:positionH>
              <wp:positionV relativeFrom="paragraph">
                <wp:posOffset>2215515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34CF260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485660DF">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5FBA0C4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09F38ECD">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7F764719">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6.45pt;margin-top:174.45pt;height:22.8pt;width:180.45pt;z-index:251662336;mso-width-relative:page;mso-height-relative:page;" filled="f" stroked="f" coordsize="21600,21600" o:gfxdata="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Tle1rYAAAACgEAAA8AAAAAAAAAAQAgAAAAIgAAAGRycy9kb3ducmV2LnhtbFBLAQIUABQAAAAI&#10;AIdO4kBEPAoLJgIAACsEAAAOAAAAAAAAAAEAIAAAACcBAABkcnMvZTJvRG9jLnhtbFBLBQYAAAAA&#10;BgAGAFkBAAC/BQAAAAA=&#10;">
              <v:fill on="f" focussize="0,0"/>
              <v:stroke on="f" miterlimit="8" joinstyle="miter"/>
              <v:imagedata o:title=""/>
              <o:lock v:ext="edit" aspectratio="f"/>
              <v:textbo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34CF260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485660DF">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5FBA0C4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09F38ECD">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7F764719">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2253615</wp:posOffset>
          </wp:positionV>
          <wp:extent cx="360045" cy="179705"/>
          <wp:effectExtent l="0" t="0" r="254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FC96E">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3994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F79B6">
    <w:pPr>
      <w:pStyle w:val="4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F76A1">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34AC8"/>
    <w:multiLevelType w:val="multilevel"/>
    <w:tmpl w:val="02634AC8"/>
    <w:lvl w:ilvl="0" w:tentative="0">
      <w:start w:val="1"/>
      <w:numFmt w:val="bullet"/>
      <w:pStyle w:val="13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3935DA5"/>
    <w:multiLevelType w:val="multilevel"/>
    <w:tmpl w:val="03935DA5"/>
    <w:lvl w:ilvl="0" w:tentative="0">
      <w:start w:val="1"/>
      <w:numFmt w:val="bullet"/>
      <w:pStyle w:val="4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238731C4"/>
    <w:multiLevelType w:val="multilevel"/>
    <w:tmpl w:val="238731C4"/>
    <w:lvl w:ilvl="0" w:tentative="0">
      <w:start w:val="1"/>
      <w:numFmt w:val="upperRoman"/>
      <w:pStyle w:val="87"/>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31A2D25"/>
    <w:multiLevelType w:val="multilevel"/>
    <w:tmpl w:val="331A2D25"/>
    <w:lvl w:ilvl="0" w:tentative="0">
      <w:start w:val="1"/>
      <w:numFmt w:val="bullet"/>
      <w:pStyle w:val="68"/>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8A55B35"/>
    <w:multiLevelType w:val="multilevel"/>
    <w:tmpl w:val="38A55B35"/>
    <w:lvl w:ilvl="0" w:tentative="0">
      <w:start w:val="1"/>
      <w:numFmt w:val="bullet"/>
      <w:pStyle w:val="9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41772804"/>
    <w:multiLevelType w:val="multilevel"/>
    <w:tmpl w:val="41772804"/>
    <w:lvl w:ilvl="0" w:tentative="0">
      <w:start w:val="1"/>
      <w:numFmt w:val="bullet"/>
      <w:pStyle w:val="67"/>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1EA01BD"/>
    <w:multiLevelType w:val="multilevel"/>
    <w:tmpl w:val="41EA01BD"/>
    <w:lvl w:ilvl="0" w:tentative="0">
      <w:start w:val="1"/>
      <w:numFmt w:val="bullet"/>
      <w:pStyle w:val="84"/>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79321DC"/>
    <w:multiLevelType w:val="multilevel"/>
    <w:tmpl w:val="479321DC"/>
    <w:lvl w:ilvl="0" w:tentative="0">
      <w:start w:val="1"/>
      <w:numFmt w:val="bullet"/>
      <w:pStyle w:val="3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62B5102"/>
    <w:multiLevelType w:val="multilevel"/>
    <w:tmpl w:val="662B5102"/>
    <w:lvl w:ilvl="0" w:tentative="0">
      <w:start w:val="1"/>
      <w:numFmt w:val="bullet"/>
      <w:pStyle w:val="93"/>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0">
    <w:nsid w:val="6B531506"/>
    <w:multiLevelType w:val="multilevel"/>
    <w:tmpl w:val="6B531506"/>
    <w:lvl w:ilvl="0" w:tentative="0">
      <w:start w:val="1"/>
      <w:numFmt w:val="upperRoman"/>
      <w:pStyle w:val="99"/>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1">
    <w:nsid w:val="6C4E34EC"/>
    <w:multiLevelType w:val="multilevel"/>
    <w:tmpl w:val="6C4E34EC"/>
    <w:lvl w:ilvl="0" w:tentative="0">
      <w:start w:val="1"/>
      <w:numFmt w:val="bullet"/>
      <w:pStyle w:val="66"/>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8"/>
  </w:num>
  <w:num w:numId="3">
    <w:abstractNumId w:val="1"/>
  </w:num>
  <w:num w:numId="4">
    <w:abstractNumId w:val="11"/>
  </w:num>
  <w:num w:numId="5">
    <w:abstractNumId w:val="6"/>
  </w:num>
  <w:num w:numId="6">
    <w:abstractNumId w:val="4"/>
  </w:num>
  <w:num w:numId="7">
    <w:abstractNumId w:val="7"/>
  </w:num>
  <w:num w:numId="8">
    <w:abstractNumId w:val="3"/>
  </w:num>
  <w:num w:numId="9">
    <w:abstractNumId w:val="5"/>
  </w:num>
  <w:num w:numId="10">
    <w:abstractNumId w:val="9"/>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0"/>
  <w:drawingGridHorizontalSpacing w:val="80"/>
  <w:drawingGridVerticalSpacing w:val="20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C0E"/>
    <w:rsid w:val="0000224B"/>
    <w:rsid w:val="00002DDC"/>
    <w:rsid w:val="00003E75"/>
    <w:rsid w:val="00004BAA"/>
    <w:rsid w:val="00004FB5"/>
    <w:rsid w:val="0000558A"/>
    <w:rsid w:val="000063F1"/>
    <w:rsid w:val="0000732D"/>
    <w:rsid w:val="00010774"/>
    <w:rsid w:val="0001184F"/>
    <w:rsid w:val="00013043"/>
    <w:rsid w:val="000130D9"/>
    <w:rsid w:val="00013244"/>
    <w:rsid w:val="00014086"/>
    <w:rsid w:val="000146CB"/>
    <w:rsid w:val="000152DE"/>
    <w:rsid w:val="000158A6"/>
    <w:rsid w:val="000171D2"/>
    <w:rsid w:val="000201AE"/>
    <w:rsid w:val="00020B7A"/>
    <w:rsid w:val="00021DAC"/>
    <w:rsid w:val="00021DD0"/>
    <w:rsid w:val="00022C11"/>
    <w:rsid w:val="00023367"/>
    <w:rsid w:val="00024F59"/>
    <w:rsid w:val="0002500A"/>
    <w:rsid w:val="00025E71"/>
    <w:rsid w:val="00025F59"/>
    <w:rsid w:val="00026DCC"/>
    <w:rsid w:val="00027183"/>
    <w:rsid w:val="00027FEF"/>
    <w:rsid w:val="0003028B"/>
    <w:rsid w:val="00032B31"/>
    <w:rsid w:val="000334F3"/>
    <w:rsid w:val="000336AF"/>
    <w:rsid w:val="00033DF7"/>
    <w:rsid w:val="000347D5"/>
    <w:rsid w:val="00035535"/>
    <w:rsid w:val="00035E45"/>
    <w:rsid w:val="0003686B"/>
    <w:rsid w:val="00041387"/>
    <w:rsid w:val="00041A6F"/>
    <w:rsid w:val="0004283E"/>
    <w:rsid w:val="00043062"/>
    <w:rsid w:val="00043657"/>
    <w:rsid w:val="0004549E"/>
    <w:rsid w:val="00047D52"/>
    <w:rsid w:val="000516AD"/>
    <w:rsid w:val="00051EC9"/>
    <w:rsid w:val="00052838"/>
    <w:rsid w:val="00052DCF"/>
    <w:rsid w:val="00053BBB"/>
    <w:rsid w:val="00054224"/>
    <w:rsid w:val="00054451"/>
    <w:rsid w:val="00055381"/>
    <w:rsid w:val="0005743D"/>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B49"/>
    <w:rsid w:val="000860EA"/>
    <w:rsid w:val="00086E96"/>
    <w:rsid w:val="00090800"/>
    <w:rsid w:val="00091895"/>
    <w:rsid w:val="000920C4"/>
    <w:rsid w:val="000924C1"/>
    <w:rsid w:val="00094A4C"/>
    <w:rsid w:val="00094FAC"/>
    <w:rsid w:val="000950FF"/>
    <w:rsid w:val="00095F8B"/>
    <w:rsid w:val="00096909"/>
    <w:rsid w:val="00096986"/>
    <w:rsid w:val="00096A8E"/>
    <w:rsid w:val="00096FC5"/>
    <w:rsid w:val="000974BE"/>
    <w:rsid w:val="00097FD4"/>
    <w:rsid w:val="000A015C"/>
    <w:rsid w:val="000A0550"/>
    <w:rsid w:val="000A23D4"/>
    <w:rsid w:val="000A2C9D"/>
    <w:rsid w:val="000A30E9"/>
    <w:rsid w:val="000A461B"/>
    <w:rsid w:val="000A6794"/>
    <w:rsid w:val="000A726A"/>
    <w:rsid w:val="000B13C1"/>
    <w:rsid w:val="000B18D6"/>
    <w:rsid w:val="000B2336"/>
    <w:rsid w:val="000B465C"/>
    <w:rsid w:val="000B792D"/>
    <w:rsid w:val="000B7DE2"/>
    <w:rsid w:val="000C02F6"/>
    <w:rsid w:val="000C1F65"/>
    <w:rsid w:val="000C2B68"/>
    <w:rsid w:val="000C2E9E"/>
    <w:rsid w:val="000C39D2"/>
    <w:rsid w:val="000C3D03"/>
    <w:rsid w:val="000C4852"/>
    <w:rsid w:val="000C627B"/>
    <w:rsid w:val="000C77D8"/>
    <w:rsid w:val="000C7E1A"/>
    <w:rsid w:val="000D1903"/>
    <w:rsid w:val="000D19B0"/>
    <w:rsid w:val="000D1A3C"/>
    <w:rsid w:val="000E0A01"/>
    <w:rsid w:val="000E0F0E"/>
    <w:rsid w:val="000E1FB8"/>
    <w:rsid w:val="000E35E3"/>
    <w:rsid w:val="000E377C"/>
    <w:rsid w:val="000E3E8B"/>
    <w:rsid w:val="000E5287"/>
    <w:rsid w:val="000E664D"/>
    <w:rsid w:val="000E6BA6"/>
    <w:rsid w:val="000F098D"/>
    <w:rsid w:val="000F0C19"/>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CDB"/>
    <w:rsid w:val="001059C9"/>
    <w:rsid w:val="0010656E"/>
    <w:rsid w:val="00106DF2"/>
    <w:rsid w:val="00110B26"/>
    <w:rsid w:val="00110FF3"/>
    <w:rsid w:val="001111AD"/>
    <w:rsid w:val="00113DC0"/>
    <w:rsid w:val="001154B0"/>
    <w:rsid w:val="0011588A"/>
    <w:rsid w:val="001164AF"/>
    <w:rsid w:val="00117571"/>
    <w:rsid w:val="00117C9F"/>
    <w:rsid w:val="00120A7B"/>
    <w:rsid w:val="00123AC1"/>
    <w:rsid w:val="0012412A"/>
    <w:rsid w:val="00124271"/>
    <w:rsid w:val="00124E3B"/>
    <w:rsid w:val="0012686A"/>
    <w:rsid w:val="00126871"/>
    <w:rsid w:val="00127CD0"/>
    <w:rsid w:val="00130BC2"/>
    <w:rsid w:val="001311FC"/>
    <w:rsid w:val="0013302A"/>
    <w:rsid w:val="00133D86"/>
    <w:rsid w:val="001345B6"/>
    <w:rsid w:val="00135A41"/>
    <w:rsid w:val="00137678"/>
    <w:rsid w:val="00141BEC"/>
    <w:rsid w:val="001434AA"/>
    <w:rsid w:val="00145B09"/>
    <w:rsid w:val="0014788D"/>
    <w:rsid w:val="00147C4A"/>
    <w:rsid w:val="00147D4C"/>
    <w:rsid w:val="00147D9D"/>
    <w:rsid w:val="00150630"/>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60306"/>
    <w:rsid w:val="00163B2F"/>
    <w:rsid w:val="0016407E"/>
    <w:rsid w:val="00164CA4"/>
    <w:rsid w:val="00165FE3"/>
    <w:rsid w:val="001669C8"/>
    <w:rsid w:val="00166E15"/>
    <w:rsid w:val="00167695"/>
    <w:rsid w:val="00170C3B"/>
    <w:rsid w:val="00170DCB"/>
    <w:rsid w:val="001721EC"/>
    <w:rsid w:val="001763B0"/>
    <w:rsid w:val="001771D0"/>
    <w:rsid w:val="001807CA"/>
    <w:rsid w:val="00181893"/>
    <w:rsid w:val="00181D43"/>
    <w:rsid w:val="0018583D"/>
    <w:rsid w:val="00185B06"/>
    <w:rsid w:val="001872F4"/>
    <w:rsid w:val="001875FC"/>
    <w:rsid w:val="00191469"/>
    <w:rsid w:val="001922CB"/>
    <w:rsid w:val="0019345E"/>
    <w:rsid w:val="0019383A"/>
    <w:rsid w:val="00194662"/>
    <w:rsid w:val="00195C32"/>
    <w:rsid w:val="00197CAF"/>
    <w:rsid w:val="001A1911"/>
    <w:rsid w:val="001A3692"/>
    <w:rsid w:val="001A4F63"/>
    <w:rsid w:val="001A563D"/>
    <w:rsid w:val="001A571E"/>
    <w:rsid w:val="001A6C17"/>
    <w:rsid w:val="001A7AE5"/>
    <w:rsid w:val="001B0473"/>
    <w:rsid w:val="001B0E69"/>
    <w:rsid w:val="001B1F03"/>
    <w:rsid w:val="001B2F6F"/>
    <w:rsid w:val="001B3090"/>
    <w:rsid w:val="001B31CA"/>
    <w:rsid w:val="001B3D32"/>
    <w:rsid w:val="001B3E45"/>
    <w:rsid w:val="001B45FD"/>
    <w:rsid w:val="001C020B"/>
    <w:rsid w:val="001C105A"/>
    <w:rsid w:val="001C20AC"/>
    <w:rsid w:val="001C2549"/>
    <w:rsid w:val="001C3243"/>
    <w:rsid w:val="001C3C78"/>
    <w:rsid w:val="001C577A"/>
    <w:rsid w:val="001C5D7B"/>
    <w:rsid w:val="001C62E1"/>
    <w:rsid w:val="001C637C"/>
    <w:rsid w:val="001C7FED"/>
    <w:rsid w:val="001D00D0"/>
    <w:rsid w:val="001D2489"/>
    <w:rsid w:val="001D2DEF"/>
    <w:rsid w:val="001D345B"/>
    <w:rsid w:val="001D4C97"/>
    <w:rsid w:val="001D58D6"/>
    <w:rsid w:val="001D663F"/>
    <w:rsid w:val="001D6B4F"/>
    <w:rsid w:val="001D6F5B"/>
    <w:rsid w:val="001E04EA"/>
    <w:rsid w:val="001E0900"/>
    <w:rsid w:val="001E4AE1"/>
    <w:rsid w:val="001E4BA2"/>
    <w:rsid w:val="001E59E2"/>
    <w:rsid w:val="001E60AA"/>
    <w:rsid w:val="001E6C6E"/>
    <w:rsid w:val="001E7BEF"/>
    <w:rsid w:val="001E7FF3"/>
    <w:rsid w:val="001F0651"/>
    <w:rsid w:val="001F1906"/>
    <w:rsid w:val="001F1C59"/>
    <w:rsid w:val="001F3F20"/>
    <w:rsid w:val="001F4135"/>
    <w:rsid w:val="001F5572"/>
    <w:rsid w:val="001F5A51"/>
    <w:rsid w:val="001F75AC"/>
    <w:rsid w:val="00200B71"/>
    <w:rsid w:val="00201113"/>
    <w:rsid w:val="00201302"/>
    <w:rsid w:val="002017C5"/>
    <w:rsid w:val="0020268B"/>
    <w:rsid w:val="00203E93"/>
    <w:rsid w:val="00205F60"/>
    <w:rsid w:val="0020724C"/>
    <w:rsid w:val="0021325D"/>
    <w:rsid w:val="002138DE"/>
    <w:rsid w:val="00214810"/>
    <w:rsid w:val="00214CA6"/>
    <w:rsid w:val="00215AB9"/>
    <w:rsid w:val="00215D4D"/>
    <w:rsid w:val="002179B7"/>
    <w:rsid w:val="0022007B"/>
    <w:rsid w:val="002207F6"/>
    <w:rsid w:val="00221091"/>
    <w:rsid w:val="00221CAF"/>
    <w:rsid w:val="00221D28"/>
    <w:rsid w:val="002229E1"/>
    <w:rsid w:val="0022396B"/>
    <w:rsid w:val="00225267"/>
    <w:rsid w:val="00225ADD"/>
    <w:rsid w:val="00226246"/>
    <w:rsid w:val="0022643A"/>
    <w:rsid w:val="00227B8A"/>
    <w:rsid w:val="00227E8E"/>
    <w:rsid w:val="0023015F"/>
    <w:rsid w:val="002323DB"/>
    <w:rsid w:val="002333C1"/>
    <w:rsid w:val="002334CD"/>
    <w:rsid w:val="00237463"/>
    <w:rsid w:val="002408B0"/>
    <w:rsid w:val="002409CB"/>
    <w:rsid w:val="00240D3A"/>
    <w:rsid w:val="0024314C"/>
    <w:rsid w:val="00243985"/>
    <w:rsid w:val="00243BC1"/>
    <w:rsid w:val="00244462"/>
    <w:rsid w:val="00247965"/>
    <w:rsid w:val="00247BCD"/>
    <w:rsid w:val="002501F5"/>
    <w:rsid w:val="00250E07"/>
    <w:rsid w:val="0025139A"/>
    <w:rsid w:val="00251EC5"/>
    <w:rsid w:val="00253320"/>
    <w:rsid w:val="00253A6F"/>
    <w:rsid w:val="00253D92"/>
    <w:rsid w:val="0025406B"/>
    <w:rsid w:val="00255E22"/>
    <w:rsid w:val="00256095"/>
    <w:rsid w:val="002562BC"/>
    <w:rsid w:val="002567B0"/>
    <w:rsid w:val="0025700B"/>
    <w:rsid w:val="00257AC0"/>
    <w:rsid w:val="00261434"/>
    <w:rsid w:val="002617C7"/>
    <w:rsid w:val="00262A58"/>
    <w:rsid w:val="00262C21"/>
    <w:rsid w:val="0026432E"/>
    <w:rsid w:val="00264B84"/>
    <w:rsid w:val="002666AC"/>
    <w:rsid w:val="00267EFE"/>
    <w:rsid w:val="00271DAB"/>
    <w:rsid w:val="00273FB3"/>
    <w:rsid w:val="00274E8C"/>
    <w:rsid w:val="00275A6D"/>
    <w:rsid w:val="00275B79"/>
    <w:rsid w:val="00276A7D"/>
    <w:rsid w:val="002772E9"/>
    <w:rsid w:val="002777FE"/>
    <w:rsid w:val="00280FB4"/>
    <w:rsid w:val="002817A0"/>
    <w:rsid w:val="00281946"/>
    <w:rsid w:val="0028248E"/>
    <w:rsid w:val="0028255D"/>
    <w:rsid w:val="00282B2F"/>
    <w:rsid w:val="00282B6C"/>
    <w:rsid w:val="002833B6"/>
    <w:rsid w:val="002843D0"/>
    <w:rsid w:val="002846D0"/>
    <w:rsid w:val="00284BE9"/>
    <w:rsid w:val="00285753"/>
    <w:rsid w:val="00286353"/>
    <w:rsid w:val="00286E37"/>
    <w:rsid w:val="002870CD"/>
    <w:rsid w:val="00290715"/>
    <w:rsid w:val="00290FFE"/>
    <w:rsid w:val="00293E45"/>
    <w:rsid w:val="00296000"/>
    <w:rsid w:val="00296930"/>
    <w:rsid w:val="002969CE"/>
    <w:rsid w:val="00297780"/>
    <w:rsid w:val="00297C2B"/>
    <w:rsid w:val="00297EF5"/>
    <w:rsid w:val="002A0BCF"/>
    <w:rsid w:val="002A0FF7"/>
    <w:rsid w:val="002A1AF8"/>
    <w:rsid w:val="002A20F7"/>
    <w:rsid w:val="002A2A17"/>
    <w:rsid w:val="002A2EB2"/>
    <w:rsid w:val="002A30AA"/>
    <w:rsid w:val="002A3710"/>
    <w:rsid w:val="002A3E5A"/>
    <w:rsid w:val="002A5BD9"/>
    <w:rsid w:val="002A7BB7"/>
    <w:rsid w:val="002B03B4"/>
    <w:rsid w:val="002B15B5"/>
    <w:rsid w:val="002B1747"/>
    <w:rsid w:val="002B1CC9"/>
    <w:rsid w:val="002B2C18"/>
    <w:rsid w:val="002B40A7"/>
    <w:rsid w:val="002B4AC7"/>
    <w:rsid w:val="002B516B"/>
    <w:rsid w:val="002B6571"/>
    <w:rsid w:val="002B68AF"/>
    <w:rsid w:val="002B709B"/>
    <w:rsid w:val="002C07D1"/>
    <w:rsid w:val="002C0CCE"/>
    <w:rsid w:val="002C0D89"/>
    <w:rsid w:val="002C2D27"/>
    <w:rsid w:val="002C3E56"/>
    <w:rsid w:val="002C4E5E"/>
    <w:rsid w:val="002C4E72"/>
    <w:rsid w:val="002C51E2"/>
    <w:rsid w:val="002C5BFC"/>
    <w:rsid w:val="002C6FAE"/>
    <w:rsid w:val="002D1C70"/>
    <w:rsid w:val="002D2336"/>
    <w:rsid w:val="002D2431"/>
    <w:rsid w:val="002D4A31"/>
    <w:rsid w:val="002D524C"/>
    <w:rsid w:val="002D761C"/>
    <w:rsid w:val="002D78E2"/>
    <w:rsid w:val="002D7CB8"/>
    <w:rsid w:val="002E0E93"/>
    <w:rsid w:val="002E29EA"/>
    <w:rsid w:val="002E2D7C"/>
    <w:rsid w:val="002E400B"/>
    <w:rsid w:val="002E6900"/>
    <w:rsid w:val="002F09F8"/>
    <w:rsid w:val="002F0EEC"/>
    <w:rsid w:val="002F1534"/>
    <w:rsid w:val="002F3F48"/>
    <w:rsid w:val="002F437F"/>
    <w:rsid w:val="002F5E46"/>
    <w:rsid w:val="002F65E1"/>
    <w:rsid w:val="0030077C"/>
    <w:rsid w:val="003007A4"/>
    <w:rsid w:val="0030101D"/>
    <w:rsid w:val="003015C5"/>
    <w:rsid w:val="0030327A"/>
    <w:rsid w:val="00304467"/>
    <w:rsid w:val="00304E2E"/>
    <w:rsid w:val="003104B3"/>
    <w:rsid w:val="003137DC"/>
    <w:rsid w:val="003142B9"/>
    <w:rsid w:val="003170E4"/>
    <w:rsid w:val="00317AD1"/>
    <w:rsid w:val="003200D1"/>
    <w:rsid w:val="00320995"/>
    <w:rsid w:val="00320FC6"/>
    <w:rsid w:val="0032349C"/>
    <w:rsid w:val="003246B4"/>
    <w:rsid w:val="003248CF"/>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7886"/>
    <w:rsid w:val="00337CD7"/>
    <w:rsid w:val="003408AF"/>
    <w:rsid w:val="003418D2"/>
    <w:rsid w:val="00342E7B"/>
    <w:rsid w:val="00343447"/>
    <w:rsid w:val="00343583"/>
    <w:rsid w:val="00344135"/>
    <w:rsid w:val="00346D6E"/>
    <w:rsid w:val="00347720"/>
    <w:rsid w:val="0035072E"/>
    <w:rsid w:val="003514ED"/>
    <w:rsid w:val="003516DE"/>
    <w:rsid w:val="003519F8"/>
    <w:rsid w:val="00352D75"/>
    <w:rsid w:val="003533A0"/>
    <w:rsid w:val="00353500"/>
    <w:rsid w:val="0035369E"/>
    <w:rsid w:val="00353FA6"/>
    <w:rsid w:val="00356FAA"/>
    <w:rsid w:val="00357B9C"/>
    <w:rsid w:val="00360383"/>
    <w:rsid w:val="00360BD6"/>
    <w:rsid w:val="00360E3F"/>
    <w:rsid w:val="00363BD9"/>
    <w:rsid w:val="00364B54"/>
    <w:rsid w:val="00365E9C"/>
    <w:rsid w:val="00366288"/>
    <w:rsid w:val="00366310"/>
    <w:rsid w:val="00366ED6"/>
    <w:rsid w:val="003677DE"/>
    <w:rsid w:val="00372B4C"/>
    <w:rsid w:val="00373BBC"/>
    <w:rsid w:val="003747D4"/>
    <w:rsid w:val="00375A75"/>
    <w:rsid w:val="00375F8D"/>
    <w:rsid w:val="00376CD7"/>
    <w:rsid w:val="003807D7"/>
    <w:rsid w:val="0038264E"/>
    <w:rsid w:val="003827A2"/>
    <w:rsid w:val="00383DC8"/>
    <w:rsid w:val="00385A0D"/>
    <w:rsid w:val="0038635C"/>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982"/>
    <w:rsid w:val="003A5479"/>
    <w:rsid w:val="003A5A36"/>
    <w:rsid w:val="003A61BB"/>
    <w:rsid w:val="003A6201"/>
    <w:rsid w:val="003A6448"/>
    <w:rsid w:val="003A76FD"/>
    <w:rsid w:val="003A7A6B"/>
    <w:rsid w:val="003A7FED"/>
    <w:rsid w:val="003B3DFE"/>
    <w:rsid w:val="003B3E37"/>
    <w:rsid w:val="003B405B"/>
    <w:rsid w:val="003B42E0"/>
    <w:rsid w:val="003B509D"/>
    <w:rsid w:val="003B6659"/>
    <w:rsid w:val="003B69AF"/>
    <w:rsid w:val="003B78FD"/>
    <w:rsid w:val="003B7A01"/>
    <w:rsid w:val="003C0C04"/>
    <w:rsid w:val="003C2B67"/>
    <w:rsid w:val="003C3701"/>
    <w:rsid w:val="003C3ED1"/>
    <w:rsid w:val="003C50EE"/>
    <w:rsid w:val="003C635C"/>
    <w:rsid w:val="003C644B"/>
    <w:rsid w:val="003C6529"/>
    <w:rsid w:val="003C704F"/>
    <w:rsid w:val="003D0442"/>
    <w:rsid w:val="003D1349"/>
    <w:rsid w:val="003D2FBC"/>
    <w:rsid w:val="003D5B68"/>
    <w:rsid w:val="003D60E8"/>
    <w:rsid w:val="003E1544"/>
    <w:rsid w:val="003E1742"/>
    <w:rsid w:val="003E1947"/>
    <w:rsid w:val="003E20CF"/>
    <w:rsid w:val="003E373F"/>
    <w:rsid w:val="003E46AE"/>
    <w:rsid w:val="003E6A30"/>
    <w:rsid w:val="003E70FD"/>
    <w:rsid w:val="003E7202"/>
    <w:rsid w:val="003E7E4D"/>
    <w:rsid w:val="003F0606"/>
    <w:rsid w:val="003F0B9B"/>
    <w:rsid w:val="003F3133"/>
    <w:rsid w:val="003F3890"/>
    <w:rsid w:val="003F3B50"/>
    <w:rsid w:val="003F3D61"/>
    <w:rsid w:val="003F471A"/>
    <w:rsid w:val="003F6107"/>
    <w:rsid w:val="003F6324"/>
    <w:rsid w:val="003F7767"/>
    <w:rsid w:val="00401A4E"/>
    <w:rsid w:val="00401B4F"/>
    <w:rsid w:val="00402599"/>
    <w:rsid w:val="00402B6F"/>
    <w:rsid w:val="00402DAC"/>
    <w:rsid w:val="004040BC"/>
    <w:rsid w:val="00406C24"/>
    <w:rsid w:val="00407691"/>
    <w:rsid w:val="00410565"/>
    <w:rsid w:val="00411712"/>
    <w:rsid w:val="00411FBC"/>
    <w:rsid w:val="0041203B"/>
    <w:rsid w:val="0041212F"/>
    <w:rsid w:val="0041231B"/>
    <w:rsid w:val="004128B0"/>
    <w:rsid w:val="00415733"/>
    <w:rsid w:val="00417D1E"/>
    <w:rsid w:val="00420FFA"/>
    <w:rsid w:val="00421446"/>
    <w:rsid w:val="00424051"/>
    <w:rsid w:val="00424323"/>
    <w:rsid w:val="00425799"/>
    <w:rsid w:val="004268E2"/>
    <w:rsid w:val="00426E9A"/>
    <w:rsid w:val="00426F97"/>
    <w:rsid w:val="0043142D"/>
    <w:rsid w:val="004317E7"/>
    <w:rsid w:val="00432736"/>
    <w:rsid w:val="0043381E"/>
    <w:rsid w:val="00435B92"/>
    <w:rsid w:val="00436E43"/>
    <w:rsid w:val="00437AE7"/>
    <w:rsid w:val="00437C5D"/>
    <w:rsid w:val="004401E6"/>
    <w:rsid w:val="004419D5"/>
    <w:rsid w:val="00442011"/>
    <w:rsid w:val="004427CF"/>
    <w:rsid w:val="004455BA"/>
    <w:rsid w:val="004459F7"/>
    <w:rsid w:val="00445B35"/>
    <w:rsid w:val="00446E1E"/>
    <w:rsid w:val="00447892"/>
    <w:rsid w:val="00447F55"/>
    <w:rsid w:val="00451B81"/>
    <w:rsid w:val="00451D9F"/>
    <w:rsid w:val="004522CB"/>
    <w:rsid w:val="00453AA2"/>
    <w:rsid w:val="00454315"/>
    <w:rsid w:val="0045656D"/>
    <w:rsid w:val="004614F7"/>
    <w:rsid w:val="0046476B"/>
    <w:rsid w:val="00465CDD"/>
    <w:rsid w:val="00465F11"/>
    <w:rsid w:val="00465F7C"/>
    <w:rsid w:val="00466070"/>
    <w:rsid w:val="0047069C"/>
    <w:rsid w:val="00471BD4"/>
    <w:rsid w:val="00471D17"/>
    <w:rsid w:val="00476676"/>
    <w:rsid w:val="0047677C"/>
    <w:rsid w:val="00477B76"/>
    <w:rsid w:val="0048066D"/>
    <w:rsid w:val="00480CEB"/>
    <w:rsid w:val="00482B8A"/>
    <w:rsid w:val="00482E33"/>
    <w:rsid w:val="00483D89"/>
    <w:rsid w:val="00484733"/>
    <w:rsid w:val="004858DE"/>
    <w:rsid w:val="00486709"/>
    <w:rsid w:val="00487D32"/>
    <w:rsid w:val="00490D07"/>
    <w:rsid w:val="00491C58"/>
    <w:rsid w:val="004921D5"/>
    <w:rsid w:val="00493228"/>
    <w:rsid w:val="00493ED4"/>
    <w:rsid w:val="004957E9"/>
    <w:rsid w:val="00495868"/>
    <w:rsid w:val="00496F1D"/>
    <w:rsid w:val="004974F4"/>
    <w:rsid w:val="004A16A4"/>
    <w:rsid w:val="004A41E3"/>
    <w:rsid w:val="004A5616"/>
    <w:rsid w:val="004A5666"/>
    <w:rsid w:val="004A58D1"/>
    <w:rsid w:val="004A69D0"/>
    <w:rsid w:val="004A7634"/>
    <w:rsid w:val="004B0D20"/>
    <w:rsid w:val="004B1788"/>
    <w:rsid w:val="004B1AB5"/>
    <w:rsid w:val="004B2AB5"/>
    <w:rsid w:val="004B3154"/>
    <w:rsid w:val="004B4238"/>
    <w:rsid w:val="004C2B9D"/>
    <w:rsid w:val="004C349E"/>
    <w:rsid w:val="004C4436"/>
    <w:rsid w:val="004C581E"/>
    <w:rsid w:val="004C6485"/>
    <w:rsid w:val="004C6B74"/>
    <w:rsid w:val="004D04E2"/>
    <w:rsid w:val="004D07D7"/>
    <w:rsid w:val="004D0B93"/>
    <w:rsid w:val="004D11C3"/>
    <w:rsid w:val="004D179A"/>
    <w:rsid w:val="004D2B04"/>
    <w:rsid w:val="004D414B"/>
    <w:rsid w:val="004D7E88"/>
    <w:rsid w:val="004E1DBE"/>
    <w:rsid w:val="004E2483"/>
    <w:rsid w:val="004E24CF"/>
    <w:rsid w:val="004E42A4"/>
    <w:rsid w:val="004E44EA"/>
    <w:rsid w:val="004E503B"/>
    <w:rsid w:val="004E5961"/>
    <w:rsid w:val="004E6DFD"/>
    <w:rsid w:val="004F01A1"/>
    <w:rsid w:val="004F045F"/>
    <w:rsid w:val="004F075F"/>
    <w:rsid w:val="004F10EF"/>
    <w:rsid w:val="004F240C"/>
    <w:rsid w:val="004F2539"/>
    <w:rsid w:val="004F28E9"/>
    <w:rsid w:val="004F43A8"/>
    <w:rsid w:val="004F54F7"/>
    <w:rsid w:val="004F68C4"/>
    <w:rsid w:val="004F76A3"/>
    <w:rsid w:val="00501811"/>
    <w:rsid w:val="0050337A"/>
    <w:rsid w:val="00504579"/>
    <w:rsid w:val="0050661D"/>
    <w:rsid w:val="00506C1E"/>
    <w:rsid w:val="00507CBE"/>
    <w:rsid w:val="00510770"/>
    <w:rsid w:val="005110C6"/>
    <w:rsid w:val="005121D1"/>
    <w:rsid w:val="00512B60"/>
    <w:rsid w:val="005133B5"/>
    <w:rsid w:val="00514459"/>
    <w:rsid w:val="0051447F"/>
    <w:rsid w:val="00516174"/>
    <w:rsid w:val="005162B9"/>
    <w:rsid w:val="00516335"/>
    <w:rsid w:val="005168A7"/>
    <w:rsid w:val="0051783A"/>
    <w:rsid w:val="005208AE"/>
    <w:rsid w:val="00521943"/>
    <w:rsid w:val="0052229B"/>
    <w:rsid w:val="005232E3"/>
    <w:rsid w:val="00526866"/>
    <w:rsid w:val="005345BE"/>
    <w:rsid w:val="00535196"/>
    <w:rsid w:val="00535B57"/>
    <w:rsid w:val="00535FC6"/>
    <w:rsid w:val="00537FCA"/>
    <w:rsid w:val="00540A1F"/>
    <w:rsid w:val="00540E1E"/>
    <w:rsid w:val="00541053"/>
    <w:rsid w:val="00541FF6"/>
    <w:rsid w:val="005433CC"/>
    <w:rsid w:val="00543C68"/>
    <w:rsid w:val="00546269"/>
    <w:rsid w:val="00546EDD"/>
    <w:rsid w:val="00547212"/>
    <w:rsid w:val="00547816"/>
    <w:rsid w:val="00552ABB"/>
    <w:rsid w:val="00552EA0"/>
    <w:rsid w:val="0055353A"/>
    <w:rsid w:val="00553786"/>
    <w:rsid w:val="0055395D"/>
    <w:rsid w:val="00553ED4"/>
    <w:rsid w:val="00554097"/>
    <w:rsid w:val="00554174"/>
    <w:rsid w:val="005554D3"/>
    <w:rsid w:val="00555A69"/>
    <w:rsid w:val="00556102"/>
    <w:rsid w:val="0055730F"/>
    <w:rsid w:val="00560063"/>
    <w:rsid w:val="005600C6"/>
    <w:rsid w:val="00561FC9"/>
    <w:rsid w:val="00564CBC"/>
    <w:rsid w:val="0056504D"/>
    <w:rsid w:val="005654CF"/>
    <w:rsid w:val="005706CD"/>
    <w:rsid w:val="00570D9C"/>
    <w:rsid w:val="00570E72"/>
    <w:rsid w:val="00570EC0"/>
    <w:rsid w:val="00571862"/>
    <w:rsid w:val="00571CB9"/>
    <w:rsid w:val="00573577"/>
    <w:rsid w:val="00573A22"/>
    <w:rsid w:val="0057520F"/>
    <w:rsid w:val="005779C2"/>
    <w:rsid w:val="00580930"/>
    <w:rsid w:val="00580CF8"/>
    <w:rsid w:val="0058321A"/>
    <w:rsid w:val="00584671"/>
    <w:rsid w:val="005854F9"/>
    <w:rsid w:val="00585ECA"/>
    <w:rsid w:val="0058688D"/>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4568"/>
    <w:rsid w:val="005A6BC2"/>
    <w:rsid w:val="005A70A6"/>
    <w:rsid w:val="005A77B9"/>
    <w:rsid w:val="005B0456"/>
    <w:rsid w:val="005B0707"/>
    <w:rsid w:val="005B0BAC"/>
    <w:rsid w:val="005B174E"/>
    <w:rsid w:val="005B2D1A"/>
    <w:rsid w:val="005B403B"/>
    <w:rsid w:val="005B4BA6"/>
    <w:rsid w:val="005B5EA9"/>
    <w:rsid w:val="005B63F0"/>
    <w:rsid w:val="005B6506"/>
    <w:rsid w:val="005B6591"/>
    <w:rsid w:val="005C04B0"/>
    <w:rsid w:val="005C1540"/>
    <w:rsid w:val="005C18C3"/>
    <w:rsid w:val="005C1CF1"/>
    <w:rsid w:val="005C31A9"/>
    <w:rsid w:val="005C4CDC"/>
    <w:rsid w:val="005C61D7"/>
    <w:rsid w:val="005C6F27"/>
    <w:rsid w:val="005D054C"/>
    <w:rsid w:val="005D27B4"/>
    <w:rsid w:val="005D4050"/>
    <w:rsid w:val="005D419C"/>
    <w:rsid w:val="005D5E45"/>
    <w:rsid w:val="005D6BB5"/>
    <w:rsid w:val="005E2F8C"/>
    <w:rsid w:val="005E322A"/>
    <w:rsid w:val="005E3B8F"/>
    <w:rsid w:val="005E3F8F"/>
    <w:rsid w:val="005E420F"/>
    <w:rsid w:val="005E46DB"/>
    <w:rsid w:val="005E665B"/>
    <w:rsid w:val="005E699B"/>
    <w:rsid w:val="005F1C13"/>
    <w:rsid w:val="005F204A"/>
    <w:rsid w:val="005F2F76"/>
    <w:rsid w:val="005F33EE"/>
    <w:rsid w:val="005F3BA0"/>
    <w:rsid w:val="005F4C10"/>
    <w:rsid w:val="005F5414"/>
    <w:rsid w:val="005F59A7"/>
    <w:rsid w:val="005F5CBE"/>
    <w:rsid w:val="005F6E38"/>
    <w:rsid w:val="0060090A"/>
    <w:rsid w:val="00600D92"/>
    <w:rsid w:val="00600DB7"/>
    <w:rsid w:val="00601EA2"/>
    <w:rsid w:val="00602D99"/>
    <w:rsid w:val="00602DD5"/>
    <w:rsid w:val="006037B8"/>
    <w:rsid w:val="00603F0D"/>
    <w:rsid w:val="00604EA4"/>
    <w:rsid w:val="0060511B"/>
    <w:rsid w:val="0060590D"/>
    <w:rsid w:val="00607E41"/>
    <w:rsid w:val="0061378B"/>
    <w:rsid w:val="00613888"/>
    <w:rsid w:val="00616808"/>
    <w:rsid w:val="006203C0"/>
    <w:rsid w:val="00620A28"/>
    <w:rsid w:val="00620A80"/>
    <w:rsid w:val="00621E59"/>
    <w:rsid w:val="00622772"/>
    <w:rsid w:val="0062285F"/>
    <w:rsid w:val="006234FF"/>
    <w:rsid w:val="00624FCF"/>
    <w:rsid w:val="00625A26"/>
    <w:rsid w:val="006260CE"/>
    <w:rsid w:val="006260F8"/>
    <w:rsid w:val="0063008E"/>
    <w:rsid w:val="00630818"/>
    <w:rsid w:val="0063242E"/>
    <w:rsid w:val="0063311F"/>
    <w:rsid w:val="00633456"/>
    <w:rsid w:val="0063383D"/>
    <w:rsid w:val="00633C40"/>
    <w:rsid w:val="00634861"/>
    <w:rsid w:val="00634A29"/>
    <w:rsid w:val="00634D33"/>
    <w:rsid w:val="00634E90"/>
    <w:rsid w:val="00635858"/>
    <w:rsid w:val="00636FAA"/>
    <w:rsid w:val="0063744B"/>
    <w:rsid w:val="00637601"/>
    <w:rsid w:val="00637824"/>
    <w:rsid w:val="00640F23"/>
    <w:rsid w:val="00641930"/>
    <w:rsid w:val="00641BC0"/>
    <w:rsid w:val="00643125"/>
    <w:rsid w:val="00647178"/>
    <w:rsid w:val="00647698"/>
    <w:rsid w:val="00647E4C"/>
    <w:rsid w:val="00647E9E"/>
    <w:rsid w:val="0065015C"/>
    <w:rsid w:val="00651357"/>
    <w:rsid w:val="00654941"/>
    <w:rsid w:val="006549FF"/>
    <w:rsid w:val="006554AB"/>
    <w:rsid w:val="00656A25"/>
    <w:rsid w:val="00657881"/>
    <w:rsid w:val="00657A98"/>
    <w:rsid w:val="0066094D"/>
    <w:rsid w:val="006627A7"/>
    <w:rsid w:val="00665CA9"/>
    <w:rsid w:val="00666BD8"/>
    <w:rsid w:val="006671B2"/>
    <w:rsid w:val="006700EB"/>
    <w:rsid w:val="00670489"/>
    <w:rsid w:val="00671B9B"/>
    <w:rsid w:val="006726FB"/>
    <w:rsid w:val="0067272A"/>
    <w:rsid w:val="00672D5A"/>
    <w:rsid w:val="00674080"/>
    <w:rsid w:val="006754D5"/>
    <w:rsid w:val="00675F54"/>
    <w:rsid w:val="00676DE9"/>
    <w:rsid w:val="006772FC"/>
    <w:rsid w:val="00680135"/>
    <w:rsid w:val="0068066B"/>
    <w:rsid w:val="00681037"/>
    <w:rsid w:val="006819DE"/>
    <w:rsid w:val="00682641"/>
    <w:rsid w:val="006832EE"/>
    <w:rsid w:val="00683475"/>
    <w:rsid w:val="00683D44"/>
    <w:rsid w:val="00683E9C"/>
    <w:rsid w:val="0068626B"/>
    <w:rsid w:val="00687E1E"/>
    <w:rsid w:val="00690DED"/>
    <w:rsid w:val="0069142C"/>
    <w:rsid w:val="00692771"/>
    <w:rsid w:val="006939A2"/>
    <w:rsid w:val="00694022"/>
    <w:rsid w:val="00694ED0"/>
    <w:rsid w:val="00695726"/>
    <w:rsid w:val="006962D7"/>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72FC"/>
    <w:rsid w:val="006B797F"/>
    <w:rsid w:val="006C09B8"/>
    <w:rsid w:val="006C1052"/>
    <w:rsid w:val="006C2C62"/>
    <w:rsid w:val="006C319B"/>
    <w:rsid w:val="006C34CB"/>
    <w:rsid w:val="006C4687"/>
    <w:rsid w:val="006C5C78"/>
    <w:rsid w:val="006C61E6"/>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A1"/>
    <w:rsid w:val="006E6710"/>
    <w:rsid w:val="006E6A4C"/>
    <w:rsid w:val="006E6C49"/>
    <w:rsid w:val="006E746C"/>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EC1"/>
    <w:rsid w:val="00707768"/>
    <w:rsid w:val="00710653"/>
    <w:rsid w:val="00710759"/>
    <w:rsid w:val="00712178"/>
    <w:rsid w:val="0071239E"/>
    <w:rsid w:val="00712606"/>
    <w:rsid w:val="007133D1"/>
    <w:rsid w:val="00714ABF"/>
    <w:rsid w:val="00716363"/>
    <w:rsid w:val="00717115"/>
    <w:rsid w:val="0072046F"/>
    <w:rsid w:val="007207EC"/>
    <w:rsid w:val="007224DE"/>
    <w:rsid w:val="007226BD"/>
    <w:rsid w:val="007234E6"/>
    <w:rsid w:val="00726DA5"/>
    <w:rsid w:val="00727CB3"/>
    <w:rsid w:val="00730428"/>
    <w:rsid w:val="00731B12"/>
    <w:rsid w:val="00731D6D"/>
    <w:rsid w:val="00732258"/>
    <w:rsid w:val="00733A7D"/>
    <w:rsid w:val="007344D3"/>
    <w:rsid w:val="00735B26"/>
    <w:rsid w:val="0073669C"/>
    <w:rsid w:val="0073677A"/>
    <w:rsid w:val="007371D7"/>
    <w:rsid w:val="0073771D"/>
    <w:rsid w:val="007402BF"/>
    <w:rsid w:val="007405CD"/>
    <w:rsid w:val="007408FD"/>
    <w:rsid w:val="00740E08"/>
    <w:rsid w:val="007414B7"/>
    <w:rsid w:val="00741671"/>
    <w:rsid w:val="007418F0"/>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CA"/>
    <w:rsid w:val="00757D92"/>
    <w:rsid w:val="0076152D"/>
    <w:rsid w:val="00761FB9"/>
    <w:rsid w:val="007632A8"/>
    <w:rsid w:val="007635F6"/>
    <w:rsid w:val="00764320"/>
    <w:rsid w:val="00764F27"/>
    <w:rsid w:val="00765210"/>
    <w:rsid w:val="00765F03"/>
    <w:rsid w:val="00765F9E"/>
    <w:rsid w:val="00766973"/>
    <w:rsid w:val="0076715E"/>
    <w:rsid w:val="0077482E"/>
    <w:rsid w:val="0077501D"/>
    <w:rsid w:val="00775636"/>
    <w:rsid w:val="00776892"/>
    <w:rsid w:val="00776FDA"/>
    <w:rsid w:val="00781213"/>
    <w:rsid w:val="00781411"/>
    <w:rsid w:val="00781690"/>
    <w:rsid w:val="00783043"/>
    <w:rsid w:val="0078393B"/>
    <w:rsid w:val="007849F9"/>
    <w:rsid w:val="00784ACD"/>
    <w:rsid w:val="00784C5B"/>
    <w:rsid w:val="0078589A"/>
    <w:rsid w:val="00785D74"/>
    <w:rsid w:val="0078790B"/>
    <w:rsid w:val="00787E95"/>
    <w:rsid w:val="00791E51"/>
    <w:rsid w:val="007928DE"/>
    <w:rsid w:val="00792CE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02E8"/>
    <w:rsid w:val="007B49B6"/>
    <w:rsid w:val="007B6782"/>
    <w:rsid w:val="007B6957"/>
    <w:rsid w:val="007B7581"/>
    <w:rsid w:val="007B7A7A"/>
    <w:rsid w:val="007C06C1"/>
    <w:rsid w:val="007C070F"/>
    <w:rsid w:val="007C1AF4"/>
    <w:rsid w:val="007C29E7"/>
    <w:rsid w:val="007C4B87"/>
    <w:rsid w:val="007C56ED"/>
    <w:rsid w:val="007C60BE"/>
    <w:rsid w:val="007C60F0"/>
    <w:rsid w:val="007D0947"/>
    <w:rsid w:val="007D0B3A"/>
    <w:rsid w:val="007D20BA"/>
    <w:rsid w:val="007D5851"/>
    <w:rsid w:val="007D64F5"/>
    <w:rsid w:val="007D6A4B"/>
    <w:rsid w:val="007D6FBB"/>
    <w:rsid w:val="007D71D0"/>
    <w:rsid w:val="007D7F76"/>
    <w:rsid w:val="007D7FF3"/>
    <w:rsid w:val="007E0534"/>
    <w:rsid w:val="007E0753"/>
    <w:rsid w:val="007E26E2"/>
    <w:rsid w:val="007E3865"/>
    <w:rsid w:val="007E3C27"/>
    <w:rsid w:val="007E429C"/>
    <w:rsid w:val="007E49E1"/>
    <w:rsid w:val="007E744F"/>
    <w:rsid w:val="007E7F70"/>
    <w:rsid w:val="007F1024"/>
    <w:rsid w:val="007F17DD"/>
    <w:rsid w:val="007F1C6F"/>
    <w:rsid w:val="007F25B0"/>
    <w:rsid w:val="007F276A"/>
    <w:rsid w:val="007F4DC9"/>
    <w:rsid w:val="007F706B"/>
    <w:rsid w:val="007F79AC"/>
    <w:rsid w:val="008003F4"/>
    <w:rsid w:val="00800589"/>
    <w:rsid w:val="00800761"/>
    <w:rsid w:val="008011EA"/>
    <w:rsid w:val="00802223"/>
    <w:rsid w:val="00802793"/>
    <w:rsid w:val="008029D0"/>
    <w:rsid w:val="00804BE0"/>
    <w:rsid w:val="0080519A"/>
    <w:rsid w:val="00805ED6"/>
    <w:rsid w:val="00806538"/>
    <w:rsid w:val="00806D1E"/>
    <w:rsid w:val="00810151"/>
    <w:rsid w:val="008102A6"/>
    <w:rsid w:val="0081109E"/>
    <w:rsid w:val="00811498"/>
    <w:rsid w:val="00811534"/>
    <w:rsid w:val="00811A5B"/>
    <w:rsid w:val="008124F4"/>
    <w:rsid w:val="008157EC"/>
    <w:rsid w:val="0081608B"/>
    <w:rsid w:val="00816811"/>
    <w:rsid w:val="00816CE0"/>
    <w:rsid w:val="008203CF"/>
    <w:rsid w:val="008205E9"/>
    <w:rsid w:val="00821304"/>
    <w:rsid w:val="00823286"/>
    <w:rsid w:val="0082334C"/>
    <w:rsid w:val="00823B5C"/>
    <w:rsid w:val="008259DF"/>
    <w:rsid w:val="00825F4A"/>
    <w:rsid w:val="00826CA7"/>
    <w:rsid w:val="008271D6"/>
    <w:rsid w:val="00827430"/>
    <w:rsid w:val="008276D2"/>
    <w:rsid w:val="00830CAF"/>
    <w:rsid w:val="00831529"/>
    <w:rsid w:val="00833019"/>
    <w:rsid w:val="008336DD"/>
    <w:rsid w:val="00834875"/>
    <w:rsid w:val="008352A7"/>
    <w:rsid w:val="00836421"/>
    <w:rsid w:val="00836F18"/>
    <w:rsid w:val="00837129"/>
    <w:rsid w:val="008372A1"/>
    <w:rsid w:val="00837B3D"/>
    <w:rsid w:val="008433DF"/>
    <w:rsid w:val="008442F5"/>
    <w:rsid w:val="0084438E"/>
    <w:rsid w:val="00844992"/>
    <w:rsid w:val="0084555C"/>
    <w:rsid w:val="008472D0"/>
    <w:rsid w:val="0085064A"/>
    <w:rsid w:val="00850BF8"/>
    <w:rsid w:val="00851C99"/>
    <w:rsid w:val="00851FD3"/>
    <w:rsid w:val="00852341"/>
    <w:rsid w:val="00852D66"/>
    <w:rsid w:val="00852E1C"/>
    <w:rsid w:val="00855A34"/>
    <w:rsid w:val="0085630A"/>
    <w:rsid w:val="0085641F"/>
    <w:rsid w:val="008610BD"/>
    <w:rsid w:val="008613BF"/>
    <w:rsid w:val="00861A3A"/>
    <w:rsid w:val="00861E51"/>
    <w:rsid w:val="0086276F"/>
    <w:rsid w:val="00862E13"/>
    <w:rsid w:val="00863349"/>
    <w:rsid w:val="00863DAF"/>
    <w:rsid w:val="0086487A"/>
    <w:rsid w:val="00864B11"/>
    <w:rsid w:val="00864B81"/>
    <w:rsid w:val="0086689F"/>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6EA"/>
    <w:rsid w:val="00890CDB"/>
    <w:rsid w:val="00891FDB"/>
    <w:rsid w:val="008920E3"/>
    <w:rsid w:val="00893041"/>
    <w:rsid w:val="00895031"/>
    <w:rsid w:val="00895E8A"/>
    <w:rsid w:val="00897D5C"/>
    <w:rsid w:val="008A053A"/>
    <w:rsid w:val="008A13D2"/>
    <w:rsid w:val="008A1623"/>
    <w:rsid w:val="008A3ED4"/>
    <w:rsid w:val="008A4555"/>
    <w:rsid w:val="008A5B6E"/>
    <w:rsid w:val="008A6029"/>
    <w:rsid w:val="008A6FC2"/>
    <w:rsid w:val="008A7F18"/>
    <w:rsid w:val="008B07CC"/>
    <w:rsid w:val="008B0DBE"/>
    <w:rsid w:val="008B156A"/>
    <w:rsid w:val="008B1576"/>
    <w:rsid w:val="008B25C0"/>
    <w:rsid w:val="008B272B"/>
    <w:rsid w:val="008B3BC9"/>
    <w:rsid w:val="008B462F"/>
    <w:rsid w:val="008B6ED2"/>
    <w:rsid w:val="008C034F"/>
    <w:rsid w:val="008C0421"/>
    <w:rsid w:val="008C130F"/>
    <w:rsid w:val="008C4022"/>
    <w:rsid w:val="008C55B9"/>
    <w:rsid w:val="008D00A2"/>
    <w:rsid w:val="008D00B7"/>
    <w:rsid w:val="008D046B"/>
    <w:rsid w:val="008D04A2"/>
    <w:rsid w:val="008D1C72"/>
    <w:rsid w:val="008D360C"/>
    <w:rsid w:val="008D479D"/>
    <w:rsid w:val="008D5CBB"/>
    <w:rsid w:val="008D6ABE"/>
    <w:rsid w:val="008E02C4"/>
    <w:rsid w:val="008E0A2E"/>
    <w:rsid w:val="008E1B77"/>
    <w:rsid w:val="008E2F9B"/>
    <w:rsid w:val="008E3170"/>
    <w:rsid w:val="008E33C0"/>
    <w:rsid w:val="008E3C50"/>
    <w:rsid w:val="008E4920"/>
    <w:rsid w:val="008E5F12"/>
    <w:rsid w:val="008E5F49"/>
    <w:rsid w:val="008F0D41"/>
    <w:rsid w:val="008F11D8"/>
    <w:rsid w:val="008F52E0"/>
    <w:rsid w:val="008F6392"/>
    <w:rsid w:val="008F6ADC"/>
    <w:rsid w:val="008F6EE5"/>
    <w:rsid w:val="008F7292"/>
    <w:rsid w:val="009004AA"/>
    <w:rsid w:val="00900647"/>
    <w:rsid w:val="00900F7A"/>
    <w:rsid w:val="009013F5"/>
    <w:rsid w:val="00902A76"/>
    <w:rsid w:val="00904623"/>
    <w:rsid w:val="009049C8"/>
    <w:rsid w:val="0090625E"/>
    <w:rsid w:val="0090788B"/>
    <w:rsid w:val="009117F0"/>
    <w:rsid w:val="0091193B"/>
    <w:rsid w:val="00912B3D"/>
    <w:rsid w:val="0091317C"/>
    <w:rsid w:val="00913433"/>
    <w:rsid w:val="00913F76"/>
    <w:rsid w:val="0091421D"/>
    <w:rsid w:val="009143F7"/>
    <w:rsid w:val="00915DDC"/>
    <w:rsid w:val="009160D7"/>
    <w:rsid w:val="00920723"/>
    <w:rsid w:val="00920C04"/>
    <w:rsid w:val="0092240B"/>
    <w:rsid w:val="00922908"/>
    <w:rsid w:val="00922BEA"/>
    <w:rsid w:val="00923797"/>
    <w:rsid w:val="00927DBB"/>
    <w:rsid w:val="00930445"/>
    <w:rsid w:val="009311CE"/>
    <w:rsid w:val="00932222"/>
    <w:rsid w:val="00932DC8"/>
    <w:rsid w:val="00932DE9"/>
    <w:rsid w:val="00934232"/>
    <w:rsid w:val="00934D58"/>
    <w:rsid w:val="00934EB1"/>
    <w:rsid w:val="00934FDB"/>
    <w:rsid w:val="009352A6"/>
    <w:rsid w:val="009358D9"/>
    <w:rsid w:val="00935F05"/>
    <w:rsid w:val="00937073"/>
    <w:rsid w:val="009411B9"/>
    <w:rsid w:val="00944DC6"/>
    <w:rsid w:val="009468BF"/>
    <w:rsid w:val="0094759D"/>
    <w:rsid w:val="009476DE"/>
    <w:rsid w:val="00954096"/>
    <w:rsid w:val="00955101"/>
    <w:rsid w:val="009552BF"/>
    <w:rsid w:val="009557B6"/>
    <w:rsid w:val="0095597C"/>
    <w:rsid w:val="009566AB"/>
    <w:rsid w:val="00956744"/>
    <w:rsid w:val="0095713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801CE"/>
    <w:rsid w:val="00981726"/>
    <w:rsid w:val="00981943"/>
    <w:rsid w:val="00982EFE"/>
    <w:rsid w:val="00984EDD"/>
    <w:rsid w:val="0098612C"/>
    <w:rsid w:val="009864DF"/>
    <w:rsid w:val="0098686E"/>
    <w:rsid w:val="00986907"/>
    <w:rsid w:val="00990BF0"/>
    <w:rsid w:val="00994A9A"/>
    <w:rsid w:val="00995D4D"/>
    <w:rsid w:val="00995E92"/>
    <w:rsid w:val="00996AAC"/>
    <w:rsid w:val="009970F9"/>
    <w:rsid w:val="0099780E"/>
    <w:rsid w:val="009A03A3"/>
    <w:rsid w:val="009A4935"/>
    <w:rsid w:val="009A4E27"/>
    <w:rsid w:val="009A5625"/>
    <w:rsid w:val="009A6A61"/>
    <w:rsid w:val="009B19B4"/>
    <w:rsid w:val="009B1E6D"/>
    <w:rsid w:val="009B30B8"/>
    <w:rsid w:val="009B4696"/>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71D0"/>
    <w:rsid w:val="009D7291"/>
    <w:rsid w:val="009D7F09"/>
    <w:rsid w:val="009E0380"/>
    <w:rsid w:val="009E11AD"/>
    <w:rsid w:val="009E216E"/>
    <w:rsid w:val="009E250E"/>
    <w:rsid w:val="009E2B8F"/>
    <w:rsid w:val="009E38A0"/>
    <w:rsid w:val="009E3F27"/>
    <w:rsid w:val="009E40CD"/>
    <w:rsid w:val="009E5144"/>
    <w:rsid w:val="009E7854"/>
    <w:rsid w:val="009F2B81"/>
    <w:rsid w:val="009F3412"/>
    <w:rsid w:val="009F399F"/>
    <w:rsid w:val="009F41E5"/>
    <w:rsid w:val="009F4B84"/>
    <w:rsid w:val="009F5B76"/>
    <w:rsid w:val="009F5E85"/>
    <w:rsid w:val="009F62BD"/>
    <w:rsid w:val="009F667A"/>
    <w:rsid w:val="009F68EE"/>
    <w:rsid w:val="00A0269F"/>
    <w:rsid w:val="00A029B0"/>
    <w:rsid w:val="00A0555E"/>
    <w:rsid w:val="00A0603A"/>
    <w:rsid w:val="00A077C5"/>
    <w:rsid w:val="00A07E9F"/>
    <w:rsid w:val="00A108FA"/>
    <w:rsid w:val="00A109FF"/>
    <w:rsid w:val="00A1275A"/>
    <w:rsid w:val="00A13DED"/>
    <w:rsid w:val="00A15467"/>
    <w:rsid w:val="00A15859"/>
    <w:rsid w:val="00A167A3"/>
    <w:rsid w:val="00A16E45"/>
    <w:rsid w:val="00A171F5"/>
    <w:rsid w:val="00A208C7"/>
    <w:rsid w:val="00A220A2"/>
    <w:rsid w:val="00A23AB7"/>
    <w:rsid w:val="00A24EC6"/>
    <w:rsid w:val="00A255E0"/>
    <w:rsid w:val="00A25D98"/>
    <w:rsid w:val="00A30D22"/>
    <w:rsid w:val="00A32571"/>
    <w:rsid w:val="00A35C44"/>
    <w:rsid w:val="00A35F46"/>
    <w:rsid w:val="00A35FEB"/>
    <w:rsid w:val="00A36AC4"/>
    <w:rsid w:val="00A37F08"/>
    <w:rsid w:val="00A40F4A"/>
    <w:rsid w:val="00A41855"/>
    <w:rsid w:val="00A42474"/>
    <w:rsid w:val="00A43113"/>
    <w:rsid w:val="00A43A56"/>
    <w:rsid w:val="00A469B1"/>
    <w:rsid w:val="00A46BAE"/>
    <w:rsid w:val="00A47406"/>
    <w:rsid w:val="00A474ED"/>
    <w:rsid w:val="00A47AD1"/>
    <w:rsid w:val="00A502C7"/>
    <w:rsid w:val="00A5101E"/>
    <w:rsid w:val="00A518E4"/>
    <w:rsid w:val="00A54E3C"/>
    <w:rsid w:val="00A55D34"/>
    <w:rsid w:val="00A56331"/>
    <w:rsid w:val="00A56429"/>
    <w:rsid w:val="00A5693F"/>
    <w:rsid w:val="00A57BB5"/>
    <w:rsid w:val="00A6108A"/>
    <w:rsid w:val="00A630C4"/>
    <w:rsid w:val="00A63499"/>
    <w:rsid w:val="00A6698E"/>
    <w:rsid w:val="00A66C44"/>
    <w:rsid w:val="00A702A0"/>
    <w:rsid w:val="00A70D62"/>
    <w:rsid w:val="00A7204F"/>
    <w:rsid w:val="00A728B6"/>
    <w:rsid w:val="00A748D2"/>
    <w:rsid w:val="00A76340"/>
    <w:rsid w:val="00A766C3"/>
    <w:rsid w:val="00A769FE"/>
    <w:rsid w:val="00A7717F"/>
    <w:rsid w:val="00A77BAE"/>
    <w:rsid w:val="00A80990"/>
    <w:rsid w:val="00A80E75"/>
    <w:rsid w:val="00A81DF9"/>
    <w:rsid w:val="00A83BC7"/>
    <w:rsid w:val="00A84238"/>
    <w:rsid w:val="00A861EE"/>
    <w:rsid w:val="00A8751B"/>
    <w:rsid w:val="00A875A2"/>
    <w:rsid w:val="00A90D25"/>
    <w:rsid w:val="00A93235"/>
    <w:rsid w:val="00A96347"/>
    <w:rsid w:val="00A96E90"/>
    <w:rsid w:val="00A97E9A"/>
    <w:rsid w:val="00AA3A64"/>
    <w:rsid w:val="00AA6479"/>
    <w:rsid w:val="00AB14A9"/>
    <w:rsid w:val="00AB2AB5"/>
    <w:rsid w:val="00AB337B"/>
    <w:rsid w:val="00AB4000"/>
    <w:rsid w:val="00AB6B96"/>
    <w:rsid w:val="00AB7470"/>
    <w:rsid w:val="00AB7AA7"/>
    <w:rsid w:val="00AC0E4C"/>
    <w:rsid w:val="00AC11C4"/>
    <w:rsid w:val="00AC133B"/>
    <w:rsid w:val="00AC1564"/>
    <w:rsid w:val="00AC227D"/>
    <w:rsid w:val="00AC2CDC"/>
    <w:rsid w:val="00AC590D"/>
    <w:rsid w:val="00AC5D5D"/>
    <w:rsid w:val="00AC6E35"/>
    <w:rsid w:val="00AC7BD2"/>
    <w:rsid w:val="00AD0245"/>
    <w:rsid w:val="00AD04F0"/>
    <w:rsid w:val="00AD1581"/>
    <w:rsid w:val="00AD1DE8"/>
    <w:rsid w:val="00AD24B4"/>
    <w:rsid w:val="00AD2734"/>
    <w:rsid w:val="00AD2D06"/>
    <w:rsid w:val="00AD3520"/>
    <w:rsid w:val="00AD3BBC"/>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E9"/>
    <w:rsid w:val="00AF3A97"/>
    <w:rsid w:val="00AF3D23"/>
    <w:rsid w:val="00AF4FDD"/>
    <w:rsid w:val="00AF608F"/>
    <w:rsid w:val="00AF6F59"/>
    <w:rsid w:val="00B0053A"/>
    <w:rsid w:val="00B006B9"/>
    <w:rsid w:val="00B00EE7"/>
    <w:rsid w:val="00B01140"/>
    <w:rsid w:val="00B02045"/>
    <w:rsid w:val="00B04931"/>
    <w:rsid w:val="00B051F8"/>
    <w:rsid w:val="00B0667C"/>
    <w:rsid w:val="00B06B06"/>
    <w:rsid w:val="00B07984"/>
    <w:rsid w:val="00B107CE"/>
    <w:rsid w:val="00B118EB"/>
    <w:rsid w:val="00B126F7"/>
    <w:rsid w:val="00B13DF4"/>
    <w:rsid w:val="00B15A48"/>
    <w:rsid w:val="00B15CA4"/>
    <w:rsid w:val="00B16DBE"/>
    <w:rsid w:val="00B17B0D"/>
    <w:rsid w:val="00B20715"/>
    <w:rsid w:val="00B21427"/>
    <w:rsid w:val="00B22CD8"/>
    <w:rsid w:val="00B22E62"/>
    <w:rsid w:val="00B24A34"/>
    <w:rsid w:val="00B25BB7"/>
    <w:rsid w:val="00B26CC0"/>
    <w:rsid w:val="00B26E58"/>
    <w:rsid w:val="00B30DF0"/>
    <w:rsid w:val="00B315FB"/>
    <w:rsid w:val="00B33824"/>
    <w:rsid w:val="00B341BA"/>
    <w:rsid w:val="00B342BA"/>
    <w:rsid w:val="00B342FA"/>
    <w:rsid w:val="00B37006"/>
    <w:rsid w:val="00B40C36"/>
    <w:rsid w:val="00B42732"/>
    <w:rsid w:val="00B43126"/>
    <w:rsid w:val="00B43723"/>
    <w:rsid w:val="00B45322"/>
    <w:rsid w:val="00B4661E"/>
    <w:rsid w:val="00B46C01"/>
    <w:rsid w:val="00B5065C"/>
    <w:rsid w:val="00B516D4"/>
    <w:rsid w:val="00B51B91"/>
    <w:rsid w:val="00B52274"/>
    <w:rsid w:val="00B54DE5"/>
    <w:rsid w:val="00B554CA"/>
    <w:rsid w:val="00B556DA"/>
    <w:rsid w:val="00B561AB"/>
    <w:rsid w:val="00B56359"/>
    <w:rsid w:val="00B56B85"/>
    <w:rsid w:val="00B56E8B"/>
    <w:rsid w:val="00B60541"/>
    <w:rsid w:val="00B6066B"/>
    <w:rsid w:val="00B61A7B"/>
    <w:rsid w:val="00B63D00"/>
    <w:rsid w:val="00B646F2"/>
    <w:rsid w:val="00B64F5F"/>
    <w:rsid w:val="00B677AF"/>
    <w:rsid w:val="00B70836"/>
    <w:rsid w:val="00B71B3B"/>
    <w:rsid w:val="00B724A6"/>
    <w:rsid w:val="00B72AEA"/>
    <w:rsid w:val="00B73D63"/>
    <w:rsid w:val="00B740DB"/>
    <w:rsid w:val="00B75C2D"/>
    <w:rsid w:val="00B76378"/>
    <w:rsid w:val="00B76523"/>
    <w:rsid w:val="00B779A3"/>
    <w:rsid w:val="00B77B9A"/>
    <w:rsid w:val="00B77DF3"/>
    <w:rsid w:val="00B8145D"/>
    <w:rsid w:val="00B821C4"/>
    <w:rsid w:val="00B82347"/>
    <w:rsid w:val="00B826A6"/>
    <w:rsid w:val="00B83A29"/>
    <w:rsid w:val="00B83BD6"/>
    <w:rsid w:val="00B84E01"/>
    <w:rsid w:val="00B8757A"/>
    <w:rsid w:val="00B939FD"/>
    <w:rsid w:val="00B952DD"/>
    <w:rsid w:val="00B9593D"/>
    <w:rsid w:val="00B96024"/>
    <w:rsid w:val="00B96E45"/>
    <w:rsid w:val="00B9729F"/>
    <w:rsid w:val="00B97F8A"/>
    <w:rsid w:val="00BA006E"/>
    <w:rsid w:val="00BA110C"/>
    <w:rsid w:val="00BA3DFB"/>
    <w:rsid w:val="00BA4DAF"/>
    <w:rsid w:val="00BA53AB"/>
    <w:rsid w:val="00BA53DE"/>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278D"/>
    <w:rsid w:val="00BC2F60"/>
    <w:rsid w:val="00BC3DF7"/>
    <w:rsid w:val="00BC3FF0"/>
    <w:rsid w:val="00BC4E3A"/>
    <w:rsid w:val="00BC55E1"/>
    <w:rsid w:val="00BC5879"/>
    <w:rsid w:val="00BC5E68"/>
    <w:rsid w:val="00BC5FA2"/>
    <w:rsid w:val="00BC726E"/>
    <w:rsid w:val="00BD0140"/>
    <w:rsid w:val="00BD19BF"/>
    <w:rsid w:val="00BD444B"/>
    <w:rsid w:val="00BD45A1"/>
    <w:rsid w:val="00BD4933"/>
    <w:rsid w:val="00BD5EE3"/>
    <w:rsid w:val="00BD7907"/>
    <w:rsid w:val="00BE0730"/>
    <w:rsid w:val="00BE1986"/>
    <w:rsid w:val="00BE211C"/>
    <w:rsid w:val="00BE3047"/>
    <w:rsid w:val="00BE38C9"/>
    <w:rsid w:val="00BE42FB"/>
    <w:rsid w:val="00BE5756"/>
    <w:rsid w:val="00BE6F02"/>
    <w:rsid w:val="00BF2D5C"/>
    <w:rsid w:val="00BF3C85"/>
    <w:rsid w:val="00BF425F"/>
    <w:rsid w:val="00BF668F"/>
    <w:rsid w:val="00C03C87"/>
    <w:rsid w:val="00C04A80"/>
    <w:rsid w:val="00C05571"/>
    <w:rsid w:val="00C07480"/>
    <w:rsid w:val="00C07E3A"/>
    <w:rsid w:val="00C10DF4"/>
    <w:rsid w:val="00C1119D"/>
    <w:rsid w:val="00C11BC3"/>
    <w:rsid w:val="00C11BEE"/>
    <w:rsid w:val="00C12446"/>
    <w:rsid w:val="00C134C5"/>
    <w:rsid w:val="00C13584"/>
    <w:rsid w:val="00C139EE"/>
    <w:rsid w:val="00C13CE0"/>
    <w:rsid w:val="00C145D4"/>
    <w:rsid w:val="00C16FF4"/>
    <w:rsid w:val="00C20CEA"/>
    <w:rsid w:val="00C217A5"/>
    <w:rsid w:val="00C22B4F"/>
    <w:rsid w:val="00C23BAD"/>
    <w:rsid w:val="00C24702"/>
    <w:rsid w:val="00C247B9"/>
    <w:rsid w:val="00C24833"/>
    <w:rsid w:val="00C256EE"/>
    <w:rsid w:val="00C25700"/>
    <w:rsid w:val="00C26927"/>
    <w:rsid w:val="00C27899"/>
    <w:rsid w:val="00C300AC"/>
    <w:rsid w:val="00C31FD3"/>
    <w:rsid w:val="00C324DA"/>
    <w:rsid w:val="00C34488"/>
    <w:rsid w:val="00C402B6"/>
    <w:rsid w:val="00C4087E"/>
    <w:rsid w:val="00C40F41"/>
    <w:rsid w:val="00C430F8"/>
    <w:rsid w:val="00C439E9"/>
    <w:rsid w:val="00C4424F"/>
    <w:rsid w:val="00C46B02"/>
    <w:rsid w:val="00C475E9"/>
    <w:rsid w:val="00C47A39"/>
    <w:rsid w:val="00C47D70"/>
    <w:rsid w:val="00C50235"/>
    <w:rsid w:val="00C52B39"/>
    <w:rsid w:val="00C53C26"/>
    <w:rsid w:val="00C547B7"/>
    <w:rsid w:val="00C54B6B"/>
    <w:rsid w:val="00C55C55"/>
    <w:rsid w:val="00C55E58"/>
    <w:rsid w:val="00C56346"/>
    <w:rsid w:val="00C57013"/>
    <w:rsid w:val="00C5739B"/>
    <w:rsid w:val="00C57F58"/>
    <w:rsid w:val="00C62DCD"/>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688"/>
    <w:rsid w:val="00C746A5"/>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641D"/>
    <w:rsid w:val="00C866C6"/>
    <w:rsid w:val="00C86A89"/>
    <w:rsid w:val="00C86F65"/>
    <w:rsid w:val="00C87553"/>
    <w:rsid w:val="00C9093D"/>
    <w:rsid w:val="00C91F21"/>
    <w:rsid w:val="00C93A4E"/>
    <w:rsid w:val="00C94A7B"/>
    <w:rsid w:val="00C95A9C"/>
    <w:rsid w:val="00CA2B69"/>
    <w:rsid w:val="00CA332A"/>
    <w:rsid w:val="00CA3591"/>
    <w:rsid w:val="00CA3A94"/>
    <w:rsid w:val="00CA3E00"/>
    <w:rsid w:val="00CA684F"/>
    <w:rsid w:val="00CB218A"/>
    <w:rsid w:val="00CB2CC0"/>
    <w:rsid w:val="00CB2DFD"/>
    <w:rsid w:val="00CB344D"/>
    <w:rsid w:val="00CB514A"/>
    <w:rsid w:val="00CB73B5"/>
    <w:rsid w:val="00CB76EF"/>
    <w:rsid w:val="00CC046B"/>
    <w:rsid w:val="00CC22A7"/>
    <w:rsid w:val="00CC31E2"/>
    <w:rsid w:val="00CC4AA6"/>
    <w:rsid w:val="00CC5170"/>
    <w:rsid w:val="00CC5EDE"/>
    <w:rsid w:val="00CC6182"/>
    <w:rsid w:val="00CC674F"/>
    <w:rsid w:val="00CC6DD5"/>
    <w:rsid w:val="00CD0F83"/>
    <w:rsid w:val="00CD24EB"/>
    <w:rsid w:val="00CD451A"/>
    <w:rsid w:val="00CD52B2"/>
    <w:rsid w:val="00CD554B"/>
    <w:rsid w:val="00CD5B8F"/>
    <w:rsid w:val="00CD6E99"/>
    <w:rsid w:val="00CE05C9"/>
    <w:rsid w:val="00CE0ED0"/>
    <w:rsid w:val="00CE1DA5"/>
    <w:rsid w:val="00CE2C2E"/>
    <w:rsid w:val="00CE3183"/>
    <w:rsid w:val="00CE35FC"/>
    <w:rsid w:val="00CE47AB"/>
    <w:rsid w:val="00CE4DB8"/>
    <w:rsid w:val="00CE539F"/>
    <w:rsid w:val="00CE55D8"/>
    <w:rsid w:val="00CE5783"/>
    <w:rsid w:val="00CE5E93"/>
    <w:rsid w:val="00CE61F4"/>
    <w:rsid w:val="00CF0592"/>
    <w:rsid w:val="00CF15BC"/>
    <w:rsid w:val="00CF15F2"/>
    <w:rsid w:val="00CF16D6"/>
    <w:rsid w:val="00CF199B"/>
    <w:rsid w:val="00CF277D"/>
    <w:rsid w:val="00CF3B96"/>
    <w:rsid w:val="00CF59C9"/>
    <w:rsid w:val="00CF5E5C"/>
    <w:rsid w:val="00D03123"/>
    <w:rsid w:val="00D033EA"/>
    <w:rsid w:val="00D037DA"/>
    <w:rsid w:val="00D03987"/>
    <w:rsid w:val="00D03DA8"/>
    <w:rsid w:val="00D04B94"/>
    <w:rsid w:val="00D04CB7"/>
    <w:rsid w:val="00D06043"/>
    <w:rsid w:val="00D12D8B"/>
    <w:rsid w:val="00D136E5"/>
    <w:rsid w:val="00D148F1"/>
    <w:rsid w:val="00D149E0"/>
    <w:rsid w:val="00D15962"/>
    <w:rsid w:val="00D15F89"/>
    <w:rsid w:val="00D16F8F"/>
    <w:rsid w:val="00D172DA"/>
    <w:rsid w:val="00D1781A"/>
    <w:rsid w:val="00D17D37"/>
    <w:rsid w:val="00D21943"/>
    <w:rsid w:val="00D22F72"/>
    <w:rsid w:val="00D231D5"/>
    <w:rsid w:val="00D2493A"/>
    <w:rsid w:val="00D24A86"/>
    <w:rsid w:val="00D24E76"/>
    <w:rsid w:val="00D24F4A"/>
    <w:rsid w:val="00D272C3"/>
    <w:rsid w:val="00D27520"/>
    <w:rsid w:val="00D27F0C"/>
    <w:rsid w:val="00D31565"/>
    <w:rsid w:val="00D31645"/>
    <w:rsid w:val="00D32165"/>
    <w:rsid w:val="00D3443F"/>
    <w:rsid w:val="00D34687"/>
    <w:rsid w:val="00D34911"/>
    <w:rsid w:val="00D36541"/>
    <w:rsid w:val="00D366F4"/>
    <w:rsid w:val="00D36D40"/>
    <w:rsid w:val="00D37962"/>
    <w:rsid w:val="00D40EDC"/>
    <w:rsid w:val="00D410EF"/>
    <w:rsid w:val="00D4270C"/>
    <w:rsid w:val="00D42972"/>
    <w:rsid w:val="00D450F3"/>
    <w:rsid w:val="00D45610"/>
    <w:rsid w:val="00D45E85"/>
    <w:rsid w:val="00D46012"/>
    <w:rsid w:val="00D46484"/>
    <w:rsid w:val="00D46F34"/>
    <w:rsid w:val="00D507B7"/>
    <w:rsid w:val="00D51093"/>
    <w:rsid w:val="00D5168B"/>
    <w:rsid w:val="00D51A51"/>
    <w:rsid w:val="00D52894"/>
    <w:rsid w:val="00D54C4A"/>
    <w:rsid w:val="00D5574D"/>
    <w:rsid w:val="00D56236"/>
    <w:rsid w:val="00D563AE"/>
    <w:rsid w:val="00D57DB7"/>
    <w:rsid w:val="00D60FAC"/>
    <w:rsid w:val="00D61312"/>
    <w:rsid w:val="00D61D31"/>
    <w:rsid w:val="00D6265D"/>
    <w:rsid w:val="00D63A1D"/>
    <w:rsid w:val="00D649CF"/>
    <w:rsid w:val="00D64FB1"/>
    <w:rsid w:val="00D6637C"/>
    <w:rsid w:val="00D70B3A"/>
    <w:rsid w:val="00D71850"/>
    <w:rsid w:val="00D731EE"/>
    <w:rsid w:val="00D734D0"/>
    <w:rsid w:val="00D74513"/>
    <w:rsid w:val="00D74B98"/>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829"/>
    <w:rsid w:val="00D90C06"/>
    <w:rsid w:val="00D91250"/>
    <w:rsid w:val="00D92E24"/>
    <w:rsid w:val="00D93FAE"/>
    <w:rsid w:val="00D94043"/>
    <w:rsid w:val="00D95AA6"/>
    <w:rsid w:val="00D95BBB"/>
    <w:rsid w:val="00D95DA2"/>
    <w:rsid w:val="00D9634B"/>
    <w:rsid w:val="00D974BE"/>
    <w:rsid w:val="00DA0556"/>
    <w:rsid w:val="00DA0E91"/>
    <w:rsid w:val="00DA2ED0"/>
    <w:rsid w:val="00DA5FF8"/>
    <w:rsid w:val="00DA63A1"/>
    <w:rsid w:val="00DA6755"/>
    <w:rsid w:val="00DA6AE3"/>
    <w:rsid w:val="00DA6D39"/>
    <w:rsid w:val="00DA72A4"/>
    <w:rsid w:val="00DB0086"/>
    <w:rsid w:val="00DB05C0"/>
    <w:rsid w:val="00DB0846"/>
    <w:rsid w:val="00DB1945"/>
    <w:rsid w:val="00DB1A45"/>
    <w:rsid w:val="00DB39CD"/>
    <w:rsid w:val="00DB42A5"/>
    <w:rsid w:val="00DB4CA5"/>
    <w:rsid w:val="00DB5579"/>
    <w:rsid w:val="00DB582C"/>
    <w:rsid w:val="00DB73C5"/>
    <w:rsid w:val="00DB7514"/>
    <w:rsid w:val="00DB7B99"/>
    <w:rsid w:val="00DC0526"/>
    <w:rsid w:val="00DC05CD"/>
    <w:rsid w:val="00DC15AA"/>
    <w:rsid w:val="00DC16A9"/>
    <w:rsid w:val="00DC1B4A"/>
    <w:rsid w:val="00DC26F3"/>
    <w:rsid w:val="00DC2833"/>
    <w:rsid w:val="00DC3031"/>
    <w:rsid w:val="00DC53B9"/>
    <w:rsid w:val="00DC54D4"/>
    <w:rsid w:val="00DC5D39"/>
    <w:rsid w:val="00DC6DA6"/>
    <w:rsid w:val="00DC6F1D"/>
    <w:rsid w:val="00DC72BA"/>
    <w:rsid w:val="00DC7749"/>
    <w:rsid w:val="00DC790A"/>
    <w:rsid w:val="00DC7C03"/>
    <w:rsid w:val="00DD012A"/>
    <w:rsid w:val="00DD0630"/>
    <w:rsid w:val="00DD2540"/>
    <w:rsid w:val="00DD2DF9"/>
    <w:rsid w:val="00DD61C1"/>
    <w:rsid w:val="00DD65CD"/>
    <w:rsid w:val="00DE0A1B"/>
    <w:rsid w:val="00DE109D"/>
    <w:rsid w:val="00DE1D00"/>
    <w:rsid w:val="00DE2114"/>
    <w:rsid w:val="00DE2151"/>
    <w:rsid w:val="00DE2A5D"/>
    <w:rsid w:val="00DE5966"/>
    <w:rsid w:val="00DE7D85"/>
    <w:rsid w:val="00DF053D"/>
    <w:rsid w:val="00DF1E1E"/>
    <w:rsid w:val="00DF45F7"/>
    <w:rsid w:val="00DF5B27"/>
    <w:rsid w:val="00DF5E62"/>
    <w:rsid w:val="00DF62EB"/>
    <w:rsid w:val="00E000D6"/>
    <w:rsid w:val="00E00BB5"/>
    <w:rsid w:val="00E02523"/>
    <w:rsid w:val="00E026BA"/>
    <w:rsid w:val="00E03417"/>
    <w:rsid w:val="00E03B14"/>
    <w:rsid w:val="00E04368"/>
    <w:rsid w:val="00E044E3"/>
    <w:rsid w:val="00E047B3"/>
    <w:rsid w:val="00E04897"/>
    <w:rsid w:val="00E060F9"/>
    <w:rsid w:val="00E075B9"/>
    <w:rsid w:val="00E105AC"/>
    <w:rsid w:val="00E112D0"/>
    <w:rsid w:val="00E11322"/>
    <w:rsid w:val="00E1258A"/>
    <w:rsid w:val="00E12D6F"/>
    <w:rsid w:val="00E130B4"/>
    <w:rsid w:val="00E13BAE"/>
    <w:rsid w:val="00E13CF8"/>
    <w:rsid w:val="00E13E4E"/>
    <w:rsid w:val="00E13F06"/>
    <w:rsid w:val="00E14465"/>
    <w:rsid w:val="00E14935"/>
    <w:rsid w:val="00E21913"/>
    <w:rsid w:val="00E2231A"/>
    <w:rsid w:val="00E22407"/>
    <w:rsid w:val="00E23031"/>
    <w:rsid w:val="00E23901"/>
    <w:rsid w:val="00E2498C"/>
    <w:rsid w:val="00E24FF2"/>
    <w:rsid w:val="00E30523"/>
    <w:rsid w:val="00E3076A"/>
    <w:rsid w:val="00E3141A"/>
    <w:rsid w:val="00E31B7A"/>
    <w:rsid w:val="00E3267C"/>
    <w:rsid w:val="00E33385"/>
    <w:rsid w:val="00E3347D"/>
    <w:rsid w:val="00E34219"/>
    <w:rsid w:val="00E34981"/>
    <w:rsid w:val="00E3525D"/>
    <w:rsid w:val="00E35902"/>
    <w:rsid w:val="00E36A82"/>
    <w:rsid w:val="00E36E68"/>
    <w:rsid w:val="00E37B9D"/>
    <w:rsid w:val="00E40D18"/>
    <w:rsid w:val="00E43AD4"/>
    <w:rsid w:val="00E44494"/>
    <w:rsid w:val="00E44E7C"/>
    <w:rsid w:val="00E4525B"/>
    <w:rsid w:val="00E476A3"/>
    <w:rsid w:val="00E51172"/>
    <w:rsid w:val="00E51AD3"/>
    <w:rsid w:val="00E51E14"/>
    <w:rsid w:val="00E528A5"/>
    <w:rsid w:val="00E55C6C"/>
    <w:rsid w:val="00E56D4D"/>
    <w:rsid w:val="00E60005"/>
    <w:rsid w:val="00E601B8"/>
    <w:rsid w:val="00E60F0A"/>
    <w:rsid w:val="00E663FB"/>
    <w:rsid w:val="00E6700A"/>
    <w:rsid w:val="00E71FF3"/>
    <w:rsid w:val="00E73423"/>
    <w:rsid w:val="00E73754"/>
    <w:rsid w:val="00E73DC0"/>
    <w:rsid w:val="00E74672"/>
    <w:rsid w:val="00E74E8C"/>
    <w:rsid w:val="00E75E13"/>
    <w:rsid w:val="00E76521"/>
    <w:rsid w:val="00E7663C"/>
    <w:rsid w:val="00E772D4"/>
    <w:rsid w:val="00E77F4C"/>
    <w:rsid w:val="00E80493"/>
    <w:rsid w:val="00E806C6"/>
    <w:rsid w:val="00E8208F"/>
    <w:rsid w:val="00E82255"/>
    <w:rsid w:val="00E82757"/>
    <w:rsid w:val="00E85DE8"/>
    <w:rsid w:val="00E85E6C"/>
    <w:rsid w:val="00E912F1"/>
    <w:rsid w:val="00E91320"/>
    <w:rsid w:val="00E919C6"/>
    <w:rsid w:val="00E924E8"/>
    <w:rsid w:val="00E96EB7"/>
    <w:rsid w:val="00EA0E02"/>
    <w:rsid w:val="00EA1C8E"/>
    <w:rsid w:val="00EA2950"/>
    <w:rsid w:val="00EA2CD4"/>
    <w:rsid w:val="00EA30F0"/>
    <w:rsid w:val="00EA39AF"/>
    <w:rsid w:val="00EA439C"/>
    <w:rsid w:val="00EA6802"/>
    <w:rsid w:val="00EA69AA"/>
    <w:rsid w:val="00EA6A11"/>
    <w:rsid w:val="00EA6C77"/>
    <w:rsid w:val="00EA7EC3"/>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3ABB"/>
    <w:rsid w:val="00EC3AD3"/>
    <w:rsid w:val="00EC4DE6"/>
    <w:rsid w:val="00EC5F94"/>
    <w:rsid w:val="00EC61CF"/>
    <w:rsid w:val="00EC7B38"/>
    <w:rsid w:val="00EC7BDB"/>
    <w:rsid w:val="00EC7C78"/>
    <w:rsid w:val="00ED00C4"/>
    <w:rsid w:val="00ED224C"/>
    <w:rsid w:val="00ED2B5D"/>
    <w:rsid w:val="00ED4501"/>
    <w:rsid w:val="00ED48C9"/>
    <w:rsid w:val="00ED6D16"/>
    <w:rsid w:val="00ED7773"/>
    <w:rsid w:val="00ED7950"/>
    <w:rsid w:val="00EE1978"/>
    <w:rsid w:val="00EE2014"/>
    <w:rsid w:val="00EE2781"/>
    <w:rsid w:val="00EE2CDE"/>
    <w:rsid w:val="00EE3A25"/>
    <w:rsid w:val="00EE3A3D"/>
    <w:rsid w:val="00EE3DD7"/>
    <w:rsid w:val="00EE5CCC"/>
    <w:rsid w:val="00EE72DF"/>
    <w:rsid w:val="00EE7B1A"/>
    <w:rsid w:val="00EF18CB"/>
    <w:rsid w:val="00EF23AF"/>
    <w:rsid w:val="00EF25F7"/>
    <w:rsid w:val="00EF2E9C"/>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07324"/>
    <w:rsid w:val="00F102AD"/>
    <w:rsid w:val="00F1092C"/>
    <w:rsid w:val="00F10A55"/>
    <w:rsid w:val="00F1179A"/>
    <w:rsid w:val="00F1180A"/>
    <w:rsid w:val="00F120C8"/>
    <w:rsid w:val="00F123CA"/>
    <w:rsid w:val="00F12549"/>
    <w:rsid w:val="00F12723"/>
    <w:rsid w:val="00F12E46"/>
    <w:rsid w:val="00F133F1"/>
    <w:rsid w:val="00F13A83"/>
    <w:rsid w:val="00F15874"/>
    <w:rsid w:val="00F169DB"/>
    <w:rsid w:val="00F170B0"/>
    <w:rsid w:val="00F1772A"/>
    <w:rsid w:val="00F218A0"/>
    <w:rsid w:val="00F21EBF"/>
    <w:rsid w:val="00F21F0F"/>
    <w:rsid w:val="00F23F12"/>
    <w:rsid w:val="00F252D3"/>
    <w:rsid w:val="00F256D1"/>
    <w:rsid w:val="00F27459"/>
    <w:rsid w:val="00F27705"/>
    <w:rsid w:val="00F30CC0"/>
    <w:rsid w:val="00F329BA"/>
    <w:rsid w:val="00F32BFD"/>
    <w:rsid w:val="00F33E79"/>
    <w:rsid w:val="00F344EE"/>
    <w:rsid w:val="00F34EAD"/>
    <w:rsid w:val="00F34ED7"/>
    <w:rsid w:val="00F353D2"/>
    <w:rsid w:val="00F363B2"/>
    <w:rsid w:val="00F4208D"/>
    <w:rsid w:val="00F42E84"/>
    <w:rsid w:val="00F44026"/>
    <w:rsid w:val="00F45B43"/>
    <w:rsid w:val="00F4678A"/>
    <w:rsid w:val="00F46982"/>
    <w:rsid w:val="00F46A7D"/>
    <w:rsid w:val="00F5054D"/>
    <w:rsid w:val="00F51153"/>
    <w:rsid w:val="00F53669"/>
    <w:rsid w:val="00F54B1C"/>
    <w:rsid w:val="00F55DEA"/>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264F"/>
    <w:rsid w:val="00F73412"/>
    <w:rsid w:val="00F737C8"/>
    <w:rsid w:val="00F76357"/>
    <w:rsid w:val="00F776F8"/>
    <w:rsid w:val="00F77FCE"/>
    <w:rsid w:val="00F81D07"/>
    <w:rsid w:val="00F821DB"/>
    <w:rsid w:val="00F83579"/>
    <w:rsid w:val="00F85263"/>
    <w:rsid w:val="00F85772"/>
    <w:rsid w:val="00F85F67"/>
    <w:rsid w:val="00F86353"/>
    <w:rsid w:val="00F86C95"/>
    <w:rsid w:val="00F8706F"/>
    <w:rsid w:val="00F90448"/>
    <w:rsid w:val="00F90D29"/>
    <w:rsid w:val="00F917FF"/>
    <w:rsid w:val="00F93A03"/>
    <w:rsid w:val="00F94D99"/>
    <w:rsid w:val="00FA0819"/>
    <w:rsid w:val="00FA1BC0"/>
    <w:rsid w:val="00FA2298"/>
    <w:rsid w:val="00FA2786"/>
    <w:rsid w:val="00FA2DAD"/>
    <w:rsid w:val="00FA41CF"/>
    <w:rsid w:val="00FA440B"/>
    <w:rsid w:val="00FA5F67"/>
    <w:rsid w:val="00FA5FF1"/>
    <w:rsid w:val="00FA6D4D"/>
    <w:rsid w:val="00FA705E"/>
    <w:rsid w:val="00FA73CC"/>
    <w:rsid w:val="00FB0362"/>
    <w:rsid w:val="00FB052F"/>
    <w:rsid w:val="00FB132D"/>
    <w:rsid w:val="00FB1BC9"/>
    <w:rsid w:val="00FB1FEE"/>
    <w:rsid w:val="00FB27C0"/>
    <w:rsid w:val="00FB367D"/>
    <w:rsid w:val="00FB4401"/>
    <w:rsid w:val="00FB544C"/>
    <w:rsid w:val="00FB5AA2"/>
    <w:rsid w:val="00FB7A30"/>
    <w:rsid w:val="00FC0BF9"/>
    <w:rsid w:val="00FC435B"/>
    <w:rsid w:val="00FC474F"/>
    <w:rsid w:val="00FC5466"/>
    <w:rsid w:val="00FC54F6"/>
    <w:rsid w:val="00FC5E3E"/>
    <w:rsid w:val="00FC628B"/>
    <w:rsid w:val="00FC6339"/>
    <w:rsid w:val="00FC7DA5"/>
    <w:rsid w:val="00FC7E91"/>
    <w:rsid w:val="00FD0780"/>
    <w:rsid w:val="00FD0E83"/>
    <w:rsid w:val="00FD2B5C"/>
    <w:rsid w:val="00FD3120"/>
    <w:rsid w:val="00FD3B9C"/>
    <w:rsid w:val="00FD4102"/>
    <w:rsid w:val="00FD6993"/>
    <w:rsid w:val="00FD6A65"/>
    <w:rsid w:val="00FD7A36"/>
    <w:rsid w:val="00FE0E49"/>
    <w:rsid w:val="00FE0EA2"/>
    <w:rsid w:val="00FE443A"/>
    <w:rsid w:val="00FE4954"/>
    <w:rsid w:val="00FE4B61"/>
    <w:rsid w:val="00FE4BBD"/>
    <w:rsid w:val="00FE5FB5"/>
    <w:rsid w:val="00FE61E2"/>
    <w:rsid w:val="00FE6A57"/>
    <w:rsid w:val="00FE77E4"/>
    <w:rsid w:val="00FF01C2"/>
    <w:rsid w:val="00FF0FFF"/>
    <w:rsid w:val="00FF1124"/>
    <w:rsid w:val="00FF22EF"/>
    <w:rsid w:val="00FF2B31"/>
    <w:rsid w:val="00FF35D4"/>
    <w:rsid w:val="00FF55FD"/>
    <w:rsid w:val="00FF6BF5"/>
    <w:rsid w:val="00FF7280"/>
    <w:rsid w:val="09E00862"/>
    <w:rsid w:val="0DF64C5A"/>
    <w:rsid w:val="0EA855E3"/>
    <w:rsid w:val="13B84D94"/>
    <w:rsid w:val="2BCB5B89"/>
    <w:rsid w:val="2E4D481D"/>
    <w:rsid w:val="376F0F0B"/>
    <w:rsid w:val="3A0C6803"/>
    <w:rsid w:val="3A457F94"/>
    <w:rsid w:val="3C8E7DE2"/>
    <w:rsid w:val="3CD4741F"/>
    <w:rsid w:val="41F224AD"/>
    <w:rsid w:val="502B6EFE"/>
    <w:rsid w:val="570766A5"/>
    <w:rsid w:val="5EFA7D5F"/>
    <w:rsid w:val="60583D40"/>
    <w:rsid w:val="63C74D38"/>
    <w:rsid w:val="6A932C29"/>
    <w:rsid w:val="74CC21AE"/>
    <w:rsid w:val="74F23177"/>
    <w:rsid w:val="7C3E654E"/>
    <w:rsid w:val="7EF13B6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3"/>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link w:val="140"/>
    <w:qFormat/>
    <w:uiPriority w:val="0"/>
    <w:pPr>
      <w:keepNext/>
      <w:spacing w:before="60" w:after="60"/>
      <w:outlineLvl w:val="2"/>
    </w:pPr>
    <w:rPr>
      <w:rFonts w:cs="Arial"/>
      <w:b/>
      <w:bCs/>
      <w:szCs w:val="26"/>
    </w:rPr>
  </w:style>
  <w:style w:type="paragraph" w:styleId="5">
    <w:name w:val="heading 4"/>
    <w:basedOn w:val="1"/>
    <w:next w:val="1"/>
    <w:link w:val="124"/>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character" w:default="1" w:styleId="28">
    <w:name w:val="Default Paragraph Font"/>
    <w:unhideWhenUsed/>
    <w:qFormat/>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6">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7">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8">
    <w:name w:val="annotation text"/>
    <w:basedOn w:val="1"/>
    <w:link w:val="136"/>
    <w:qFormat/>
    <w:uiPriority w:val="0"/>
    <w:pPr>
      <w:widowControl w:val="0"/>
    </w:pPr>
    <w:rPr>
      <w:rFonts w:ascii="Times New Roman" w:hAnsi="Times New Roman" w:eastAsia="宋体"/>
      <w:snapToGrid/>
      <w:kern w:val="2"/>
      <w:sz w:val="21"/>
      <w:szCs w:val="24"/>
      <w:lang w:val="zh-CN" w:eastAsia="zh-CN"/>
    </w:rPr>
  </w:style>
  <w:style w:type="paragraph" w:styleId="9">
    <w:name w:val="Body Text 3"/>
    <w:basedOn w:val="1"/>
    <w:link w:val="128"/>
    <w:qFormat/>
    <w:uiPriority w:val="0"/>
    <w:pPr>
      <w:widowControl w:val="0"/>
      <w:jc w:val="both"/>
    </w:pPr>
    <w:rPr>
      <w:rFonts w:ascii="汉仪楷体简" w:hAnsi="Times New Roman" w:eastAsia="汉仪楷体简"/>
      <w:snapToGrid/>
      <w:color w:val="000000"/>
      <w:sz w:val="18"/>
      <w:lang w:val="en-US" w:eastAsia="zh-CN"/>
    </w:rPr>
  </w:style>
  <w:style w:type="paragraph" w:styleId="10">
    <w:name w:val="Body Text"/>
    <w:basedOn w:val="1"/>
    <w:link w:val="125"/>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1">
    <w:name w:val="Body Text Indent"/>
    <w:basedOn w:val="1"/>
    <w:link w:val="126"/>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2">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3">
    <w:name w:val="toc 3"/>
    <w:basedOn w:val="1"/>
    <w:next w:val="1"/>
    <w:autoRedefine/>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4">
    <w:name w:val="Date"/>
    <w:basedOn w:val="1"/>
    <w:next w:val="1"/>
    <w:link w:val="131"/>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5">
    <w:name w:val="Body Text Indent 2"/>
    <w:basedOn w:val="1"/>
    <w:link w:val="129"/>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6">
    <w:name w:val="Balloon Text"/>
    <w:basedOn w:val="1"/>
    <w:link w:val="34"/>
    <w:qFormat/>
    <w:uiPriority w:val="0"/>
    <w:rPr>
      <w:rFonts w:ascii="Tahoma" w:hAnsi="Tahoma" w:cs="Tahoma"/>
    </w:rPr>
  </w:style>
  <w:style w:type="paragraph" w:styleId="17">
    <w:name w:val="footer"/>
    <w:basedOn w:val="1"/>
    <w:qFormat/>
    <w:uiPriority w:val="0"/>
    <w:pPr>
      <w:tabs>
        <w:tab w:val="center" w:pos="4419"/>
        <w:tab w:val="right" w:pos="8838"/>
      </w:tabs>
    </w:pPr>
  </w:style>
  <w:style w:type="paragraph" w:styleId="18">
    <w:name w:val="header"/>
    <w:basedOn w:val="1"/>
    <w:qFormat/>
    <w:uiPriority w:val="0"/>
    <w:pPr>
      <w:tabs>
        <w:tab w:val="center" w:pos="4419"/>
        <w:tab w:val="right" w:pos="8838"/>
      </w:tabs>
    </w:pPr>
  </w:style>
  <w:style w:type="paragraph" w:styleId="19">
    <w:name w:val="toc 1"/>
    <w:basedOn w:val="1"/>
    <w:next w:val="1"/>
    <w:autoRedefine/>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0">
    <w:name w:val="Body Text Indent 3"/>
    <w:basedOn w:val="1"/>
    <w:link w:val="130"/>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1">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2">
    <w:name w:val="toc 2"/>
    <w:basedOn w:val="1"/>
    <w:next w:val="1"/>
    <w:autoRedefine/>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3">
    <w:name w:val="Body Text 2"/>
    <w:basedOn w:val="1"/>
    <w:link w:val="127"/>
    <w:qFormat/>
    <w:uiPriority w:val="0"/>
    <w:pPr>
      <w:widowControl w:val="0"/>
      <w:jc w:val="both"/>
    </w:pPr>
    <w:rPr>
      <w:rFonts w:ascii="Times New Roman" w:hAnsi="Times New Roman" w:eastAsia="汉仪楷体简"/>
      <w:snapToGrid/>
      <w:sz w:val="18"/>
      <w:szCs w:val="24"/>
      <w:lang w:val="en-US" w:eastAsia="zh-CN"/>
    </w:rPr>
  </w:style>
  <w:style w:type="paragraph" w:styleId="24">
    <w:name w:val="Normal (Web)"/>
    <w:basedOn w:val="1"/>
    <w:qFormat/>
    <w:uiPriority w:val="0"/>
    <w:pPr>
      <w:spacing w:before="100" w:beforeAutospacing="1" w:after="100" w:afterAutospacing="1"/>
    </w:pPr>
    <w:rPr>
      <w:rFonts w:ascii="宋体" w:hAnsi="宋体" w:eastAsia="宋体" w:cs="宋体"/>
      <w:snapToGrid/>
      <w:sz w:val="24"/>
      <w:szCs w:val="24"/>
      <w:lang w:val="en-US" w:eastAsia="zh-CN"/>
    </w:rPr>
  </w:style>
  <w:style w:type="paragraph" w:styleId="25">
    <w:name w:val="annotation subject"/>
    <w:basedOn w:val="8"/>
    <w:next w:val="8"/>
    <w:link w:val="13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bCs/>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Hyperlink"/>
    <w:basedOn w:val="28"/>
    <w:qFormat/>
    <w:uiPriority w:val="99"/>
    <w:rPr>
      <w:color w:val="0000FF"/>
      <w:u w:val="single"/>
    </w:rPr>
  </w:style>
  <w:style w:type="character" w:styleId="33">
    <w:name w:val="annotation reference"/>
    <w:qFormat/>
    <w:uiPriority w:val="0"/>
    <w:rPr>
      <w:sz w:val="21"/>
      <w:szCs w:val="21"/>
    </w:rPr>
  </w:style>
  <w:style w:type="character" w:customStyle="1" w:styleId="34">
    <w:name w:val="Balloon Text Char"/>
    <w:basedOn w:val="28"/>
    <w:link w:val="16"/>
    <w:qFormat/>
    <w:uiPriority w:val="0"/>
    <w:rPr>
      <w:rFonts w:ascii="Tahoma" w:hAnsi="Tahoma" w:cs="Tahoma"/>
      <w:lang w:eastAsia="ja-JP"/>
    </w:rPr>
  </w:style>
  <w:style w:type="paragraph" w:customStyle="1" w:styleId="35">
    <w:name w:val="EFAFPCompanyName"/>
    <w:next w:val="36"/>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6">
    <w:name w:val="Style EFAFPFrameText_11.5pt + Right"/>
    <w:basedOn w:val="37"/>
    <w:qFormat/>
    <w:uiPriority w:val="0"/>
    <w:pPr>
      <w:framePr w:wrap="around"/>
      <w:jc w:val="right"/>
    </w:pPr>
    <w:rPr>
      <w:bCs/>
      <w:szCs w:val="20"/>
    </w:rPr>
  </w:style>
  <w:style w:type="paragraph" w:customStyle="1" w:styleId="37">
    <w:name w:val="EFAFPFrameText_11.5pt"/>
    <w:basedOn w:val="38"/>
    <w:qFormat/>
    <w:uiPriority w:val="0"/>
    <w:pPr>
      <w:framePr w:h="1520" w:hRule="exact" w:wrap="around" w:x="357" w:y="1072"/>
    </w:pPr>
    <w:rPr>
      <w:color w:val="23558C"/>
    </w:rPr>
  </w:style>
  <w:style w:type="paragraph" w:customStyle="1" w:styleId="38">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39">
    <w:name w:val="EFABullet"/>
    <w:basedOn w:val="40"/>
    <w:qFormat/>
    <w:uiPriority w:val="0"/>
    <w:pPr>
      <w:numPr>
        <w:ilvl w:val="0"/>
        <w:numId w:val="2"/>
      </w:numPr>
      <w:tabs>
        <w:tab w:val="left" w:pos="480"/>
      </w:tabs>
      <w:ind w:left="192" w:firstLine="0"/>
    </w:pPr>
  </w:style>
  <w:style w:type="paragraph" w:customStyle="1" w:styleId="40">
    <w:name w:val="EFABodyText"/>
    <w:link w:val="5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1">
    <w:name w:val="EFAButton"/>
    <w:basedOn w:val="42"/>
    <w:qFormat/>
    <w:uiPriority w:val="0"/>
    <w:rPr>
      <w:b/>
    </w:rPr>
  </w:style>
  <w:style w:type="paragraph" w:customStyle="1" w:styleId="42">
    <w:name w:val="EFANormal"/>
    <w:link w:val="5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3">
    <w:name w:val="Style EFAFPFrameText_11.5pt_Right"/>
    <w:basedOn w:val="37"/>
    <w:qFormat/>
    <w:uiPriority w:val="0"/>
    <w:pPr>
      <w:framePr w:wrap="around"/>
      <w:jc w:val="right"/>
    </w:pPr>
    <w:rPr>
      <w:bCs/>
      <w:szCs w:val="20"/>
    </w:rPr>
  </w:style>
  <w:style w:type="paragraph" w:customStyle="1" w:styleId="44">
    <w:name w:val="EFADisclaimerText"/>
    <w:basedOn w:val="42"/>
    <w:link w:val="112"/>
    <w:qFormat/>
    <w:uiPriority w:val="99"/>
    <w:pPr>
      <w:jc w:val="both"/>
    </w:pPr>
  </w:style>
  <w:style w:type="paragraph" w:styleId="45">
    <w:name w:val="List Paragraph"/>
    <w:basedOn w:val="1"/>
    <w:qFormat/>
    <w:uiPriority w:val="34"/>
    <w:pPr>
      <w:ind w:left="720"/>
      <w:contextualSpacing/>
    </w:pPr>
  </w:style>
  <w:style w:type="paragraph" w:customStyle="1" w:styleId="46">
    <w:name w:val="EFABullet_Red"/>
    <w:basedOn w:val="47"/>
    <w:qFormat/>
    <w:uiPriority w:val="0"/>
    <w:pPr>
      <w:numPr>
        <w:ilvl w:val="0"/>
        <w:numId w:val="3"/>
      </w:numPr>
      <w:tabs>
        <w:tab w:val="left" w:pos="481"/>
      </w:tabs>
    </w:pPr>
  </w:style>
  <w:style w:type="paragraph" w:customStyle="1" w:styleId="47">
    <w:name w:val="EFAFP_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8">
    <w:name w:val="EFA2ndPageHeader"/>
    <w:basedOn w:val="42"/>
    <w:qFormat/>
    <w:uiPriority w:val="0"/>
    <w:pPr>
      <w:spacing w:before="40" w:after="40"/>
      <w:jc w:val="right"/>
    </w:pPr>
    <w:rPr>
      <w:color w:val="FF0000"/>
      <w:sz w:val="24"/>
    </w:rPr>
  </w:style>
  <w:style w:type="paragraph" w:customStyle="1" w:styleId="49">
    <w:name w:val="EFAPageFooter"/>
    <w:basedOn w:val="42"/>
    <w:qFormat/>
    <w:uiPriority w:val="0"/>
    <w:pPr>
      <w:framePr w:wrap="around" w:vAnchor="page" w:hAnchor="page" w:x="347" w:y="15481"/>
      <w:suppressOverlap/>
      <w:tabs>
        <w:tab w:val="center" w:pos="5165"/>
      </w:tabs>
    </w:pPr>
    <w:rPr>
      <w:b/>
      <w:sz w:val="20"/>
      <w:szCs w:val="20"/>
    </w:rPr>
  </w:style>
  <w:style w:type="paragraph" w:customStyle="1" w:styleId="50">
    <w:name w:val="EFAPageHeader"/>
    <w:basedOn w:val="42"/>
    <w:qFormat/>
    <w:uiPriority w:val="0"/>
    <w:pPr>
      <w:tabs>
        <w:tab w:val="right" w:pos="10692"/>
      </w:tabs>
      <w:spacing w:before="40" w:after="40"/>
    </w:pPr>
    <w:rPr>
      <w:b/>
      <w:bCs/>
      <w:color w:val="005BAC"/>
      <w:sz w:val="24"/>
    </w:rPr>
  </w:style>
  <w:style w:type="paragraph" w:customStyle="1" w:styleId="51">
    <w:name w:val="EFAHiddenBookmark"/>
    <w:basedOn w:val="1"/>
    <w:link w:val="52"/>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2">
    <w:name w:val="EFAHiddenBookmark Char"/>
    <w:link w:val="51"/>
    <w:qFormat/>
    <w:uiPriority w:val="99"/>
    <w:rPr>
      <w:rFonts w:ascii="Arial" w:hAnsi="Arial" w:eastAsia="Times New Roman"/>
      <w:vanish/>
      <w:kern w:val="2"/>
      <w:sz w:val="14"/>
      <w:szCs w:val="19"/>
      <w:lang w:val="en-GB" w:eastAsia="en-US"/>
    </w:rPr>
  </w:style>
  <w:style w:type="paragraph" w:customStyle="1" w:styleId="53">
    <w:name w:val="EFAPoweredByEFA"/>
    <w:link w:val="5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4">
    <w:name w:val="EFAPoweredByEFA Char"/>
    <w:link w:val="53"/>
    <w:qFormat/>
    <w:uiPriority w:val="0"/>
    <w:rPr>
      <w:rFonts w:ascii="Arial" w:hAnsi="Arial" w:eastAsia="PMingLiU"/>
      <w:color w:val="5A5A5A"/>
      <w:sz w:val="9"/>
      <w:szCs w:val="9"/>
      <w:lang w:eastAsia="zh-TW"/>
    </w:rPr>
  </w:style>
  <w:style w:type="character" w:customStyle="1" w:styleId="55">
    <w:name w:val="EFANormal Char"/>
    <w:basedOn w:val="28"/>
    <w:link w:val="42"/>
    <w:qFormat/>
    <w:uiPriority w:val="0"/>
    <w:rPr>
      <w:lang w:eastAsia="ja-JP"/>
    </w:rPr>
  </w:style>
  <w:style w:type="character" w:customStyle="1" w:styleId="56">
    <w:name w:val="EFABodyText Char"/>
    <w:basedOn w:val="28"/>
    <w:link w:val="40"/>
    <w:qFormat/>
    <w:uiPriority w:val="0"/>
    <w:rPr>
      <w:sz w:val="20"/>
      <w:lang w:eastAsia="ja-JP"/>
    </w:rPr>
  </w:style>
  <w:style w:type="character" w:customStyle="1" w:styleId="57">
    <w:name w:val="EFAFP_BodyText Char"/>
    <w:basedOn w:val="28"/>
    <w:link w:val="47"/>
    <w:qFormat/>
    <w:uiPriority w:val="0"/>
    <w:rPr>
      <w:sz w:val="20"/>
      <w:lang w:eastAsia="ja-JP"/>
    </w:rPr>
  </w:style>
  <w:style w:type="paragraph" w:customStyle="1" w:styleId="58">
    <w:name w:val="EFAFPTag"/>
    <w:basedOn w:val="42"/>
    <w:qFormat/>
    <w:uiPriority w:val="0"/>
    <w:pPr>
      <w:jc w:val="center"/>
    </w:pPr>
    <w:rPr>
      <w:b/>
    </w:rPr>
  </w:style>
  <w:style w:type="paragraph" w:customStyle="1" w:styleId="59">
    <w:name w:val="EFAFPFooter"/>
    <w:basedOn w:val="42"/>
    <w:qFormat/>
    <w:uiPriority w:val="0"/>
    <w:pPr>
      <w:tabs>
        <w:tab w:val="right" w:pos="10679"/>
      </w:tabs>
      <w:autoSpaceDE w:val="0"/>
      <w:autoSpaceDN w:val="0"/>
      <w:jc w:val="both"/>
    </w:pPr>
    <w:rPr>
      <w:rFonts w:cs="Arial"/>
      <w:b/>
      <w:sz w:val="14"/>
    </w:rPr>
  </w:style>
  <w:style w:type="character" w:customStyle="1" w:styleId="60">
    <w:name w:val="EFACharGrey"/>
    <w:qFormat/>
    <w:uiPriority w:val="1"/>
    <w:rPr>
      <w:color w:val="808080"/>
    </w:rPr>
  </w:style>
  <w:style w:type="paragraph" w:customStyle="1" w:styleId="61">
    <w:name w:val="EFAFPColFrameText_Left2"/>
    <w:link w:val="80"/>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2">
    <w:name w:val="EFACharBold"/>
    <w:basedOn w:val="28"/>
    <w:qFormat/>
    <w:uiPriority w:val="1"/>
    <w:rPr>
      <w:b/>
    </w:rPr>
  </w:style>
  <w:style w:type="paragraph" w:customStyle="1" w:styleId="63">
    <w:name w:val="EFAFPColFrame_AnalystName2"/>
    <w:basedOn w:val="61"/>
    <w:link w:val="101"/>
    <w:qFormat/>
    <w:uiPriority w:val="0"/>
    <w:pPr>
      <w:framePr w:wrap="around"/>
    </w:pPr>
    <w:rPr>
      <w:b/>
      <w:sz w:val="16"/>
    </w:rPr>
  </w:style>
  <w:style w:type="paragraph" w:customStyle="1" w:styleId="64">
    <w:name w:val="EFAFP_Source"/>
    <w:basedOn w:val="42"/>
    <w:qFormat/>
    <w:uiPriority w:val="0"/>
    <w:rPr>
      <w:sz w:val="12"/>
      <w:szCs w:val="12"/>
    </w:rPr>
  </w:style>
  <w:style w:type="paragraph" w:customStyle="1" w:styleId="65">
    <w:name w:val="EFAFP_Abstract"/>
    <w:qFormat/>
    <w:uiPriority w:val="0"/>
    <w:rPr>
      <w:rFonts w:ascii="Calibri" w:hAnsi="Calibri" w:eastAsia="MS Mincho" w:cs="Times New Roman"/>
      <w:snapToGrid w:val="0"/>
      <w:sz w:val="18"/>
      <w:szCs w:val="16"/>
      <w:lang w:val="en-US" w:eastAsia="ja-JP" w:bidi="ar-SA"/>
    </w:rPr>
  </w:style>
  <w:style w:type="paragraph" w:customStyle="1" w:styleId="66">
    <w:name w:val="EFABullet_Green"/>
    <w:basedOn w:val="47"/>
    <w:qFormat/>
    <w:uiPriority w:val="0"/>
    <w:pPr>
      <w:numPr>
        <w:ilvl w:val="0"/>
        <w:numId w:val="4"/>
      </w:numPr>
      <w:tabs>
        <w:tab w:val="left" w:pos="468"/>
      </w:tabs>
    </w:pPr>
  </w:style>
  <w:style w:type="paragraph" w:customStyle="1" w:styleId="67">
    <w:name w:val="EFABullet_Blue"/>
    <w:basedOn w:val="47"/>
    <w:qFormat/>
    <w:uiPriority w:val="0"/>
    <w:pPr>
      <w:numPr>
        <w:ilvl w:val="0"/>
        <w:numId w:val="5"/>
      </w:numPr>
      <w:tabs>
        <w:tab w:val="left" w:pos="468"/>
      </w:tabs>
    </w:pPr>
  </w:style>
  <w:style w:type="paragraph" w:customStyle="1" w:styleId="68">
    <w:name w:val="EFABullet_Yellow"/>
    <w:basedOn w:val="47"/>
    <w:qFormat/>
    <w:uiPriority w:val="0"/>
    <w:pPr>
      <w:numPr>
        <w:ilvl w:val="0"/>
        <w:numId w:val="6"/>
      </w:numPr>
      <w:tabs>
        <w:tab w:val="left" w:pos="468"/>
      </w:tabs>
    </w:pPr>
  </w:style>
  <w:style w:type="paragraph" w:customStyle="1" w:styleId="69">
    <w:name w:val="EFASource"/>
    <w:basedOn w:val="40"/>
    <w:qFormat/>
    <w:uiPriority w:val="0"/>
    <w:rPr>
      <w:sz w:val="12"/>
      <w:szCs w:val="14"/>
    </w:rPr>
  </w:style>
  <w:style w:type="paragraph" w:customStyle="1" w:styleId="70">
    <w:name w:val="EFAHeading"/>
    <w:basedOn w:val="1"/>
    <w:next w:val="40"/>
    <w:qFormat/>
    <w:uiPriority w:val="0"/>
    <w:pPr>
      <w:widowControl w:val="0"/>
      <w:adjustRightInd w:val="0"/>
      <w:snapToGrid w:val="0"/>
    </w:pPr>
    <w:rPr>
      <w:b/>
      <w:color w:val="000000"/>
      <w:kern w:val="28"/>
      <w:sz w:val="24"/>
    </w:rPr>
  </w:style>
  <w:style w:type="paragraph" w:customStyle="1" w:styleId="71">
    <w:name w:val="EFADisclaimerHeading"/>
    <w:basedOn w:val="44"/>
    <w:next w:val="44"/>
    <w:qFormat/>
    <w:uiPriority w:val="99"/>
    <w:rPr>
      <w:b/>
    </w:rPr>
  </w:style>
  <w:style w:type="paragraph" w:customStyle="1" w:styleId="72">
    <w:name w:val="EFADisclaimerHeading2"/>
    <w:basedOn w:val="44"/>
    <w:next w:val="44"/>
    <w:qFormat/>
    <w:uiPriority w:val="0"/>
    <w:rPr>
      <w:b/>
      <w:sz w:val="20"/>
      <w:szCs w:val="20"/>
    </w:rPr>
  </w:style>
  <w:style w:type="paragraph" w:customStyle="1" w:styleId="73">
    <w:name w:val="EFADisclaimerHeading3"/>
    <w:basedOn w:val="44"/>
    <w:qFormat/>
    <w:uiPriority w:val="0"/>
    <w:rPr>
      <w:b/>
      <w:sz w:val="18"/>
      <w:szCs w:val="18"/>
    </w:rPr>
  </w:style>
  <w:style w:type="paragraph" w:customStyle="1" w:styleId="74">
    <w:name w:val="EFASideComment"/>
    <w:basedOn w:val="40"/>
    <w:qFormat/>
    <w:uiPriority w:val="0"/>
    <w:pPr>
      <w:framePr w:w="2980" w:hSpace="180" w:wrap="around" w:vAnchor="text" w:hAnchor="text" w:x="-3250" w:y="160"/>
    </w:pPr>
  </w:style>
  <w:style w:type="character" w:customStyle="1" w:styleId="75">
    <w:name w:val="EFACharBold_and_AllCap"/>
    <w:qFormat/>
    <w:uiPriority w:val="1"/>
    <w:rPr>
      <w:b/>
      <w:caps/>
    </w:rPr>
  </w:style>
  <w:style w:type="paragraph" w:customStyle="1" w:styleId="76">
    <w:name w:val="__Table_Normal"/>
    <w:basedOn w:val="1"/>
    <w:link w:val="77"/>
    <w:qFormat/>
    <w:uiPriority w:val="0"/>
    <w:rPr>
      <w:snapToGrid/>
      <w:color w:val="000000"/>
      <w:kern w:val="28"/>
    </w:rPr>
  </w:style>
  <w:style w:type="character" w:customStyle="1" w:styleId="77">
    <w:name w:val="__Table_Normal Char"/>
    <w:basedOn w:val="28"/>
    <w:link w:val="76"/>
    <w:qFormat/>
    <w:uiPriority w:val="0"/>
    <w:rPr>
      <w:snapToGrid/>
      <w:color w:val="000000"/>
      <w:kern w:val="28"/>
      <w:lang w:eastAsia="ja-JP"/>
    </w:rPr>
  </w:style>
  <w:style w:type="paragraph" w:customStyle="1" w:styleId="78">
    <w:name w:val="Front pg Tbl left just 7 pt"/>
    <w:basedOn w:val="1"/>
    <w:link w:val="79"/>
    <w:qFormat/>
    <w:uiPriority w:val="0"/>
    <w:rPr>
      <w:snapToGrid/>
      <w:sz w:val="14"/>
      <w:szCs w:val="24"/>
    </w:rPr>
  </w:style>
  <w:style w:type="character" w:customStyle="1" w:styleId="79">
    <w:name w:val="Front pg Tbl left just 7 pt Char Char"/>
    <w:basedOn w:val="28"/>
    <w:link w:val="78"/>
    <w:qFormat/>
    <w:uiPriority w:val="0"/>
    <w:rPr>
      <w:snapToGrid/>
      <w:sz w:val="14"/>
      <w:szCs w:val="24"/>
      <w:lang w:eastAsia="ja-JP"/>
    </w:rPr>
  </w:style>
  <w:style w:type="character" w:customStyle="1" w:styleId="80">
    <w:name w:val="EFAFPColFrameText_Left2 Char"/>
    <w:basedOn w:val="28"/>
    <w:link w:val="61"/>
    <w:qFormat/>
    <w:uiPriority w:val="0"/>
    <w:rPr>
      <w:sz w:val="14"/>
      <w:szCs w:val="14"/>
    </w:rPr>
  </w:style>
  <w:style w:type="paragraph" w:customStyle="1" w:styleId="81">
    <w:name w:val="EFAAnchor"/>
    <w:basedOn w:val="42"/>
    <w:qFormat/>
    <w:uiPriority w:val="0"/>
    <w:rPr>
      <w:sz w:val="4"/>
      <w:lang w:eastAsia="zh-CN"/>
    </w:rPr>
  </w:style>
  <w:style w:type="paragraph" w:customStyle="1" w:styleId="82">
    <w:name w:val="EFAReportTitle"/>
    <w:basedOn w:val="42"/>
    <w:qFormat/>
    <w:uiPriority w:val="0"/>
    <w:rPr>
      <w:b/>
      <w:sz w:val="48"/>
    </w:rPr>
  </w:style>
  <w:style w:type="paragraph" w:customStyle="1" w:styleId="83">
    <w:name w:val="EFAM_Title"/>
    <w:basedOn w:val="42"/>
    <w:qFormat/>
    <w:uiPriority w:val="0"/>
    <w:pPr>
      <w:framePr w:wrap="around" w:vAnchor="margin" w:hAnchor="text" w:xAlign="right" w:y="1"/>
      <w:suppressOverlap/>
    </w:pPr>
    <w:rPr>
      <w:b/>
      <w:sz w:val="32"/>
      <w:szCs w:val="28"/>
    </w:rPr>
  </w:style>
  <w:style w:type="paragraph" w:customStyle="1" w:styleId="84">
    <w:name w:val="EFABullet_Indent"/>
    <w:basedOn w:val="40"/>
    <w:qFormat/>
    <w:uiPriority w:val="0"/>
    <w:pPr>
      <w:numPr>
        <w:ilvl w:val="0"/>
        <w:numId w:val="7"/>
      </w:numPr>
      <w:tabs>
        <w:tab w:val="left" w:pos="240"/>
      </w:tabs>
      <w:ind w:left="240" w:hanging="240"/>
    </w:pPr>
  </w:style>
  <w:style w:type="paragraph" w:customStyle="1" w:styleId="85">
    <w:name w:val="EFAM_Abstract"/>
    <w:basedOn w:val="40"/>
    <w:next w:val="40"/>
    <w:qFormat/>
    <w:uiPriority w:val="0"/>
  </w:style>
  <w:style w:type="paragraph" w:customStyle="1" w:styleId="86">
    <w:name w:val="EFAM_Synopsis"/>
    <w:basedOn w:val="40"/>
    <w:next w:val="40"/>
    <w:qFormat/>
    <w:uiPriority w:val="0"/>
    <w:rPr>
      <w:b/>
      <w:sz w:val="24"/>
    </w:rPr>
  </w:style>
  <w:style w:type="paragraph" w:customStyle="1" w:styleId="87">
    <w:name w:val="EFAHeading1"/>
    <w:basedOn w:val="40"/>
    <w:next w:val="40"/>
    <w:qFormat/>
    <w:uiPriority w:val="0"/>
    <w:pPr>
      <w:numPr>
        <w:ilvl w:val="0"/>
        <w:numId w:val="8"/>
      </w:numPr>
      <w:tabs>
        <w:tab w:val="left" w:pos="1044"/>
      </w:tabs>
      <w:spacing w:after="60"/>
      <w:ind w:left="0" w:firstLine="0"/>
      <w:outlineLvl w:val="0"/>
    </w:pPr>
    <w:rPr>
      <w:b/>
      <w:sz w:val="24"/>
      <w:szCs w:val="24"/>
    </w:rPr>
  </w:style>
  <w:style w:type="paragraph" w:customStyle="1" w:styleId="88">
    <w:name w:val="EFAFPCol_Hdr3"/>
    <w:link w:val="90"/>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89">
    <w:name w:val="EFAFPReportType2"/>
    <w:link w:val="91"/>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0">
    <w:name w:val="EFAFPCol_Hdr3 Char"/>
    <w:basedOn w:val="28"/>
    <w:link w:val="88"/>
    <w:qFormat/>
    <w:uiPriority w:val="0"/>
    <w:rPr>
      <w:b/>
      <w:color w:val="808080"/>
      <w:sz w:val="24"/>
      <w:szCs w:val="24"/>
      <w:lang w:eastAsia="ja-JP"/>
    </w:rPr>
  </w:style>
  <w:style w:type="character" w:customStyle="1" w:styleId="91">
    <w:name w:val="EFAFPReportType2 Char"/>
    <w:basedOn w:val="28"/>
    <w:link w:val="89"/>
    <w:qFormat/>
    <w:uiPriority w:val="0"/>
    <w:rPr>
      <w:color w:val="23558C"/>
      <w:sz w:val="44"/>
      <w:szCs w:val="44"/>
      <w:lang w:eastAsia="ja-JP"/>
    </w:rPr>
  </w:style>
  <w:style w:type="paragraph" w:customStyle="1" w:styleId="92">
    <w:name w:val="EFAFPTitle3"/>
    <w:link w:val="95"/>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3">
    <w:name w:val="EFAFP_Headline"/>
    <w:next w:val="94"/>
    <w:link w:val="96"/>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4">
    <w:name w:val="EFAFP_BodyText2"/>
    <w:link w:val="97"/>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5">
    <w:name w:val="EFAFPTitle3 Char"/>
    <w:basedOn w:val="28"/>
    <w:link w:val="92"/>
    <w:qFormat/>
    <w:uiPriority w:val="0"/>
    <w:rPr>
      <w:b/>
      <w:sz w:val="44"/>
      <w:szCs w:val="60"/>
      <w:lang w:eastAsia="ja-JP"/>
    </w:rPr>
  </w:style>
  <w:style w:type="character" w:customStyle="1" w:styleId="96">
    <w:name w:val="EFAFP_Headline Char"/>
    <w:basedOn w:val="28"/>
    <w:link w:val="93"/>
    <w:qFormat/>
    <w:uiPriority w:val="0"/>
    <w:rPr>
      <w:rFonts w:eastAsia="Times New Roman"/>
      <w:b/>
      <w:bCs/>
      <w:snapToGrid/>
      <w:color w:val="23558C"/>
      <w:kern w:val="28"/>
      <w:sz w:val="28"/>
      <w:szCs w:val="20"/>
      <w:lang w:eastAsia="ja-JP"/>
    </w:rPr>
  </w:style>
  <w:style w:type="character" w:customStyle="1" w:styleId="97">
    <w:name w:val="EFAFP_BodyText2 Char"/>
    <w:basedOn w:val="28"/>
    <w:link w:val="94"/>
    <w:qFormat/>
    <w:uiPriority w:val="0"/>
    <w:rPr>
      <w:rFonts w:eastAsia="Times New Roman" w:cs="PMingLiU"/>
      <w:snapToGrid/>
      <w:sz w:val="22"/>
      <w:szCs w:val="20"/>
      <w:lang w:eastAsia="ja-JP"/>
    </w:rPr>
  </w:style>
  <w:style w:type="character" w:customStyle="1" w:styleId="98">
    <w:name w:val="EFABlueChar"/>
    <w:qFormat/>
    <w:uiPriority w:val="1"/>
    <w:rPr>
      <w:b/>
      <w:color w:val="23508C"/>
    </w:rPr>
  </w:style>
  <w:style w:type="paragraph" w:customStyle="1" w:styleId="99">
    <w:name w:val="EFAHeading5"/>
    <w:next w:val="40"/>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0">
    <w:name w:val="EFAMacroTitle"/>
    <w:basedOn w:val="88"/>
    <w:qFormat/>
    <w:uiPriority w:val="0"/>
    <w:pPr>
      <w:framePr w:wrap="around"/>
    </w:pPr>
  </w:style>
  <w:style w:type="character" w:customStyle="1" w:styleId="101">
    <w:name w:val="EFAFPColFrame_AnalystName2 Char"/>
    <w:basedOn w:val="80"/>
    <w:link w:val="63"/>
    <w:qFormat/>
    <w:uiPriority w:val="0"/>
    <w:rPr>
      <w:b/>
      <w:sz w:val="14"/>
      <w:szCs w:val="14"/>
    </w:rPr>
  </w:style>
  <w:style w:type="paragraph" w:customStyle="1" w:styleId="102">
    <w:name w:val="EFAFPTitle"/>
    <w:link w:val="103"/>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3">
    <w:name w:val="EFAFPTitle Char"/>
    <w:basedOn w:val="28"/>
    <w:link w:val="102"/>
    <w:qFormat/>
    <w:uiPriority w:val="0"/>
    <w:rPr>
      <w:b/>
      <w:color w:val="FFFFFF"/>
      <w:sz w:val="32"/>
      <w:szCs w:val="32"/>
      <w:lang w:eastAsia="ja-JP"/>
    </w:rPr>
  </w:style>
  <w:style w:type="paragraph" w:customStyle="1" w:styleId="104">
    <w:name w:val="EFAFPReportType"/>
    <w:link w:val="10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5">
    <w:name w:val="EFAFPReportType Char"/>
    <w:basedOn w:val="28"/>
    <w:link w:val="104"/>
    <w:qFormat/>
    <w:uiPriority w:val="0"/>
    <w:rPr>
      <w:color w:val="23558C"/>
      <w:sz w:val="44"/>
      <w:szCs w:val="44"/>
      <w:lang w:eastAsia="ja-JP"/>
    </w:rPr>
  </w:style>
  <w:style w:type="paragraph" w:customStyle="1" w:styleId="106">
    <w:name w:val="EFAFPHdrInfo2"/>
    <w:link w:val="107"/>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7">
    <w:name w:val="EFAFPHdrInfo2 Char"/>
    <w:basedOn w:val="28"/>
    <w:link w:val="106"/>
    <w:qFormat/>
    <w:uiPriority w:val="0"/>
    <w:rPr>
      <w:color w:val="000000"/>
      <w:sz w:val="20"/>
      <w:szCs w:val="44"/>
      <w:lang w:eastAsia="ja-JP"/>
    </w:rPr>
  </w:style>
  <w:style w:type="paragraph" w:customStyle="1" w:styleId="108">
    <w:name w:val="EFADisclaimerHiddenText"/>
    <w:link w:val="109"/>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09">
    <w:name w:val="EFADisclaimerHiddenText Char"/>
    <w:basedOn w:val="28"/>
    <w:link w:val="108"/>
    <w:qFormat/>
    <w:uiPriority w:val="0"/>
    <w:rPr>
      <w:vanish/>
      <w:color w:val="FFFFFF"/>
      <w:sz w:val="2"/>
      <w:lang w:eastAsia="ja-JP"/>
    </w:rPr>
  </w:style>
  <w:style w:type="paragraph" w:customStyle="1" w:styleId="110">
    <w:name w:val="EFAFPFooter2"/>
    <w:link w:val="111"/>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1">
    <w:name w:val="EFAFPFooter2 Char"/>
    <w:basedOn w:val="28"/>
    <w:link w:val="110"/>
    <w:qFormat/>
    <w:uiPriority w:val="0"/>
    <w:rPr>
      <w:rFonts w:cs="Arial"/>
      <w:sz w:val="21"/>
      <w:lang w:eastAsia="ja-JP"/>
    </w:rPr>
  </w:style>
  <w:style w:type="character" w:customStyle="1" w:styleId="112">
    <w:name w:val="EFADisclaimerText Char"/>
    <w:basedOn w:val="28"/>
    <w:link w:val="44"/>
    <w:qFormat/>
    <w:locked/>
    <w:uiPriority w:val="99"/>
    <w:rPr>
      <w:lang w:eastAsia="ja-JP"/>
    </w:rPr>
  </w:style>
  <w:style w:type="paragraph" w:customStyle="1" w:styleId="113">
    <w:name w:val="EFAFPColFrameText_Left"/>
    <w:basedOn w:val="1"/>
    <w:link w:val="116"/>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4">
    <w:name w:val="EFAFPColFrame_AnalystName"/>
    <w:basedOn w:val="113"/>
    <w:qFormat/>
    <w:uiPriority w:val="0"/>
    <w:pPr>
      <w:framePr w:wrap="around"/>
    </w:pPr>
    <w:rPr>
      <w:b/>
      <w:sz w:val="16"/>
    </w:rPr>
  </w:style>
  <w:style w:type="paragraph" w:customStyle="1" w:styleId="115">
    <w:name w:val="EFAFPColFrameText_8pt"/>
    <w:basedOn w:val="113"/>
    <w:qFormat/>
    <w:uiPriority w:val="0"/>
    <w:pPr>
      <w:framePr w:wrap="around"/>
    </w:pPr>
    <w:rPr>
      <w:sz w:val="16"/>
    </w:rPr>
  </w:style>
  <w:style w:type="character" w:customStyle="1" w:styleId="116">
    <w:name w:val="EFAFPColFrameText_Left Char"/>
    <w:basedOn w:val="28"/>
    <w:link w:val="113"/>
    <w:qFormat/>
    <w:uiPriority w:val="0"/>
    <w:rPr>
      <w:sz w:val="14"/>
      <w:szCs w:val="14"/>
    </w:rPr>
  </w:style>
  <w:style w:type="paragraph" w:customStyle="1" w:styleId="117">
    <w:name w:val="表1"/>
    <w:basedOn w:val="1"/>
    <w:link w:val="118"/>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8">
    <w:name w:val="表1 Char"/>
    <w:link w:val="117"/>
    <w:qFormat/>
    <w:uiPriority w:val="0"/>
    <w:rPr>
      <w:rFonts w:ascii="Arial" w:hAnsi="Arial" w:eastAsia="楷体_GB2312"/>
      <w:b/>
      <w:bCs/>
      <w:snapToGrid/>
      <w:color w:val="000000"/>
      <w:kern w:val="2"/>
      <w:sz w:val="18"/>
      <w:szCs w:val="24"/>
      <w:lang w:val="zh-CN" w:eastAsia="zh-CN"/>
    </w:rPr>
  </w:style>
  <w:style w:type="paragraph" w:customStyle="1" w:styleId="119">
    <w:name w:val="EFABodyText(CN)"/>
    <w:link w:val="120"/>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0">
    <w:name w:val="EFABodyText(CN) Char"/>
    <w:basedOn w:val="28"/>
    <w:link w:val="119"/>
    <w:qFormat/>
    <w:uiPriority w:val="0"/>
    <w:rPr>
      <w:rFonts w:eastAsia="宋体"/>
      <w:sz w:val="20"/>
    </w:rPr>
  </w:style>
  <w:style w:type="paragraph" w:customStyle="1" w:styleId="121">
    <w:name w:val="图序号"/>
    <w:basedOn w:val="1"/>
    <w:link w:val="122"/>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2">
    <w:name w:val="图序号 字符"/>
    <w:link w:val="121"/>
    <w:qFormat/>
    <w:uiPriority w:val="0"/>
    <w:rPr>
      <w:rFonts w:ascii="Arial" w:hAnsi="Arial" w:eastAsia="楷体_GB2312"/>
      <w:b/>
      <w:bCs/>
      <w:snapToGrid/>
      <w:color w:val="000000"/>
      <w:kern w:val="2"/>
      <w:sz w:val="18"/>
      <w:szCs w:val="18"/>
      <w:lang w:val="zh-CN" w:eastAsia="zh-CN"/>
    </w:rPr>
  </w:style>
  <w:style w:type="character" w:customStyle="1" w:styleId="123">
    <w:name w:val="Heading 1 Char"/>
    <w:link w:val="2"/>
    <w:qFormat/>
    <w:uiPriority w:val="0"/>
    <w:rPr>
      <w:rFonts w:cs="Arial"/>
      <w:b/>
      <w:bCs/>
      <w:kern w:val="32"/>
      <w:sz w:val="24"/>
      <w:szCs w:val="32"/>
      <w:lang w:val="en-GB" w:eastAsia="ja-JP"/>
    </w:rPr>
  </w:style>
  <w:style w:type="character" w:customStyle="1" w:styleId="124">
    <w:name w:val="Heading 4 Char"/>
    <w:basedOn w:val="28"/>
    <w:link w:val="5"/>
    <w:qFormat/>
    <w:uiPriority w:val="0"/>
    <w:rPr>
      <w:rFonts w:ascii="Cambria" w:hAnsi="Cambria" w:eastAsia="宋体"/>
      <w:b/>
      <w:bCs/>
      <w:snapToGrid/>
      <w:kern w:val="2"/>
      <w:sz w:val="28"/>
      <w:szCs w:val="28"/>
      <w:lang w:val="zh-CN" w:eastAsia="zh-CN"/>
    </w:rPr>
  </w:style>
  <w:style w:type="character" w:customStyle="1" w:styleId="125">
    <w:name w:val="Body Text Char"/>
    <w:basedOn w:val="28"/>
    <w:link w:val="10"/>
    <w:qFormat/>
    <w:uiPriority w:val="0"/>
    <w:rPr>
      <w:rFonts w:ascii="Times New Roman" w:hAnsi="Times New Roman" w:eastAsia="宋体"/>
      <w:snapToGrid/>
      <w:kern w:val="2"/>
      <w:sz w:val="21"/>
      <w:szCs w:val="24"/>
    </w:rPr>
  </w:style>
  <w:style w:type="character" w:customStyle="1" w:styleId="126">
    <w:name w:val="Body Text Indent Char"/>
    <w:basedOn w:val="28"/>
    <w:link w:val="11"/>
    <w:qFormat/>
    <w:uiPriority w:val="0"/>
    <w:rPr>
      <w:rFonts w:ascii="汉仪楷体简" w:hAnsi="Times New Roman" w:eastAsia="汉仪楷体简"/>
      <w:snapToGrid/>
      <w:color w:val="000000"/>
      <w:sz w:val="18"/>
    </w:rPr>
  </w:style>
  <w:style w:type="character" w:customStyle="1" w:styleId="127">
    <w:name w:val="Body Text 2 Char"/>
    <w:basedOn w:val="28"/>
    <w:link w:val="23"/>
    <w:qFormat/>
    <w:uiPriority w:val="0"/>
    <w:rPr>
      <w:rFonts w:ascii="Times New Roman" w:hAnsi="Times New Roman" w:eastAsia="汉仪楷体简"/>
      <w:snapToGrid/>
      <w:sz w:val="18"/>
      <w:szCs w:val="24"/>
    </w:rPr>
  </w:style>
  <w:style w:type="character" w:customStyle="1" w:styleId="128">
    <w:name w:val="Body Text 3 Char"/>
    <w:basedOn w:val="28"/>
    <w:link w:val="9"/>
    <w:qFormat/>
    <w:uiPriority w:val="0"/>
    <w:rPr>
      <w:rFonts w:ascii="汉仪楷体简" w:hAnsi="Times New Roman" w:eastAsia="汉仪楷体简"/>
      <w:snapToGrid/>
      <w:color w:val="000000"/>
      <w:sz w:val="18"/>
    </w:rPr>
  </w:style>
  <w:style w:type="character" w:customStyle="1" w:styleId="129">
    <w:name w:val="Body Text Indent 2 Char"/>
    <w:basedOn w:val="28"/>
    <w:link w:val="15"/>
    <w:qFormat/>
    <w:uiPriority w:val="0"/>
    <w:rPr>
      <w:rFonts w:ascii="楷体_GB2312" w:hAnsi="Times New Roman" w:eastAsia="楷体_GB2312"/>
      <w:snapToGrid/>
      <w:sz w:val="24"/>
      <w:szCs w:val="24"/>
    </w:rPr>
  </w:style>
  <w:style w:type="character" w:customStyle="1" w:styleId="130">
    <w:name w:val="Body Text Indent 3 Char"/>
    <w:basedOn w:val="28"/>
    <w:link w:val="20"/>
    <w:qFormat/>
    <w:uiPriority w:val="0"/>
    <w:rPr>
      <w:rFonts w:ascii="楷体_GB2312" w:hAnsi="Times New Roman" w:eastAsia="楷体_GB2312"/>
      <w:snapToGrid/>
      <w:color w:val="000000"/>
      <w:kern w:val="2"/>
      <w:sz w:val="24"/>
      <w:szCs w:val="24"/>
    </w:rPr>
  </w:style>
  <w:style w:type="character" w:customStyle="1" w:styleId="131">
    <w:name w:val="Date Char"/>
    <w:basedOn w:val="28"/>
    <w:link w:val="14"/>
    <w:qFormat/>
    <w:uiPriority w:val="0"/>
    <w:rPr>
      <w:rFonts w:ascii="宋体" w:hAnsi="Times New Roman" w:eastAsia="宋体"/>
      <w:snapToGrid/>
      <w:kern w:val="2"/>
      <w:sz w:val="28"/>
      <w:szCs w:val="20"/>
    </w:rPr>
  </w:style>
  <w:style w:type="character" w:customStyle="1" w:styleId="132">
    <w:name w:val="style12"/>
    <w:basedOn w:val="28"/>
    <w:qFormat/>
    <w:uiPriority w:val="0"/>
  </w:style>
  <w:style w:type="character" w:customStyle="1" w:styleId="133">
    <w:name w:val="style13"/>
    <w:basedOn w:val="28"/>
    <w:qFormat/>
    <w:uiPriority w:val="0"/>
  </w:style>
  <w:style w:type="paragraph" w:customStyle="1" w:styleId="134">
    <w:name w:val="默认段落字体 Para Char Char Char Char Char Char 字元 Char"/>
    <w:basedOn w:val="1"/>
    <w:autoRedefine/>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5">
    <w:name w:val="二级目录"/>
    <w:basedOn w:val="12"/>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6">
    <w:name w:val="Comment Text Char"/>
    <w:basedOn w:val="28"/>
    <w:link w:val="8"/>
    <w:qFormat/>
    <w:uiPriority w:val="0"/>
    <w:rPr>
      <w:rFonts w:ascii="Times New Roman" w:hAnsi="Times New Roman" w:eastAsia="宋体"/>
      <w:snapToGrid/>
      <w:kern w:val="2"/>
      <w:sz w:val="21"/>
      <w:szCs w:val="24"/>
      <w:lang w:val="zh-CN" w:eastAsia="zh-CN"/>
    </w:rPr>
  </w:style>
  <w:style w:type="character" w:customStyle="1" w:styleId="137">
    <w:name w:val="Comment Subject Char"/>
    <w:basedOn w:val="136"/>
    <w:link w:val="25"/>
    <w:qFormat/>
    <w:uiPriority w:val="0"/>
    <w:rPr>
      <w:rFonts w:ascii="Times New Roman" w:hAnsi="Times New Roman" w:eastAsia="宋体"/>
      <w:b/>
      <w:bCs/>
      <w:snapToGrid/>
      <w:kern w:val="2"/>
      <w:sz w:val="21"/>
      <w:szCs w:val="24"/>
      <w:lang w:val="zh-CN" w:eastAsia="zh-CN"/>
    </w:rPr>
  </w:style>
  <w:style w:type="paragraph" w:customStyle="1" w:styleId="138">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39">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0">
    <w:name w:val="Heading 3 Char"/>
    <w:link w:val="4"/>
    <w:qFormat/>
    <w:uiPriority w:val="0"/>
    <w:rPr>
      <w:rFonts w:cs="Arial"/>
      <w:b/>
      <w:bCs/>
      <w:szCs w:val="26"/>
      <w:lang w:val="en-GB" w:eastAsia="ja-JP"/>
    </w:rPr>
  </w:style>
  <w:style w:type="paragraph" w:customStyle="1" w:styleId="141">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2">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3">
    <w:name w:val="国泰君安数据来源"/>
    <w:basedOn w:val="142"/>
    <w:qFormat/>
    <w:uiPriority w:val="0"/>
    <w:rPr>
      <w:sz w:val="18"/>
    </w:rPr>
  </w:style>
  <w:style w:type="paragraph" w:customStyle="1" w:styleId="144">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5">
    <w:name w:val="标题 1 字符"/>
    <w:qFormat/>
    <w:uiPriority w:val="0"/>
    <w:rPr>
      <w:rFonts w:eastAsia="楷体_GB2312"/>
      <w:b/>
      <w:bCs/>
      <w:color w:val="000080"/>
      <w:sz w:val="30"/>
      <w:szCs w:val="24"/>
    </w:rPr>
  </w:style>
  <w:style w:type="table" w:customStyle="1" w:styleId="146">
    <w:name w:val="网格表 2 - 着色 11"/>
    <w:basedOn w:val="26"/>
    <w:qFormat/>
    <w:uiPriority w:val="47"/>
    <w:rPr>
      <w:rFonts w:ascii="Times New Roman" w:hAnsi="Times New Roman" w:eastAsia="宋体"/>
    </w:rPr>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7">
    <w:name w:val="网格表 3 - 着色 31"/>
    <w:basedOn w:val="26"/>
    <w:qFormat/>
    <w:uiPriority w:val="48"/>
    <w:rPr>
      <w:rFonts w:ascii="Times New Roman" w:hAnsi="Times New Roman" w:eastAsia="宋体"/>
    </w:rPr>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8">
    <w:name w:val="网格表 2 - 着色 51"/>
    <w:basedOn w:val="26"/>
    <w:qFormat/>
    <w:uiPriority w:val="47"/>
    <w:rPr>
      <w:rFonts w:ascii="Times New Roman" w:hAnsi="Times New Roman" w:eastAsia="宋体"/>
    </w:rPr>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49">
    <w:name w:val="清单表 1 浅色 - 着色 51"/>
    <w:basedOn w:val="26"/>
    <w:qFormat/>
    <w:uiPriority w:val="46"/>
    <w:rPr>
      <w:rFonts w:ascii="Times New Roman" w:hAnsi="Times New Roman" w:eastAsia="宋体"/>
    </w:rPr>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1">
    <w:name w:val="EFAFPHdrInfo"/>
    <w:link w:val="152"/>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2">
    <w:name w:val="EFAFPHdrInfo Char"/>
    <w:basedOn w:val="105"/>
    <w:link w:val="151"/>
    <w:qFormat/>
    <w:uiPriority w:val="0"/>
    <w:rPr>
      <w:b/>
      <w:bCs/>
      <w:color w:val="000000"/>
      <w:sz w:val="32"/>
      <w:szCs w:val="32"/>
      <w:lang w:eastAsia="ja-JP"/>
    </w:rPr>
  </w:style>
  <w:style w:type="paragraph" w:customStyle="1" w:styleId="153">
    <w:name w:val="EFAFPTitle6"/>
    <w:link w:val="154"/>
    <w:qFormat/>
    <w:uiPriority w:val="0"/>
    <w:rPr>
      <w:rFonts w:ascii="Calibri" w:hAnsi="Calibri" w:eastAsia="MS Mincho" w:cs="Times New Roman"/>
      <w:b/>
      <w:bCs/>
      <w:snapToGrid w:val="0"/>
      <w:color w:val="FFFFFF"/>
      <w:sz w:val="32"/>
      <w:lang w:val="en-US" w:eastAsia="ja-JP" w:bidi="ar-SA"/>
    </w:rPr>
  </w:style>
  <w:style w:type="character" w:customStyle="1" w:styleId="154">
    <w:name w:val="EFAFPTitle6 Char"/>
    <w:basedOn w:val="28"/>
    <w:link w:val="153"/>
    <w:qFormat/>
    <w:uiPriority w:val="0"/>
    <w:rPr>
      <w:b/>
      <w:bCs/>
      <w:color w:val="FFFFFF"/>
      <w:sz w:val="32"/>
      <w:szCs w:val="20"/>
      <w:lang w:eastAsia="ja-JP"/>
    </w:rPr>
  </w:style>
  <w:style w:type="table" w:customStyle="1" w:styleId="155">
    <w:name w:val="Common"/>
    <w:basedOn w:val="27"/>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character" w:customStyle="1" w:styleId="156">
    <w:name w:val="Unresolved Mention"/>
    <w:basedOn w:val="2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oulinhong\AppData\Roaming\EFA\Macro%20note%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897B2F-D567-4463-8BC9-F5D2ABA75856}">
  <ds:schemaRefs/>
</ds:datastoreItem>
</file>

<file path=docProps/app.xml><?xml version="1.0" encoding="utf-8"?>
<Properties xmlns="http://schemas.openxmlformats.org/officeDocument/2006/extended-properties" xmlns:vt="http://schemas.openxmlformats.org/officeDocument/2006/docPropsVTypes">
  <Template>Macro note - HTI.dotx</Template>
  <Company>Japaninvest</Company>
  <Pages>4</Pages>
  <Words>4671</Words>
  <Characters>11605</Characters>
  <Lines>159</Lines>
  <Paragraphs>84</Paragraphs>
  <TotalTime>140</TotalTime>
  <ScaleCrop>false</ScaleCrop>
  <LinksUpToDate>false</LinksUpToDate>
  <CharactersWithSpaces>13062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2026-01-18T03:56:00Z</dcterms:created>
  <dc:creator>zhoulinhong</dc:creator>
  <cp:lastModifiedBy>微信用户</cp:lastModifiedBy>
  <cp:lastPrinted>2019-08-10T16:02:00Z</cp:lastPrinted>
  <dcterms:modified xsi:type="dcterms:W3CDTF">2026-01-19T10:38:55Z</dcterms:modified>
  <dc:title>Sector note</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3</vt:lpwstr>
  </property>
  <property fmtid="{D5CDD505-2E9C-101B-9397-08002B2CF9AE}" pid="50" name="versiontype">
    <vt:lpwstr>HTI_Macro_CN</vt:lpwstr>
  </property>
  <property fmtid="{D5CDD505-2E9C-101B-9397-08002B2CF9AE}" pid="51" name="version">
    <vt:lpwstr>1.0</vt:lpwstr>
  </property>
  <property fmtid="{D5CDD505-2E9C-101B-9397-08002B2CF9AE}" pid="52" name="typeId">
    <vt:lpwstr>3</vt:lpwstr>
  </property>
  <property fmtid="{D5CDD505-2E9C-101B-9397-08002B2CF9AE}" pid="53" name="reporttitle">
    <vt:lpwstr/>
  </property>
  <property fmtid="{D5CDD505-2E9C-101B-9397-08002B2CF9AE}" pid="54" name="regionCn">
    <vt:lpwstr>中国</vt:lpwstr>
  </property>
  <property fmtid="{D5CDD505-2E9C-101B-9397-08002B2CF9AE}" pid="55" name="regionEn">
    <vt:lpwstr>China</vt:lpwstr>
  </property>
  <property fmtid="{D5CDD505-2E9C-101B-9397-08002B2CF9AE}" pid="56" name="analysts">
    <vt:lpwstr>System.Collections.ArrayList</vt:lpwstr>
  </property>
  <property fmtid="{D5CDD505-2E9C-101B-9397-08002B2CF9AE}" pid="57" name="typeName">
    <vt:lpwstr>Macro</vt:lpwstr>
  </property>
  <property fmtid="{D5CDD505-2E9C-101B-9397-08002B2CF9AE}" pid="58" name="analystids">
    <vt:lpwstr>3,117</vt:lpwstr>
  </property>
  <property fmtid="{D5CDD505-2E9C-101B-9397-08002B2CF9AE}" pid="59" name="reportid">
    <vt:lpwstr/>
  </property>
  <property fmtid="{D5CDD505-2E9C-101B-9397-08002B2CF9AE}" pid="60" name="typeChineseName">
    <vt:lpwstr>宏观</vt:lpwstr>
  </property>
  <property fmtid="{D5CDD505-2E9C-101B-9397-08002B2CF9AE}" pid="61" name="KSOTemplateDocerSaveRecord">
    <vt:lpwstr>eyJoZGlkIjoiN2YzNjBkOTgyNWQ1YTMxYzM3MzMwNWFiODNmOWIzYWMiLCJ1c2VySWQiOiIxMjgyNzI4NjcyIn0=</vt:lpwstr>
  </property>
  <property fmtid="{D5CDD505-2E9C-101B-9397-08002B2CF9AE}" pid="62" name="KSOProductBuildVer">
    <vt:lpwstr>2052-12.1.0.24034</vt:lpwstr>
  </property>
  <property fmtid="{D5CDD505-2E9C-101B-9397-08002B2CF9AE}" pid="63" name="ICV">
    <vt:lpwstr>E26B4D8F4C1347B8BA063E6C47B44D5D_12</vt:lpwstr>
  </property>
</Properties>
</file>