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087"/>
        <w:gridCol w:w="2389"/>
        <w:gridCol w:w="1269"/>
        <w:gridCol w:w="2807"/>
        <w:gridCol w:w="126"/>
      </w:tblGrid>
      <w:tr w14:paraId="48DE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0BD0B2D6">
            <w:pPr>
              <w:pStyle w:val="123"/>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76" w:type="dxa"/>
            <w:vAlign w:val="center"/>
          </w:tcPr>
          <w:p w14:paraId="606966C0">
            <w:pPr>
              <w:pStyle w:val="28"/>
              <w:framePr w:wrap="auto" w:vAnchor="margin" w:hAnchor="text" w:xAlign="left" w:yAlign="inline"/>
              <w:rPr>
                <w:rFonts w:eastAsia="楷体_GB2312" w:cs="Calibri"/>
                <w:highlight w:val="yellow"/>
              </w:rPr>
            </w:pPr>
          </w:p>
        </w:tc>
        <w:tc>
          <w:tcPr>
            <w:tcW w:w="2823" w:type="dxa"/>
          </w:tcPr>
          <w:p w14:paraId="4697CE9F">
            <w:pPr>
              <w:pStyle w:val="27"/>
              <w:framePr w:wrap="auto" w:vAnchor="margin" w:hAnchor="text" w:xAlign="left" w:yAlign="inline"/>
              <w:rPr>
                <w:rFonts w:eastAsia="楷体_GB2312" w:cs="Calibri"/>
                <w:highlight w:val="yellow"/>
              </w:rPr>
            </w:pPr>
          </w:p>
        </w:tc>
      </w:tr>
      <w:tr w14:paraId="08631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1E3FDC08">
            <w:pPr>
              <w:pStyle w:val="28"/>
              <w:framePr w:wrap="auto" w:vAnchor="margin" w:hAnchor="text" w:xAlign="left" w:yAlign="inline"/>
              <w:rPr>
                <w:rFonts w:eastAsia="楷体_GB2312" w:cs="Calibri"/>
                <w:b w:val="0"/>
                <w:sz w:val="16"/>
                <w:lang w:eastAsia="zh-CN"/>
              </w:rPr>
            </w:pPr>
            <w:r>
              <w:rPr>
                <w:rFonts w:eastAsia="楷体_GB2312" w:cs="Calibri"/>
                <w:b w:val="0"/>
                <w:sz w:val="16"/>
                <w:lang w:eastAsia="zh-CN"/>
              </w:rPr>
              <w:t>Research Report</w:t>
            </w:r>
          </w:p>
        </w:tc>
        <w:tc>
          <w:tcPr>
            <w:tcW w:w="4099" w:type="dxa"/>
            <w:gridSpan w:val="2"/>
          </w:tcPr>
          <w:p w14:paraId="12E8CF3D">
            <w:pPr>
              <w:pStyle w:val="123"/>
              <w:rPr>
                <w:rFonts w:eastAsia="楷体_GB2312" w:cs="Calibri"/>
                <w:sz w:val="16"/>
                <w:szCs w:val="16"/>
                <w:lang w:eastAsia="zh-CN"/>
              </w:rPr>
            </w:pPr>
          </w:p>
        </w:tc>
      </w:tr>
      <w:tr w14:paraId="53EA2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5B84B669">
            <w:pPr>
              <w:pStyle w:val="28"/>
              <w:framePr w:wrap="auto" w:vAnchor="margin" w:hAnchor="text" w:xAlign="left" w:yAlign="inline"/>
              <w:rPr>
                <w:rFonts w:eastAsia="楷体_GB2312" w:cs="Calibri"/>
                <w:b w:val="0"/>
                <w:sz w:val="20"/>
                <w:szCs w:val="20"/>
              </w:rPr>
            </w:pPr>
            <w:r>
              <w:rPr>
                <w:rFonts w:ascii="Calibri" w:eastAsia="楷体_GB2312"/>
                <w:b w:val="0"/>
                <w:i w:val="0"/>
                <w:color w:val="215E99"/>
                <w:sz w:val="16"/>
              </w:rPr>
              <w:t>22 Feb 2026</w:t>
            </w:r>
          </w:p>
        </w:tc>
        <w:tc>
          <w:tcPr>
            <w:tcW w:w="4099" w:type="dxa"/>
            <w:gridSpan w:val="2"/>
          </w:tcPr>
          <w:p w14:paraId="0D56BF00">
            <w:pPr>
              <w:pStyle w:val="123"/>
              <w:rPr>
                <w:rFonts w:eastAsia="楷体_GB2312" w:cs="Calibri"/>
                <w:sz w:val="16"/>
                <w:szCs w:val="16"/>
                <w:lang w:eastAsia="zh-CN"/>
              </w:rPr>
            </w:pPr>
          </w:p>
        </w:tc>
      </w:tr>
      <w:tr w14:paraId="6301A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593BB7A9">
            <w:pPr>
              <w:pStyle w:val="27"/>
              <w:framePr w:wrap="auto" w:vAnchor="margin" w:hAnchor="text" w:xAlign="left" w:yAlign="inline"/>
              <w:jc w:val="left"/>
              <w:rPr>
                <w:rFonts w:eastAsia="楷体_GB2312" w:cs="Calibri"/>
                <w:sz w:val="40"/>
                <w:szCs w:val="40"/>
                <w:lang w:eastAsia="zh-CN"/>
              </w:rPr>
            </w:pPr>
          </w:p>
        </w:tc>
      </w:tr>
      <w:tr w14:paraId="46CE1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52634EAC">
            <w:pPr>
              <w:pStyle w:val="27"/>
              <w:framePr w:wrap="auto" w:vAnchor="margin" w:hAnchor="text" w:xAlign="left" w:yAlign="inline"/>
              <w:tabs>
                <w:tab w:val="left" w:pos="8000"/>
              </w:tabs>
              <w:jc w:val="left"/>
              <w:rPr>
                <w:rFonts w:eastAsia="楷体_GB2312" w:cs="Calibri"/>
                <w:sz w:val="40"/>
                <w:szCs w:val="40"/>
                <w:lang w:eastAsia="zh-CN"/>
              </w:rPr>
            </w:pPr>
            <w:r>
              <w:rPr>
                <w:rFonts w:ascii="Calibri" w:eastAsia="楷体_GB2312"/>
                <w:b/>
                <w:i w:val="0"/>
                <w:color w:val="215E99"/>
                <w:sz w:val="40"/>
              </w:rPr>
              <w:t>Vertiv(VRT US)</w:t>
            </w:r>
          </w:p>
        </w:tc>
      </w:tr>
      <w:tr w14:paraId="2798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74" w:hRule="exact"/>
        </w:trPr>
        <w:tc>
          <w:tcPr>
            <w:tcW w:w="10740" w:type="dxa"/>
            <w:gridSpan w:val="5"/>
            <w:tcMar>
              <w:top w:w="60" w:type="dxa"/>
              <w:left w:w="119" w:type="dxa"/>
              <w:right w:w="0" w:type="dxa"/>
            </w:tcMar>
          </w:tcPr>
          <w:p w14:paraId="6A5DB28F">
            <w:pPr>
              <w:pStyle w:val="123"/>
              <w:rPr>
                <w:rFonts w:eastAsia="楷体_GB2312" w:cs="Calibri"/>
                <w:b w:val="0"/>
                <w:color w:val="23558C"/>
                <w:sz w:val="44"/>
                <w:szCs w:val="44"/>
                <w:lang w:eastAsia="zh-CN"/>
              </w:rPr>
            </w:pPr>
            <w:r>
              <w:rPr>
                <w:rFonts w:ascii="Calibri" w:eastAsia="楷体_GB2312"/>
                <w:b w:val="0"/>
                <w:i w:val="0"/>
                <w:color w:val="215E99"/>
                <w:sz w:val="32"/>
              </w:rPr>
              <w:t>A Near Pure Play On Powering Up and Cooling Down AI Data Center with strategical partnership with NVIDIA into next-gen AIDC structures: Initiation</w:t>
            </w:r>
          </w:p>
        </w:tc>
      </w:tr>
      <w:tr w14:paraId="185C4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02" w:hRule="atLeast"/>
        </w:trPr>
        <w:tc>
          <w:tcPr>
            <w:tcW w:w="10740" w:type="dxa"/>
            <w:gridSpan w:val="5"/>
            <w:tcMar>
              <w:top w:w="60" w:type="dxa"/>
              <w:left w:w="119" w:type="dxa"/>
              <w:right w:w="0" w:type="dxa"/>
            </w:tcMar>
          </w:tcPr>
          <w:p w14:paraId="0D628A31">
            <w:pPr>
              <w:pStyle w:val="27"/>
              <w:framePr w:wrap="auto" w:vAnchor="margin" w:hAnchor="text" w:xAlign="left" w:yAlign="inline"/>
              <w:rPr>
                <w:rFonts w:eastAsia="楷体_GB2312" w:cs="Calibri"/>
                <w:szCs w:val="24"/>
                <w:lang w:eastAsia="zh-CN"/>
              </w:rPr>
            </w:pPr>
          </w:p>
        </w:tc>
      </w:tr>
      <w:tr w14:paraId="51913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26276D1A">
            <w:pPr>
              <w:pStyle w:val="27"/>
              <w:framePr w:wrap="auto" w:vAnchor="margin" w:hAnchor="text" w:xAlign="left" w:yAlign="inline"/>
              <w:rPr>
                <w:rFonts w:eastAsia="楷体_GB2312" w:cs="Calibri"/>
              </w:rPr>
            </w:pPr>
          </w:p>
        </w:tc>
      </w:tr>
      <w:tr w14:paraId="7CA8A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5"/>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3C45E3D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4BC76A4D">
                  <w:pPr>
                    <w:adjustRightInd w:val="0"/>
                    <w:snapToGrid w:val="0"/>
                    <w:rPr>
                      <w:rFonts w:eastAsia="楷体_GB2312" w:cs="Calibri"/>
                      <w:sz w:val="21"/>
                      <w:szCs w:val="21"/>
                      <w:lang w:eastAsia="zh-CN"/>
                    </w:rPr>
                  </w:pPr>
                  <w:r>
                    <w:rPr>
                      <w:rFonts w:eastAsia="楷体_GB2312" w:cs="Calibri"/>
                      <w:color w:val="FFFFFF"/>
                      <w:sz w:val="21"/>
                      <w:szCs w:val="21"/>
                      <w:lang w:eastAsia="zh-CN"/>
                    </w:rPr>
                    <w:t>[Table_Info]</w:t>
                  </w:r>
                </w:p>
              </w:tc>
            </w:tr>
            <w:tr w14:paraId="1669CC0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0437198">
                  <w:pPr>
                    <w:adjustRightInd w:val="0"/>
                    <w:snapToGrid w:val="0"/>
                    <w:ind w:right="85" w:firstLine="85"/>
                    <w:jc w:val="center"/>
                    <w:rPr>
                      <w:rFonts w:eastAsia="楷体_GB2312" w:cs="Calibri"/>
                      <w:b/>
                      <w:i/>
                      <w:color w:val="23558C"/>
                      <w:sz w:val="24"/>
                      <w:szCs w:val="14"/>
                      <w:lang w:eastAsia="zh-CN"/>
                    </w:rPr>
                  </w:pPr>
                  <w:r>
                    <w:rPr>
                      <w:rFonts w:ascii="Calibri" w:eastAsia="楷体_GB2312"/>
                      <w:b/>
                      <w:i/>
                      <w:color w:val="FFFFFF"/>
                      <w:sz w:val="22"/>
                    </w:rPr>
                    <w:t>Initiate with OUTPERFORM</w:t>
                  </w:r>
                </w:p>
              </w:tc>
            </w:tr>
            <w:tr w14:paraId="6A85BDE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73C51363">
                  <w:pPr>
                    <w:adjustRightInd w:val="0"/>
                    <w:snapToGrid w:val="0"/>
                    <w:ind w:right="85" w:firstLine="85"/>
                    <w:rPr>
                      <w:rFonts w:eastAsia="楷体_GB2312" w:cs="Calibri"/>
                      <w:b/>
                      <w:color w:val="23558C"/>
                      <w:szCs w:val="14"/>
                      <w:lang w:eastAsia="zh-CN"/>
                    </w:rPr>
                  </w:pPr>
                </w:p>
              </w:tc>
            </w:tr>
            <w:tr w14:paraId="6446115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7D3AB14">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Rating</w:t>
                  </w:r>
                </w:p>
              </w:tc>
              <w:tc>
                <w:tcPr>
                  <w:tcW w:w="2347" w:type="dxa"/>
                </w:tcPr>
                <w:p w14:paraId="7E56D569">
                  <w:pPr>
                    <w:adjustRightInd w:val="0"/>
                    <w:snapToGrid w:val="0"/>
                    <w:ind w:right="85" w:firstLine="85"/>
                    <w:jc w:val="right"/>
                    <w:rPr>
                      <w:rFonts w:eastAsia="楷体_GB2312" w:cs="Calibri"/>
                      <w:sz w:val="14"/>
                      <w:szCs w:val="14"/>
                      <w:lang w:eastAsia="zh-CN"/>
                    </w:rPr>
                  </w:pPr>
                  <w:r>
                    <w:rPr>
                      <w:rFonts w:ascii="Calibri" w:eastAsia="楷体_GB2312"/>
                      <w:b w:val="0"/>
                      <w:i w:val="0"/>
                      <w:color w:val="215E99"/>
                      <w:sz w:val="16"/>
                    </w:rPr>
                    <w:t>OUTPERFORM</w:t>
                  </w:r>
                </w:p>
              </w:tc>
            </w:tr>
            <w:tr w14:paraId="4D689FF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F14C5C5">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Current Price</w:t>
                  </w:r>
                </w:p>
              </w:tc>
              <w:tc>
                <w:tcPr>
                  <w:tcW w:w="2347" w:type="dxa"/>
                </w:tcPr>
                <w:p w14:paraId="0AF3FE1F">
                  <w:pPr>
                    <w:adjustRightInd w:val="0"/>
                    <w:snapToGrid w:val="0"/>
                    <w:ind w:right="85" w:firstLine="85"/>
                    <w:jc w:val="right"/>
                    <w:rPr>
                      <w:rFonts w:eastAsia="楷体_GB2312" w:cs="Calibri"/>
                      <w:sz w:val="14"/>
                      <w:szCs w:val="14"/>
                      <w:lang w:eastAsia="zh-CN"/>
                    </w:rPr>
                  </w:pPr>
                  <w:r>
                    <w:rPr>
                      <w:rFonts w:ascii="Calibri" w:eastAsia="楷体_GB2312"/>
                      <w:b w:val="0"/>
                      <w:i w:val="0"/>
                      <w:color w:val="215E99"/>
                      <w:sz w:val="16"/>
                    </w:rPr>
                    <w:t>243.75</w:t>
                  </w:r>
                </w:p>
              </w:tc>
            </w:tr>
            <w:tr w14:paraId="7BC8008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1CC8843">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Target Price</w:t>
                  </w:r>
                </w:p>
              </w:tc>
              <w:tc>
                <w:tcPr>
                  <w:tcW w:w="2347" w:type="dxa"/>
                </w:tcPr>
                <w:p w14:paraId="5E945684">
                  <w:pPr>
                    <w:adjustRightInd w:val="0"/>
                    <w:snapToGrid w:val="0"/>
                    <w:ind w:right="85" w:firstLine="85"/>
                    <w:jc w:val="right"/>
                    <w:rPr>
                      <w:rFonts w:eastAsia="楷体_GB2312"/>
                      <w:color w:val="215E99"/>
                      <w:lang w:eastAsia="zh-CN"/>
                    </w:rPr>
                  </w:pPr>
                  <w:r>
                    <w:rPr>
                      <w:rFonts w:ascii="Calibri" w:eastAsia="楷体_GB2312"/>
                      <w:b w:val="0"/>
                      <w:i w:val="0"/>
                      <w:color w:val="215E99"/>
                      <w:sz w:val="16"/>
                    </w:rPr>
                    <w:t>279.97</w:t>
                  </w:r>
                </w:p>
              </w:tc>
            </w:tr>
            <w:tr w14:paraId="0183FB0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2C967E7">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Market cap</w:t>
                  </w:r>
                </w:p>
              </w:tc>
              <w:tc>
                <w:tcPr>
                  <w:tcW w:w="2347" w:type="dxa"/>
                </w:tcPr>
                <w:p w14:paraId="43A3E48E">
                  <w:pPr>
                    <w:adjustRightInd w:val="0"/>
                    <w:snapToGrid w:val="0"/>
                    <w:ind w:right="85" w:firstLine="85"/>
                    <w:jc w:val="right"/>
                    <w:rPr>
                      <w:rFonts w:eastAsia="楷体_GB2312"/>
                      <w:color w:val="215E99"/>
                      <w:lang w:eastAsia="zh-CN"/>
                    </w:rPr>
                  </w:pPr>
                  <w:r>
                    <w:rPr>
                      <w:rFonts w:ascii="Calibri" w:eastAsia="楷体_GB2312"/>
                      <w:b w:val="0"/>
                      <w:i w:val="0"/>
                      <w:color w:val="215E99"/>
                      <w:sz w:val="16"/>
                    </w:rPr>
                    <w:t>93.26bn</w:t>
                  </w:r>
                </w:p>
              </w:tc>
            </w:tr>
            <w:tr w14:paraId="51B0B96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F42BE92">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Shares in issue</w:t>
                  </w:r>
                </w:p>
              </w:tc>
              <w:tc>
                <w:tcPr>
                  <w:tcW w:w="2347" w:type="dxa"/>
                </w:tcPr>
                <w:p w14:paraId="7E95BE41">
                  <w:pPr>
                    <w:adjustRightInd w:val="0"/>
                    <w:snapToGrid w:val="0"/>
                    <w:ind w:right="85" w:firstLine="85"/>
                    <w:jc w:val="right"/>
                    <w:rPr>
                      <w:rFonts w:eastAsia="楷体_GB2312"/>
                      <w:color w:val="215E99"/>
                      <w:lang w:eastAsia="zh-CN"/>
                    </w:rPr>
                  </w:pPr>
                  <w:r>
                    <w:rPr>
                      <w:rFonts w:ascii="Calibri" w:eastAsia="楷体_GB2312"/>
                      <w:b w:val="0"/>
                      <w:i w:val="0"/>
                      <w:color w:val="215E99"/>
                      <w:sz w:val="16"/>
                    </w:rPr>
                    <w:t>382.60mn</w:t>
                  </w:r>
                </w:p>
              </w:tc>
            </w:tr>
            <w:tr w14:paraId="6E6FCA7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3C56C94">
                  <w:pPr>
                    <w:adjustRightInd w:val="0"/>
                    <w:snapToGrid w:val="0"/>
                    <w:ind w:right="85" w:firstLine="85"/>
                    <w:rPr>
                      <w:rFonts w:eastAsia="楷体_GB2312" w:cs="Calibri"/>
                      <w:color w:val="23558C"/>
                      <w:szCs w:val="14"/>
                      <w:lang w:eastAsia="zh-CN"/>
                    </w:rPr>
                  </w:pPr>
                  <w:r>
                    <w:rPr>
                      <w:rFonts w:eastAsia="楷体_GB2312" w:cs="Calibri"/>
                      <w:color w:val="23558C"/>
                      <w:szCs w:val="14"/>
                      <w:lang w:eastAsia="zh-CN"/>
                    </w:rPr>
                    <w:t>1 yr high - low</w:t>
                  </w:r>
                </w:p>
              </w:tc>
              <w:tc>
                <w:tcPr>
                  <w:tcW w:w="2347" w:type="dxa"/>
                </w:tcPr>
                <w:p w14:paraId="47E31A2B">
                  <w:pPr>
                    <w:adjustRightInd w:val="0"/>
                    <w:snapToGrid w:val="0"/>
                    <w:ind w:right="85" w:firstLine="85"/>
                    <w:jc w:val="right"/>
                    <w:rPr>
                      <w:rFonts w:eastAsia="楷体_GB2312" w:cs="Calibri"/>
                      <w:sz w:val="14"/>
                      <w:szCs w:val="14"/>
                      <w:lang w:eastAsia="zh-CN"/>
                    </w:rPr>
                  </w:pPr>
                  <w:r>
                    <w:rPr>
                      <w:rFonts w:ascii="Calibri" w:eastAsia="楷体_GB2312"/>
                      <w:b w:val="0"/>
                      <w:i w:val="0"/>
                      <w:color w:val="215E99"/>
                      <w:sz w:val="16"/>
                    </w:rPr>
                    <w:t>243.75-59.41</w:t>
                  </w:r>
                </w:p>
              </w:tc>
            </w:tr>
            <w:tr w14:paraId="2756658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51B85309">
                  <w:pPr>
                    <w:adjustRightInd w:val="0"/>
                    <w:snapToGrid w:val="0"/>
                    <w:ind w:left="85"/>
                    <w:rPr>
                      <w:rFonts w:eastAsia="楷体_GB2312" w:cs="Calibri"/>
                      <w:i/>
                      <w:iCs/>
                      <w:sz w:val="14"/>
                      <w:szCs w:val="14"/>
                      <w:lang w:eastAsia="zh-CN"/>
                    </w:rPr>
                  </w:pPr>
                  <w:r>
                    <w:rPr>
                      <w:rFonts w:ascii="Calibri" w:eastAsia="楷体_GB2312"/>
                      <w:b w:val="0"/>
                      <w:i/>
                      <w:color w:val="000000"/>
                      <w:sz w:val="14"/>
                    </w:rPr>
                    <w:t>Note: Current Price 243.75 is the close price on 20 Feb 2026</w:t>
                  </w:r>
                </w:p>
              </w:tc>
            </w:tr>
            <w:tr w14:paraId="39DAD83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3880A230">
                  <w:pPr>
                    <w:adjustRightInd w:val="0"/>
                    <w:snapToGrid w:val="0"/>
                    <w:ind w:left="85"/>
                    <w:rPr>
                      <w:rFonts w:eastAsia="楷体_GB2312" w:cs="Calibri"/>
                      <w:sz w:val="14"/>
                      <w:szCs w:val="14"/>
                      <w:lang w:eastAsia="zh-CN"/>
                    </w:rPr>
                  </w:pPr>
                </w:p>
              </w:tc>
            </w:tr>
            <w:tr w14:paraId="5D1503A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1BA67CF8">
                  <w:pPr>
                    <w:jc w:val="center"/>
                    <w:rPr>
                      <w:rFonts w:eastAsia="楷体_GB2312" w:cs="Calibri"/>
                    </w:rPr>
                  </w:pPr>
                  <w:r>
                    <w:rPr>
                      <w:rFonts w:ascii="Calibri" w:eastAsia="楷体_GB2312"/>
                    </w:rPr>
                    <w:drawing>
                      <wp:inline distT="0" distB="0" distL="0" distR="0">
                        <wp:extent cx="2286000" cy="1016000"/>
                        <wp:effectExtent l="0" t="0" r="0" b="5080"/>
                        <wp:docPr id="36" name="Drawing 36" descr="/data/deploy/attachments/file/temp/202602/1771757219756_OSY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6" descr="/data/deploy/attachments/file/temp/202602/1771757219756_OSYrM.png"/>
                                <pic:cNvPicPr>
                                  <a:picLocks noChangeAspect="1"/>
                                </pic:cNvPicPr>
                              </pic:nvPicPr>
                              <pic:blipFill>
                                <a:blip r:embed="rId16"/>
                                <a:stretch>
                                  <a:fillRect/>
                                </a:stretch>
                              </pic:blipFill>
                              <pic:spPr>
                                <a:xfrm>
                                  <a:off x="0" y="0"/>
                                  <a:ext cx="2286000" cy="1016000"/>
                                </a:xfrm>
                                <a:prstGeom prst="rect">
                                  <a:avLst/>
                                </a:prstGeom>
                              </pic:spPr>
                            </pic:pic>
                          </a:graphicData>
                        </a:graphic>
                      </wp:inline>
                    </w:drawing>
                  </w:r>
                </w:p>
              </w:tc>
            </w:tr>
            <w:tr w14:paraId="6156AC7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0A39AAB6">
                  <w:pPr>
                    <w:jc w:val="center"/>
                    <w:rPr>
                      <w:rFonts w:eastAsia="楷体_GB2312" w:cs="Calibri"/>
                    </w:rPr>
                  </w:pPr>
                  <w:r>
                    <w:rPr>
                      <w:rFonts w:ascii="Calibri" w:eastAsia="楷体_GB2312"/>
                    </w:rPr>
                    <w:drawing>
                      <wp:inline distT="0" distB="0" distL="0" distR="0">
                        <wp:extent cx="2286000" cy="660400"/>
                        <wp:effectExtent l="0" t="0" r="0" b="10160"/>
                        <wp:docPr id="38" name="Drawing 38" descr="/data/deploy/attachments/file/temp/202602/1771757219955_jfaZ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8" descr="/data/deploy/attachments/file/temp/202602/1771757219955_jfaZV.png"/>
                                <pic:cNvPicPr>
                                  <a:picLocks noChangeAspect="1"/>
                                </pic:cNvPicPr>
                              </pic:nvPicPr>
                              <pic:blipFill>
                                <a:blip r:embed="rId17"/>
                                <a:stretch>
                                  <a:fillRect/>
                                </a:stretch>
                              </pic:blipFill>
                              <pic:spPr>
                                <a:xfrm>
                                  <a:off x="0" y="0"/>
                                  <a:ext cx="2286000" cy="660400"/>
                                </a:xfrm>
                                <a:prstGeom prst="rect">
                                  <a:avLst/>
                                </a:prstGeom>
                              </pic:spPr>
                            </pic:pic>
                          </a:graphicData>
                        </a:graphic>
                      </wp:inline>
                    </w:drawing>
                  </w:r>
                </w:p>
              </w:tc>
            </w:tr>
            <w:tr w14:paraId="3645814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5522E203">
                  <w:pPr>
                    <w:adjustRightInd w:val="0"/>
                    <w:snapToGrid w:val="0"/>
                    <w:ind w:right="85" w:firstLine="85"/>
                    <w:rPr>
                      <w:rFonts w:eastAsia="楷体_GB2312" w:cs="Calibri"/>
                      <w:i/>
                      <w:iCs/>
                      <w:sz w:val="12"/>
                      <w:szCs w:val="12"/>
                      <w:lang w:eastAsia="zh-CN"/>
                    </w:rPr>
                  </w:pPr>
                  <w:r>
                    <w:rPr>
                      <w:rFonts w:ascii="Calibri" w:eastAsia="楷体_GB2312"/>
                      <w:b w:val="0"/>
                      <w:i/>
                      <w:color w:val="000000"/>
                      <w:sz w:val="12"/>
                    </w:rPr>
                    <w:t>Source: HFI</w:t>
                  </w:r>
                </w:p>
              </w:tc>
            </w:tr>
            <w:tr w14:paraId="41B3AD4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237E5C9D">
                  <w:pPr>
                    <w:adjustRightInd w:val="0"/>
                    <w:snapToGrid w:val="0"/>
                    <w:ind w:right="85" w:firstLine="85"/>
                    <w:rPr>
                      <w:rFonts w:eastAsia="楷体_GB2312" w:cs="Calibri"/>
                      <w:sz w:val="14"/>
                      <w:szCs w:val="14"/>
                      <w:lang w:eastAsia="zh-CN"/>
                    </w:rPr>
                  </w:pPr>
                </w:p>
              </w:tc>
            </w:tr>
            <w:tr w14:paraId="34F24B0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5"/>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39034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50A75A0">
                        <w:pPr>
                          <w:rPr>
                            <w:rFonts w:eastAsia="楷体_GB2312" w:cs="Calibri"/>
                            <w:color w:val="FFFFFF"/>
                          </w:rPr>
                        </w:pPr>
                        <w:r>
                          <w:rPr>
                            <w:rFonts w:eastAsia="楷体_GB2312" w:cs="Calibri"/>
                            <w:color w:val="FFFFFF"/>
                          </w:rPr>
                          <w:t>[Table_Profit]</w:t>
                        </w:r>
                      </w:p>
                    </w:tc>
                    <w:tc>
                      <w:tcPr>
                        <w:tcW w:w="795" w:type="dxa"/>
                        <w:vAlign w:val="center"/>
                      </w:tcPr>
                      <w:p w14:paraId="1D4F3AE4">
                        <w:pPr>
                          <w:ind w:right="85" w:firstLine="85"/>
                          <w:jc w:val="right"/>
                          <w:rPr>
                            <w:rFonts w:eastAsia="楷体_GB2312" w:cs="Calibri"/>
                            <w:b/>
                            <w:bCs/>
                            <w:color w:val="000000"/>
                            <w:sz w:val="14"/>
                            <w:szCs w:val="14"/>
                          </w:rPr>
                        </w:pPr>
                      </w:p>
                    </w:tc>
                    <w:tc>
                      <w:tcPr>
                        <w:tcW w:w="879" w:type="dxa"/>
                        <w:gridSpan w:val="2"/>
                        <w:vAlign w:val="center"/>
                      </w:tcPr>
                      <w:p w14:paraId="03930669">
                        <w:pPr>
                          <w:ind w:right="85" w:firstLine="85"/>
                          <w:jc w:val="right"/>
                          <w:rPr>
                            <w:rFonts w:eastAsia="楷体_GB2312" w:cs="Calibri"/>
                            <w:b/>
                            <w:bCs/>
                            <w:color w:val="000000"/>
                            <w:sz w:val="14"/>
                            <w:szCs w:val="14"/>
                          </w:rPr>
                        </w:pPr>
                      </w:p>
                    </w:tc>
                    <w:tc>
                      <w:tcPr>
                        <w:tcW w:w="870" w:type="dxa"/>
                        <w:gridSpan w:val="2"/>
                        <w:vAlign w:val="center"/>
                      </w:tcPr>
                      <w:p w14:paraId="3A69ABDB">
                        <w:pPr>
                          <w:ind w:right="85" w:firstLine="85"/>
                          <w:jc w:val="right"/>
                          <w:rPr>
                            <w:rFonts w:eastAsia="楷体_GB2312" w:cs="Calibri"/>
                            <w:b/>
                            <w:bCs/>
                            <w:color w:val="000000"/>
                            <w:sz w:val="14"/>
                            <w:szCs w:val="14"/>
                          </w:rPr>
                        </w:pPr>
                      </w:p>
                    </w:tc>
                    <w:tc>
                      <w:tcPr>
                        <w:tcW w:w="869" w:type="dxa"/>
                        <w:gridSpan w:val="2"/>
                        <w:vAlign w:val="center"/>
                      </w:tcPr>
                      <w:p w14:paraId="02F2D5DE">
                        <w:pPr>
                          <w:ind w:right="85" w:firstLine="85"/>
                          <w:jc w:val="right"/>
                          <w:rPr>
                            <w:rFonts w:eastAsia="楷体_GB2312" w:cs="Calibri"/>
                            <w:b/>
                            <w:bCs/>
                            <w:color w:val="000000"/>
                            <w:sz w:val="14"/>
                            <w:szCs w:val="14"/>
                          </w:rPr>
                        </w:pPr>
                      </w:p>
                    </w:tc>
                  </w:tr>
                  <w:tr w14:paraId="5C90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4E120E3C">
                        <w:pPr>
                          <w:adjustRightInd w:val="0"/>
                          <w:snapToGrid w:val="0"/>
                          <w:rPr>
                            <w:rFonts w:eastAsia="楷体_GB2312" w:cs="Calibri"/>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25B8E59F">
                        <w:pPr>
                          <w:adjustRightInd w:val="0"/>
                          <w:snapToGrid w:val="0"/>
                          <w:jc w:val="right"/>
                          <w:rPr>
                            <w:rFonts w:eastAsia="楷体_GB2312" w:cs="Calibri"/>
                            <w:color w:val="23558C"/>
                            <w:sz w:val="14"/>
                            <w:szCs w:val="14"/>
                            <w:lang w:eastAsia="zh-CN"/>
                          </w:rPr>
                        </w:pPr>
                        <w:r>
                          <w:rPr>
                            <w:rFonts w:ascii="Calibri" w:eastAsia="楷体_GB2312"/>
                            <w:b w:val="0"/>
                            <w:i w:val="0"/>
                            <w:color w:val="215E99"/>
                            <w:sz w:val="14"/>
                          </w:rPr>
                          <w:t>Dec-25A</w:t>
                        </w:r>
                      </w:p>
                    </w:tc>
                    <w:tc>
                      <w:tcPr>
                        <w:tcW w:w="853" w:type="dxa"/>
                        <w:gridSpan w:val="2"/>
                        <w:vAlign w:val="center"/>
                      </w:tcPr>
                      <w:p w14:paraId="414DC5BA">
                        <w:pPr>
                          <w:adjustRightInd w:val="0"/>
                          <w:snapToGrid w:val="0"/>
                          <w:jc w:val="right"/>
                          <w:rPr>
                            <w:rFonts w:eastAsia="楷体_GB2312" w:cs="Calibri"/>
                            <w:color w:val="23558C"/>
                            <w:sz w:val="14"/>
                            <w:szCs w:val="14"/>
                            <w:lang w:eastAsia="zh-CN"/>
                          </w:rPr>
                        </w:pPr>
                        <w:r>
                          <w:rPr>
                            <w:rFonts w:ascii="Calibri" w:eastAsia="楷体_GB2312"/>
                            <w:b w:val="0"/>
                            <w:i w:val="0"/>
                            <w:color w:val="215E99"/>
                            <w:sz w:val="14"/>
                          </w:rPr>
                          <w:t>Dec-26E</w:t>
                        </w:r>
                      </w:p>
                    </w:tc>
                    <w:tc>
                      <w:tcPr>
                        <w:tcW w:w="853" w:type="dxa"/>
                        <w:gridSpan w:val="2"/>
                        <w:vAlign w:val="center"/>
                      </w:tcPr>
                      <w:p w14:paraId="5FA7368D">
                        <w:pPr>
                          <w:adjustRightInd w:val="0"/>
                          <w:snapToGrid w:val="0"/>
                          <w:jc w:val="right"/>
                          <w:rPr>
                            <w:rFonts w:eastAsia="楷体_GB2312" w:cs="Calibri"/>
                            <w:color w:val="23558C"/>
                            <w:sz w:val="14"/>
                            <w:szCs w:val="14"/>
                            <w:lang w:eastAsia="zh-CN"/>
                          </w:rPr>
                        </w:pPr>
                        <w:r>
                          <w:rPr>
                            <w:rFonts w:ascii="Calibri" w:eastAsia="楷体_GB2312"/>
                            <w:b w:val="0"/>
                            <w:i w:val="0"/>
                            <w:color w:val="215E99"/>
                            <w:sz w:val="14"/>
                          </w:rPr>
                          <w:t>Dec-27E</w:t>
                        </w:r>
                      </w:p>
                    </w:tc>
                    <w:tc>
                      <w:tcPr>
                        <w:tcW w:w="854" w:type="dxa"/>
                        <w:vAlign w:val="center"/>
                      </w:tcPr>
                      <w:p w14:paraId="2CE4B217">
                        <w:pPr>
                          <w:adjustRightInd w:val="0"/>
                          <w:snapToGrid w:val="0"/>
                          <w:jc w:val="right"/>
                          <w:rPr>
                            <w:rFonts w:eastAsia="楷体_GB2312" w:cs="Calibri"/>
                            <w:color w:val="23558C"/>
                            <w:sz w:val="14"/>
                            <w:szCs w:val="14"/>
                            <w:lang w:eastAsia="zh-CN"/>
                          </w:rPr>
                        </w:pPr>
                        <w:r>
                          <w:rPr>
                            <w:rFonts w:ascii="Calibri" w:eastAsia="楷体_GB2312"/>
                            <w:b w:val="0"/>
                            <w:i w:val="0"/>
                            <w:color w:val="215E99"/>
                            <w:sz w:val="14"/>
                          </w:rPr>
                          <w:t>Dec-28E</w:t>
                        </w:r>
                      </w:p>
                    </w:tc>
                  </w:tr>
                  <w:tr w14:paraId="1A604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D1FB1EB">
                        <w:pPr>
                          <w:adjustRightInd w:val="0"/>
                          <w:snapToGrid w:val="0"/>
                          <w:rPr>
                            <w:rFonts w:eastAsia="楷体_GB2312" w:cs="Calibri"/>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03F95CA4">
                        <w:pPr>
                          <w:adjustRightInd w:val="0"/>
                          <w:snapToGrid w:val="0"/>
                          <w:jc w:val="right"/>
                          <w:rPr>
                            <w:rFonts w:eastAsia="楷体_GB2312" w:cs="Calibri"/>
                            <w:sz w:val="14"/>
                            <w:szCs w:val="14"/>
                            <w:lang w:eastAsia="zh-CN"/>
                          </w:rPr>
                        </w:pPr>
                        <w:r>
                          <w:rPr>
                            <w:rFonts w:ascii="Calibri" w:eastAsia="楷体_GB2312"/>
                            <w:b w:val="0"/>
                            <w:i w:val="0"/>
                            <w:color w:val="215E99"/>
                            <w:sz w:val="14"/>
                          </w:rPr>
                          <w:t>10,230</w:t>
                        </w:r>
                      </w:p>
                    </w:tc>
                    <w:tc>
                      <w:tcPr>
                        <w:tcW w:w="853" w:type="dxa"/>
                        <w:gridSpan w:val="2"/>
                        <w:vAlign w:val="center"/>
                      </w:tcPr>
                      <w:p w14:paraId="1063B202">
                        <w:pPr>
                          <w:jc w:val="right"/>
                          <w:rPr>
                            <w:rFonts w:eastAsia="楷体_GB2312" w:cs="Calibri"/>
                            <w:sz w:val="14"/>
                            <w:szCs w:val="14"/>
                          </w:rPr>
                        </w:pPr>
                        <w:r>
                          <w:rPr>
                            <w:rFonts w:ascii="Calibri" w:eastAsia="楷体_GB2312"/>
                            <w:b w:val="0"/>
                            <w:i w:val="0"/>
                            <w:color w:val="215E99"/>
                            <w:sz w:val="14"/>
                          </w:rPr>
                          <w:t>13,540</w:t>
                        </w:r>
                      </w:p>
                    </w:tc>
                    <w:tc>
                      <w:tcPr>
                        <w:tcW w:w="853" w:type="dxa"/>
                        <w:gridSpan w:val="2"/>
                        <w:vAlign w:val="center"/>
                      </w:tcPr>
                      <w:p w14:paraId="5BB0B391">
                        <w:pPr>
                          <w:jc w:val="right"/>
                          <w:rPr>
                            <w:rFonts w:eastAsia="楷体_GB2312" w:cs="Calibri"/>
                            <w:sz w:val="14"/>
                            <w:szCs w:val="14"/>
                          </w:rPr>
                        </w:pPr>
                        <w:r>
                          <w:rPr>
                            <w:rFonts w:ascii="Calibri" w:eastAsia="楷体_GB2312"/>
                            <w:b w:val="0"/>
                            <w:i w:val="0"/>
                            <w:color w:val="215E99"/>
                            <w:sz w:val="14"/>
                          </w:rPr>
                          <w:t>18,375</w:t>
                        </w:r>
                      </w:p>
                    </w:tc>
                    <w:tc>
                      <w:tcPr>
                        <w:tcW w:w="854" w:type="dxa"/>
                        <w:vAlign w:val="center"/>
                      </w:tcPr>
                      <w:p w14:paraId="24E5AE66">
                        <w:pPr>
                          <w:jc w:val="right"/>
                          <w:rPr>
                            <w:rFonts w:eastAsia="楷体_GB2312" w:cs="Calibri"/>
                            <w:sz w:val="14"/>
                            <w:szCs w:val="14"/>
                          </w:rPr>
                        </w:pPr>
                        <w:r>
                          <w:rPr>
                            <w:rFonts w:ascii="Calibri" w:eastAsia="楷体_GB2312"/>
                            <w:b w:val="0"/>
                            <w:i w:val="0"/>
                            <w:color w:val="215E99"/>
                            <w:sz w:val="14"/>
                          </w:rPr>
                          <w:t>21,813</w:t>
                        </w:r>
                      </w:p>
                    </w:tc>
                  </w:tr>
                  <w:tr w14:paraId="0531E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AB857F5">
                        <w:pPr>
                          <w:adjustRightInd w:val="0"/>
                          <w:snapToGrid w:val="0"/>
                          <w:rPr>
                            <w:rFonts w:eastAsia="楷体_GB2312" w:cs="Calibri"/>
                            <w:color w:val="23558C"/>
                            <w:sz w:val="14"/>
                            <w:szCs w:val="14"/>
                            <w:lang w:eastAsia="zh-CN"/>
                          </w:rPr>
                        </w:pPr>
                        <w:r>
                          <w:rPr>
                            <w:rFonts w:ascii="Calibri" w:eastAsia="楷体_GB2312"/>
                            <w:b w:val="0"/>
                            <w:i w:val="0"/>
                            <w:color w:val="215E99"/>
                            <w:sz w:val="14"/>
                          </w:rPr>
                          <w:t>（+/-）</w:t>
                        </w:r>
                      </w:p>
                    </w:tc>
                    <w:tc>
                      <w:tcPr>
                        <w:tcW w:w="853" w:type="dxa"/>
                        <w:gridSpan w:val="2"/>
                        <w:vAlign w:val="center"/>
                      </w:tcPr>
                      <w:p w14:paraId="0D135847">
                        <w:pPr>
                          <w:adjustRightInd w:val="0"/>
                          <w:snapToGrid w:val="0"/>
                          <w:jc w:val="right"/>
                          <w:rPr>
                            <w:rFonts w:eastAsia="楷体_GB2312" w:cs="Calibri"/>
                            <w:sz w:val="14"/>
                            <w:szCs w:val="14"/>
                            <w:lang w:eastAsia="zh-CN"/>
                          </w:rPr>
                        </w:pPr>
                        <w:r>
                          <w:rPr>
                            <w:rFonts w:ascii="Calibri" w:eastAsia="楷体_GB2312"/>
                            <w:b w:val="0"/>
                            <w:i w:val="0"/>
                            <w:color w:val="215E99"/>
                            <w:sz w:val="14"/>
                          </w:rPr>
                          <w:t>27.69%</w:t>
                        </w:r>
                      </w:p>
                    </w:tc>
                    <w:tc>
                      <w:tcPr>
                        <w:tcW w:w="853" w:type="dxa"/>
                        <w:gridSpan w:val="2"/>
                        <w:vAlign w:val="center"/>
                      </w:tcPr>
                      <w:p w14:paraId="3A2E6273">
                        <w:pPr>
                          <w:jc w:val="right"/>
                          <w:rPr>
                            <w:rFonts w:eastAsia="楷体_GB2312" w:cs="Calibri"/>
                            <w:sz w:val="14"/>
                            <w:szCs w:val="14"/>
                          </w:rPr>
                        </w:pPr>
                        <w:r>
                          <w:rPr>
                            <w:rFonts w:ascii="Calibri" w:eastAsia="楷体_GB2312"/>
                            <w:b w:val="0"/>
                            <w:i w:val="0"/>
                            <w:color w:val="215E99"/>
                            <w:sz w:val="14"/>
                          </w:rPr>
                          <w:t>32.36%</w:t>
                        </w:r>
                      </w:p>
                    </w:tc>
                    <w:tc>
                      <w:tcPr>
                        <w:tcW w:w="853" w:type="dxa"/>
                        <w:gridSpan w:val="2"/>
                        <w:vAlign w:val="center"/>
                      </w:tcPr>
                      <w:p w14:paraId="2083BAA2">
                        <w:pPr>
                          <w:jc w:val="right"/>
                          <w:rPr>
                            <w:rFonts w:eastAsia="楷体_GB2312" w:cs="Calibri"/>
                            <w:sz w:val="14"/>
                            <w:szCs w:val="14"/>
                          </w:rPr>
                        </w:pPr>
                        <w:r>
                          <w:rPr>
                            <w:rFonts w:ascii="Calibri" w:eastAsia="楷体_GB2312"/>
                            <w:b w:val="0"/>
                            <w:i w:val="0"/>
                            <w:color w:val="215E99"/>
                            <w:sz w:val="14"/>
                          </w:rPr>
                          <w:t>35.71%</w:t>
                        </w:r>
                      </w:p>
                    </w:tc>
                    <w:tc>
                      <w:tcPr>
                        <w:tcW w:w="854" w:type="dxa"/>
                        <w:vAlign w:val="center"/>
                      </w:tcPr>
                      <w:p w14:paraId="789B9F0E">
                        <w:pPr>
                          <w:jc w:val="right"/>
                          <w:rPr>
                            <w:rFonts w:eastAsia="楷体_GB2312" w:cs="Calibri"/>
                            <w:sz w:val="14"/>
                            <w:szCs w:val="14"/>
                          </w:rPr>
                        </w:pPr>
                        <w:r>
                          <w:rPr>
                            <w:rFonts w:ascii="Calibri" w:eastAsia="楷体_GB2312"/>
                            <w:b w:val="0"/>
                            <w:i w:val="0"/>
                            <w:color w:val="215E99"/>
                            <w:sz w:val="14"/>
                          </w:rPr>
                          <w:t>18.71%</w:t>
                        </w:r>
                      </w:p>
                    </w:tc>
                  </w:tr>
                  <w:tr w14:paraId="2A4F7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5FF277E">
                        <w:pPr>
                          <w:adjustRightInd w:val="0"/>
                          <w:snapToGrid w:val="0"/>
                          <w:rPr>
                            <w:rFonts w:eastAsia="楷体_GB2312" w:cs="Calibri"/>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089AEBF0">
                        <w:pPr>
                          <w:adjustRightInd w:val="0"/>
                          <w:snapToGrid w:val="0"/>
                          <w:jc w:val="right"/>
                          <w:rPr>
                            <w:rFonts w:eastAsia="楷体_GB2312" w:cs="Calibri"/>
                            <w:sz w:val="14"/>
                            <w:szCs w:val="14"/>
                            <w:lang w:eastAsia="zh-CN"/>
                          </w:rPr>
                        </w:pPr>
                        <w:r>
                          <w:rPr>
                            <w:rFonts w:ascii="Calibri" w:eastAsia="楷体_GB2312"/>
                            <w:b w:val="0"/>
                            <w:i w:val="0"/>
                            <w:color w:val="215E99"/>
                            <w:sz w:val="14"/>
                          </w:rPr>
                          <w:t>1,640</w:t>
                        </w:r>
                      </w:p>
                    </w:tc>
                    <w:tc>
                      <w:tcPr>
                        <w:tcW w:w="853" w:type="dxa"/>
                        <w:gridSpan w:val="2"/>
                        <w:vAlign w:val="center"/>
                      </w:tcPr>
                      <w:p w14:paraId="3A59FD87">
                        <w:pPr>
                          <w:jc w:val="right"/>
                          <w:rPr>
                            <w:rFonts w:eastAsia="楷体_GB2312" w:cs="Calibri"/>
                            <w:sz w:val="14"/>
                            <w:szCs w:val="14"/>
                          </w:rPr>
                        </w:pPr>
                        <w:r>
                          <w:rPr>
                            <w:rFonts w:ascii="Calibri" w:eastAsia="楷体_GB2312"/>
                            <w:b w:val="0"/>
                            <w:i w:val="0"/>
                            <w:color w:val="215E99"/>
                            <w:sz w:val="14"/>
                          </w:rPr>
                          <w:t>2,378</w:t>
                        </w:r>
                      </w:p>
                    </w:tc>
                    <w:tc>
                      <w:tcPr>
                        <w:tcW w:w="853" w:type="dxa"/>
                        <w:gridSpan w:val="2"/>
                        <w:vAlign w:val="center"/>
                      </w:tcPr>
                      <w:p w14:paraId="295FE562">
                        <w:pPr>
                          <w:jc w:val="right"/>
                          <w:rPr>
                            <w:rFonts w:eastAsia="楷体_GB2312" w:cs="Calibri"/>
                            <w:sz w:val="14"/>
                            <w:szCs w:val="14"/>
                          </w:rPr>
                        </w:pPr>
                        <w:r>
                          <w:rPr>
                            <w:rFonts w:ascii="Calibri" w:eastAsia="楷体_GB2312"/>
                            <w:b w:val="0"/>
                            <w:i w:val="0"/>
                            <w:color w:val="215E99"/>
                            <w:sz w:val="14"/>
                          </w:rPr>
                          <w:t>3,517</w:t>
                        </w:r>
                      </w:p>
                    </w:tc>
                    <w:tc>
                      <w:tcPr>
                        <w:tcW w:w="854" w:type="dxa"/>
                        <w:vAlign w:val="center"/>
                      </w:tcPr>
                      <w:p w14:paraId="5EEFA310">
                        <w:pPr>
                          <w:jc w:val="right"/>
                          <w:rPr>
                            <w:rFonts w:eastAsia="楷体_GB2312" w:cs="Calibri"/>
                            <w:sz w:val="14"/>
                            <w:szCs w:val="14"/>
                          </w:rPr>
                        </w:pPr>
                        <w:r>
                          <w:rPr>
                            <w:rFonts w:ascii="Calibri" w:eastAsia="楷体_GB2312"/>
                            <w:b w:val="0"/>
                            <w:i w:val="0"/>
                            <w:color w:val="215E99"/>
                            <w:sz w:val="14"/>
                          </w:rPr>
                          <w:t>4,208</w:t>
                        </w:r>
                      </w:p>
                    </w:tc>
                  </w:tr>
                  <w:tr w14:paraId="62CF0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6314EB6">
                        <w:pPr>
                          <w:adjustRightInd w:val="0"/>
                          <w:snapToGrid w:val="0"/>
                          <w:rPr>
                            <w:rFonts w:eastAsia="楷体_GB2312" w:cs="Calibri"/>
                            <w:color w:val="23558C"/>
                            <w:sz w:val="14"/>
                            <w:szCs w:val="14"/>
                            <w:lang w:eastAsia="zh-CN"/>
                          </w:rPr>
                        </w:pPr>
                        <w:r>
                          <w:rPr>
                            <w:rFonts w:ascii="Calibri" w:eastAsia="楷体_GB2312"/>
                            <w:b w:val="0"/>
                            <w:i w:val="0"/>
                            <w:color w:val="215E99"/>
                            <w:sz w:val="14"/>
                          </w:rPr>
                          <w:t>（+/-）</w:t>
                        </w:r>
                      </w:p>
                    </w:tc>
                    <w:tc>
                      <w:tcPr>
                        <w:tcW w:w="853" w:type="dxa"/>
                        <w:gridSpan w:val="2"/>
                        <w:vAlign w:val="center"/>
                      </w:tcPr>
                      <w:p w14:paraId="6CA5688B">
                        <w:pPr>
                          <w:adjustRightInd w:val="0"/>
                          <w:snapToGrid w:val="0"/>
                          <w:jc w:val="right"/>
                          <w:rPr>
                            <w:rFonts w:eastAsia="楷体_GB2312" w:cs="Calibri"/>
                            <w:sz w:val="14"/>
                            <w:szCs w:val="14"/>
                            <w:lang w:eastAsia="zh-CN"/>
                          </w:rPr>
                        </w:pPr>
                        <w:r>
                          <w:rPr>
                            <w:rFonts w:ascii="Calibri" w:eastAsia="楷体_GB2312"/>
                            <w:b w:val="0"/>
                            <w:i w:val="0"/>
                            <w:color w:val="215E99"/>
                            <w:sz w:val="14"/>
                          </w:rPr>
                          <w:t>49%</w:t>
                        </w:r>
                      </w:p>
                    </w:tc>
                    <w:tc>
                      <w:tcPr>
                        <w:tcW w:w="853" w:type="dxa"/>
                        <w:gridSpan w:val="2"/>
                        <w:vAlign w:val="center"/>
                      </w:tcPr>
                      <w:p w14:paraId="20A880D4">
                        <w:pPr>
                          <w:jc w:val="right"/>
                          <w:rPr>
                            <w:rFonts w:eastAsia="楷体_GB2312" w:cs="Calibri"/>
                            <w:sz w:val="14"/>
                            <w:szCs w:val="14"/>
                          </w:rPr>
                        </w:pPr>
                        <w:r>
                          <w:rPr>
                            <w:rFonts w:ascii="Calibri" w:eastAsia="楷体_GB2312"/>
                            <w:b w:val="0"/>
                            <w:i w:val="0"/>
                            <w:color w:val="215E99"/>
                            <w:sz w:val="14"/>
                          </w:rPr>
                          <w:t>851%</w:t>
                        </w:r>
                      </w:p>
                    </w:tc>
                    <w:tc>
                      <w:tcPr>
                        <w:tcW w:w="853" w:type="dxa"/>
                        <w:gridSpan w:val="2"/>
                        <w:vAlign w:val="center"/>
                      </w:tcPr>
                      <w:p w14:paraId="7B6300E1">
                        <w:pPr>
                          <w:jc w:val="right"/>
                          <w:rPr>
                            <w:rFonts w:eastAsia="楷体_GB2312" w:cs="Calibri"/>
                            <w:sz w:val="14"/>
                            <w:szCs w:val="14"/>
                          </w:rPr>
                        </w:pPr>
                        <w:r>
                          <w:rPr>
                            <w:rFonts w:ascii="Calibri" w:eastAsia="楷体_GB2312"/>
                            <w:b w:val="0"/>
                            <w:i w:val="0"/>
                            <w:color w:val="215E99"/>
                            <w:sz w:val="14"/>
                          </w:rPr>
                          <w:t>848%</w:t>
                        </w:r>
                      </w:p>
                    </w:tc>
                    <w:tc>
                      <w:tcPr>
                        <w:tcW w:w="854" w:type="dxa"/>
                        <w:vAlign w:val="center"/>
                      </w:tcPr>
                      <w:p w14:paraId="2025BCF7">
                        <w:pPr>
                          <w:jc w:val="right"/>
                          <w:rPr>
                            <w:rFonts w:eastAsia="楷体_GB2312" w:cs="Calibri"/>
                            <w:sz w:val="14"/>
                            <w:szCs w:val="14"/>
                          </w:rPr>
                        </w:pPr>
                        <w:r>
                          <w:rPr>
                            <w:rFonts w:ascii="Calibri" w:eastAsia="楷体_GB2312"/>
                            <w:b w:val="0"/>
                            <w:i w:val="0"/>
                            <w:color w:val="215E99"/>
                            <w:sz w:val="14"/>
                          </w:rPr>
                          <w:t>767%</w:t>
                        </w:r>
                      </w:p>
                    </w:tc>
                  </w:tr>
                  <w:tr w14:paraId="4D8F6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A815C83">
                        <w:pPr>
                          <w:adjustRightInd w:val="0"/>
                          <w:snapToGrid w:val="0"/>
                          <w:rPr>
                            <w:rFonts w:eastAsia="楷体_GB2312" w:cs="Calibri"/>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0FC6ECAD">
                        <w:pPr>
                          <w:adjustRightInd w:val="0"/>
                          <w:snapToGrid w:val="0"/>
                          <w:jc w:val="right"/>
                          <w:rPr>
                            <w:rFonts w:eastAsia="楷体_GB2312" w:cs="Calibri"/>
                            <w:sz w:val="14"/>
                            <w:szCs w:val="14"/>
                            <w:lang w:eastAsia="zh-CN"/>
                          </w:rPr>
                        </w:pPr>
                        <w:r>
                          <w:rPr>
                            <w:rFonts w:ascii="Calibri" w:eastAsia="楷体_GB2312"/>
                            <w:b w:val="0"/>
                            <w:i w:val="0"/>
                            <w:color w:val="215E99"/>
                            <w:sz w:val="14"/>
                          </w:rPr>
                          <w:t>4.20</w:t>
                        </w:r>
                      </w:p>
                    </w:tc>
                    <w:tc>
                      <w:tcPr>
                        <w:tcW w:w="853" w:type="dxa"/>
                        <w:gridSpan w:val="2"/>
                        <w:vAlign w:val="center"/>
                      </w:tcPr>
                      <w:p w14:paraId="5D726F94">
                        <w:pPr>
                          <w:jc w:val="right"/>
                          <w:rPr>
                            <w:rFonts w:eastAsia="楷体_GB2312" w:cs="Calibri"/>
                            <w:sz w:val="14"/>
                            <w:szCs w:val="14"/>
                          </w:rPr>
                        </w:pPr>
                        <w:r>
                          <w:rPr>
                            <w:rFonts w:ascii="Calibri" w:eastAsia="楷体_GB2312"/>
                            <w:b w:val="0"/>
                            <w:i w:val="0"/>
                            <w:color w:val="215E99"/>
                            <w:sz w:val="14"/>
                          </w:rPr>
                          <w:t>6.06</w:t>
                        </w:r>
                      </w:p>
                    </w:tc>
                    <w:tc>
                      <w:tcPr>
                        <w:tcW w:w="853" w:type="dxa"/>
                        <w:gridSpan w:val="2"/>
                        <w:vAlign w:val="center"/>
                      </w:tcPr>
                      <w:p w14:paraId="0A2F6C97">
                        <w:pPr>
                          <w:jc w:val="right"/>
                          <w:rPr>
                            <w:rFonts w:eastAsia="楷体_GB2312" w:cs="Calibri"/>
                            <w:sz w:val="14"/>
                            <w:szCs w:val="14"/>
                          </w:rPr>
                        </w:pPr>
                        <w:r>
                          <w:rPr>
                            <w:rFonts w:ascii="Calibri" w:eastAsia="楷体_GB2312"/>
                            <w:b w:val="0"/>
                            <w:i w:val="0"/>
                            <w:color w:val="215E99"/>
                            <w:sz w:val="14"/>
                          </w:rPr>
                          <w:t>9.04</w:t>
                        </w:r>
                      </w:p>
                    </w:tc>
                    <w:tc>
                      <w:tcPr>
                        <w:tcW w:w="854" w:type="dxa"/>
                        <w:vAlign w:val="center"/>
                      </w:tcPr>
                      <w:p w14:paraId="58659EF1">
                        <w:pPr>
                          <w:jc w:val="right"/>
                          <w:rPr>
                            <w:rFonts w:eastAsia="楷体_GB2312" w:cs="Calibri"/>
                            <w:sz w:val="14"/>
                            <w:szCs w:val="14"/>
                          </w:rPr>
                        </w:pPr>
                        <w:r>
                          <w:rPr>
                            <w:rFonts w:ascii="Calibri" w:eastAsia="楷体_GB2312"/>
                            <w:b w:val="0"/>
                            <w:i w:val="0"/>
                            <w:color w:val="215E99"/>
                            <w:sz w:val="14"/>
                          </w:rPr>
                          <w:t>10.95</w:t>
                        </w:r>
                      </w:p>
                    </w:tc>
                  </w:tr>
                  <w:tr w14:paraId="663F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12F494B">
                        <w:pPr>
                          <w:adjustRightInd w:val="0"/>
                          <w:snapToGrid w:val="0"/>
                          <w:rPr>
                            <w:rFonts w:eastAsia="楷体_GB2312" w:cs="Calibri"/>
                            <w:color w:val="23558C"/>
                            <w:sz w:val="14"/>
                            <w:szCs w:val="14"/>
                            <w:lang w:eastAsia="zh-CN"/>
                          </w:rPr>
                        </w:pPr>
                        <w:r>
                          <w:rPr>
                            <w:rFonts w:ascii="Calibri" w:eastAsia="楷体_GB2312"/>
                            <w:b w:val="0"/>
                            <w:i w:val="0"/>
                            <w:color w:val="215E99"/>
                            <w:sz w:val="14"/>
                          </w:rPr>
                          <w:t>GPM</w:t>
                        </w:r>
                      </w:p>
                    </w:tc>
                    <w:tc>
                      <w:tcPr>
                        <w:tcW w:w="853" w:type="dxa"/>
                        <w:gridSpan w:val="2"/>
                        <w:vAlign w:val="center"/>
                      </w:tcPr>
                      <w:p w14:paraId="5E1B8CCC">
                        <w:pPr>
                          <w:adjustRightInd w:val="0"/>
                          <w:snapToGrid w:val="0"/>
                          <w:jc w:val="right"/>
                          <w:rPr>
                            <w:rFonts w:eastAsia="楷体_GB2312" w:cs="Calibri"/>
                            <w:sz w:val="14"/>
                            <w:szCs w:val="14"/>
                            <w:lang w:eastAsia="zh-CN"/>
                          </w:rPr>
                        </w:pPr>
                        <w:r>
                          <w:rPr>
                            <w:rFonts w:ascii="Calibri" w:eastAsia="楷体_GB2312"/>
                            <w:b w:val="0"/>
                            <w:i w:val="0"/>
                            <w:color w:val="215E99"/>
                            <w:sz w:val="14"/>
                          </w:rPr>
                          <w:t>36.3%</w:t>
                        </w:r>
                      </w:p>
                    </w:tc>
                    <w:tc>
                      <w:tcPr>
                        <w:tcW w:w="853" w:type="dxa"/>
                        <w:gridSpan w:val="2"/>
                        <w:vAlign w:val="center"/>
                      </w:tcPr>
                      <w:p w14:paraId="61F5640B">
                        <w:pPr>
                          <w:jc w:val="right"/>
                          <w:rPr>
                            <w:rFonts w:eastAsia="楷体_GB2312" w:cs="Calibri"/>
                            <w:sz w:val="14"/>
                            <w:szCs w:val="14"/>
                          </w:rPr>
                        </w:pPr>
                        <w:r>
                          <w:rPr>
                            <w:rFonts w:ascii="Calibri" w:eastAsia="楷体_GB2312"/>
                            <w:b w:val="0"/>
                            <w:i w:val="0"/>
                            <w:color w:val="215E99"/>
                            <w:sz w:val="14"/>
                          </w:rPr>
                          <w:t>36.3%</w:t>
                        </w:r>
                      </w:p>
                    </w:tc>
                    <w:tc>
                      <w:tcPr>
                        <w:tcW w:w="853" w:type="dxa"/>
                        <w:gridSpan w:val="2"/>
                        <w:vAlign w:val="center"/>
                      </w:tcPr>
                      <w:p w14:paraId="1E0BF674">
                        <w:pPr>
                          <w:jc w:val="right"/>
                          <w:rPr>
                            <w:rFonts w:eastAsia="楷体_GB2312" w:cs="Calibri"/>
                            <w:sz w:val="14"/>
                            <w:szCs w:val="14"/>
                          </w:rPr>
                        </w:pPr>
                        <w:r>
                          <w:rPr>
                            <w:rFonts w:ascii="Calibri" w:eastAsia="楷体_GB2312"/>
                            <w:b w:val="0"/>
                            <w:i w:val="0"/>
                            <w:color w:val="215E99"/>
                            <w:sz w:val="14"/>
                          </w:rPr>
                          <w:t>39.0%</w:t>
                        </w:r>
                      </w:p>
                    </w:tc>
                    <w:tc>
                      <w:tcPr>
                        <w:tcW w:w="854" w:type="dxa"/>
                        <w:vAlign w:val="center"/>
                      </w:tcPr>
                      <w:p w14:paraId="4BFA8EAA">
                        <w:pPr>
                          <w:jc w:val="right"/>
                          <w:rPr>
                            <w:rFonts w:eastAsia="楷体_GB2312" w:cs="Calibri"/>
                            <w:sz w:val="14"/>
                            <w:szCs w:val="14"/>
                          </w:rPr>
                        </w:pPr>
                        <w:r>
                          <w:rPr>
                            <w:rFonts w:ascii="Calibri" w:eastAsia="楷体_GB2312"/>
                            <w:b w:val="0"/>
                            <w:i w:val="0"/>
                            <w:color w:val="215E99"/>
                            <w:sz w:val="14"/>
                          </w:rPr>
                          <w:t>39.0%</w:t>
                        </w:r>
                      </w:p>
                    </w:tc>
                  </w:tr>
                  <w:tr w14:paraId="5544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F024C75">
                        <w:pPr>
                          <w:adjustRightInd w:val="0"/>
                          <w:snapToGrid w:val="0"/>
                          <w:rPr>
                            <w:rFonts w:eastAsia="楷体_GB2312" w:cs="Calibri"/>
                            <w:color w:val="23558C"/>
                            <w:sz w:val="14"/>
                            <w:szCs w:val="14"/>
                            <w:lang w:eastAsia="zh-CN"/>
                          </w:rPr>
                        </w:pPr>
                        <w:r>
                          <w:rPr>
                            <w:rFonts w:ascii="Calibri" w:eastAsia="楷体_GB2312"/>
                            <w:b w:val="0"/>
                            <w:i w:val="0"/>
                            <w:color w:val="215E99"/>
                            <w:sz w:val="14"/>
                          </w:rPr>
                          <w:t>ROE</w:t>
                        </w:r>
                      </w:p>
                    </w:tc>
                    <w:tc>
                      <w:tcPr>
                        <w:tcW w:w="853" w:type="dxa"/>
                        <w:gridSpan w:val="2"/>
                        <w:vAlign w:val="center"/>
                      </w:tcPr>
                      <w:p w14:paraId="563C06E2">
                        <w:pPr>
                          <w:jc w:val="right"/>
                          <w:rPr>
                            <w:rFonts w:eastAsia="楷体_GB2312" w:cs="Calibri"/>
                            <w:sz w:val="14"/>
                            <w:szCs w:val="14"/>
                          </w:rPr>
                        </w:pPr>
                        <w:r>
                          <w:rPr>
                            <w:rFonts w:ascii="Calibri" w:eastAsia="楷体_GB2312"/>
                            <w:b w:val="0"/>
                            <w:i w:val="0"/>
                            <w:color w:val="215E99"/>
                            <w:sz w:val="14"/>
                          </w:rPr>
                          <w:t>41.6%</w:t>
                        </w:r>
                      </w:p>
                    </w:tc>
                    <w:tc>
                      <w:tcPr>
                        <w:tcW w:w="853" w:type="dxa"/>
                        <w:gridSpan w:val="2"/>
                        <w:vAlign w:val="center"/>
                      </w:tcPr>
                      <w:p w14:paraId="57E0F8E5">
                        <w:pPr>
                          <w:jc w:val="right"/>
                          <w:rPr>
                            <w:rFonts w:eastAsia="楷体_GB2312" w:cs="Calibri"/>
                            <w:sz w:val="14"/>
                            <w:szCs w:val="14"/>
                          </w:rPr>
                        </w:pPr>
                        <w:r>
                          <w:rPr>
                            <w:rFonts w:ascii="Calibri" w:eastAsia="楷体_GB2312"/>
                            <w:b w:val="0"/>
                            <w:i w:val="0"/>
                            <w:color w:val="215E99"/>
                            <w:sz w:val="14"/>
                          </w:rPr>
                          <w:t>39.8%</w:t>
                        </w:r>
                      </w:p>
                    </w:tc>
                    <w:tc>
                      <w:tcPr>
                        <w:tcW w:w="853" w:type="dxa"/>
                        <w:gridSpan w:val="2"/>
                        <w:vAlign w:val="center"/>
                      </w:tcPr>
                      <w:p w14:paraId="6CB95F80">
                        <w:pPr>
                          <w:jc w:val="right"/>
                          <w:rPr>
                            <w:rFonts w:eastAsia="楷体_GB2312" w:cs="Calibri"/>
                            <w:sz w:val="14"/>
                            <w:szCs w:val="14"/>
                          </w:rPr>
                        </w:pPr>
                        <w:r>
                          <w:rPr>
                            <w:rFonts w:ascii="Calibri" w:eastAsia="楷体_GB2312"/>
                            <w:b w:val="0"/>
                            <w:i w:val="0"/>
                            <w:color w:val="215E99"/>
                            <w:sz w:val="14"/>
                          </w:rPr>
                          <w:t>38.5%</w:t>
                        </w:r>
                      </w:p>
                    </w:tc>
                    <w:tc>
                      <w:tcPr>
                        <w:tcW w:w="854" w:type="dxa"/>
                        <w:vAlign w:val="center"/>
                      </w:tcPr>
                      <w:p w14:paraId="1E91AA70">
                        <w:pPr>
                          <w:jc w:val="right"/>
                          <w:rPr>
                            <w:rFonts w:eastAsia="楷体_GB2312" w:cs="Calibri"/>
                            <w:sz w:val="14"/>
                            <w:szCs w:val="14"/>
                          </w:rPr>
                        </w:pPr>
                        <w:r>
                          <w:rPr>
                            <w:rFonts w:ascii="Calibri" w:eastAsia="楷体_GB2312"/>
                            <w:b w:val="0"/>
                            <w:i w:val="0"/>
                            <w:color w:val="215E99"/>
                            <w:sz w:val="14"/>
                          </w:rPr>
                          <w:t>32.4%</w:t>
                        </w:r>
                      </w:p>
                    </w:tc>
                  </w:tr>
                  <w:tr w14:paraId="04F34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70E978D">
                        <w:pPr>
                          <w:adjustRightInd w:val="0"/>
                          <w:snapToGrid w:val="0"/>
                          <w:rPr>
                            <w:rFonts w:eastAsia="楷体_GB2312" w:cs="Calibri"/>
                            <w:color w:val="23558C"/>
                            <w:sz w:val="14"/>
                            <w:szCs w:val="14"/>
                            <w:lang w:eastAsia="zh-CN"/>
                          </w:rPr>
                        </w:pPr>
                        <w:r>
                          <w:rPr>
                            <w:rFonts w:ascii="Calibri" w:eastAsia="楷体_GB2312"/>
                            <w:b w:val="0"/>
                            <w:i w:val="0"/>
                            <w:color w:val="215E99"/>
                            <w:sz w:val="14"/>
                          </w:rPr>
                          <w:t>P/E</w:t>
                        </w:r>
                      </w:p>
                    </w:tc>
                    <w:tc>
                      <w:tcPr>
                        <w:tcW w:w="853" w:type="dxa"/>
                        <w:gridSpan w:val="2"/>
                        <w:vAlign w:val="center"/>
                      </w:tcPr>
                      <w:p w14:paraId="45D8C43B">
                        <w:pPr>
                          <w:jc w:val="right"/>
                          <w:rPr>
                            <w:rFonts w:eastAsia="楷体_GB2312" w:cs="Calibri"/>
                            <w:sz w:val="14"/>
                            <w:szCs w:val="14"/>
                          </w:rPr>
                        </w:pPr>
                        <w:r>
                          <w:rPr>
                            <w:rFonts w:ascii="Calibri" w:eastAsia="楷体_GB2312"/>
                            <w:b w:val="0"/>
                            <w:i w:val="0"/>
                            <w:color w:val="215E99"/>
                            <w:sz w:val="14"/>
                          </w:rPr>
                          <w:t>58</w:t>
                        </w:r>
                      </w:p>
                    </w:tc>
                    <w:tc>
                      <w:tcPr>
                        <w:tcW w:w="853" w:type="dxa"/>
                        <w:gridSpan w:val="2"/>
                        <w:vAlign w:val="center"/>
                      </w:tcPr>
                      <w:p w14:paraId="27ECD444">
                        <w:pPr>
                          <w:jc w:val="right"/>
                          <w:rPr>
                            <w:rFonts w:eastAsia="楷体_GB2312" w:cs="Calibri"/>
                            <w:sz w:val="14"/>
                            <w:szCs w:val="14"/>
                          </w:rPr>
                        </w:pPr>
                        <w:r>
                          <w:rPr>
                            <w:rFonts w:ascii="Calibri" w:eastAsia="楷体_GB2312"/>
                            <w:b w:val="0"/>
                            <w:i w:val="0"/>
                            <w:color w:val="215E99"/>
                            <w:sz w:val="14"/>
                          </w:rPr>
                          <w:t>40</w:t>
                        </w:r>
                      </w:p>
                    </w:tc>
                    <w:tc>
                      <w:tcPr>
                        <w:tcW w:w="853" w:type="dxa"/>
                        <w:gridSpan w:val="2"/>
                        <w:vAlign w:val="center"/>
                      </w:tcPr>
                      <w:p w14:paraId="4397FD75">
                        <w:pPr>
                          <w:jc w:val="right"/>
                          <w:rPr>
                            <w:rFonts w:eastAsia="楷体_GB2312" w:cs="Calibri"/>
                            <w:sz w:val="14"/>
                            <w:szCs w:val="14"/>
                          </w:rPr>
                        </w:pPr>
                        <w:r>
                          <w:rPr>
                            <w:rFonts w:ascii="Calibri" w:eastAsia="楷体_GB2312"/>
                            <w:b w:val="0"/>
                            <w:i w:val="0"/>
                            <w:color w:val="215E99"/>
                            <w:sz w:val="14"/>
                          </w:rPr>
                          <w:t>27</w:t>
                        </w:r>
                      </w:p>
                    </w:tc>
                    <w:tc>
                      <w:tcPr>
                        <w:tcW w:w="854" w:type="dxa"/>
                        <w:vAlign w:val="center"/>
                      </w:tcPr>
                      <w:p w14:paraId="38E359A8">
                        <w:pPr>
                          <w:jc w:val="right"/>
                          <w:rPr>
                            <w:rFonts w:eastAsia="楷体_GB2312" w:cs="Calibri"/>
                            <w:sz w:val="14"/>
                            <w:szCs w:val="14"/>
                          </w:rPr>
                        </w:pPr>
                        <w:r>
                          <w:rPr>
                            <w:rFonts w:ascii="Calibri" w:eastAsia="楷体_GB2312"/>
                            <w:b w:val="0"/>
                            <w:i w:val="0"/>
                            <w:color w:val="215E99"/>
                            <w:sz w:val="14"/>
                          </w:rPr>
                          <w:t>22</w:t>
                        </w:r>
                      </w:p>
                    </w:tc>
                  </w:tr>
                </w:tbl>
                <w:p w14:paraId="041BAE17">
                  <w:pPr>
                    <w:ind w:right="85" w:firstLine="85"/>
                    <w:rPr>
                      <w:rFonts w:eastAsia="楷体_GB2312" w:cs="Calibri"/>
                    </w:rPr>
                  </w:pPr>
                </w:p>
              </w:tc>
            </w:tr>
            <w:tr w14:paraId="0539409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4E35E905">
                  <w:pPr>
                    <w:ind w:firstLine="85"/>
                    <w:rPr>
                      <w:rFonts w:eastAsia="楷体_GB2312" w:cs="Calibri"/>
                      <w:i/>
                      <w:iCs/>
                      <w:color w:val="000000"/>
                      <w:sz w:val="12"/>
                      <w:lang w:eastAsia="zh-CN"/>
                    </w:rPr>
                  </w:pPr>
                  <w:r>
                    <w:rPr>
                      <w:rFonts w:ascii="Calibri" w:eastAsia="楷体_GB2312"/>
                      <w:b w:val="0"/>
                      <w:i/>
                      <w:color w:val="000000"/>
                      <w:sz w:val="12"/>
                    </w:rPr>
                    <w:t>Source: Company data, HFI</w:t>
                  </w:r>
                </w:p>
              </w:tc>
            </w:tr>
          </w:tbl>
          <w:p w14:paraId="00704158">
            <w:pPr>
              <w:pStyle w:val="27"/>
              <w:framePr w:wrap="auto" w:vAnchor="margin" w:hAnchor="text" w:xAlign="left" w:yAlign="inline"/>
              <w:jc w:val="left"/>
              <w:rPr>
                <w:rFonts w:eastAsia="楷体_GB2312" w:cs="Calibri"/>
              </w:rPr>
            </w:pPr>
          </w:p>
        </w:tc>
        <w:tc>
          <w:tcPr>
            <w:tcW w:w="6061" w:type="dxa"/>
            <w:gridSpan w:val="4"/>
            <w:tcMar>
              <w:left w:w="85" w:type="dxa"/>
            </w:tcMar>
          </w:tcPr>
          <w:p w14:paraId="3A5487C4">
            <w:pPr>
              <w:pStyle w:val="92"/>
              <w:jc w:val="both"/>
              <w:rPr>
                <w:rFonts w:hint="eastAsia" w:eastAsia="楷体_GB2312" w:cs="Calibri"/>
                <w:b/>
                <w:bCs/>
                <w:color w:val="23558C"/>
                <w:kern w:val="28"/>
                <w:lang w:val="en-US" w:eastAsia="zh-CN"/>
              </w:rPr>
            </w:pPr>
            <w:r>
              <w:rPr>
                <w:rFonts w:eastAsia="楷体_GB2312" w:cs="Calibri"/>
                <w:b/>
                <w:bCs/>
                <w:color w:val="23558C"/>
                <w:kern w:val="28"/>
                <w:lang w:eastAsia="zh-CN"/>
              </w:rPr>
              <w:t>Vertiv Holdings co. is a global leader in</w:t>
            </w:r>
            <w:r>
              <w:rPr>
                <w:rFonts w:hint="eastAsia" w:eastAsia="楷体_GB2312" w:cs="Calibri"/>
                <w:b/>
                <w:bCs/>
                <w:color w:val="23558C"/>
                <w:kern w:val="28"/>
                <w:lang w:eastAsia="zh-CN"/>
              </w:rPr>
              <w:t xml:space="preserve"> the</w:t>
            </w:r>
            <w:r>
              <w:rPr>
                <w:rFonts w:eastAsia="楷体_GB2312" w:cs="Calibri"/>
                <w:b/>
                <w:bCs/>
                <w:color w:val="23558C"/>
                <w:kern w:val="28"/>
                <w:lang w:eastAsia="zh-CN"/>
              </w:rPr>
              <w:t xml:space="preserve"> critical digital infrastructure</w:t>
            </w:r>
            <w:r>
              <w:rPr>
                <w:rFonts w:hint="eastAsia" w:eastAsia="楷体_GB2312" w:cs="Calibri"/>
                <w:b/>
                <w:bCs/>
                <w:color w:val="23558C"/>
                <w:kern w:val="28"/>
                <w:lang w:eastAsia="zh-CN"/>
              </w:rPr>
              <w:t xml:space="preserve">. </w:t>
            </w:r>
            <w:r>
              <w:rPr>
                <w:rFonts w:hint="eastAsia" w:ascii="Calibri" w:hAnsi="Calibri" w:eastAsia="楷体_GB2312" w:cs="Calibri"/>
                <w:snapToGrid/>
                <w:szCs w:val="20"/>
                <w:lang w:val="en-US" w:eastAsia="zh-CN" w:bidi="ar-SA"/>
              </w:rPr>
              <w:t xml:space="preserve">The company designs, manufactures, sells, installs, maintains, and services critical digital infrastructure technologies and rapidly deployable customized solutions to meet the specific business requirements and needs of </w:t>
            </w:r>
            <w:r>
              <w:rPr>
                <w:rFonts w:ascii="Calibri" w:hAnsi="Calibri" w:eastAsia="楷体_GB2312" w:cs="Calibri"/>
                <w:snapToGrid/>
                <w:szCs w:val="20"/>
                <w:lang w:val="en-US" w:eastAsia="zh-CN" w:bidi="ar-SA"/>
              </w:rPr>
              <w:t>data centers, communication networks, and commercial and industrial environments.</w:t>
            </w:r>
            <w:r>
              <w:rPr>
                <w:rFonts w:hint="eastAsia" w:ascii="Calibri" w:hAnsi="Calibri" w:eastAsia="楷体_GB2312" w:cs="Calibri"/>
                <w:snapToGrid/>
                <w:szCs w:val="20"/>
                <w:lang w:val="en-US" w:eastAsia="zh-CN" w:bidi="ar-SA"/>
              </w:rPr>
              <w:t xml:space="preserve"> The principal offerings of Vertiv include Products, especially of critical power and thermal managemet, and Services &amp; spares. Vertiv</w:t>
            </w:r>
            <w:r>
              <w:rPr>
                <w:rFonts w:hint="default" w:ascii="Calibri" w:hAnsi="Calibri" w:eastAsia="楷体_GB2312" w:cs="Calibri"/>
                <w:snapToGrid/>
                <w:szCs w:val="20"/>
                <w:lang w:val="en-US" w:eastAsia="zh-CN" w:bidi="ar-SA"/>
              </w:rPr>
              <w:t>’</w:t>
            </w:r>
            <w:r>
              <w:rPr>
                <w:rFonts w:hint="eastAsia" w:ascii="Calibri" w:hAnsi="Calibri" w:eastAsia="楷体_GB2312" w:cs="Calibri"/>
                <w:snapToGrid/>
                <w:szCs w:val="20"/>
                <w:lang w:val="en-US" w:eastAsia="zh-CN" w:bidi="ar-SA"/>
              </w:rPr>
              <w:t>s full-year 2025 results show a company successfully scaling its operations to meet the unprecedented demand of the AI era. While top-line growth was substantial, the most significant narrative was the company's ability to maintain and expand its profitability despite regional volatility and supply chain complexities.</w:t>
            </w:r>
          </w:p>
          <w:p w14:paraId="23E3B6A8">
            <w:pPr>
              <w:pStyle w:val="92"/>
              <w:jc w:val="both"/>
              <w:rPr>
                <w:rFonts w:hint="eastAsia" w:eastAsia="楷体_GB2312" w:cs="Calibri"/>
                <w:b/>
                <w:bCs/>
                <w:color w:val="23558C"/>
                <w:kern w:val="28"/>
                <w:lang w:val="en-US" w:eastAsia="zh-CN"/>
              </w:rPr>
            </w:pPr>
            <w:r>
              <w:rPr>
                <w:rFonts w:hint="eastAsia" w:eastAsia="楷体_GB2312" w:cs="Calibri"/>
                <w:b/>
                <w:bCs/>
                <w:color w:val="23558C"/>
                <w:kern w:val="28"/>
                <w:lang w:val="en-US" w:eastAsia="zh-CN"/>
              </w:rPr>
              <w:t>T</w:t>
            </w:r>
            <w:r>
              <w:rPr>
                <w:rFonts w:hint="default" w:eastAsia="楷体_GB2312" w:cs="Calibri"/>
                <w:b/>
                <w:bCs/>
                <w:color w:val="23558C"/>
                <w:kern w:val="28"/>
                <w:lang w:val="en-US" w:eastAsia="zh-CN"/>
              </w:rPr>
              <w:t>he data center market is still considered to be in the early stages of a long-term construction cycle driven by AI.</w:t>
            </w:r>
            <w:r>
              <w:rPr>
                <w:rFonts w:hint="eastAsia" w:eastAsia="楷体_GB2312" w:cs="Calibri"/>
                <w:b/>
                <w:bCs/>
                <w:color w:val="23558C"/>
                <w:kern w:val="28"/>
                <w:lang w:val="en-US" w:eastAsia="zh-CN"/>
              </w:rPr>
              <w:t xml:space="preserve"> </w:t>
            </w:r>
            <w:r>
              <w:rPr>
                <w:rFonts w:hint="default" w:ascii="Calibri" w:hAnsi="Calibri" w:eastAsia="楷体_GB2312" w:cs="Calibri"/>
                <w:snapToGrid/>
                <w:szCs w:val="20"/>
                <w:lang w:val="en-US" w:eastAsia="zh-CN" w:bidi="ar-SA"/>
              </w:rPr>
              <w:t xml:space="preserve">While the data center construction boom is dramatically increasing demand for IT equipment, it is also driving proportional growth in supporting non-IT infrastructure. </w:t>
            </w:r>
            <w:r>
              <w:rPr>
                <w:rFonts w:hint="eastAsia" w:ascii="Calibri" w:hAnsi="Calibri" w:eastAsia="楷体_GB2312" w:cs="Calibri"/>
                <w:snapToGrid/>
                <w:szCs w:val="20"/>
                <w:lang w:val="en-US" w:eastAsia="zh-CN" w:bidi="ar-SA"/>
              </w:rPr>
              <w:t>Vertiv serves as a</w:t>
            </w:r>
            <w:r>
              <w:rPr>
                <w:rFonts w:hint="default" w:ascii="Calibri" w:hAnsi="Calibri" w:eastAsia="楷体_GB2312" w:cs="Calibri"/>
                <w:snapToGrid/>
                <w:szCs w:val="20"/>
                <w:lang w:val="en-US" w:eastAsia="zh-CN" w:bidi="ar-SA"/>
              </w:rPr>
              <w:t xml:space="preserve"> near pure play on powering up and cooling down AI Data Center</w:t>
            </w:r>
            <w:r>
              <w:rPr>
                <w:rFonts w:hint="eastAsia" w:ascii="Calibri" w:hAnsi="Calibri" w:eastAsia="楷体_GB2312" w:cs="Calibri"/>
                <w:snapToGrid/>
                <w:szCs w:val="20"/>
                <w:lang w:val="en-US" w:eastAsia="zh-CN" w:bidi="ar-SA"/>
              </w:rPr>
              <w:t>.</w:t>
            </w:r>
          </w:p>
          <w:p w14:paraId="1F9E4ED8">
            <w:pPr>
              <w:pStyle w:val="92"/>
              <w:jc w:val="both"/>
              <w:rPr>
                <w:rFonts w:hint="eastAsia" w:eastAsia="楷体_GB2312" w:cs="Calibri"/>
                <w:snapToGrid/>
                <w:szCs w:val="20"/>
                <w:lang w:val="en-US" w:eastAsia="zh-CN" w:bidi="ar-SA"/>
              </w:rPr>
            </w:pPr>
            <w:r>
              <w:rPr>
                <w:rFonts w:hint="eastAsia" w:eastAsia="楷体_GB2312" w:cs="Calibri"/>
                <w:b/>
                <w:bCs/>
                <w:color w:val="23558C"/>
                <w:kern w:val="28"/>
                <w:lang w:val="en-US" w:eastAsia="zh-CN"/>
              </w:rPr>
              <w:t>T</w:t>
            </w:r>
            <w:r>
              <w:rPr>
                <w:rFonts w:hint="default" w:eastAsia="楷体_GB2312" w:cs="Calibri"/>
                <w:b/>
                <w:bCs/>
                <w:color w:val="23558C"/>
                <w:kern w:val="28"/>
                <w:lang w:val="en-US" w:eastAsia="zh-CN"/>
              </w:rPr>
              <w:t xml:space="preserve">he fast-growing power density of AIDCs </w:t>
            </w:r>
            <w:r>
              <w:rPr>
                <w:rFonts w:hint="eastAsia" w:eastAsia="楷体_GB2312" w:cs="Calibri"/>
                <w:b/>
                <w:bCs/>
                <w:color w:val="23558C"/>
                <w:kern w:val="28"/>
                <w:lang w:val="en-US" w:eastAsia="zh-CN"/>
              </w:rPr>
              <w:t xml:space="preserve">and redundancy </w:t>
            </w:r>
            <w:r>
              <w:rPr>
                <w:rFonts w:hint="default" w:eastAsia="楷体_GB2312" w:cs="Calibri"/>
                <w:b/>
                <w:bCs/>
                <w:color w:val="23558C"/>
                <w:kern w:val="28"/>
                <w:lang w:val="en-US" w:eastAsia="zh-CN"/>
              </w:rPr>
              <w:t xml:space="preserve">has brought increasing demand for power supply systems, </w:t>
            </w:r>
            <w:r>
              <w:rPr>
                <w:rFonts w:hint="default" w:ascii="Calibri" w:hAnsi="Calibri" w:eastAsia="楷体_GB2312" w:cs="Calibri"/>
                <w:snapToGrid/>
                <w:szCs w:val="20"/>
                <w:lang w:val="en-US" w:eastAsia="zh-CN" w:bidi="ar-SA"/>
              </w:rPr>
              <w:t>requiring higher capacity switchgear, power distribution, UPS systems, and standby power to serve as a robust backbone for the entire power train.</w:t>
            </w:r>
            <w:r>
              <w:rPr>
                <w:rFonts w:hint="eastAsia" w:ascii="Calibri" w:hAnsi="Calibri" w:eastAsia="楷体_GB2312" w:cs="Calibri"/>
                <w:snapToGrid/>
                <w:szCs w:val="20"/>
                <w:lang w:val="en-US" w:eastAsia="zh-CN" w:bidi="ar-SA"/>
              </w:rPr>
              <w:t xml:space="preserve"> Vertiv occupies a preeminent position within this high-growth sector by offering a uniquely holistic power architecture.</w:t>
            </w:r>
            <w:r>
              <w:rPr>
                <w:rFonts w:hint="eastAsia" w:eastAsia="楷体_GB2312" w:cs="Calibri"/>
                <w:snapToGrid/>
                <w:szCs w:val="20"/>
                <w:lang w:val="en-US" w:eastAsia="zh-CN" w:bidi="ar-SA"/>
              </w:rPr>
              <w:t xml:space="preserve"> </w:t>
            </w:r>
          </w:p>
          <w:p w14:paraId="7F2D2045">
            <w:pPr>
              <w:pStyle w:val="92"/>
              <w:jc w:val="both"/>
              <w:rPr>
                <w:rFonts w:eastAsia="楷体_GB2312" w:cs="Calibri"/>
                <w:b/>
                <w:bCs/>
                <w:color w:val="23558C"/>
                <w:kern w:val="28"/>
                <w:lang w:eastAsia="zh-CN"/>
              </w:rPr>
            </w:pPr>
            <w:r>
              <w:rPr>
                <w:rFonts w:hint="eastAsia" w:eastAsia="楷体_GB2312" w:cs="Calibri"/>
                <w:b/>
                <w:bCs/>
                <w:color w:val="23558C"/>
                <w:kern w:val="28"/>
                <w:lang w:val="en-US" w:eastAsia="zh-CN"/>
              </w:rPr>
              <w:t>Meanwhile, t</w:t>
            </w:r>
            <w:r>
              <w:rPr>
                <w:rFonts w:hint="default" w:eastAsia="楷体_GB2312" w:cs="Calibri"/>
                <w:b/>
                <w:bCs/>
                <w:color w:val="23558C"/>
                <w:kern w:val="28"/>
                <w:lang w:val="en-US" w:eastAsia="zh-CN"/>
              </w:rPr>
              <w:t>he densification of AI server clusters is forcing an evolution from air-cooled to liquid-cooled to address increasing power requirements.</w:t>
            </w:r>
            <w:r>
              <w:rPr>
                <w:rFonts w:hint="eastAsia" w:eastAsia="楷体_GB2312" w:cs="Calibri"/>
                <w:b/>
                <w:bCs/>
                <w:color w:val="23558C"/>
                <w:kern w:val="28"/>
                <w:lang w:val="en-US" w:eastAsia="zh-CN"/>
              </w:rPr>
              <w:t xml:space="preserve"> </w:t>
            </w:r>
            <w:r>
              <w:rPr>
                <w:rFonts w:hint="default" w:ascii="Calibri" w:hAnsi="Calibri" w:eastAsia="楷体_GB2312" w:cs="Calibri"/>
                <w:snapToGrid/>
                <w:szCs w:val="20"/>
                <w:lang w:val="en-US" w:eastAsia="zh-CN" w:bidi="ar-SA"/>
              </w:rPr>
              <w:t xml:space="preserve">Vertiv distinguishes itself in this evolving landscape through its unmatched ability to provide comprehensive, end-to-end thermal management ecosystems that bridge the gap between air and liquid cooling. </w:t>
            </w:r>
            <w:r>
              <w:rPr>
                <w:rFonts w:hint="eastAsia" w:ascii="Calibri" w:hAnsi="Calibri" w:eastAsia="楷体_GB2312" w:cs="Calibri"/>
                <w:snapToGrid/>
                <w:szCs w:val="20"/>
                <w:lang w:val="en-US" w:eastAsia="zh-CN" w:bidi="ar-SA"/>
              </w:rPr>
              <w:t>We believe, Vertiv will continue to lead through its full expertise in data center power and cooling infrastructure and strategic partnership with key clients</w:t>
            </w:r>
            <w:r>
              <w:rPr>
                <w:rFonts w:hint="eastAsia" w:eastAsia="楷体_GB2312" w:cs="Calibri"/>
                <w:snapToGrid/>
                <w:szCs w:val="20"/>
                <w:lang w:val="en-US" w:eastAsia="zh-CN" w:bidi="ar-SA"/>
              </w:rPr>
              <w:t xml:space="preserve"> like NVIDIA in the future</w:t>
            </w:r>
            <w:r>
              <w:rPr>
                <w:rFonts w:hint="eastAsia" w:ascii="Calibri" w:hAnsi="Calibri" w:eastAsia="楷体_GB2312" w:cs="Calibri"/>
                <w:snapToGrid/>
                <w:szCs w:val="20"/>
                <w:lang w:val="en-US" w:eastAsia="zh-CN" w:bidi="ar-SA"/>
              </w:rPr>
              <w:t xml:space="preserve">.  </w:t>
            </w:r>
          </w:p>
          <w:p w14:paraId="57ABCE30">
            <w:pPr>
              <w:pStyle w:val="92"/>
              <w:jc w:val="both"/>
              <w:rPr>
                <w:rFonts w:eastAsia="楷体_GB2312" w:cs="Calibri"/>
                <w:b/>
                <w:bCs/>
                <w:color w:val="A7242B"/>
                <w:kern w:val="28"/>
                <w:sz w:val="2"/>
                <w:szCs w:val="2"/>
                <w:lang w:eastAsia="zh-CN"/>
              </w:rPr>
            </w:pPr>
          </w:p>
          <w:p w14:paraId="7511DDD4">
            <w:pPr>
              <w:pStyle w:val="92"/>
              <w:jc w:val="both"/>
              <w:rPr>
                <w:rFonts w:eastAsia="楷体_GB2312" w:cs="Calibri"/>
                <w:b/>
                <w:bCs/>
                <w:color w:val="23558C"/>
                <w:kern w:val="28"/>
                <w:sz w:val="22"/>
                <w:szCs w:val="22"/>
              </w:rPr>
            </w:pPr>
            <w:r>
              <w:rPr>
                <w:rFonts w:eastAsia="楷体_GB2312" w:cs="Calibri"/>
                <w:b/>
                <w:bCs/>
                <w:color w:val="23558C"/>
                <w:kern w:val="28"/>
                <w:sz w:val="22"/>
                <w:szCs w:val="22"/>
              </w:rPr>
              <w:t>Valuation&amp; recommendation</w:t>
            </w:r>
          </w:p>
          <w:p w14:paraId="787EBC33">
            <w:pPr>
              <w:pStyle w:val="23"/>
              <w:jc w:val="both"/>
              <w:rPr>
                <w:rFonts w:eastAsia="楷体_GB2312" w:cs="Calibri"/>
                <w:snapToGrid/>
                <w:szCs w:val="20"/>
                <w:lang w:eastAsia="zh-CN"/>
              </w:rPr>
            </w:pPr>
            <w:r>
              <w:rPr>
                <w:rFonts w:eastAsia="楷体_GB2312" w:cs="Calibri"/>
                <w:snapToGrid/>
                <w:szCs w:val="20"/>
                <w:lang w:val="en-US" w:eastAsia="zh-CN"/>
              </w:rPr>
              <w:t xml:space="preserve">We estimate that revenue of </w:t>
            </w:r>
            <w:r>
              <w:rPr>
                <w:rFonts w:hint="eastAsia" w:eastAsia="楷体_GB2312" w:cs="Calibri"/>
                <w:snapToGrid/>
                <w:szCs w:val="20"/>
                <w:lang w:val="en-US" w:eastAsia="zh-CN"/>
              </w:rPr>
              <w:t xml:space="preserve">Vertiv </w:t>
            </w:r>
            <w:r>
              <w:rPr>
                <w:rFonts w:eastAsia="楷体_GB2312" w:cs="Calibri"/>
                <w:snapToGrid/>
                <w:szCs w:val="20"/>
                <w:lang w:val="en-US" w:eastAsia="zh-CN"/>
              </w:rPr>
              <w:t>from year 202</w:t>
            </w:r>
            <w:r>
              <w:rPr>
                <w:rFonts w:hint="eastAsia" w:eastAsia="楷体_GB2312" w:cs="Calibri"/>
                <w:snapToGrid/>
                <w:szCs w:val="20"/>
                <w:lang w:val="en-US" w:eastAsia="zh-CN"/>
              </w:rPr>
              <w:t>6</w:t>
            </w:r>
            <w:r>
              <w:rPr>
                <w:rFonts w:eastAsia="楷体_GB2312" w:cs="Calibri"/>
                <w:snapToGrid/>
                <w:szCs w:val="20"/>
                <w:lang w:val="en-US" w:eastAsia="zh-CN"/>
              </w:rPr>
              <w:t xml:space="preserve"> to 2028 will be $</w:t>
            </w:r>
            <w:r>
              <w:rPr>
                <w:rFonts w:hint="eastAsia" w:eastAsia="楷体_GB2312" w:cs="Calibri"/>
                <w:snapToGrid/>
                <w:szCs w:val="20"/>
                <w:lang w:val="en-US" w:eastAsia="zh-CN"/>
              </w:rPr>
              <w:t>13</w:t>
            </w:r>
            <w:r>
              <w:rPr>
                <w:rFonts w:hint="default" w:eastAsia="楷体_GB2312" w:cs="Calibri"/>
                <w:snapToGrid/>
                <w:szCs w:val="20"/>
                <w:lang w:val="en-US" w:eastAsia="zh-CN"/>
              </w:rPr>
              <w:t>,5</w:t>
            </w:r>
            <w:r>
              <w:rPr>
                <w:rFonts w:hint="eastAsia" w:eastAsia="楷体_GB2312" w:cs="Calibri"/>
                <w:snapToGrid/>
                <w:szCs w:val="20"/>
                <w:lang w:val="en-US" w:eastAsia="zh-CN"/>
              </w:rPr>
              <w:t>40</w:t>
            </w:r>
            <w:r>
              <w:rPr>
                <w:rFonts w:hint="default" w:eastAsia="楷体_GB2312" w:cs="Calibri"/>
                <w:snapToGrid/>
                <w:szCs w:val="20"/>
                <w:lang w:val="en-US" w:eastAsia="zh-CN"/>
              </w:rPr>
              <w:t xml:space="preserve"> / </w:t>
            </w:r>
            <w:r>
              <w:rPr>
                <w:rFonts w:hint="eastAsia" w:eastAsia="楷体_GB2312" w:cs="Calibri"/>
                <w:snapToGrid/>
                <w:szCs w:val="20"/>
                <w:lang w:val="en-US" w:eastAsia="zh-CN"/>
              </w:rPr>
              <w:t>18,375</w:t>
            </w:r>
            <w:r>
              <w:rPr>
                <w:rFonts w:hint="default" w:eastAsia="楷体_GB2312" w:cs="Calibri"/>
                <w:snapToGrid/>
                <w:szCs w:val="20"/>
                <w:lang w:val="en-US" w:eastAsia="zh-CN"/>
              </w:rPr>
              <w:t>/</w:t>
            </w:r>
            <w:r>
              <w:rPr>
                <w:rFonts w:hint="eastAsia" w:eastAsia="楷体_GB2312" w:cs="Calibri"/>
                <w:snapToGrid/>
                <w:szCs w:val="20"/>
                <w:lang w:val="en-US" w:eastAsia="zh-CN"/>
              </w:rPr>
              <w:t xml:space="preserve"> 21,813 m</w:t>
            </w:r>
            <w:r>
              <w:rPr>
                <w:rFonts w:hint="default" w:eastAsia="楷体_GB2312" w:cs="Calibri"/>
                <w:snapToGrid/>
                <w:szCs w:val="20"/>
                <w:lang w:val="en-US" w:eastAsia="zh-CN"/>
              </w:rPr>
              <w:t xml:space="preserve">illion, with the net profit of $ </w:t>
            </w:r>
            <w:r>
              <w:rPr>
                <w:rFonts w:hint="eastAsia" w:eastAsia="楷体_GB2312" w:cs="Calibri"/>
                <w:snapToGrid/>
                <w:szCs w:val="20"/>
                <w:lang w:val="en-US" w:eastAsia="zh-CN"/>
              </w:rPr>
              <w:t>2</w:t>
            </w:r>
            <w:r>
              <w:rPr>
                <w:rFonts w:hint="default" w:eastAsia="楷体_GB2312" w:cs="Calibri"/>
                <w:snapToGrid/>
                <w:szCs w:val="20"/>
                <w:lang w:val="en-US" w:eastAsia="zh-CN"/>
              </w:rPr>
              <w:t>,</w:t>
            </w:r>
            <w:r>
              <w:rPr>
                <w:rFonts w:hint="eastAsia" w:eastAsia="楷体_GB2312" w:cs="Calibri"/>
                <w:snapToGrid/>
                <w:szCs w:val="20"/>
                <w:lang w:val="en-US" w:eastAsia="zh-CN"/>
              </w:rPr>
              <w:t>380</w:t>
            </w:r>
            <w:r>
              <w:rPr>
                <w:rFonts w:hint="default" w:eastAsia="楷体_GB2312" w:cs="Calibri"/>
                <w:snapToGrid/>
                <w:szCs w:val="20"/>
                <w:lang w:val="en-US" w:eastAsia="zh-CN"/>
              </w:rPr>
              <w:t xml:space="preserve">/ </w:t>
            </w:r>
            <w:r>
              <w:rPr>
                <w:rFonts w:hint="eastAsia" w:eastAsia="楷体_GB2312" w:cs="Calibri"/>
                <w:snapToGrid/>
                <w:szCs w:val="20"/>
                <w:lang w:val="en-US" w:eastAsia="zh-CN"/>
              </w:rPr>
              <w:t>3</w:t>
            </w:r>
            <w:r>
              <w:rPr>
                <w:rFonts w:hint="default" w:eastAsia="楷体_GB2312" w:cs="Calibri"/>
                <w:snapToGrid/>
                <w:szCs w:val="20"/>
                <w:lang w:val="en-US" w:eastAsia="zh-CN"/>
              </w:rPr>
              <w:t>,</w:t>
            </w:r>
            <w:r>
              <w:rPr>
                <w:rFonts w:hint="eastAsia" w:eastAsia="楷体_GB2312" w:cs="Calibri"/>
                <w:snapToGrid/>
                <w:szCs w:val="20"/>
                <w:lang w:val="en-US" w:eastAsia="zh-CN"/>
              </w:rPr>
              <w:t>57</w:t>
            </w:r>
            <w:r>
              <w:rPr>
                <w:rFonts w:hint="default" w:eastAsia="楷体_GB2312" w:cs="Calibri"/>
                <w:snapToGrid/>
                <w:szCs w:val="20"/>
                <w:lang w:val="en-US" w:eastAsia="zh-CN"/>
              </w:rPr>
              <w:t xml:space="preserve">0/ </w:t>
            </w:r>
            <w:r>
              <w:rPr>
                <w:rFonts w:hint="eastAsia" w:eastAsia="楷体_GB2312" w:cs="Calibri"/>
                <w:snapToGrid/>
                <w:szCs w:val="20"/>
                <w:lang w:val="en-US" w:eastAsia="zh-CN"/>
              </w:rPr>
              <w:t>4</w:t>
            </w:r>
            <w:r>
              <w:rPr>
                <w:rFonts w:hint="default" w:eastAsia="楷体_GB2312" w:cs="Calibri"/>
                <w:snapToGrid/>
                <w:szCs w:val="20"/>
                <w:lang w:val="en-US" w:eastAsia="zh-CN"/>
              </w:rPr>
              <w:t>,</w:t>
            </w:r>
            <w:r>
              <w:rPr>
                <w:rFonts w:hint="eastAsia" w:eastAsia="楷体_GB2312" w:cs="Calibri"/>
                <w:snapToGrid/>
                <w:szCs w:val="20"/>
                <w:lang w:val="en-US" w:eastAsia="zh-CN"/>
              </w:rPr>
              <w:t xml:space="preserve">208 </w:t>
            </w:r>
            <w:r>
              <w:rPr>
                <w:rFonts w:hint="default" w:eastAsia="楷体_GB2312" w:cs="Calibri"/>
                <w:snapToGrid/>
                <w:szCs w:val="20"/>
                <w:lang w:val="en-US" w:eastAsia="zh-CN"/>
              </w:rPr>
              <w:t xml:space="preserve">million. Based on the DCF valuation model, our target price of </w:t>
            </w:r>
            <w:r>
              <w:rPr>
                <w:rFonts w:hint="eastAsia" w:eastAsia="楷体_GB2312" w:cs="Calibri"/>
                <w:snapToGrid/>
                <w:szCs w:val="20"/>
                <w:lang w:val="en-US" w:eastAsia="zh-CN"/>
              </w:rPr>
              <w:t>Vertiv</w:t>
            </w:r>
            <w:r>
              <w:rPr>
                <w:rFonts w:hint="default" w:eastAsia="楷体_GB2312" w:cs="Calibri"/>
                <w:snapToGrid/>
                <w:szCs w:val="20"/>
                <w:lang w:val="en-US" w:eastAsia="zh-CN"/>
              </w:rPr>
              <w:t xml:space="preserve"> is $ </w:t>
            </w:r>
            <w:r>
              <w:rPr>
                <w:rFonts w:hint="eastAsia" w:eastAsia="楷体_GB2312" w:cs="Calibri"/>
                <w:snapToGrid/>
                <w:szCs w:val="20"/>
                <w:lang w:val="en-US" w:eastAsia="zh-CN"/>
              </w:rPr>
              <w:t>279.97</w:t>
            </w:r>
            <w:r>
              <w:rPr>
                <w:rFonts w:hint="default" w:eastAsia="楷体_GB2312" w:cs="Calibri"/>
                <w:snapToGrid/>
                <w:szCs w:val="20"/>
                <w:lang w:val="en-US" w:eastAsia="zh-CN"/>
              </w:rPr>
              <w:t>, we initiate coverage on the stock with “Outperform”.</w:t>
            </w:r>
          </w:p>
          <w:p w14:paraId="1C399DF1">
            <w:pPr>
              <w:pStyle w:val="23"/>
              <w:jc w:val="both"/>
              <w:rPr>
                <w:rFonts w:eastAsia="楷体_GB2312" w:cs="Calibri"/>
                <w:snapToGrid/>
                <w:szCs w:val="20"/>
              </w:rPr>
            </w:pPr>
          </w:p>
          <w:p w14:paraId="696CD9CD">
            <w:pPr>
              <w:pStyle w:val="92"/>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Risks</w:t>
            </w:r>
          </w:p>
          <w:p w14:paraId="0FEC709B">
            <w:pPr>
              <w:pStyle w:val="75"/>
              <w:jc w:val="both"/>
              <w:rPr>
                <w:rFonts w:eastAsia="楷体_GB2312" w:cs="Calibri"/>
                <w:bCs/>
                <w:kern w:val="28"/>
              </w:rPr>
            </w:pPr>
            <w:r>
              <w:rPr>
                <w:rFonts w:hint="eastAsia" w:eastAsia="楷体_GB2312" w:cs="Calibri"/>
                <w:sz w:val="20"/>
                <w:szCs w:val="20"/>
                <w:lang w:val="en-US" w:eastAsia="zh-CN"/>
              </w:rPr>
              <w:t>S</w:t>
            </w:r>
            <w:r>
              <w:rPr>
                <w:rFonts w:eastAsia="楷体_GB2312" w:cs="Calibri"/>
                <w:sz w:val="20"/>
                <w:szCs w:val="20"/>
                <w:lang w:val="en-US" w:eastAsia="zh-CN"/>
              </w:rPr>
              <w:t xml:space="preserve">lowing growth and </w:t>
            </w:r>
            <w:r>
              <w:rPr>
                <w:rFonts w:hint="default" w:eastAsia="楷体_GB2312" w:cs="Calibri"/>
                <w:sz w:val="20"/>
                <w:szCs w:val="20"/>
                <w:lang w:val="en-US" w:eastAsia="zh-CN"/>
              </w:rPr>
              <w:t>misexecution</w:t>
            </w:r>
            <w:r>
              <w:rPr>
                <w:rFonts w:hint="eastAsia" w:eastAsia="楷体_GB2312" w:cs="Calibri"/>
                <w:sz w:val="20"/>
                <w:szCs w:val="20"/>
                <w:lang w:val="en-US" w:eastAsia="zh-CN"/>
              </w:rPr>
              <w:t>;</w:t>
            </w:r>
            <w:r>
              <w:rPr>
                <w:rFonts w:hint="default" w:eastAsia="楷体_GB2312" w:cs="Calibri"/>
                <w:sz w:val="20"/>
                <w:szCs w:val="20"/>
                <w:lang w:val="en-US" w:eastAsia="zh-CN"/>
              </w:rPr>
              <w:t xml:space="preserve"> </w:t>
            </w:r>
            <w:r>
              <w:rPr>
                <w:rFonts w:hint="eastAsia" w:eastAsia="楷体_GB2312" w:cs="Calibri"/>
                <w:sz w:val="20"/>
                <w:szCs w:val="20"/>
                <w:lang w:val="en-US" w:eastAsia="zh-CN"/>
              </w:rPr>
              <w:t>S</w:t>
            </w:r>
            <w:r>
              <w:rPr>
                <w:rFonts w:hint="default" w:eastAsia="楷体_GB2312" w:cs="Calibri"/>
                <w:sz w:val="20"/>
                <w:szCs w:val="20"/>
                <w:lang w:val="en-US" w:eastAsia="zh-CN"/>
              </w:rPr>
              <w:t>lowing demand activity in data center</w:t>
            </w:r>
            <w:r>
              <w:rPr>
                <w:rFonts w:hint="eastAsia" w:eastAsia="楷体_GB2312" w:cs="Calibri"/>
                <w:sz w:val="20"/>
                <w:szCs w:val="20"/>
                <w:lang w:val="en-US" w:eastAsia="zh-CN"/>
              </w:rPr>
              <w:t>; Continued trade tensions and shifting U.S. tariff policies; Technological Obsolescence.</w:t>
            </w:r>
          </w:p>
        </w:tc>
      </w:tr>
      <w:tr w14:paraId="76ED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6D830520">
            <w:pPr>
              <w:pStyle w:val="92"/>
              <w:spacing w:after="0"/>
              <w:jc w:val="both"/>
              <w:rPr>
                <w:rFonts w:eastAsia="楷体_GB2312" w:cs="Calibri"/>
                <w:bCs/>
                <w:kern w:val="28"/>
                <w:lang w:eastAsia="zh-CN"/>
              </w:rPr>
            </w:pPr>
          </w:p>
          <w:tbl>
            <w:tblPr>
              <w:tblStyle w:val="15"/>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79BB4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56689961">
                  <w:pPr>
                    <w:pStyle w:val="5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c>
                <w:tcPr>
                  <w:tcW w:w="2551" w:type="dxa"/>
                </w:tcPr>
                <w:p w14:paraId="05D108B7">
                  <w:pPr>
                    <w:pStyle w:val="55"/>
                    <w:framePr w:wrap="auto" w:vAnchor="margin" w:hAnchor="text" w:yAlign="inline"/>
                    <w:rPr>
                      <w:rFonts w:eastAsia="楷体_GB2312" w:cs="Calibri"/>
                      <w:color w:val="FFFFFF" w:themeColor="background1"/>
                      <w14:textFill>
                        <w14:solidFill>
                          <w14:schemeClr w14:val="bg1"/>
                        </w14:solidFill>
                      </w14:textFill>
                    </w:rPr>
                  </w:pPr>
                </w:p>
              </w:tc>
              <w:tc>
                <w:tcPr>
                  <w:tcW w:w="2693" w:type="dxa"/>
                </w:tcPr>
                <w:p w14:paraId="3F480C3A">
                  <w:pPr>
                    <w:pStyle w:val="55"/>
                    <w:framePr w:wrap="auto" w:vAnchor="margin" w:hAnchor="text" w:yAlign="inline"/>
                    <w:rPr>
                      <w:rFonts w:eastAsia="楷体_GB2312" w:cs="Calibri"/>
                      <w:color w:val="FFFFFF" w:themeColor="background1"/>
                      <w14:textFill>
                        <w14:solidFill>
                          <w14:schemeClr w14:val="bg1"/>
                        </w14:solidFill>
                      </w14:textFill>
                    </w:rPr>
                  </w:pPr>
                </w:p>
              </w:tc>
              <w:tc>
                <w:tcPr>
                  <w:tcW w:w="2694" w:type="dxa"/>
                </w:tcPr>
                <w:p w14:paraId="4A09EC4E">
                  <w:pPr>
                    <w:pStyle w:val="55"/>
                    <w:framePr w:wrap="auto" w:vAnchor="margin" w:hAnchor="text" w:yAlign="inline"/>
                    <w:rPr>
                      <w:rFonts w:eastAsia="楷体_GB2312" w:cs="Calibri"/>
                      <w:color w:val="FFFFFF" w:themeColor="background1"/>
                      <w14:textFill>
                        <w14:solidFill>
                          <w14:schemeClr w14:val="bg1"/>
                        </w14:solidFill>
                      </w14:textFill>
                    </w:rPr>
                  </w:pPr>
                </w:p>
              </w:tc>
            </w:tr>
            <w:tr w14:paraId="36974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FB9A6F2">
                  <w:pPr>
                    <w:pStyle w:val="54"/>
                    <w:framePr w:wrap="auto" w:vAnchor="margin" w:hAnchor="text" w:yAlign="inline"/>
                    <w:rPr>
                      <w:rFonts w:eastAsia="楷体_GB2312" w:cs="Calibri"/>
                    </w:rPr>
                  </w:pPr>
                  <w:r>
                    <w:rPr>
                      <w:rFonts w:ascii="Calibri" w:eastAsia="楷体_GB2312"/>
                      <w:b/>
                      <w:i w:val="0"/>
                      <w:color w:val="000000"/>
                      <w:sz w:val="16"/>
                    </w:rPr>
                    <w:t>Bin Yang, SFC:BSQ313</w:t>
                  </w:r>
                </w:p>
              </w:tc>
              <w:tc>
                <w:tcPr>
                  <w:tcW w:w="2551" w:type="dxa"/>
                  <w:shd w:val="clear" w:color="auto" w:fill="auto"/>
                  <w:vAlign w:val="top"/>
                </w:tcPr>
                <w:p w14:paraId="304654D4">
                  <w:pPr>
                    <w:pStyle w:val="54"/>
                    <w:framePr w:wrap="auto" w:vAnchor="margin" w:hAnchor="text" w:yAlign="inline"/>
                    <w:rPr>
                      <w:rFonts w:hint="default" w:ascii="Calibri" w:hAnsi="Calibri" w:eastAsia="楷体_GB2312" w:cs="Calibri"/>
                      <w:b/>
                      <w:snapToGrid w:val="0"/>
                      <w:sz w:val="16"/>
                      <w:szCs w:val="14"/>
                      <w:lang w:val="en-US" w:eastAsia="zh-CN" w:bidi="ar-SA"/>
                    </w:rPr>
                  </w:pPr>
                  <w:r>
                    <w:rPr>
                      <w:rFonts w:ascii="Calibri" w:eastAsia="楷体_GB2312"/>
                      <w:b/>
                      <w:i w:val="0"/>
                      <w:color w:val="000000"/>
                      <w:sz w:val="16"/>
                    </w:rPr>
                    <w:t>Yida Deng, SFC:BVF321</w:t>
                  </w:r>
                </w:p>
              </w:tc>
              <w:tc>
                <w:tcPr>
                  <w:tcW w:w="2693" w:type="dxa"/>
                </w:tcPr>
                <w:p w14:paraId="1531045D">
                  <w:pPr>
                    <w:pStyle w:val="54"/>
                    <w:framePr w:wrap="auto" w:vAnchor="margin" w:hAnchor="text" w:yAlign="inline"/>
                    <w:rPr>
                      <w:rFonts w:eastAsia="楷体_GB2312" w:cs="Calibri"/>
                    </w:rPr>
                  </w:pPr>
                </w:p>
              </w:tc>
              <w:tc>
                <w:tcPr>
                  <w:tcW w:w="2694" w:type="dxa"/>
                </w:tcPr>
                <w:p w14:paraId="148111DE">
                  <w:pPr>
                    <w:pStyle w:val="54"/>
                    <w:framePr w:wrap="auto" w:vAnchor="margin" w:hAnchor="text" w:yAlign="inline"/>
                    <w:rPr>
                      <w:rFonts w:eastAsia="楷体_GB2312" w:cs="Calibri"/>
                    </w:rPr>
                  </w:pPr>
                </w:p>
              </w:tc>
            </w:tr>
            <w:tr w14:paraId="6B509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8B7F5A">
                  <w:pPr>
                    <w:pStyle w:val="54"/>
                    <w:framePr w:wrap="auto" w:vAnchor="margin" w:hAnchor="text" w:yAlign="inline"/>
                    <w:rPr>
                      <w:rFonts w:eastAsia="楷体_GB2312" w:cs="Calibri"/>
                      <w:b w:val="0"/>
                    </w:rPr>
                  </w:pPr>
                  <w:r>
                    <w:rPr>
                      <w:rFonts w:ascii="Calibri" w:eastAsia="楷体_GB2312"/>
                      <w:b w:val="0"/>
                      <w:i w:val="0"/>
                      <w:color w:val="000000"/>
                      <w:sz w:val="16"/>
                    </w:rPr>
                    <w:t>harryyang@hfisec.com.hk</w:t>
                  </w:r>
                </w:p>
              </w:tc>
              <w:tc>
                <w:tcPr>
                  <w:tcW w:w="2551" w:type="dxa"/>
                  <w:shd w:val="clear" w:color="auto" w:fill="auto"/>
                  <w:vAlign w:val="top"/>
                </w:tcPr>
                <w:p w14:paraId="79A1794E">
                  <w:pPr>
                    <w:pStyle w:val="54"/>
                    <w:framePr w:wrap="auto" w:vAnchor="margin" w:hAnchor="text" w:yAlign="inline"/>
                    <w:rPr>
                      <w:rFonts w:ascii="Calibri" w:hAnsi="Calibri" w:eastAsia="楷体_GB2312" w:cs="Calibri"/>
                      <w:b w:val="0"/>
                      <w:snapToGrid w:val="0"/>
                      <w:sz w:val="16"/>
                      <w:szCs w:val="14"/>
                      <w:lang w:val="en-US" w:eastAsia="zh-CN" w:bidi="ar-SA"/>
                    </w:rPr>
                  </w:pPr>
                  <w:r>
                    <w:rPr>
                      <w:rFonts w:ascii="Calibri" w:eastAsia="楷体_GB2312"/>
                      <w:b w:val="0"/>
                      <w:i w:val="0"/>
                      <w:color w:val="000000"/>
                      <w:sz w:val="16"/>
                    </w:rPr>
                    <w:t>dengyida@hfisec.com.hk</w:t>
                  </w:r>
                </w:p>
              </w:tc>
              <w:tc>
                <w:tcPr>
                  <w:tcW w:w="2693" w:type="dxa"/>
                </w:tcPr>
                <w:p w14:paraId="42B7AED4">
                  <w:pPr>
                    <w:pStyle w:val="54"/>
                    <w:framePr w:wrap="auto" w:vAnchor="margin" w:hAnchor="text" w:yAlign="inline"/>
                    <w:rPr>
                      <w:rFonts w:eastAsia="楷体_GB2312" w:cs="Calibri"/>
                      <w:b w:val="0"/>
                    </w:rPr>
                  </w:pPr>
                </w:p>
              </w:tc>
              <w:tc>
                <w:tcPr>
                  <w:tcW w:w="2694" w:type="dxa"/>
                </w:tcPr>
                <w:p w14:paraId="1BBAE0D9">
                  <w:pPr>
                    <w:pStyle w:val="54"/>
                    <w:framePr w:wrap="auto" w:vAnchor="margin" w:hAnchor="text" w:yAlign="inline"/>
                    <w:rPr>
                      <w:rFonts w:eastAsia="楷体_GB2312" w:cs="Calibri"/>
                      <w:b w:val="0"/>
                    </w:rPr>
                  </w:pPr>
                </w:p>
              </w:tc>
            </w:tr>
            <w:tr w14:paraId="380F2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D128A55">
                  <w:pPr>
                    <w:pStyle w:val="54"/>
                    <w:framePr w:wrap="auto" w:vAnchor="margin" w:hAnchor="text" w:yAlign="inline"/>
                    <w:rPr>
                      <w:rFonts w:eastAsia="楷体_GB2312" w:cs="Calibri"/>
                      <w:b w:val="0"/>
                    </w:rPr>
                  </w:pPr>
                </w:p>
              </w:tc>
              <w:tc>
                <w:tcPr>
                  <w:tcW w:w="2551" w:type="dxa"/>
                </w:tcPr>
                <w:p w14:paraId="1B519C66">
                  <w:pPr>
                    <w:pStyle w:val="54"/>
                    <w:framePr w:wrap="auto" w:vAnchor="margin" w:hAnchor="text" w:yAlign="inline"/>
                    <w:rPr>
                      <w:rFonts w:eastAsia="楷体_GB2312" w:cs="Calibri"/>
                      <w:b w:val="0"/>
                    </w:rPr>
                  </w:pPr>
                </w:p>
              </w:tc>
              <w:tc>
                <w:tcPr>
                  <w:tcW w:w="2693" w:type="dxa"/>
                </w:tcPr>
                <w:p w14:paraId="24E9AD67">
                  <w:pPr>
                    <w:pStyle w:val="54"/>
                    <w:framePr w:wrap="auto" w:vAnchor="margin" w:hAnchor="text" w:yAlign="inline"/>
                    <w:rPr>
                      <w:rFonts w:eastAsia="楷体_GB2312" w:cs="Calibri"/>
                      <w:b w:val="0"/>
                    </w:rPr>
                  </w:pPr>
                </w:p>
              </w:tc>
              <w:tc>
                <w:tcPr>
                  <w:tcW w:w="2694" w:type="dxa"/>
                </w:tcPr>
                <w:p w14:paraId="33AE12AC">
                  <w:pPr>
                    <w:pStyle w:val="54"/>
                    <w:framePr w:wrap="auto" w:vAnchor="margin" w:hAnchor="text" w:yAlign="inline"/>
                    <w:rPr>
                      <w:rFonts w:eastAsia="楷体_GB2312" w:cs="Calibri"/>
                      <w:b w:val="0"/>
                    </w:rPr>
                  </w:pPr>
                </w:p>
              </w:tc>
            </w:tr>
            <w:tr w14:paraId="1717E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8E02370">
                  <w:pPr>
                    <w:pStyle w:val="54"/>
                    <w:framePr w:wrap="auto" w:vAnchor="margin" w:hAnchor="text" w:yAlign="inline"/>
                    <w:rPr>
                      <w:rFonts w:eastAsia="楷体_GB2312" w:cs="Calibri"/>
                      <w:b w:val="0"/>
                    </w:rPr>
                  </w:pPr>
                </w:p>
              </w:tc>
              <w:tc>
                <w:tcPr>
                  <w:tcW w:w="2551" w:type="dxa"/>
                </w:tcPr>
                <w:p w14:paraId="09BC4CB8">
                  <w:pPr>
                    <w:pStyle w:val="54"/>
                    <w:framePr w:wrap="auto" w:vAnchor="margin" w:hAnchor="text" w:yAlign="inline"/>
                    <w:rPr>
                      <w:rFonts w:eastAsia="楷体_GB2312" w:cs="Calibri"/>
                      <w:b w:val="0"/>
                    </w:rPr>
                  </w:pPr>
                </w:p>
              </w:tc>
              <w:tc>
                <w:tcPr>
                  <w:tcW w:w="2693" w:type="dxa"/>
                </w:tcPr>
                <w:p w14:paraId="17D7D7D5">
                  <w:pPr>
                    <w:pStyle w:val="54"/>
                    <w:framePr w:wrap="auto" w:vAnchor="margin" w:hAnchor="text" w:yAlign="inline"/>
                    <w:rPr>
                      <w:rFonts w:eastAsia="楷体_GB2312" w:cs="Calibri"/>
                      <w:b w:val="0"/>
                    </w:rPr>
                  </w:pPr>
                </w:p>
              </w:tc>
              <w:tc>
                <w:tcPr>
                  <w:tcW w:w="2694" w:type="dxa"/>
                </w:tcPr>
                <w:p w14:paraId="4E7FC791">
                  <w:pPr>
                    <w:pStyle w:val="54"/>
                    <w:framePr w:wrap="auto" w:vAnchor="margin" w:hAnchor="text" w:yAlign="inline"/>
                    <w:rPr>
                      <w:rFonts w:eastAsia="楷体_GB2312" w:cs="Calibri"/>
                      <w:b w:val="0"/>
                    </w:rPr>
                  </w:pPr>
                </w:p>
              </w:tc>
            </w:tr>
          </w:tbl>
          <w:p w14:paraId="2FC9E0F8">
            <w:pPr>
              <w:pStyle w:val="92"/>
              <w:spacing w:after="0"/>
              <w:jc w:val="both"/>
              <w:rPr>
                <w:rFonts w:eastAsia="楷体_GB2312" w:cs="Calibri"/>
                <w:bCs/>
                <w:kern w:val="28"/>
                <w:lang w:eastAsia="zh-CN"/>
              </w:rPr>
            </w:pPr>
          </w:p>
        </w:tc>
      </w:tr>
    </w:tbl>
    <w:p w14:paraId="083C1C05">
      <w:pPr>
        <w:pStyle w:val="75"/>
        <w:rPr>
          <w:rFonts w:eastAsia="宋体"/>
        </w:rPr>
      </w:pPr>
    </w:p>
    <w:p w14:paraId="050BACC8">
      <w:pPr>
        <w:ind w:right="320"/>
        <w:rPr>
          <w:rFonts w:eastAsia="宋体"/>
          <w:lang w:eastAsia="zh-CN"/>
        </w:rPr>
      </w:pPr>
    </w:p>
    <w:p w14:paraId="2BF03AA4">
      <w:pPr>
        <w:rPr>
          <w:lang w:eastAsia="zh-CN"/>
        </w:rPr>
      </w:pPr>
    </w:p>
    <w:p w14:paraId="3A067215">
      <w:pPr>
        <w:rPr>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24535491">
      <w:pPr>
        <w:pStyle w:val="75"/>
      </w:pPr>
    </w:p>
    <w:sdt>
      <w:sdtPr>
        <w:rPr>
          <w:rFonts w:eastAsia="宋体" w:cs="Calibri"/>
          <w:sz w:val="21"/>
        </w:rPr>
        <w:id w:val="147479176"/>
        <w15:color w:val="DBDBDB"/>
        <w:docPartObj>
          <w:docPartGallery w:val="Table of Contents"/>
          <w:docPartUnique/>
        </w:docPartObj>
      </w:sdtPr>
      <w:sdtEndPr>
        <w:rPr>
          <w:rFonts w:eastAsia="宋体" w:cs="Calibri"/>
          <w:sz w:val="21"/>
          <w:lang w:eastAsia="zh-CN"/>
        </w:rPr>
      </w:sdtEndPr>
      <w:sdtContent>
        <w:p w14:paraId="2BDFF659">
          <w:pPr>
            <w:rPr>
              <w:rFonts w:eastAsia="宋体" w:cs="Calibri"/>
              <w:b/>
              <w:bCs/>
              <w:sz w:val="30"/>
              <w:szCs w:val="30"/>
              <w:lang w:eastAsia="zh-CN"/>
            </w:rPr>
          </w:pPr>
          <w:r>
            <w:rPr>
              <w:rFonts w:eastAsia="宋体" w:cs="Calibri"/>
              <w:b/>
              <w:bCs/>
              <w:sz w:val="30"/>
              <w:szCs w:val="30"/>
              <w:lang w:eastAsia="zh-CN"/>
            </w:rPr>
            <w:t>Contents</w:t>
          </w:r>
        </w:p>
        <w:p w14:paraId="49FA8C99">
          <w:pPr>
            <w:rPr>
              <w:rFonts w:eastAsia="宋体" w:cs="Calibri"/>
              <w:b/>
              <w:bCs/>
              <w:sz w:val="30"/>
              <w:szCs w:val="30"/>
              <w:lang w:eastAsia="zh-CN"/>
            </w:rPr>
          </w:pPr>
        </w:p>
        <w:p w14:paraId="0422CE46">
          <w:pPr>
            <w:pStyle w:val="11"/>
            <w:tabs>
              <w:tab w:val="right" w:leader="dot" w:pos="7458"/>
            </w:tabs>
          </w:pPr>
          <w:r>
            <w:rPr>
              <w:rFonts w:ascii="Calibri" w:hAnsi="Calibri" w:eastAsia="宋体" w:cs="Calibri"/>
            </w:rPr>
            <w:fldChar w:fldCharType="begin"/>
          </w:r>
          <w:r>
            <w:rPr>
              <w:rFonts w:ascii="Calibri" w:hAnsi="Calibri" w:eastAsia="宋体" w:cs="Calibri"/>
            </w:rPr>
            <w:instrText xml:space="preserve">TOC \o "1-3" \h \u </w:instrText>
          </w:r>
          <w:r>
            <w:rPr>
              <w:rFonts w:ascii="Calibri" w:hAnsi="Calibri" w:eastAsia="宋体" w:cs="Calibri"/>
            </w:rPr>
            <w:fldChar w:fldCharType="separate"/>
          </w:r>
          <w:r>
            <w:rPr>
              <w:rFonts w:ascii="Calibri" w:hAnsi="Calibri" w:eastAsia="宋体" w:cs="Calibri"/>
            </w:rPr>
            <w:fldChar w:fldCharType="begin"/>
          </w:r>
          <w:r>
            <w:rPr>
              <w:rFonts w:ascii="Calibri" w:hAnsi="Calibri" w:eastAsia="宋体" w:cs="Calibri"/>
            </w:rPr>
            <w:instrText xml:space="preserve"> HYPERLINK \l _Toc21503 </w:instrText>
          </w:r>
          <w:r>
            <w:rPr>
              <w:rFonts w:ascii="Calibri" w:hAnsi="Calibri" w:eastAsia="宋体" w:cs="Calibri"/>
            </w:rPr>
            <w:fldChar w:fldCharType="separate"/>
          </w:r>
          <w:r>
            <w:rPr>
              <w:rFonts w:cs="Calibri" w:eastAsiaTheme="minorEastAsia"/>
              <w:bCs/>
              <w:szCs w:val="24"/>
              <w:lang w:eastAsia="zh-CN"/>
            </w:rPr>
            <w:t xml:space="preserve">1. </w:t>
          </w:r>
          <w:r>
            <w:rPr>
              <w:rFonts w:hint="eastAsia" w:cs="Calibri" w:eastAsiaTheme="minorEastAsia"/>
              <w:bCs/>
              <w:szCs w:val="28"/>
              <w:lang w:eastAsia="zh-CN"/>
            </w:rPr>
            <w:t>Vertiv</w:t>
          </w:r>
          <w:r>
            <w:rPr>
              <w:rFonts w:cs="Calibri" w:eastAsiaTheme="minorEastAsia"/>
              <w:bCs/>
              <w:szCs w:val="28"/>
              <w:lang w:eastAsia="zh-CN"/>
            </w:rPr>
            <w:t xml:space="preserve">: </w:t>
          </w:r>
          <w:r>
            <w:rPr>
              <w:rFonts w:hint="eastAsia" w:cs="Calibri" w:eastAsiaTheme="minorEastAsia"/>
              <w:bCs/>
              <w:szCs w:val="28"/>
              <w:lang w:eastAsia="zh-CN"/>
            </w:rPr>
            <w:t>d</w:t>
          </w:r>
          <w:r>
            <w:rPr>
              <w:rFonts w:cs="Calibri" w:eastAsiaTheme="minorEastAsia"/>
              <w:bCs/>
              <w:szCs w:val="28"/>
              <w:lang w:eastAsia="zh-CN"/>
            </w:rPr>
            <w:t>eliver end-to-end power and cooling technologies</w:t>
          </w:r>
          <w:r>
            <w:tab/>
          </w:r>
          <w:r>
            <w:fldChar w:fldCharType="begin"/>
          </w:r>
          <w:r>
            <w:instrText xml:space="preserve"> PAGEREF _Toc21503 \h </w:instrText>
          </w:r>
          <w:r>
            <w:fldChar w:fldCharType="separate"/>
          </w:r>
          <w:r>
            <w:t>3</w:t>
          </w:r>
          <w:r>
            <w:fldChar w:fldCharType="end"/>
          </w:r>
          <w:r>
            <w:rPr>
              <w:rFonts w:ascii="Calibri" w:hAnsi="Calibri" w:eastAsia="宋体" w:cs="Calibri"/>
            </w:rPr>
            <w:fldChar w:fldCharType="end"/>
          </w:r>
        </w:p>
        <w:p w14:paraId="6B14A83B">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_Toc1897 </w:instrText>
          </w:r>
          <w:r>
            <w:rPr>
              <w:rFonts w:eastAsia="宋体" w:cs="Calibri"/>
              <w:lang w:eastAsia="zh-CN"/>
            </w:rPr>
            <w:fldChar w:fldCharType="separate"/>
          </w:r>
          <w:r>
            <w:rPr>
              <w:rFonts w:cs="Calibri" w:eastAsiaTheme="minorEastAsia"/>
              <w:bCs/>
              <w:szCs w:val="24"/>
              <w:lang w:eastAsia="zh-CN"/>
            </w:rPr>
            <w:t>1.1 Vertiv is a global leader in critical digital infrastructure</w:t>
          </w:r>
          <w:r>
            <w:rPr>
              <w:rFonts w:hint="eastAsia" w:cs="Calibri" w:eastAsiaTheme="minorEastAsia"/>
              <w:bCs/>
              <w:szCs w:val="24"/>
              <w:lang w:eastAsia="zh-CN"/>
            </w:rPr>
            <w:t xml:space="preserve"> with</w:t>
          </w:r>
          <w:r>
            <w:rPr>
              <w:rFonts w:hint="eastAsia" w:cs="Calibri" w:eastAsiaTheme="minorEastAsia"/>
              <w:bCs/>
              <w:szCs w:val="24"/>
              <w:lang w:val="en-US" w:eastAsia="zh-CN"/>
            </w:rPr>
            <w:t xml:space="preserve"> the</w:t>
          </w:r>
          <w:r>
            <w:rPr>
              <w:rFonts w:hint="eastAsia" w:cs="Calibri" w:eastAsiaTheme="minorEastAsia"/>
              <w:bCs/>
              <w:szCs w:val="24"/>
              <w:lang w:eastAsia="zh-CN"/>
            </w:rPr>
            <w:t xml:space="preserve"> most complete portfolio</w:t>
          </w:r>
          <w:r>
            <w:tab/>
          </w:r>
          <w:r>
            <w:fldChar w:fldCharType="begin"/>
          </w:r>
          <w:r>
            <w:instrText xml:space="preserve"> PAGEREF _Toc1897 \h </w:instrText>
          </w:r>
          <w:r>
            <w:fldChar w:fldCharType="separate"/>
          </w:r>
          <w:r>
            <w:t>3</w:t>
          </w:r>
          <w:r>
            <w:fldChar w:fldCharType="end"/>
          </w:r>
          <w:r>
            <w:rPr>
              <w:rFonts w:eastAsia="宋体" w:cs="Calibri"/>
              <w:lang w:eastAsia="zh-CN"/>
            </w:rPr>
            <w:fldChar w:fldCharType="end"/>
          </w:r>
        </w:p>
        <w:p w14:paraId="7A572275">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_Toc5703 </w:instrText>
          </w:r>
          <w:r>
            <w:rPr>
              <w:rFonts w:eastAsia="宋体" w:cs="Calibri"/>
              <w:lang w:eastAsia="zh-CN"/>
            </w:rPr>
            <w:fldChar w:fldCharType="separate"/>
          </w:r>
          <w:r>
            <w:rPr>
              <w:rFonts w:ascii="Calibri" w:hAnsi="Calibri" w:eastAsia="楷体_GB2312" w:cs="Calibri"/>
            </w:rPr>
            <w:t xml:space="preserve">1.2 </w:t>
          </w:r>
          <w:r>
            <w:rPr>
              <w:rFonts w:ascii="Calibri" w:hAnsi="Calibri" w:eastAsia="楷体" w:cs="Calibri"/>
            </w:rPr>
            <w:t>Financial performance highlights</w:t>
          </w:r>
          <w:r>
            <w:tab/>
          </w:r>
          <w:r>
            <w:fldChar w:fldCharType="begin"/>
          </w:r>
          <w:r>
            <w:instrText xml:space="preserve"> PAGEREF _Toc5703 \h </w:instrText>
          </w:r>
          <w:r>
            <w:fldChar w:fldCharType="separate"/>
          </w:r>
          <w:r>
            <w:t>8</w:t>
          </w:r>
          <w:r>
            <w:fldChar w:fldCharType="end"/>
          </w:r>
          <w:r>
            <w:rPr>
              <w:rFonts w:eastAsia="宋体" w:cs="Calibri"/>
              <w:lang w:eastAsia="zh-CN"/>
            </w:rPr>
            <w:fldChar w:fldCharType="end"/>
          </w:r>
        </w:p>
        <w:p w14:paraId="14FFCF00">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_Toc14793 </w:instrText>
          </w:r>
          <w:r>
            <w:rPr>
              <w:rFonts w:eastAsia="宋体" w:cs="Calibri"/>
              <w:lang w:eastAsia="zh-CN"/>
            </w:rPr>
            <w:fldChar w:fldCharType="separate"/>
          </w:r>
          <w:r>
            <w:rPr>
              <w:rFonts w:eastAsia="楷体" w:cs="Calibri"/>
              <w:szCs w:val="28"/>
              <w:lang w:eastAsia="zh-CN"/>
            </w:rPr>
            <w:t>2</w:t>
          </w:r>
          <w:r>
            <w:rPr>
              <w:rFonts w:hint="eastAsia" w:eastAsia="楷体" w:cs="Calibri"/>
              <w:szCs w:val="28"/>
              <w:lang w:eastAsia="zh-CN"/>
            </w:rPr>
            <w:t>.</w:t>
          </w:r>
          <w:r>
            <w:rPr>
              <w:rFonts w:eastAsia="楷体" w:cs="Calibri"/>
              <w:szCs w:val="28"/>
              <w:lang w:eastAsia="zh-CN"/>
            </w:rPr>
            <w:t xml:space="preserve"> Data Centers will not be completed without </w:t>
          </w:r>
          <w:r>
            <w:rPr>
              <w:rFonts w:hint="eastAsia" w:eastAsia="楷体" w:cs="Calibri"/>
              <w:szCs w:val="28"/>
              <w:lang w:eastAsia="zh-CN"/>
            </w:rPr>
            <w:t>p</w:t>
          </w:r>
          <w:r>
            <w:rPr>
              <w:rFonts w:eastAsia="楷体" w:cs="Calibri"/>
              <w:szCs w:val="28"/>
              <w:lang w:eastAsia="zh-CN"/>
            </w:rPr>
            <w:t xml:space="preserve">ower and thermal </w:t>
          </w:r>
          <w:r>
            <w:rPr>
              <w:rFonts w:hint="eastAsia" w:eastAsia="楷体" w:cs="Calibri"/>
              <w:szCs w:val="28"/>
              <w:lang w:eastAsia="zh-CN"/>
            </w:rPr>
            <w:t>s</w:t>
          </w:r>
          <w:r>
            <w:rPr>
              <w:rFonts w:eastAsia="楷体" w:cs="Calibri"/>
              <w:szCs w:val="28"/>
              <w:lang w:eastAsia="zh-CN"/>
            </w:rPr>
            <w:t>olutions</w:t>
          </w:r>
          <w:r>
            <w:tab/>
          </w:r>
          <w:r>
            <w:fldChar w:fldCharType="begin"/>
          </w:r>
          <w:r>
            <w:instrText xml:space="preserve"> PAGEREF _Toc14793 \h </w:instrText>
          </w:r>
          <w:r>
            <w:fldChar w:fldCharType="separate"/>
          </w:r>
          <w:r>
            <w:t>10</w:t>
          </w:r>
          <w:r>
            <w:fldChar w:fldCharType="end"/>
          </w:r>
          <w:r>
            <w:rPr>
              <w:rFonts w:eastAsia="宋体" w:cs="Calibri"/>
              <w:lang w:eastAsia="zh-CN"/>
            </w:rPr>
            <w:fldChar w:fldCharType="end"/>
          </w:r>
        </w:p>
        <w:p w14:paraId="38F6DC41">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_Toc15522 </w:instrText>
          </w:r>
          <w:r>
            <w:rPr>
              <w:rFonts w:eastAsia="宋体" w:cs="Calibri"/>
              <w:lang w:eastAsia="zh-CN"/>
            </w:rPr>
            <w:fldChar w:fldCharType="separate"/>
          </w:r>
          <w:r>
            <w:rPr>
              <w:rFonts w:ascii="Calibri" w:hAnsi="Calibri" w:eastAsia="楷体_GB2312" w:cs="Calibri"/>
            </w:rPr>
            <w:t xml:space="preserve">2.1 </w:t>
          </w:r>
          <w:r>
            <w:rPr>
              <w:rFonts w:ascii="Calibri" w:hAnsi="Calibri" w:eastAsia="楷体" w:cs="Calibri"/>
            </w:rPr>
            <w:t xml:space="preserve">AI Data Center (AIDC) </w:t>
          </w:r>
          <w:r>
            <w:rPr>
              <w:rFonts w:hint="eastAsia" w:ascii="Calibri" w:hAnsi="Calibri" w:eastAsia="楷体" w:cs="Calibri"/>
            </w:rPr>
            <w:t>c</w:t>
          </w:r>
          <w:r>
            <w:rPr>
              <w:rFonts w:ascii="Calibri" w:hAnsi="Calibri" w:eastAsia="楷体" w:cs="Calibri"/>
            </w:rPr>
            <w:t>onstruction</w:t>
          </w:r>
          <w:r>
            <w:rPr>
              <w:rFonts w:hint="eastAsia" w:ascii="Calibri" w:hAnsi="Calibri" w:eastAsia="楷体" w:cs="Calibri"/>
            </w:rPr>
            <w:t xml:space="preserve"> keeps growing</w:t>
          </w:r>
          <w:r>
            <w:tab/>
          </w:r>
          <w:r>
            <w:fldChar w:fldCharType="begin"/>
          </w:r>
          <w:r>
            <w:instrText xml:space="preserve"> PAGEREF _Toc15522 \h </w:instrText>
          </w:r>
          <w:r>
            <w:fldChar w:fldCharType="separate"/>
          </w:r>
          <w:r>
            <w:t>10</w:t>
          </w:r>
          <w:r>
            <w:fldChar w:fldCharType="end"/>
          </w:r>
          <w:r>
            <w:rPr>
              <w:rFonts w:eastAsia="宋体" w:cs="Calibri"/>
              <w:lang w:eastAsia="zh-CN"/>
            </w:rPr>
            <w:fldChar w:fldCharType="end"/>
          </w:r>
        </w:p>
        <w:p w14:paraId="642034AE">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_Toc4848 </w:instrText>
          </w:r>
          <w:r>
            <w:rPr>
              <w:rFonts w:eastAsia="宋体" w:cs="Calibri"/>
              <w:lang w:eastAsia="zh-CN"/>
            </w:rPr>
            <w:fldChar w:fldCharType="separate"/>
          </w:r>
          <w:r>
            <w:rPr>
              <w:rFonts w:hint="eastAsia" w:ascii="Calibri" w:hAnsi="Calibri" w:eastAsia="楷体" w:cs="Calibri"/>
              <w:bCs/>
              <w:iCs/>
              <w:snapToGrid/>
              <w:szCs w:val="20"/>
              <w:lang w:val="en-US" w:eastAsia="zh-CN" w:bidi="ar-SA"/>
            </w:rPr>
            <w:t>2.2 Powering AI: The power supply equipment system is crucial to AIDC</w:t>
          </w:r>
          <w:r>
            <w:tab/>
          </w:r>
          <w:r>
            <w:fldChar w:fldCharType="begin"/>
          </w:r>
          <w:r>
            <w:instrText xml:space="preserve"> PAGEREF _Toc4848 \h </w:instrText>
          </w:r>
          <w:r>
            <w:fldChar w:fldCharType="separate"/>
          </w:r>
          <w:r>
            <w:t>12</w:t>
          </w:r>
          <w:r>
            <w:fldChar w:fldCharType="end"/>
          </w:r>
          <w:r>
            <w:rPr>
              <w:rFonts w:eastAsia="宋体" w:cs="Calibri"/>
              <w:lang w:eastAsia="zh-CN"/>
            </w:rPr>
            <w:fldChar w:fldCharType="end"/>
          </w:r>
        </w:p>
        <w:p w14:paraId="465A94EF">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_Toc16042 </w:instrText>
          </w:r>
          <w:r>
            <w:rPr>
              <w:rFonts w:eastAsia="宋体" w:cs="Calibri"/>
              <w:lang w:eastAsia="zh-CN"/>
            </w:rPr>
            <w:fldChar w:fldCharType="separate"/>
          </w:r>
          <w:r>
            <w:rPr>
              <w:rFonts w:ascii="Calibri" w:hAnsi="Calibri" w:eastAsia="楷体_GB2312" w:cs="Calibri"/>
            </w:rPr>
            <w:t>2.</w:t>
          </w:r>
          <w:r>
            <w:rPr>
              <w:rFonts w:hint="eastAsia" w:ascii="Calibri" w:hAnsi="Calibri" w:eastAsia="楷体_GB2312" w:cs="Calibri"/>
            </w:rPr>
            <w:t>3</w:t>
          </w:r>
          <w:r>
            <w:rPr>
              <w:rFonts w:ascii="Calibri" w:hAnsi="Calibri" w:eastAsia="楷体_GB2312" w:cs="Calibri"/>
            </w:rPr>
            <w:t xml:space="preserve"> Cooling AI: liquid cooling penetration</w:t>
          </w:r>
          <w:r>
            <w:rPr>
              <w:rFonts w:hint="eastAsia" w:ascii="Calibri" w:hAnsi="Calibri" w:eastAsia="楷体_GB2312" w:cs="Calibri"/>
            </w:rPr>
            <w:t xml:space="preserve"> is</w:t>
          </w:r>
          <w:r>
            <w:rPr>
              <w:rFonts w:ascii="Calibri" w:hAnsi="Calibri" w:eastAsia="楷体_GB2312" w:cs="Calibri"/>
            </w:rPr>
            <w:t xml:space="preserve"> up</w:t>
          </w:r>
          <w:r>
            <w:tab/>
          </w:r>
          <w:r>
            <w:fldChar w:fldCharType="begin"/>
          </w:r>
          <w:r>
            <w:instrText xml:space="preserve"> PAGEREF _Toc16042 \h </w:instrText>
          </w:r>
          <w:r>
            <w:fldChar w:fldCharType="separate"/>
          </w:r>
          <w:r>
            <w:t>16</w:t>
          </w:r>
          <w:r>
            <w:fldChar w:fldCharType="end"/>
          </w:r>
          <w:r>
            <w:rPr>
              <w:rFonts w:eastAsia="宋体" w:cs="Calibri"/>
              <w:lang w:eastAsia="zh-CN"/>
            </w:rPr>
            <w:fldChar w:fldCharType="end"/>
          </w:r>
        </w:p>
        <w:p w14:paraId="6B3AAC0A">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_Toc3581 </w:instrText>
          </w:r>
          <w:r>
            <w:rPr>
              <w:rFonts w:eastAsia="宋体" w:cs="Calibri"/>
              <w:lang w:eastAsia="zh-CN"/>
            </w:rPr>
            <w:fldChar w:fldCharType="separate"/>
          </w:r>
          <w:r>
            <w:rPr>
              <w:rFonts w:eastAsia="楷体" w:cs="Calibri"/>
              <w:szCs w:val="28"/>
              <w:lang w:eastAsia="zh-CN"/>
            </w:rPr>
            <w:t>3</w:t>
          </w:r>
          <w:r>
            <w:rPr>
              <w:rFonts w:hint="eastAsia" w:eastAsia="楷体" w:cs="Calibri"/>
              <w:szCs w:val="28"/>
              <w:lang w:eastAsia="zh-CN"/>
            </w:rPr>
            <w:t>.</w:t>
          </w:r>
          <w:r>
            <w:rPr>
              <w:rFonts w:eastAsia="楷体" w:cs="Calibri"/>
              <w:szCs w:val="28"/>
              <w:lang w:eastAsia="zh-CN"/>
            </w:rPr>
            <w:t xml:space="preserve"> </w:t>
          </w:r>
          <w:r>
            <w:rPr>
              <w:rFonts w:hint="eastAsia" w:eastAsia="楷体" w:cs="Calibri"/>
              <w:szCs w:val="28"/>
              <w:lang w:eastAsia="zh-CN"/>
            </w:rPr>
            <w:t xml:space="preserve">Vertiv </w:t>
          </w:r>
          <w:r>
            <w:rPr>
              <w:rFonts w:hint="eastAsia" w:eastAsia="楷体" w:cs="Calibri"/>
              <w:szCs w:val="28"/>
              <w:lang w:val="en-US" w:eastAsia="zh-CN"/>
            </w:rPr>
            <w:t xml:space="preserve">differentiates </w:t>
          </w:r>
          <w:r>
            <w:rPr>
              <w:rFonts w:hint="eastAsia" w:eastAsia="楷体" w:cs="Calibri"/>
              <w:szCs w:val="28"/>
              <w:lang w:eastAsia="zh-CN"/>
            </w:rPr>
            <w:t>through its full</w:t>
          </w:r>
          <w:r>
            <w:rPr>
              <w:rFonts w:hint="eastAsia" w:eastAsia="楷体" w:cs="Calibri"/>
              <w:szCs w:val="28"/>
              <w:lang w:val="en-US" w:eastAsia="zh-CN"/>
            </w:rPr>
            <w:t xml:space="preserve"> </w:t>
          </w:r>
          <w:r>
            <w:rPr>
              <w:rFonts w:eastAsia="楷体" w:cs="Calibri"/>
              <w:szCs w:val="28"/>
              <w:lang w:eastAsia="zh-CN"/>
            </w:rPr>
            <w:t>expertise</w:t>
          </w:r>
          <w:r>
            <w:rPr>
              <w:rFonts w:hint="eastAsia" w:eastAsia="楷体" w:cs="Calibri"/>
              <w:szCs w:val="28"/>
              <w:lang w:val="en-US" w:eastAsia="zh-CN"/>
            </w:rPr>
            <w:t xml:space="preserve"> in powering and cooling</w:t>
          </w:r>
          <w:r>
            <w:rPr>
              <w:rFonts w:hint="eastAsia" w:eastAsia="楷体" w:cs="Calibri"/>
              <w:szCs w:val="28"/>
              <w:lang w:eastAsia="zh-CN"/>
            </w:rPr>
            <w:t xml:space="preserve"> and strategic </w:t>
          </w:r>
          <w:r>
            <w:rPr>
              <w:rFonts w:eastAsia="楷体" w:cs="Calibri"/>
              <w:szCs w:val="28"/>
              <w:lang w:eastAsia="zh-CN"/>
            </w:rPr>
            <w:t>partnership</w:t>
          </w:r>
          <w:r>
            <w:rPr>
              <w:rFonts w:hint="eastAsia" w:eastAsia="楷体" w:cs="Calibri"/>
              <w:szCs w:val="28"/>
              <w:lang w:eastAsia="zh-CN"/>
            </w:rPr>
            <w:t xml:space="preserve"> </w:t>
          </w:r>
          <w:r>
            <w:rPr>
              <w:rFonts w:hint="eastAsia" w:eastAsia="楷体" w:cs="Calibri"/>
              <w:szCs w:val="28"/>
              <w:lang w:val="en-US" w:eastAsia="zh-CN"/>
            </w:rPr>
            <w:t>with NVIDIA</w:t>
          </w:r>
          <w:r>
            <w:tab/>
          </w:r>
          <w:r>
            <w:fldChar w:fldCharType="begin"/>
          </w:r>
          <w:r>
            <w:instrText xml:space="preserve"> PAGEREF _Toc3581 \h </w:instrText>
          </w:r>
          <w:r>
            <w:fldChar w:fldCharType="separate"/>
          </w:r>
          <w:r>
            <w:t>20</w:t>
          </w:r>
          <w:r>
            <w:fldChar w:fldCharType="end"/>
          </w:r>
          <w:r>
            <w:rPr>
              <w:rFonts w:eastAsia="宋体" w:cs="Calibri"/>
              <w:lang w:eastAsia="zh-CN"/>
            </w:rPr>
            <w:fldChar w:fldCharType="end"/>
          </w:r>
        </w:p>
        <w:p w14:paraId="6FF6C4B7">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_Toc19759 </w:instrText>
          </w:r>
          <w:r>
            <w:rPr>
              <w:rFonts w:eastAsia="宋体" w:cs="Calibri"/>
              <w:lang w:eastAsia="zh-CN"/>
            </w:rPr>
            <w:fldChar w:fldCharType="separate"/>
          </w:r>
          <w:r>
            <w:rPr>
              <w:rFonts w:eastAsia="楷体" w:cs="Calibri"/>
              <w:bCs/>
              <w:kern w:val="2"/>
              <w:szCs w:val="24"/>
            </w:rPr>
            <w:t>3.1</w:t>
          </w:r>
          <w:r>
            <w:rPr>
              <w:rFonts w:hint="eastAsia" w:eastAsia="楷体" w:cs="Calibri"/>
              <w:bCs/>
              <w:kern w:val="2"/>
              <w:szCs w:val="24"/>
              <w:lang w:val="en-US" w:eastAsia="zh-CN"/>
            </w:rPr>
            <w:t xml:space="preserve"> Vertiv</w:t>
          </w:r>
          <w:r>
            <w:rPr>
              <w:rFonts w:hint="default" w:eastAsia="楷体" w:cs="Calibri"/>
              <w:bCs/>
              <w:kern w:val="2"/>
              <w:szCs w:val="24"/>
              <w:lang w:val="en-US" w:eastAsia="zh-CN"/>
            </w:rPr>
            <w:t>’</w:t>
          </w:r>
          <w:r>
            <w:rPr>
              <w:rFonts w:hint="eastAsia" w:eastAsia="楷体" w:cs="Calibri"/>
              <w:bCs/>
              <w:kern w:val="2"/>
              <w:szCs w:val="24"/>
              <w:lang w:val="en-US" w:eastAsia="zh-CN"/>
            </w:rPr>
            <w:t>s</w:t>
          </w:r>
          <w:r>
            <w:rPr>
              <w:rFonts w:eastAsia="楷体" w:cs="Calibri"/>
              <w:bCs/>
              <w:kern w:val="2"/>
              <w:szCs w:val="24"/>
            </w:rPr>
            <w:t xml:space="preserve"> </w:t>
          </w:r>
          <w:r>
            <w:rPr>
              <w:rFonts w:hint="eastAsia" w:eastAsia="楷体" w:cs="Calibri"/>
              <w:bCs/>
              <w:kern w:val="2"/>
              <w:szCs w:val="24"/>
              <w:lang w:val="en-US" w:eastAsia="zh-CN"/>
            </w:rPr>
            <w:t>d</w:t>
          </w:r>
          <w:r>
            <w:rPr>
              <w:rFonts w:eastAsia="楷体" w:cs="Calibri"/>
              <w:bCs/>
              <w:kern w:val="2"/>
              <w:szCs w:val="24"/>
            </w:rPr>
            <w:t xml:space="preserve">ominance in data center power </w:t>
          </w:r>
          <w:r>
            <w:rPr>
              <w:rFonts w:eastAsia="楷体" w:cs="Calibri"/>
              <w:bCs/>
              <w:kern w:val="2"/>
              <w:szCs w:val="24"/>
              <w:lang w:eastAsia="zh-CN"/>
            </w:rPr>
            <w:t xml:space="preserve">and cooling </w:t>
          </w:r>
          <w:r>
            <w:rPr>
              <w:rFonts w:eastAsia="楷体" w:cs="Calibri"/>
              <w:bCs/>
              <w:kern w:val="2"/>
              <w:szCs w:val="24"/>
            </w:rPr>
            <w:t>infrastructure</w:t>
          </w:r>
          <w:r>
            <w:rPr>
              <w:rFonts w:eastAsia="楷体" w:cs="Calibri"/>
              <w:bCs/>
              <w:kern w:val="2"/>
              <w:szCs w:val="24"/>
              <w:lang w:eastAsia="zh-CN"/>
            </w:rPr>
            <w:t xml:space="preserve"> with </w:t>
          </w:r>
          <w:r>
            <w:rPr>
              <w:rFonts w:hint="eastAsia" w:eastAsia="楷体" w:cs="Calibri"/>
              <w:bCs/>
              <w:kern w:val="2"/>
              <w:szCs w:val="24"/>
              <w:lang w:eastAsia="zh-CN"/>
            </w:rPr>
            <w:t>e</w:t>
          </w:r>
          <w:r>
            <w:rPr>
              <w:rFonts w:eastAsia="楷体" w:cs="Calibri"/>
              <w:bCs/>
              <w:kern w:val="2"/>
              <w:szCs w:val="24"/>
            </w:rPr>
            <w:t>nd-to-end systems and services expertise</w:t>
          </w:r>
          <w:r>
            <w:tab/>
          </w:r>
          <w:r>
            <w:fldChar w:fldCharType="begin"/>
          </w:r>
          <w:r>
            <w:instrText xml:space="preserve"> PAGEREF _Toc19759 \h </w:instrText>
          </w:r>
          <w:r>
            <w:fldChar w:fldCharType="separate"/>
          </w:r>
          <w:r>
            <w:t>20</w:t>
          </w:r>
          <w:r>
            <w:fldChar w:fldCharType="end"/>
          </w:r>
          <w:r>
            <w:rPr>
              <w:rFonts w:eastAsia="宋体" w:cs="Calibri"/>
              <w:lang w:eastAsia="zh-CN"/>
            </w:rPr>
            <w:fldChar w:fldCharType="end"/>
          </w:r>
        </w:p>
        <w:p w14:paraId="550FBE6B">
          <w:pPr>
            <w:pStyle w:val="12"/>
            <w:tabs>
              <w:tab w:val="right" w:leader="dot" w:pos="7458"/>
            </w:tabs>
          </w:pPr>
          <w:r>
            <w:rPr>
              <w:rFonts w:eastAsia="宋体" w:cs="Calibri"/>
              <w:lang w:eastAsia="zh-CN"/>
            </w:rPr>
            <w:fldChar w:fldCharType="begin"/>
          </w:r>
          <w:r>
            <w:rPr>
              <w:rFonts w:eastAsia="宋体" w:cs="Calibri"/>
              <w:lang w:eastAsia="zh-CN"/>
            </w:rPr>
            <w:instrText xml:space="preserve"> HYPERLINK \l _Toc23048 </w:instrText>
          </w:r>
          <w:r>
            <w:rPr>
              <w:rFonts w:eastAsia="宋体" w:cs="Calibri"/>
              <w:lang w:eastAsia="zh-CN"/>
            </w:rPr>
            <w:fldChar w:fldCharType="separate"/>
          </w:r>
          <w:r>
            <w:rPr>
              <w:rFonts w:eastAsia="楷体" w:cs="Calibri"/>
              <w:bCs/>
              <w:kern w:val="2"/>
              <w:szCs w:val="24"/>
            </w:rPr>
            <w:t>3.</w:t>
          </w:r>
          <w:r>
            <w:rPr>
              <w:rFonts w:eastAsia="楷体" w:cs="Calibri"/>
              <w:bCs/>
              <w:kern w:val="2"/>
              <w:szCs w:val="24"/>
              <w:lang w:eastAsia="zh-CN"/>
            </w:rPr>
            <w:t xml:space="preserve">2 </w:t>
          </w:r>
          <w:r>
            <w:rPr>
              <w:rFonts w:hint="eastAsia" w:eastAsia="楷体" w:cs="Calibri"/>
              <w:bCs/>
              <w:kern w:val="2"/>
              <w:szCs w:val="24"/>
              <w:lang w:eastAsia="zh-CN"/>
            </w:rPr>
            <w:t>Partnership</w:t>
          </w:r>
          <w:r>
            <w:rPr>
              <w:rFonts w:eastAsia="楷体" w:cs="Calibri"/>
              <w:bCs/>
              <w:kern w:val="2"/>
              <w:szCs w:val="24"/>
              <w:lang w:eastAsia="zh-CN"/>
            </w:rPr>
            <w:t xml:space="preserve"> with key industry leaders to build the future of AI infrastructure</w:t>
          </w:r>
          <w:r>
            <w:tab/>
          </w:r>
          <w:r>
            <w:fldChar w:fldCharType="begin"/>
          </w:r>
          <w:r>
            <w:instrText xml:space="preserve"> PAGEREF _Toc23048 \h </w:instrText>
          </w:r>
          <w:r>
            <w:fldChar w:fldCharType="separate"/>
          </w:r>
          <w:r>
            <w:t>22</w:t>
          </w:r>
          <w:r>
            <w:fldChar w:fldCharType="end"/>
          </w:r>
          <w:r>
            <w:rPr>
              <w:rFonts w:eastAsia="宋体" w:cs="Calibri"/>
              <w:lang w:eastAsia="zh-CN"/>
            </w:rPr>
            <w:fldChar w:fldCharType="end"/>
          </w:r>
        </w:p>
        <w:p w14:paraId="711A5D18">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_Toc7782 </w:instrText>
          </w:r>
          <w:r>
            <w:rPr>
              <w:rFonts w:eastAsia="宋体" w:cs="Calibri"/>
              <w:lang w:eastAsia="zh-CN"/>
            </w:rPr>
            <w:fldChar w:fldCharType="separate"/>
          </w:r>
          <w:r>
            <w:rPr>
              <w:rFonts w:eastAsia="楷体" w:cs="Calibri"/>
              <w:szCs w:val="28"/>
              <w:lang w:eastAsia="zh-CN"/>
            </w:rPr>
            <w:t>4. Valuation&amp; recommendation</w:t>
          </w:r>
          <w:r>
            <w:tab/>
          </w:r>
          <w:r>
            <w:fldChar w:fldCharType="begin"/>
          </w:r>
          <w:r>
            <w:instrText xml:space="preserve"> PAGEREF _Toc7782 \h </w:instrText>
          </w:r>
          <w:r>
            <w:fldChar w:fldCharType="separate"/>
          </w:r>
          <w:r>
            <w:t>24</w:t>
          </w:r>
          <w:r>
            <w:fldChar w:fldCharType="end"/>
          </w:r>
          <w:r>
            <w:rPr>
              <w:rFonts w:eastAsia="宋体" w:cs="Calibri"/>
              <w:lang w:eastAsia="zh-CN"/>
            </w:rPr>
            <w:fldChar w:fldCharType="end"/>
          </w:r>
        </w:p>
        <w:p w14:paraId="597A8951">
          <w:pPr>
            <w:pStyle w:val="11"/>
            <w:tabs>
              <w:tab w:val="right" w:leader="dot" w:pos="7458"/>
            </w:tabs>
          </w:pPr>
          <w:r>
            <w:rPr>
              <w:rFonts w:eastAsia="宋体" w:cs="Calibri"/>
              <w:lang w:eastAsia="zh-CN"/>
            </w:rPr>
            <w:fldChar w:fldCharType="begin"/>
          </w:r>
          <w:r>
            <w:rPr>
              <w:rFonts w:eastAsia="宋体" w:cs="Calibri"/>
              <w:lang w:eastAsia="zh-CN"/>
            </w:rPr>
            <w:instrText xml:space="preserve"> HYPERLINK \l _Toc29182 </w:instrText>
          </w:r>
          <w:r>
            <w:rPr>
              <w:rFonts w:eastAsia="宋体" w:cs="Calibri"/>
              <w:lang w:eastAsia="zh-CN"/>
            </w:rPr>
            <w:fldChar w:fldCharType="separate"/>
          </w:r>
          <w:r>
            <w:rPr>
              <w:rFonts w:eastAsia="楷体_GB2312" w:cs="Calibri"/>
            </w:rPr>
            <w:t xml:space="preserve">5. </w:t>
          </w:r>
          <w:r>
            <w:rPr>
              <w:rFonts w:eastAsia="楷体_GB2312" w:cs="Calibri"/>
              <w:lang w:eastAsia="zh-CN"/>
            </w:rPr>
            <w:t>Risks</w:t>
          </w:r>
          <w:r>
            <w:tab/>
          </w:r>
          <w:r>
            <w:fldChar w:fldCharType="begin"/>
          </w:r>
          <w:r>
            <w:instrText xml:space="preserve"> PAGEREF _Toc29182 \h </w:instrText>
          </w:r>
          <w:r>
            <w:fldChar w:fldCharType="separate"/>
          </w:r>
          <w:r>
            <w:t>26</w:t>
          </w:r>
          <w:r>
            <w:fldChar w:fldCharType="end"/>
          </w:r>
          <w:r>
            <w:rPr>
              <w:rFonts w:eastAsia="宋体" w:cs="Calibri"/>
              <w:lang w:eastAsia="zh-CN"/>
            </w:rPr>
            <w:fldChar w:fldCharType="end"/>
          </w:r>
        </w:p>
        <w:p w14:paraId="0FB6E12D">
          <w:pPr>
            <w:pStyle w:val="23"/>
            <w:rPr>
              <w:rFonts w:eastAsia="宋体" w:cs="Calibri"/>
              <w:lang w:eastAsia="zh-CN"/>
            </w:rPr>
          </w:pPr>
          <w:r>
            <w:rPr>
              <w:rFonts w:eastAsia="宋体" w:cs="Calibri"/>
              <w:lang w:eastAsia="zh-CN"/>
            </w:rPr>
            <w:fldChar w:fldCharType="end"/>
          </w:r>
        </w:p>
      </w:sdtContent>
    </w:sdt>
    <w:p w14:paraId="75E94440">
      <w:pPr>
        <w:pStyle w:val="23"/>
        <w:rPr>
          <w:rFonts w:eastAsia="宋体" w:cs="Calibri"/>
          <w:lang w:eastAsia="zh-CN"/>
        </w:rPr>
      </w:pPr>
    </w:p>
    <w:p w14:paraId="10EC4157">
      <w:pPr>
        <w:rPr>
          <w:rFonts w:cs="Calibri" w:eastAsiaTheme="minorEastAsia"/>
          <w:lang w:eastAsia="zh-CN"/>
        </w:rPr>
      </w:pPr>
      <w:r>
        <w:rPr>
          <w:rFonts w:cs="Calibri" w:eastAsiaTheme="minorEastAsia"/>
          <w:lang w:eastAsia="zh-CN"/>
        </w:rPr>
        <w:br w:type="page"/>
      </w:r>
    </w:p>
    <w:p w14:paraId="52936445">
      <w:pPr>
        <w:keepNext w:val="0"/>
        <w:keepLines w:val="0"/>
        <w:pageBreakBefore w:val="0"/>
        <w:widowControl/>
        <w:numPr>
          <w:ilvl w:val="0"/>
          <w:numId w:val="9"/>
        </w:numPr>
        <w:kinsoku/>
        <w:wordWrap/>
        <w:overflowPunct/>
        <w:topLinePunct w:val="0"/>
        <w:autoSpaceDE/>
        <w:autoSpaceDN/>
        <w:bidi w:val="0"/>
        <w:adjustRightInd/>
        <w:snapToGrid/>
        <w:spacing w:after="181" w:afterLines="50"/>
        <w:jc w:val="both"/>
        <w:textAlignment w:val="auto"/>
        <w:outlineLvl w:val="0"/>
        <w:rPr>
          <w:rFonts w:cs="Calibri" w:eastAsiaTheme="minorEastAsia"/>
          <w:b/>
          <w:bCs/>
          <w:color w:val="23558C"/>
          <w:sz w:val="24"/>
          <w:szCs w:val="24"/>
          <w:lang w:eastAsia="zh-CN"/>
        </w:rPr>
      </w:pPr>
      <w:bookmarkStart w:id="0" w:name="_Toc21503"/>
      <w:r>
        <w:rPr>
          <w:rFonts w:hint="eastAsia" w:cs="Calibri" w:eastAsiaTheme="minorEastAsia"/>
          <w:b/>
          <w:bCs/>
          <w:color w:val="23558C"/>
          <w:sz w:val="28"/>
          <w:szCs w:val="28"/>
          <w:lang w:eastAsia="zh-CN"/>
        </w:rPr>
        <w:t>Vertiv</w:t>
      </w:r>
      <w:r>
        <w:rPr>
          <w:rFonts w:cs="Calibri" w:eastAsiaTheme="minorEastAsia"/>
          <w:b/>
          <w:bCs/>
          <w:color w:val="23558C"/>
          <w:sz w:val="28"/>
          <w:szCs w:val="28"/>
          <w:lang w:eastAsia="zh-CN"/>
        </w:rPr>
        <w:t xml:space="preserve">: </w:t>
      </w:r>
      <w:r>
        <w:rPr>
          <w:rFonts w:hint="eastAsia" w:cs="Calibri" w:eastAsiaTheme="minorEastAsia"/>
          <w:b/>
          <w:bCs/>
          <w:color w:val="23558C"/>
          <w:sz w:val="28"/>
          <w:szCs w:val="28"/>
          <w:lang w:eastAsia="zh-CN"/>
        </w:rPr>
        <w:t>d</w:t>
      </w:r>
      <w:r>
        <w:rPr>
          <w:rFonts w:cs="Calibri" w:eastAsiaTheme="minorEastAsia"/>
          <w:b/>
          <w:bCs/>
          <w:color w:val="23558C"/>
          <w:sz w:val="28"/>
          <w:szCs w:val="28"/>
          <w:lang w:eastAsia="zh-CN"/>
        </w:rPr>
        <w:t>eliver end-to-end power and cooling technologies</w:t>
      </w:r>
      <w:bookmarkEnd w:id="0"/>
    </w:p>
    <w:p w14:paraId="291B097E">
      <w:pPr>
        <w:keepNext w:val="0"/>
        <w:keepLines w:val="0"/>
        <w:pageBreakBefore w:val="0"/>
        <w:widowControl/>
        <w:kinsoku/>
        <w:wordWrap/>
        <w:overflowPunct/>
        <w:topLinePunct w:val="0"/>
        <w:autoSpaceDE/>
        <w:autoSpaceDN/>
        <w:bidi w:val="0"/>
        <w:adjustRightInd/>
        <w:snapToGrid/>
        <w:spacing w:after="181" w:afterLines="50"/>
        <w:jc w:val="both"/>
        <w:textAlignment w:val="auto"/>
        <w:outlineLvl w:val="1"/>
        <w:rPr>
          <w:rFonts w:cs="Calibri" w:eastAsiaTheme="minorEastAsia"/>
          <w:b/>
          <w:bCs/>
          <w:color w:val="23558C"/>
          <w:sz w:val="24"/>
          <w:szCs w:val="24"/>
          <w:lang w:eastAsia="zh-CN"/>
        </w:rPr>
      </w:pPr>
      <w:bookmarkStart w:id="1" w:name="_Toc1897"/>
      <w:r>
        <w:rPr>
          <w:rFonts w:cs="Calibri" w:eastAsiaTheme="minorEastAsia"/>
          <w:b/>
          <w:bCs/>
          <w:color w:val="23558C"/>
          <w:sz w:val="24"/>
          <w:szCs w:val="24"/>
          <w:lang w:eastAsia="zh-CN"/>
        </w:rPr>
        <w:t>1.1 Vertiv is a global leader in critical digital infrastructure</w:t>
      </w:r>
      <w:r>
        <w:rPr>
          <w:rFonts w:hint="eastAsia" w:cs="Calibri" w:eastAsiaTheme="minorEastAsia"/>
          <w:b/>
          <w:bCs/>
          <w:color w:val="23558C"/>
          <w:sz w:val="24"/>
          <w:szCs w:val="24"/>
          <w:lang w:eastAsia="zh-CN"/>
        </w:rPr>
        <w:t xml:space="preserve"> with</w:t>
      </w:r>
      <w:r>
        <w:rPr>
          <w:rFonts w:hint="eastAsia" w:cs="Calibri" w:eastAsiaTheme="minorEastAsia"/>
          <w:b/>
          <w:bCs/>
          <w:color w:val="23558C"/>
          <w:sz w:val="24"/>
          <w:szCs w:val="24"/>
          <w:lang w:val="en-US" w:eastAsia="zh-CN"/>
        </w:rPr>
        <w:t xml:space="preserve"> the</w:t>
      </w:r>
      <w:r>
        <w:rPr>
          <w:rFonts w:hint="eastAsia" w:cs="Calibri" w:eastAsiaTheme="minorEastAsia"/>
          <w:b/>
          <w:bCs/>
          <w:color w:val="23558C"/>
          <w:sz w:val="24"/>
          <w:szCs w:val="24"/>
          <w:lang w:eastAsia="zh-CN"/>
        </w:rPr>
        <w:t xml:space="preserve"> most complete portfolio</w:t>
      </w:r>
      <w:bookmarkEnd w:id="1"/>
    </w:p>
    <w:p w14:paraId="1E7496E6">
      <w:pPr>
        <w:jc w:val="both"/>
        <w:rPr>
          <w:rFonts w:eastAsia="宋体" w:cs="Calibri"/>
          <w:sz w:val="22"/>
          <w:szCs w:val="22"/>
          <w:lang w:eastAsia="zh-CN"/>
        </w:rPr>
      </w:pPr>
      <w:r>
        <w:rPr>
          <w:rFonts w:cs="Calibri" w:eastAsiaTheme="minorEastAsia"/>
          <w:b/>
          <w:bCs/>
          <w:sz w:val="22"/>
          <w:szCs w:val="22"/>
          <w:lang w:eastAsia="zh-CN"/>
        </w:rPr>
        <w:t>Vertiv Holdings co. is a global leader in</w:t>
      </w:r>
      <w:r>
        <w:rPr>
          <w:rFonts w:hint="eastAsia" w:cs="Calibri" w:eastAsiaTheme="minorEastAsia"/>
          <w:b/>
          <w:bCs/>
          <w:sz w:val="22"/>
          <w:szCs w:val="22"/>
          <w:lang w:eastAsia="zh-CN"/>
        </w:rPr>
        <w:t xml:space="preserve"> the</w:t>
      </w:r>
      <w:r>
        <w:rPr>
          <w:rFonts w:cs="Calibri" w:eastAsiaTheme="minorEastAsia"/>
          <w:b/>
          <w:bCs/>
          <w:sz w:val="22"/>
          <w:szCs w:val="22"/>
          <w:lang w:eastAsia="zh-CN"/>
        </w:rPr>
        <w:t xml:space="preserve"> critical digital infrastructure</w:t>
      </w:r>
      <w:r>
        <w:rPr>
          <w:rFonts w:hint="eastAsia" w:cs="Calibri" w:eastAsiaTheme="minorEastAsia"/>
          <w:b/>
          <w:bCs/>
          <w:sz w:val="22"/>
          <w:szCs w:val="22"/>
          <w:lang w:eastAsia="zh-CN"/>
        </w:rPr>
        <w:t xml:space="preserve">. </w:t>
      </w:r>
      <w:r>
        <w:rPr>
          <w:rFonts w:hint="eastAsia" w:cs="Calibri" w:eastAsiaTheme="minorEastAsia"/>
          <w:sz w:val="22"/>
          <w:szCs w:val="22"/>
          <w:lang w:eastAsia="zh-CN"/>
        </w:rPr>
        <w:t xml:space="preserve">The company designs, manufactures, sells, installs, maintains, and services critical digital infrastructure technologies and rapidly deployable customized solutions to meet the specific business requirements and needs of </w:t>
      </w:r>
      <w:r>
        <w:rPr>
          <w:rFonts w:cs="Calibri" w:eastAsiaTheme="minorEastAsia"/>
          <w:sz w:val="22"/>
          <w:szCs w:val="22"/>
          <w:lang w:eastAsia="zh-CN"/>
        </w:rPr>
        <w:t>data centers, communication networks, and commercial and industrial environments.</w:t>
      </w:r>
    </w:p>
    <w:p w14:paraId="1672B017">
      <w:pPr>
        <w:jc w:val="both"/>
        <w:rPr>
          <w:rFonts w:hint="eastAsia"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71F22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10160" w:type="dxa"/>
            <w:tcBorders>
              <w:bottom w:val="nil"/>
            </w:tcBorders>
          </w:tcPr>
          <w:p w14:paraId="1F8FFD39">
            <w:pPr>
              <w:rPr>
                <w:rFonts w:cs="Calibri" w:eastAsiaTheme="minorEastAsia"/>
                <w:b/>
                <w:bCs/>
                <w:sz w:val="20"/>
                <w:szCs w:val="20"/>
                <w:lang w:eastAsia="zh-CN"/>
              </w:rPr>
            </w:pPr>
            <w:bookmarkStart w:id="2" w:name="_Hlk216640996"/>
            <w:r>
              <w:rPr>
                <w:rFonts w:hint="eastAsia" w:cs="Calibri" w:eastAsiaTheme="minorEastAsia"/>
                <w:b/>
                <w:bCs/>
                <w:sz w:val="20"/>
                <w:szCs w:val="20"/>
                <w:lang w:eastAsia="zh-CN"/>
              </w:rPr>
              <w:t>Figure: Business overview</w:t>
            </w:r>
          </w:p>
        </w:tc>
      </w:tr>
      <w:tr w14:paraId="2D083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3" w:hRule="atLeast"/>
        </w:trPr>
        <w:tc>
          <w:tcPr>
            <w:tcW w:w="10160" w:type="dxa"/>
            <w:tcBorders>
              <w:top w:val="nil"/>
              <w:bottom w:val="nil"/>
            </w:tcBorders>
            <w:tcMar>
              <w:top w:w="28" w:type="dxa"/>
              <w:bottom w:w="28" w:type="dxa"/>
            </w:tcMar>
            <w:vAlign w:val="center"/>
          </w:tcPr>
          <w:p w14:paraId="72A7DE4D">
            <w:pPr>
              <w:rPr>
                <w:rFonts w:cs="Calibri" w:eastAsiaTheme="minorEastAsia"/>
                <w:b/>
                <w:bCs/>
                <w:sz w:val="22"/>
                <w:szCs w:val="22"/>
                <w:lang w:eastAsia="zh-CN"/>
              </w:rPr>
            </w:pPr>
            <w:r>
              <w:rPr>
                <w:rFonts w:cs="Calibri" w:eastAsiaTheme="minorEastAsia"/>
                <w:b/>
                <w:bCs/>
                <w:sz w:val="22"/>
                <w:szCs w:val="22"/>
                <w:lang w:eastAsia="zh-CN"/>
              </w:rPr>
              <w:drawing>
                <wp:inline distT="0" distB="0" distL="114300" distR="114300">
                  <wp:extent cx="6176645" cy="2444750"/>
                  <wp:effectExtent l="0" t="0" r="10795" b="889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8"/>
                          <a:srcRect b="2876"/>
                          <a:stretch>
                            <a:fillRect/>
                          </a:stretch>
                        </pic:blipFill>
                        <pic:spPr>
                          <a:xfrm>
                            <a:off x="0" y="0"/>
                            <a:ext cx="6176645" cy="2444750"/>
                          </a:xfrm>
                          <a:prstGeom prst="rect">
                            <a:avLst/>
                          </a:prstGeom>
                          <a:noFill/>
                          <a:ln>
                            <a:noFill/>
                          </a:ln>
                        </pic:spPr>
                      </pic:pic>
                    </a:graphicData>
                  </a:graphic>
                </wp:inline>
              </w:drawing>
            </w:r>
          </w:p>
        </w:tc>
      </w:tr>
      <w:tr w14:paraId="4C50E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160" w:type="dxa"/>
            <w:tcBorders>
              <w:top w:val="nil"/>
              <w:bottom w:val="nil"/>
            </w:tcBorders>
          </w:tcPr>
          <w:p w14:paraId="2F077644">
            <w:pPr>
              <w:rPr>
                <w:rFonts w:cs="Calibri" w:eastAsiaTheme="minorEastAsia"/>
                <w:lang w:eastAsia="zh-CN"/>
              </w:rPr>
            </w:pPr>
            <w:r>
              <w:rPr>
                <w:rFonts w:hint="eastAsia" w:cs="Calibri" w:eastAsiaTheme="minorEastAsia"/>
                <w:lang w:eastAsia="zh-CN"/>
              </w:rPr>
              <w:t>Source: Company, HFI</w:t>
            </w:r>
          </w:p>
        </w:tc>
      </w:tr>
      <w:tr w14:paraId="7E91F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10160" w:type="dxa"/>
            <w:tcBorders>
              <w:top w:val="nil"/>
            </w:tcBorders>
          </w:tcPr>
          <w:p w14:paraId="56FE8DC7">
            <w:pPr>
              <w:rPr>
                <w:rFonts w:cs="Calibri" w:eastAsiaTheme="minorEastAsia"/>
                <w:b/>
                <w:bCs/>
                <w:sz w:val="22"/>
                <w:szCs w:val="22"/>
                <w:lang w:eastAsia="zh-CN"/>
              </w:rPr>
            </w:pPr>
            <w:r>
              <w:rPr>
                <w:rFonts w:hint="eastAsia" w:cs="Calibri" w:eastAsiaTheme="minorEastAsia"/>
                <w:lang w:eastAsia="zh-CN"/>
              </w:rPr>
              <w:t>Note: :1 Based on FY 2024 revenue</w:t>
            </w:r>
            <w:r>
              <w:rPr>
                <w:rFonts w:hint="eastAsia" w:cs="Calibri" w:eastAsiaTheme="minorEastAsia"/>
                <w:lang w:val="en-US" w:eastAsia="zh-CN"/>
              </w:rPr>
              <w:t>, net sales reached $10.2 billion in 2025</w:t>
            </w:r>
            <w:r>
              <w:rPr>
                <w:rFonts w:hint="eastAsia" w:cs="Calibri" w:eastAsiaTheme="minorEastAsia"/>
                <w:lang w:eastAsia="zh-CN"/>
              </w:rPr>
              <w:t>; 2 Market segment rounded to 5%; 3 Dell</w:t>
            </w:r>
            <w:r>
              <w:rPr>
                <w:rFonts w:cs="Calibri" w:eastAsiaTheme="minorEastAsia"/>
                <w:lang w:eastAsia="zh-CN"/>
              </w:rPr>
              <w:t>’</w:t>
            </w:r>
            <w:r>
              <w:rPr>
                <w:rFonts w:hint="eastAsia" w:cs="Calibri" w:eastAsiaTheme="minorEastAsia"/>
                <w:lang w:eastAsia="zh-CN"/>
              </w:rPr>
              <w:t xml:space="preserve"> Oro Data Center Physical Infrastructure reporting 2024. 4 Omdia UPS Hardware Market Tracker 2024, &gt;250kva. 5 Omdia Data Center Power Distribution Tracker 2024.</w:t>
            </w:r>
          </w:p>
        </w:tc>
      </w:tr>
      <w:bookmarkEnd w:id="2"/>
    </w:tbl>
    <w:p w14:paraId="0D5E2615">
      <w:pPr>
        <w:jc w:val="both"/>
        <w:rPr>
          <w:rFonts w:cs="Calibri" w:eastAsiaTheme="minorEastAsia"/>
          <w:sz w:val="22"/>
          <w:szCs w:val="22"/>
          <w:lang w:eastAsia="zh-CN"/>
        </w:rPr>
      </w:pPr>
    </w:p>
    <w:p w14:paraId="258FA81C">
      <w:pPr>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Vertiv Holdings Co boasts a foundational pedigree that dates back to 1946,</w:t>
      </w:r>
      <w:r>
        <w:rPr>
          <w:rFonts w:hint="eastAsia" w:cs="Calibri" w:eastAsiaTheme="minorEastAsia"/>
          <w:b w:val="0"/>
          <w:bCs w:val="0"/>
          <w:sz w:val="22"/>
          <w:szCs w:val="22"/>
          <w:lang w:eastAsia="zh-CN"/>
        </w:rPr>
        <w:t xml:space="preserve"> though its modern industrial identity was truly forged in 1965 with the establishment of Liebert Corporation. As the pioneer of the first precision cooling systems for computer rooms, Liebert created a high-barrier-to-entry niche that eventually drew a strategic acquisition by Emerson Electric in 1987. Under the Emerson umbrella, the entity was reorganized in 2000 as Emerson Network Power, a period defined by aggressive M&amp;A activity designed to build a full-stack critical infrastructure provider. By integrating market leaders such as ASCO, Avocent, and Knürr AG, the division successfully diversified its portfolio across power transfer, remote management, and modular enclosure solutions.</w:t>
      </w:r>
    </w:p>
    <w:p w14:paraId="1B885D86">
      <w:pPr>
        <w:jc w:val="both"/>
        <w:rPr>
          <w:rFonts w:hint="eastAsia" w:cs="Calibri" w:eastAsiaTheme="minorEastAsia"/>
          <w:b w:val="0"/>
          <w:bCs w:val="0"/>
          <w:sz w:val="22"/>
          <w:szCs w:val="22"/>
          <w:lang w:eastAsia="zh-CN"/>
        </w:rPr>
      </w:pPr>
    </w:p>
    <w:p w14:paraId="6747C130">
      <w:pPr>
        <w:jc w:val="both"/>
        <w:rPr>
          <w:rFonts w:eastAsia="宋体" w:cs="Calibri"/>
          <w:sz w:val="22"/>
          <w:szCs w:val="22"/>
          <w:lang w:eastAsia="zh-CN"/>
        </w:rPr>
      </w:pPr>
      <w:r>
        <w:rPr>
          <w:rFonts w:hint="eastAsia" w:cs="Calibri" w:eastAsiaTheme="minorEastAsia"/>
          <w:b w:val="0"/>
          <w:bCs w:val="0"/>
          <w:sz w:val="22"/>
          <w:szCs w:val="22"/>
          <w:lang w:eastAsia="zh-CN"/>
        </w:rPr>
        <w:t>The most significant inflection point for investors occurred in 2016, when Emerson executed a strategic divestiture of the unit, rebranding it as Vertiv to operate as an independent, pure-play infrastructure specialist. This transition culminated in Vertiv</w:t>
      </w:r>
      <w:r>
        <w:rPr>
          <w:rFonts w:hint="default" w:cs="Calibri" w:eastAsiaTheme="minorEastAsia"/>
          <w:b w:val="0"/>
          <w:bCs w:val="0"/>
          <w:sz w:val="22"/>
          <w:szCs w:val="22"/>
          <w:lang w:val="en-US" w:eastAsia="zh-CN"/>
        </w:rPr>
        <w:t>’</w:t>
      </w:r>
      <w:r>
        <w:rPr>
          <w:rFonts w:hint="eastAsia" w:cs="Calibri" w:eastAsiaTheme="minorEastAsia"/>
          <w:b w:val="0"/>
          <w:bCs w:val="0"/>
          <w:sz w:val="22"/>
          <w:szCs w:val="22"/>
          <w:lang w:eastAsia="zh-CN"/>
        </w:rPr>
        <w:t>s public market debut on February 7, 2020, via a high-profile business combination with GS Acquisition Holdings Corp, a SPAC sponsored by an affiliate of Goldman Sachs. Since its listing, the company has transitioned from a legacy industrial subsidiary into a leading-edge beneficiary of the global build-out in data center capacity and AI-driven thermal demand, marking a successful structural evolution from a family-founded enterprise to a scaled, global platform.</w:t>
      </w:r>
    </w:p>
    <w:p w14:paraId="669D76F1">
      <w:pPr>
        <w:jc w:val="both"/>
        <w:rPr>
          <w:rFonts w:eastAsia="宋体" w:cs="Calibri"/>
          <w:sz w:val="22"/>
          <w:szCs w:val="22"/>
          <w:lang w:eastAsia="zh-CN"/>
        </w:rPr>
      </w:pPr>
      <w:r>
        <w:rPr>
          <w:rFonts w:hint="eastAsia" w:eastAsia="宋体" w:cs="Calibri"/>
          <w:b/>
          <w:bCs/>
          <w:sz w:val="22"/>
          <w:szCs w:val="22"/>
          <w:lang w:eastAsia="zh-CN"/>
        </w:rPr>
        <w:t>Since 2016</w:t>
      </w:r>
      <w:r>
        <w:rPr>
          <w:rFonts w:eastAsia="宋体" w:cs="Calibri"/>
          <w:b/>
          <w:bCs/>
          <w:sz w:val="22"/>
          <w:szCs w:val="22"/>
          <w:lang w:eastAsia="zh-CN"/>
        </w:rPr>
        <w:t>,</w:t>
      </w:r>
      <w:r>
        <w:rPr>
          <w:rFonts w:hint="eastAsia" w:eastAsia="宋体" w:cs="Calibri"/>
          <w:b/>
          <w:bCs/>
          <w:sz w:val="22"/>
          <w:szCs w:val="22"/>
          <w:lang w:eastAsia="zh-CN"/>
        </w:rPr>
        <w:t xml:space="preserve"> </w:t>
      </w:r>
      <w:r>
        <w:rPr>
          <w:rFonts w:eastAsia="宋体" w:cs="Calibri"/>
          <w:b/>
          <w:bCs/>
          <w:sz w:val="22"/>
          <w:szCs w:val="22"/>
          <w:lang w:eastAsia="zh-CN"/>
        </w:rPr>
        <w:t xml:space="preserve">the company </w:t>
      </w:r>
      <w:r>
        <w:rPr>
          <w:rFonts w:hint="eastAsia" w:eastAsia="宋体" w:cs="Calibri"/>
          <w:b/>
          <w:bCs/>
          <w:sz w:val="22"/>
          <w:szCs w:val="22"/>
          <w:lang w:eastAsia="zh-CN"/>
        </w:rPr>
        <w:t xml:space="preserve">has conducted a series of </w:t>
      </w:r>
      <w:r>
        <w:rPr>
          <w:rFonts w:eastAsia="宋体" w:cs="Calibri"/>
          <w:b/>
          <w:bCs/>
          <w:sz w:val="22"/>
          <w:szCs w:val="22"/>
          <w:lang w:eastAsia="zh-CN"/>
        </w:rPr>
        <w:t>acquisitions</w:t>
      </w:r>
      <w:r>
        <w:rPr>
          <w:rFonts w:hint="eastAsia" w:eastAsia="宋体" w:cs="Calibri"/>
          <w:b/>
          <w:bCs/>
          <w:sz w:val="22"/>
          <w:szCs w:val="22"/>
          <w:lang w:eastAsia="zh-CN"/>
        </w:rPr>
        <w:t>,</w:t>
      </w:r>
      <w:r>
        <w:rPr>
          <w:rFonts w:eastAsia="宋体" w:cs="Calibri"/>
          <w:b/>
          <w:bCs/>
          <w:sz w:val="22"/>
          <w:szCs w:val="22"/>
          <w:lang w:eastAsia="zh-CN"/>
        </w:rPr>
        <w:t xml:space="preserve"> targeting high-growth sectors, specifically</w:t>
      </w:r>
      <w:r>
        <w:rPr>
          <w:rFonts w:hint="eastAsia" w:eastAsia="宋体" w:cs="Calibri"/>
          <w:b/>
          <w:bCs/>
          <w:sz w:val="22"/>
          <w:szCs w:val="22"/>
          <w:lang w:eastAsia="zh-CN"/>
        </w:rPr>
        <w:t xml:space="preserve"> </w:t>
      </w:r>
      <w:r>
        <w:rPr>
          <w:rFonts w:eastAsia="宋体" w:cs="Calibri"/>
          <w:b/>
          <w:bCs/>
          <w:sz w:val="22"/>
          <w:szCs w:val="22"/>
          <w:lang w:eastAsia="zh-CN"/>
        </w:rPr>
        <w:t>Power Distribution</w:t>
      </w:r>
      <w:r>
        <w:rPr>
          <w:rFonts w:hint="eastAsia" w:eastAsia="宋体" w:cs="Calibri"/>
          <w:b/>
          <w:bCs/>
          <w:sz w:val="22"/>
          <w:szCs w:val="22"/>
          <w:lang w:eastAsia="zh-CN"/>
        </w:rPr>
        <w:t xml:space="preserve"> and</w:t>
      </w:r>
      <w:r>
        <w:rPr>
          <w:rFonts w:eastAsia="宋体" w:cs="Calibri"/>
          <w:b/>
          <w:bCs/>
          <w:sz w:val="22"/>
          <w:szCs w:val="22"/>
          <w:lang w:eastAsia="zh-CN"/>
        </w:rPr>
        <w:t xml:space="preserve"> Liquid Cooling.</w:t>
      </w:r>
      <w:r>
        <w:rPr>
          <w:rFonts w:eastAsia="宋体" w:cs="Calibri"/>
          <w:sz w:val="22"/>
          <w:szCs w:val="22"/>
          <w:lang w:eastAsia="zh-CN"/>
        </w:rPr>
        <w:t xml:space="preserve"> Here is </w:t>
      </w:r>
      <w:r>
        <w:rPr>
          <w:rFonts w:hint="eastAsia" w:eastAsia="宋体" w:cs="Calibri"/>
          <w:sz w:val="22"/>
          <w:szCs w:val="22"/>
          <w:lang w:eastAsia="zh-CN"/>
        </w:rPr>
        <w:t>a</w:t>
      </w:r>
      <w:r>
        <w:rPr>
          <w:rFonts w:eastAsia="宋体" w:cs="Calibri"/>
          <w:sz w:val="22"/>
          <w:szCs w:val="22"/>
          <w:lang w:eastAsia="zh-CN"/>
        </w:rPr>
        <w:t xml:space="preserve"> list of Vertiv’s significant acquisitions</w:t>
      </w:r>
      <w:r>
        <w:rPr>
          <w:rFonts w:hint="eastAsia" w:eastAsia="宋体" w:cs="Calibri"/>
          <w:sz w:val="22"/>
          <w:szCs w:val="22"/>
          <w:lang w:eastAsia="zh-CN"/>
        </w:rPr>
        <w:t>:</w:t>
      </w:r>
    </w:p>
    <w:p w14:paraId="0EF2BEA1">
      <w:pPr>
        <w:jc w:val="both"/>
        <w:rPr>
          <w:rFonts w:eastAsia="宋体" w:cs="Calibri"/>
          <w:sz w:val="22"/>
          <w:szCs w:val="22"/>
          <w:lang w:eastAsia="zh-CN"/>
        </w:rPr>
      </w:pPr>
    </w:p>
    <w:tbl>
      <w:tblPr>
        <w:tblStyle w:val="14"/>
        <w:tblW w:w="7327" w:type="dxa"/>
        <w:tblInd w:w="0" w:type="dxa"/>
        <w:tblLayout w:type="fixed"/>
        <w:tblCellMar>
          <w:top w:w="0" w:type="dxa"/>
          <w:left w:w="108" w:type="dxa"/>
          <w:bottom w:w="0" w:type="dxa"/>
          <w:right w:w="108" w:type="dxa"/>
        </w:tblCellMar>
      </w:tblPr>
      <w:tblGrid>
        <w:gridCol w:w="7327"/>
      </w:tblGrid>
      <w:tr w14:paraId="4A1778FB">
        <w:tblPrEx>
          <w:tblCellMar>
            <w:top w:w="0" w:type="dxa"/>
            <w:left w:w="108" w:type="dxa"/>
            <w:bottom w:w="0" w:type="dxa"/>
            <w:right w:w="108" w:type="dxa"/>
          </w:tblCellMar>
        </w:tblPrEx>
        <w:trPr>
          <w:trHeight w:val="256" w:hRule="atLeast"/>
        </w:trPr>
        <w:tc>
          <w:tcPr>
            <w:tcW w:w="7327" w:type="dxa"/>
            <w:tcMar>
              <w:left w:w="0" w:type="dxa"/>
              <w:right w:w="28" w:type="dxa"/>
            </w:tcMar>
          </w:tcPr>
          <w:p w14:paraId="24C58F4E">
            <w:pPr>
              <w:jc w:val="both"/>
              <w:rPr>
                <w:rFonts w:cs="Calibri" w:eastAsiaTheme="minorEastAsia"/>
                <w:sz w:val="22"/>
                <w:szCs w:val="22"/>
                <w:lang w:eastAsia="zh-CN"/>
              </w:rPr>
            </w:pPr>
            <w:r>
              <w:rPr>
                <w:rFonts w:hint="eastAsia" w:eastAsia="宋体" w:cs="Calibri"/>
                <w:b/>
                <w:bCs/>
                <w:sz w:val="20"/>
                <w:szCs w:val="20"/>
                <w:lang w:eastAsia="zh-CN"/>
              </w:rPr>
              <w:t>Table</w:t>
            </w:r>
            <w:r>
              <w:rPr>
                <w:rFonts w:cs="Calibri" w:eastAsiaTheme="minorEastAsia"/>
                <w:b/>
                <w:bCs/>
                <w:sz w:val="20"/>
                <w:szCs w:val="20"/>
                <w:lang w:eastAsia="zh-CN"/>
              </w:rPr>
              <w:t xml:space="preserve">: </w:t>
            </w:r>
            <w:r>
              <w:rPr>
                <w:rFonts w:hint="eastAsia" w:cs="Calibri" w:eastAsiaTheme="minorEastAsia"/>
                <w:b/>
                <w:bCs/>
                <w:sz w:val="20"/>
                <w:szCs w:val="20"/>
                <w:lang w:eastAsia="zh-CN"/>
              </w:rPr>
              <w:t>Product and services c</w:t>
            </w:r>
            <w:r>
              <w:rPr>
                <w:rFonts w:cs="Calibri" w:eastAsiaTheme="minorEastAsia"/>
                <w:b/>
                <w:bCs/>
                <w:sz w:val="20"/>
                <w:szCs w:val="20"/>
                <w:lang w:eastAsia="zh-CN"/>
              </w:rPr>
              <w:t>ategories</w:t>
            </w:r>
          </w:p>
        </w:tc>
      </w:tr>
      <w:tr w14:paraId="30F3F23C">
        <w:tblPrEx>
          <w:tblCellMar>
            <w:top w:w="0" w:type="dxa"/>
            <w:left w:w="108" w:type="dxa"/>
            <w:bottom w:w="0" w:type="dxa"/>
            <w:right w:w="108" w:type="dxa"/>
          </w:tblCellMar>
        </w:tblPrEx>
        <w:trPr>
          <w:trHeight w:val="727" w:hRule="atLeast"/>
        </w:trPr>
        <w:tc>
          <w:tcPr>
            <w:tcW w:w="7327" w:type="dxa"/>
            <w:vAlign w:val="center"/>
          </w:tcPr>
          <w:tbl>
            <w:tblPr>
              <w:tblStyle w:val="14"/>
              <w:tblW w:w="7107" w:type="dxa"/>
              <w:tblInd w:w="0" w:type="dxa"/>
              <w:tblLayout w:type="fixed"/>
              <w:tblCellMar>
                <w:top w:w="0" w:type="dxa"/>
                <w:left w:w="108" w:type="dxa"/>
                <w:bottom w:w="0" w:type="dxa"/>
                <w:right w:w="108" w:type="dxa"/>
              </w:tblCellMar>
            </w:tblPr>
            <w:tblGrid>
              <w:gridCol w:w="584"/>
              <w:gridCol w:w="1391"/>
              <w:gridCol w:w="2226"/>
              <w:gridCol w:w="2906"/>
            </w:tblGrid>
            <w:tr w14:paraId="46417F50">
              <w:tblPrEx>
                <w:tblCellMar>
                  <w:top w:w="0" w:type="dxa"/>
                  <w:left w:w="108" w:type="dxa"/>
                  <w:bottom w:w="0" w:type="dxa"/>
                  <w:right w:w="108" w:type="dxa"/>
                </w:tblCellMar>
              </w:tblPrEx>
              <w:trPr>
                <w:trHeight w:val="283" w:hRule="atLeast"/>
              </w:trPr>
              <w:tc>
                <w:tcPr>
                  <w:tcW w:w="584" w:type="dxa"/>
                  <w:tcBorders>
                    <w:top w:val="single" w:color="000000" w:sz="8" w:space="0"/>
                    <w:left w:val="single" w:color="000000" w:sz="8" w:space="0"/>
                    <w:bottom w:val="single" w:color="000000" w:sz="8" w:space="0"/>
                    <w:right w:val="single" w:color="000000" w:sz="8" w:space="0"/>
                  </w:tcBorders>
                  <w:vAlign w:val="center"/>
                </w:tcPr>
                <w:p w14:paraId="1BBA783C">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Year</w:t>
                  </w:r>
                </w:p>
              </w:tc>
              <w:tc>
                <w:tcPr>
                  <w:tcW w:w="1391" w:type="dxa"/>
                  <w:tcBorders>
                    <w:top w:val="single" w:color="000000" w:sz="8" w:space="0"/>
                    <w:left w:val="nil"/>
                    <w:bottom w:val="single" w:color="000000" w:sz="8" w:space="0"/>
                    <w:right w:val="single" w:color="000000" w:sz="8" w:space="0"/>
                  </w:tcBorders>
                  <w:vAlign w:val="center"/>
                </w:tcPr>
                <w:p w14:paraId="5BA362E6">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Company</w:t>
                  </w:r>
                </w:p>
              </w:tc>
              <w:tc>
                <w:tcPr>
                  <w:tcW w:w="2226" w:type="dxa"/>
                  <w:tcBorders>
                    <w:top w:val="single" w:color="000000" w:sz="8" w:space="0"/>
                    <w:left w:val="nil"/>
                    <w:bottom w:val="single" w:color="000000" w:sz="8" w:space="0"/>
                    <w:right w:val="single" w:color="000000" w:sz="8" w:space="0"/>
                  </w:tcBorders>
                  <w:vAlign w:val="center"/>
                </w:tcPr>
                <w:p w14:paraId="2615E7E0">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Key Focus Area</w:t>
                  </w:r>
                </w:p>
              </w:tc>
              <w:tc>
                <w:tcPr>
                  <w:tcW w:w="2906" w:type="dxa"/>
                  <w:tcBorders>
                    <w:top w:val="single" w:color="000000" w:sz="8" w:space="0"/>
                    <w:left w:val="nil"/>
                    <w:bottom w:val="single" w:color="000000" w:sz="8" w:space="0"/>
                    <w:right w:val="single" w:color="000000" w:sz="8" w:space="0"/>
                  </w:tcBorders>
                  <w:vAlign w:val="center"/>
                </w:tcPr>
                <w:p w14:paraId="316D3971">
                  <w:pPr>
                    <w:jc w:val="center"/>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Details</w:t>
                  </w:r>
                </w:p>
              </w:tc>
            </w:tr>
            <w:tr w14:paraId="54FFE84E">
              <w:tblPrEx>
                <w:tblCellMar>
                  <w:top w:w="0" w:type="dxa"/>
                  <w:left w:w="108" w:type="dxa"/>
                  <w:bottom w:w="0" w:type="dxa"/>
                  <w:right w:w="108" w:type="dxa"/>
                </w:tblCellMar>
              </w:tblPrEx>
              <w:trPr>
                <w:trHeight w:val="174" w:hRule="atLeast"/>
              </w:trPr>
              <w:tc>
                <w:tcPr>
                  <w:tcW w:w="584" w:type="dxa"/>
                  <w:tcBorders>
                    <w:top w:val="nil"/>
                    <w:left w:val="single" w:color="000000" w:sz="8" w:space="0"/>
                    <w:bottom w:val="single" w:color="000000" w:sz="8" w:space="0"/>
                    <w:right w:val="single" w:color="000000" w:sz="8" w:space="0"/>
                  </w:tcBorders>
                  <w:vAlign w:val="center"/>
                </w:tcPr>
                <w:p w14:paraId="59BE030B">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2018</w:t>
                  </w:r>
                </w:p>
              </w:tc>
              <w:tc>
                <w:tcPr>
                  <w:tcW w:w="1391" w:type="dxa"/>
                  <w:tcBorders>
                    <w:top w:val="nil"/>
                    <w:left w:val="nil"/>
                    <w:bottom w:val="single" w:color="000000" w:sz="8" w:space="0"/>
                    <w:right w:val="single" w:color="000000" w:sz="8" w:space="0"/>
                  </w:tcBorders>
                  <w:vAlign w:val="center"/>
                </w:tcPr>
                <w:p w14:paraId="698794CF">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Energy Labs</w:t>
                  </w:r>
                </w:p>
              </w:tc>
              <w:tc>
                <w:tcPr>
                  <w:tcW w:w="2226" w:type="dxa"/>
                  <w:tcBorders>
                    <w:top w:val="nil"/>
                    <w:left w:val="nil"/>
                    <w:bottom w:val="single" w:color="000000" w:sz="8" w:space="0"/>
                    <w:right w:val="single" w:color="000000" w:sz="8" w:space="0"/>
                  </w:tcBorders>
                  <w:vAlign w:val="center"/>
                </w:tcPr>
                <w:p w14:paraId="1164C4E9">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Custom Air Handling</w:t>
                  </w:r>
                </w:p>
              </w:tc>
              <w:tc>
                <w:tcPr>
                  <w:tcW w:w="2906" w:type="dxa"/>
                  <w:tcBorders>
                    <w:top w:val="nil"/>
                    <w:left w:val="nil"/>
                    <w:bottom w:val="single" w:color="000000" w:sz="8" w:space="0"/>
                    <w:right w:val="single" w:color="000000" w:sz="8" w:space="0"/>
                  </w:tcBorders>
                  <w:vAlign w:val="center"/>
                </w:tcPr>
                <w:p w14:paraId="61E2CDD9">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Enhanced indirect evaporative cooling for hyperscalers.</w:t>
                  </w:r>
                </w:p>
              </w:tc>
            </w:tr>
            <w:tr w14:paraId="6A755E5B">
              <w:tblPrEx>
                <w:tblCellMar>
                  <w:top w:w="0" w:type="dxa"/>
                  <w:left w:w="108" w:type="dxa"/>
                  <w:bottom w:w="0" w:type="dxa"/>
                  <w:right w:w="108" w:type="dxa"/>
                </w:tblCellMar>
              </w:tblPrEx>
              <w:trPr>
                <w:trHeight w:val="266" w:hRule="atLeast"/>
              </w:trPr>
              <w:tc>
                <w:tcPr>
                  <w:tcW w:w="584" w:type="dxa"/>
                  <w:tcBorders>
                    <w:top w:val="nil"/>
                    <w:left w:val="single" w:color="000000" w:sz="8" w:space="0"/>
                    <w:bottom w:val="single" w:color="000000" w:sz="8" w:space="0"/>
                    <w:right w:val="single" w:color="000000" w:sz="8" w:space="0"/>
                  </w:tcBorders>
                  <w:vAlign w:val="center"/>
                </w:tcPr>
                <w:p w14:paraId="787FD671">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2018</w:t>
                  </w:r>
                </w:p>
              </w:tc>
              <w:tc>
                <w:tcPr>
                  <w:tcW w:w="1391" w:type="dxa"/>
                  <w:tcBorders>
                    <w:top w:val="nil"/>
                    <w:left w:val="nil"/>
                    <w:bottom w:val="single" w:color="000000" w:sz="8" w:space="0"/>
                    <w:right w:val="single" w:color="000000" w:sz="8" w:space="0"/>
                  </w:tcBorders>
                  <w:vAlign w:val="center"/>
                </w:tcPr>
                <w:p w14:paraId="5B52B2A6">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Geist</w:t>
                  </w:r>
                </w:p>
              </w:tc>
              <w:tc>
                <w:tcPr>
                  <w:tcW w:w="2226" w:type="dxa"/>
                  <w:tcBorders>
                    <w:top w:val="nil"/>
                    <w:left w:val="nil"/>
                    <w:bottom w:val="single" w:color="000000" w:sz="8" w:space="0"/>
                    <w:right w:val="single" w:color="000000" w:sz="8" w:space="0"/>
                  </w:tcBorders>
                  <w:vAlign w:val="center"/>
                </w:tcPr>
                <w:p w14:paraId="0E9C5F0D">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Rack PDUs</w:t>
                  </w:r>
                </w:p>
              </w:tc>
              <w:tc>
                <w:tcPr>
                  <w:tcW w:w="2906" w:type="dxa"/>
                  <w:tcBorders>
                    <w:top w:val="nil"/>
                    <w:left w:val="nil"/>
                    <w:bottom w:val="single" w:color="000000" w:sz="8" w:space="0"/>
                    <w:right w:val="single" w:color="000000" w:sz="8" w:space="0"/>
                  </w:tcBorders>
                  <w:vAlign w:val="center"/>
                </w:tcPr>
                <w:p w14:paraId="1FF739E9">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Secured leadership in rack-level power distribution.</w:t>
                  </w:r>
                </w:p>
              </w:tc>
            </w:tr>
            <w:tr w14:paraId="5F01E0BE">
              <w:tblPrEx>
                <w:tblCellMar>
                  <w:top w:w="0" w:type="dxa"/>
                  <w:left w:w="108" w:type="dxa"/>
                  <w:bottom w:w="0" w:type="dxa"/>
                  <w:right w:w="108" w:type="dxa"/>
                </w:tblCellMar>
              </w:tblPrEx>
              <w:trPr>
                <w:trHeight w:val="311" w:hRule="atLeast"/>
              </w:trPr>
              <w:tc>
                <w:tcPr>
                  <w:tcW w:w="584" w:type="dxa"/>
                  <w:tcBorders>
                    <w:top w:val="nil"/>
                    <w:left w:val="single" w:color="000000" w:sz="8" w:space="0"/>
                    <w:bottom w:val="single" w:color="000000" w:sz="8" w:space="0"/>
                    <w:right w:val="single" w:color="000000" w:sz="8" w:space="0"/>
                  </w:tcBorders>
                  <w:vAlign w:val="center"/>
                </w:tcPr>
                <w:p w14:paraId="33B1CA89">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2021</w:t>
                  </w:r>
                </w:p>
              </w:tc>
              <w:tc>
                <w:tcPr>
                  <w:tcW w:w="1391" w:type="dxa"/>
                  <w:tcBorders>
                    <w:top w:val="nil"/>
                    <w:left w:val="nil"/>
                    <w:bottom w:val="single" w:color="000000" w:sz="8" w:space="0"/>
                    <w:right w:val="single" w:color="000000" w:sz="8" w:space="0"/>
                  </w:tcBorders>
                  <w:vAlign w:val="center"/>
                </w:tcPr>
                <w:p w14:paraId="46B3BED0">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E&amp;I</w:t>
                  </w:r>
                  <w:r>
                    <w:rPr>
                      <w:rFonts w:hint="eastAsia" w:eastAsia="宋体" w:asciiTheme="minorHAnsi" w:hAnsiTheme="minorHAnsi" w:cstheme="minorHAnsi"/>
                      <w:snapToGrid/>
                      <w:color w:val="1F1F1F"/>
                      <w:sz w:val="18"/>
                      <w:szCs w:val="18"/>
                      <w:lang w:val="zh-CN" w:eastAsia="zh-CN"/>
                    </w:rPr>
                    <w:t xml:space="preserve"> </w:t>
                  </w:r>
                  <w:r>
                    <w:rPr>
                      <w:rFonts w:eastAsia="Times New Roman" w:asciiTheme="minorHAnsi" w:hAnsiTheme="minorHAnsi" w:cstheme="minorHAnsi"/>
                      <w:snapToGrid/>
                      <w:color w:val="1F1F1F"/>
                      <w:sz w:val="18"/>
                      <w:szCs w:val="18"/>
                      <w:lang w:val="zh-CN" w:eastAsia="zh-CN"/>
                    </w:rPr>
                    <w:t>Engineering</w:t>
                  </w:r>
                </w:p>
              </w:tc>
              <w:tc>
                <w:tcPr>
                  <w:tcW w:w="2226" w:type="dxa"/>
                  <w:tcBorders>
                    <w:top w:val="nil"/>
                    <w:left w:val="nil"/>
                    <w:bottom w:val="single" w:color="000000" w:sz="8" w:space="0"/>
                    <w:right w:val="single" w:color="000000" w:sz="8" w:space="0"/>
                  </w:tcBorders>
                  <w:vAlign w:val="center"/>
                </w:tcPr>
                <w:p w14:paraId="78AC119E">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Switchgear &amp; B</w:t>
                  </w:r>
                  <w:r>
                    <w:rPr>
                      <w:rFonts w:hint="eastAsia" w:eastAsia="Times New Roman" w:asciiTheme="minorHAnsi" w:hAnsiTheme="minorHAnsi" w:cstheme="minorHAnsi"/>
                      <w:snapToGrid/>
                      <w:color w:val="1F1F1F"/>
                      <w:sz w:val="18"/>
                      <w:szCs w:val="18"/>
                      <w:lang w:val="en-US" w:eastAsia="zh-CN"/>
                    </w:rPr>
                    <w:t>u</w:t>
                  </w:r>
                  <w:r>
                    <w:rPr>
                      <w:rFonts w:eastAsia="Times New Roman" w:asciiTheme="minorHAnsi" w:hAnsiTheme="minorHAnsi" w:cstheme="minorHAnsi"/>
                      <w:snapToGrid/>
                      <w:color w:val="1F1F1F"/>
                      <w:sz w:val="18"/>
                      <w:szCs w:val="18"/>
                      <w:lang w:val="zh-CN" w:eastAsia="zh-CN"/>
                    </w:rPr>
                    <w:t>sway</w:t>
                  </w:r>
                </w:p>
              </w:tc>
              <w:tc>
                <w:tcPr>
                  <w:tcW w:w="2906" w:type="dxa"/>
                  <w:tcBorders>
                    <w:top w:val="nil"/>
                    <w:left w:val="nil"/>
                    <w:bottom w:val="single" w:color="000000" w:sz="8" w:space="0"/>
                    <w:right w:val="single" w:color="000000" w:sz="8" w:space="0"/>
                  </w:tcBorders>
                  <w:vAlign w:val="center"/>
                </w:tcPr>
                <w:p w14:paraId="7C2CD55A">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Expansion: The $2B deal completed the full power chain.</w:t>
                  </w:r>
                </w:p>
              </w:tc>
            </w:tr>
            <w:tr w14:paraId="2F2E10C0">
              <w:tblPrEx>
                <w:tblCellMar>
                  <w:top w:w="0" w:type="dxa"/>
                  <w:left w:w="108" w:type="dxa"/>
                  <w:bottom w:w="0" w:type="dxa"/>
                  <w:right w:w="108" w:type="dxa"/>
                </w:tblCellMar>
              </w:tblPrEx>
              <w:trPr>
                <w:trHeight w:val="160" w:hRule="atLeast"/>
              </w:trPr>
              <w:tc>
                <w:tcPr>
                  <w:tcW w:w="584" w:type="dxa"/>
                  <w:tcBorders>
                    <w:top w:val="nil"/>
                    <w:left w:val="single" w:color="000000" w:sz="8" w:space="0"/>
                    <w:bottom w:val="single" w:color="000000" w:sz="8" w:space="0"/>
                    <w:right w:val="single" w:color="000000" w:sz="8" w:space="0"/>
                  </w:tcBorders>
                  <w:vAlign w:val="center"/>
                </w:tcPr>
                <w:p w14:paraId="6617CD63">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2023</w:t>
                  </w:r>
                </w:p>
              </w:tc>
              <w:tc>
                <w:tcPr>
                  <w:tcW w:w="1391" w:type="dxa"/>
                  <w:tcBorders>
                    <w:top w:val="nil"/>
                    <w:left w:val="nil"/>
                    <w:bottom w:val="single" w:color="000000" w:sz="8" w:space="0"/>
                    <w:right w:val="single" w:color="000000" w:sz="8" w:space="0"/>
                  </w:tcBorders>
                  <w:vAlign w:val="center"/>
                </w:tcPr>
                <w:p w14:paraId="3A2F2C2D">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 xml:space="preserve">CoolTera </w:t>
                  </w:r>
                </w:p>
              </w:tc>
              <w:tc>
                <w:tcPr>
                  <w:tcW w:w="2226" w:type="dxa"/>
                  <w:tcBorders>
                    <w:top w:val="nil"/>
                    <w:left w:val="nil"/>
                    <w:bottom w:val="single" w:color="000000" w:sz="8" w:space="0"/>
                    <w:right w:val="single" w:color="000000" w:sz="8" w:space="0"/>
                  </w:tcBorders>
                  <w:vAlign w:val="center"/>
                </w:tcPr>
                <w:p w14:paraId="3EBE92B0">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Liquid Cooling (CDU)</w:t>
                  </w:r>
                </w:p>
              </w:tc>
              <w:tc>
                <w:tcPr>
                  <w:tcW w:w="2906" w:type="dxa"/>
                  <w:tcBorders>
                    <w:top w:val="nil"/>
                    <w:left w:val="nil"/>
                    <w:bottom w:val="single" w:color="000000" w:sz="8" w:space="0"/>
                    <w:right w:val="single" w:color="000000" w:sz="8" w:space="0"/>
                  </w:tcBorders>
                  <w:vAlign w:val="center"/>
                </w:tcPr>
                <w:p w14:paraId="300E49B2">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AI Readiness: Acquired to lead in high-density chip cooling.</w:t>
                  </w:r>
                </w:p>
              </w:tc>
            </w:tr>
            <w:tr w14:paraId="3A13A2E2">
              <w:tblPrEx>
                <w:tblCellMar>
                  <w:top w:w="0" w:type="dxa"/>
                  <w:left w:w="108" w:type="dxa"/>
                  <w:bottom w:w="0" w:type="dxa"/>
                  <w:right w:w="108" w:type="dxa"/>
                </w:tblCellMar>
              </w:tblPrEx>
              <w:trPr>
                <w:trHeight w:val="236" w:hRule="atLeast"/>
              </w:trPr>
              <w:tc>
                <w:tcPr>
                  <w:tcW w:w="584" w:type="dxa"/>
                  <w:tcBorders>
                    <w:top w:val="nil"/>
                    <w:left w:val="single" w:color="000000" w:sz="8" w:space="0"/>
                    <w:bottom w:val="single" w:color="000000" w:sz="8" w:space="0"/>
                    <w:right w:val="single" w:color="000000" w:sz="8" w:space="0"/>
                  </w:tcBorders>
                  <w:vAlign w:val="center"/>
                </w:tcPr>
                <w:p w14:paraId="15455C7C">
                  <w:pPr>
                    <w:jc w:val="both"/>
                    <w:rPr>
                      <w:rFonts w:eastAsia="Times New Roman" w:asciiTheme="minorHAnsi" w:hAnsiTheme="minorHAnsi" w:cstheme="minorHAnsi"/>
                      <w:b/>
                      <w:bCs/>
                      <w:snapToGrid/>
                      <w:color w:val="1F1F1F"/>
                      <w:sz w:val="18"/>
                      <w:szCs w:val="18"/>
                      <w:lang w:val="zh-CN" w:eastAsia="zh-CN"/>
                    </w:rPr>
                  </w:pPr>
                  <w:r>
                    <w:rPr>
                      <w:rFonts w:hint="eastAsia" w:eastAsia="宋体" w:asciiTheme="minorHAnsi" w:hAnsiTheme="minorHAnsi" w:cstheme="minorHAnsi"/>
                      <w:b/>
                      <w:bCs/>
                      <w:snapToGrid/>
                      <w:color w:val="1F1F1F"/>
                      <w:sz w:val="18"/>
                      <w:szCs w:val="18"/>
                      <w:lang w:val="zh-CN" w:eastAsia="zh-CN"/>
                    </w:rPr>
                    <w:t>2</w:t>
                  </w:r>
                  <w:r>
                    <w:rPr>
                      <w:rFonts w:eastAsia="Times New Roman" w:asciiTheme="minorHAnsi" w:hAnsiTheme="minorHAnsi" w:cstheme="minorHAnsi"/>
                      <w:b/>
                      <w:bCs/>
                      <w:snapToGrid/>
                      <w:color w:val="1F1F1F"/>
                      <w:sz w:val="18"/>
                      <w:szCs w:val="18"/>
                      <w:lang w:val="zh-CN" w:eastAsia="zh-CN"/>
                    </w:rPr>
                    <w:t>025</w:t>
                  </w:r>
                </w:p>
              </w:tc>
              <w:tc>
                <w:tcPr>
                  <w:tcW w:w="1391" w:type="dxa"/>
                  <w:tcBorders>
                    <w:top w:val="nil"/>
                    <w:left w:val="nil"/>
                    <w:bottom w:val="single" w:color="000000" w:sz="8" w:space="0"/>
                    <w:right w:val="single" w:color="000000" w:sz="8" w:space="0"/>
                  </w:tcBorders>
                  <w:vAlign w:val="center"/>
                </w:tcPr>
                <w:p w14:paraId="20F9C682">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Waylay NV</w:t>
                  </w:r>
                </w:p>
              </w:tc>
              <w:tc>
                <w:tcPr>
                  <w:tcW w:w="2226" w:type="dxa"/>
                  <w:tcBorders>
                    <w:top w:val="nil"/>
                    <w:left w:val="nil"/>
                    <w:bottom w:val="single" w:color="000000" w:sz="8" w:space="0"/>
                    <w:right w:val="single" w:color="000000" w:sz="8" w:space="0"/>
                  </w:tcBorders>
                  <w:vAlign w:val="center"/>
                </w:tcPr>
                <w:p w14:paraId="29412B51">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GenAI &amp; IoT Software</w:t>
                  </w:r>
                </w:p>
              </w:tc>
              <w:tc>
                <w:tcPr>
                  <w:tcW w:w="2906" w:type="dxa"/>
                  <w:tcBorders>
                    <w:top w:val="nil"/>
                    <w:left w:val="nil"/>
                    <w:bottom w:val="single" w:color="000000" w:sz="8" w:space="0"/>
                    <w:right w:val="single" w:color="000000" w:sz="8" w:space="0"/>
                  </w:tcBorders>
                  <w:vAlign w:val="center"/>
                </w:tcPr>
                <w:p w14:paraId="44277DD8">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Added AI-driven automation for infrastructure monitoring.</w:t>
                  </w:r>
                </w:p>
              </w:tc>
            </w:tr>
            <w:tr w14:paraId="2F13CC2E">
              <w:tblPrEx>
                <w:tblCellMar>
                  <w:top w:w="0" w:type="dxa"/>
                  <w:left w:w="108" w:type="dxa"/>
                  <w:bottom w:w="0" w:type="dxa"/>
                  <w:right w:w="108" w:type="dxa"/>
                </w:tblCellMar>
              </w:tblPrEx>
              <w:trPr>
                <w:trHeight w:val="201" w:hRule="atLeast"/>
              </w:trPr>
              <w:tc>
                <w:tcPr>
                  <w:tcW w:w="584" w:type="dxa"/>
                  <w:tcBorders>
                    <w:top w:val="nil"/>
                    <w:left w:val="single" w:color="000000" w:sz="8" w:space="0"/>
                    <w:bottom w:val="single" w:color="000000" w:sz="8" w:space="0"/>
                    <w:right w:val="single" w:color="000000" w:sz="8" w:space="0"/>
                  </w:tcBorders>
                  <w:vAlign w:val="center"/>
                </w:tcPr>
                <w:p w14:paraId="1E5C82A8">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2025</w:t>
                  </w:r>
                </w:p>
              </w:tc>
              <w:tc>
                <w:tcPr>
                  <w:tcW w:w="1391" w:type="dxa"/>
                  <w:tcBorders>
                    <w:top w:val="nil"/>
                    <w:left w:val="nil"/>
                    <w:bottom w:val="single" w:color="000000" w:sz="8" w:space="0"/>
                    <w:right w:val="single" w:color="000000" w:sz="8" w:space="0"/>
                  </w:tcBorders>
                  <w:vAlign w:val="center"/>
                </w:tcPr>
                <w:p w14:paraId="5E0D369B">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Great Lakes</w:t>
                  </w:r>
                </w:p>
              </w:tc>
              <w:tc>
                <w:tcPr>
                  <w:tcW w:w="2226" w:type="dxa"/>
                  <w:tcBorders>
                    <w:top w:val="nil"/>
                    <w:left w:val="nil"/>
                    <w:bottom w:val="single" w:color="000000" w:sz="8" w:space="0"/>
                    <w:right w:val="single" w:color="000000" w:sz="8" w:space="0"/>
                  </w:tcBorders>
                  <w:vAlign w:val="center"/>
                </w:tcPr>
                <w:p w14:paraId="3BF4AE67">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Custom Racks&amp;</w:t>
                  </w:r>
                  <w:r>
                    <w:rPr>
                      <w:rFonts w:hint="eastAsia" w:eastAsia="宋体" w:asciiTheme="minorHAnsi" w:hAnsiTheme="minorHAnsi" w:cstheme="minorHAnsi"/>
                      <w:snapToGrid/>
                      <w:color w:val="1F1F1F"/>
                      <w:sz w:val="18"/>
                      <w:szCs w:val="18"/>
                      <w:lang w:val="zh-CN" w:eastAsia="zh-CN"/>
                    </w:rPr>
                    <w:t xml:space="preserve"> </w:t>
                  </w:r>
                  <w:r>
                    <w:rPr>
                      <w:rFonts w:eastAsia="Times New Roman" w:asciiTheme="minorHAnsi" w:hAnsiTheme="minorHAnsi" w:cstheme="minorHAnsi"/>
                      <w:snapToGrid/>
                      <w:color w:val="1F1F1F"/>
                      <w:sz w:val="18"/>
                      <w:szCs w:val="18"/>
                      <w:lang w:val="zh-CN" w:eastAsia="zh-CN"/>
                    </w:rPr>
                    <w:t>Enclosures</w:t>
                  </w:r>
                </w:p>
              </w:tc>
              <w:tc>
                <w:tcPr>
                  <w:tcW w:w="2906" w:type="dxa"/>
                  <w:tcBorders>
                    <w:top w:val="nil"/>
                    <w:left w:val="nil"/>
                    <w:bottom w:val="single" w:color="000000" w:sz="8" w:space="0"/>
                    <w:right w:val="single" w:color="000000" w:sz="8" w:space="0"/>
                  </w:tcBorders>
                  <w:vAlign w:val="center"/>
                </w:tcPr>
                <w:p w14:paraId="34D373F2">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Boosted "White Space" integration and speed-to-market.</w:t>
                  </w:r>
                </w:p>
              </w:tc>
            </w:tr>
            <w:tr w14:paraId="47ECBE5E">
              <w:tblPrEx>
                <w:tblCellMar>
                  <w:top w:w="0" w:type="dxa"/>
                  <w:left w:w="108" w:type="dxa"/>
                  <w:bottom w:w="0" w:type="dxa"/>
                  <w:right w:w="108" w:type="dxa"/>
                </w:tblCellMar>
              </w:tblPrEx>
              <w:trPr>
                <w:trHeight w:val="165" w:hRule="atLeast"/>
              </w:trPr>
              <w:tc>
                <w:tcPr>
                  <w:tcW w:w="584" w:type="dxa"/>
                  <w:tcBorders>
                    <w:top w:val="nil"/>
                    <w:left w:val="single" w:color="000000" w:sz="8" w:space="0"/>
                    <w:bottom w:val="single" w:color="000000" w:sz="8" w:space="0"/>
                    <w:right w:val="single" w:color="000000" w:sz="8" w:space="0"/>
                  </w:tcBorders>
                  <w:vAlign w:val="center"/>
                </w:tcPr>
                <w:p w14:paraId="258CBC35">
                  <w:pPr>
                    <w:jc w:val="both"/>
                    <w:rPr>
                      <w:rFonts w:eastAsia="Times New Roman" w:asciiTheme="minorHAnsi" w:hAnsiTheme="minorHAnsi" w:cstheme="minorHAnsi"/>
                      <w:b/>
                      <w:bCs/>
                      <w:snapToGrid/>
                      <w:color w:val="1F1F1F"/>
                      <w:sz w:val="18"/>
                      <w:szCs w:val="18"/>
                      <w:lang w:val="zh-CN" w:eastAsia="zh-CN"/>
                    </w:rPr>
                  </w:pPr>
                  <w:r>
                    <w:rPr>
                      <w:rFonts w:eastAsia="Times New Roman" w:asciiTheme="minorHAnsi" w:hAnsiTheme="minorHAnsi" w:cstheme="minorHAnsi"/>
                      <w:b/>
                      <w:bCs/>
                      <w:snapToGrid/>
                      <w:color w:val="1F1F1F"/>
                      <w:sz w:val="18"/>
                      <w:szCs w:val="18"/>
                      <w:lang w:val="zh-CN" w:eastAsia="zh-CN"/>
                    </w:rPr>
                    <w:t>2025</w:t>
                  </w:r>
                </w:p>
              </w:tc>
              <w:tc>
                <w:tcPr>
                  <w:tcW w:w="1391" w:type="dxa"/>
                  <w:tcBorders>
                    <w:top w:val="nil"/>
                    <w:left w:val="nil"/>
                    <w:bottom w:val="single" w:color="000000" w:sz="8" w:space="0"/>
                    <w:right w:val="single" w:color="000000" w:sz="8" w:space="0"/>
                  </w:tcBorders>
                  <w:vAlign w:val="center"/>
                </w:tcPr>
                <w:p w14:paraId="231CF946">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PurgeRite</w:t>
                  </w:r>
                </w:p>
              </w:tc>
              <w:tc>
                <w:tcPr>
                  <w:tcW w:w="2226" w:type="dxa"/>
                  <w:tcBorders>
                    <w:top w:val="nil"/>
                    <w:left w:val="nil"/>
                    <w:bottom w:val="single" w:color="000000" w:sz="8" w:space="0"/>
                    <w:right w:val="single" w:color="000000" w:sz="8" w:space="0"/>
                  </w:tcBorders>
                  <w:vAlign w:val="center"/>
                </w:tcPr>
                <w:p w14:paraId="2993B8DD">
                  <w:pPr>
                    <w:jc w:val="both"/>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Liquid Cooling Services</w:t>
                  </w:r>
                </w:p>
              </w:tc>
              <w:tc>
                <w:tcPr>
                  <w:tcW w:w="2906" w:type="dxa"/>
                  <w:tcBorders>
                    <w:top w:val="nil"/>
                    <w:left w:val="nil"/>
                    <w:bottom w:val="single" w:color="000000" w:sz="8" w:space="0"/>
                    <w:right w:val="single" w:color="000000" w:sz="8" w:space="0"/>
                  </w:tcBorders>
                  <w:vAlign w:val="center"/>
                </w:tcPr>
                <w:p w14:paraId="2327C63C">
                  <w:pPr>
                    <w:rPr>
                      <w:rFonts w:eastAsia="Times New Roman" w:asciiTheme="minorHAnsi" w:hAnsiTheme="minorHAnsi" w:cstheme="minorHAnsi"/>
                      <w:snapToGrid/>
                      <w:color w:val="1F1F1F"/>
                      <w:sz w:val="18"/>
                      <w:szCs w:val="18"/>
                      <w:lang w:val="zh-CN" w:eastAsia="zh-CN"/>
                    </w:rPr>
                  </w:pPr>
                  <w:r>
                    <w:rPr>
                      <w:rFonts w:eastAsia="Times New Roman" w:asciiTheme="minorHAnsi" w:hAnsiTheme="minorHAnsi" w:cstheme="minorHAnsi"/>
                      <w:snapToGrid/>
                      <w:color w:val="1F1F1F"/>
                      <w:sz w:val="18"/>
                      <w:szCs w:val="18"/>
                      <w:lang w:val="zh-CN" w:eastAsia="zh-CN"/>
                    </w:rPr>
                    <w:t>Strengthened lifecycle support for AI liquid cooling systems.</w:t>
                  </w:r>
                </w:p>
              </w:tc>
            </w:tr>
          </w:tbl>
          <w:p w14:paraId="63BBA69E">
            <w:pPr>
              <w:jc w:val="both"/>
              <w:rPr>
                <w:rFonts w:cs="Calibri" w:eastAsiaTheme="minorEastAsia"/>
                <w:sz w:val="22"/>
                <w:szCs w:val="22"/>
                <w:lang w:val="zh-CN" w:eastAsia="zh-CN"/>
              </w:rPr>
            </w:pPr>
          </w:p>
        </w:tc>
      </w:tr>
      <w:tr w14:paraId="47AA1674">
        <w:tblPrEx>
          <w:tblCellMar>
            <w:top w:w="0" w:type="dxa"/>
            <w:left w:w="108" w:type="dxa"/>
            <w:bottom w:w="0" w:type="dxa"/>
            <w:right w:w="108" w:type="dxa"/>
          </w:tblCellMar>
        </w:tblPrEx>
        <w:trPr>
          <w:trHeight w:val="54" w:hRule="atLeast"/>
        </w:trPr>
        <w:tc>
          <w:tcPr>
            <w:tcW w:w="7327" w:type="dxa"/>
            <w:tcMar>
              <w:left w:w="0" w:type="dxa"/>
              <w:right w:w="28" w:type="dxa"/>
            </w:tcMar>
            <w:vAlign w:val="center"/>
          </w:tcPr>
          <w:p w14:paraId="19A0C4C9">
            <w:pPr>
              <w:jc w:val="both"/>
              <w:rPr>
                <w:rFonts w:cs="Calibri" w:eastAsiaTheme="minorEastAsia"/>
                <w:sz w:val="22"/>
                <w:szCs w:val="22"/>
                <w:lang w:eastAsia="zh-CN"/>
              </w:rPr>
            </w:pPr>
            <w:r>
              <w:rPr>
                <w:rFonts w:cs="Calibri" w:eastAsiaTheme="minorEastAsia"/>
                <w:lang w:eastAsia="zh-CN"/>
              </w:rPr>
              <w:t>Source: Company, HFI</w:t>
            </w:r>
          </w:p>
        </w:tc>
      </w:tr>
    </w:tbl>
    <w:p w14:paraId="7695B4E6">
      <w:pPr>
        <w:jc w:val="both"/>
        <w:rPr>
          <w:rFonts w:eastAsia="宋体" w:cs="Calibri"/>
          <w:sz w:val="22"/>
          <w:szCs w:val="22"/>
          <w:lang w:eastAsia="zh-CN"/>
        </w:rPr>
      </w:pPr>
    </w:p>
    <w:p w14:paraId="2A77A411">
      <w:pPr>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Vertiv</w:t>
      </w:r>
      <w:r>
        <w:rPr>
          <w:rFonts w:hint="eastAsia" w:eastAsia="宋体" w:cs="Calibri"/>
          <w:b/>
          <w:bCs/>
          <w:sz w:val="22"/>
          <w:szCs w:val="22"/>
          <w:lang w:eastAsia="zh-CN"/>
        </w:rPr>
        <w:t xml:space="preserve"> now</w:t>
      </w:r>
      <w:r>
        <w:rPr>
          <w:rFonts w:hint="eastAsia" w:cs="Calibri" w:eastAsiaTheme="minorEastAsia"/>
          <w:b/>
          <w:bCs/>
          <w:sz w:val="22"/>
          <w:szCs w:val="22"/>
          <w:lang w:eastAsia="zh-CN"/>
        </w:rPr>
        <w:t xml:space="preserve"> has three reporting segments that </w:t>
      </w:r>
      <w:r>
        <w:rPr>
          <w:rFonts w:cs="Calibri" w:eastAsiaTheme="minorEastAsia"/>
          <w:b/>
          <w:bCs/>
          <w:sz w:val="22"/>
          <w:szCs w:val="22"/>
          <w:lang w:eastAsia="zh-CN"/>
        </w:rPr>
        <w:t>break down</w:t>
      </w:r>
      <w:r>
        <w:rPr>
          <w:rFonts w:hint="eastAsia" w:cs="Calibri" w:eastAsiaTheme="minorEastAsia"/>
          <w:b/>
          <w:bCs/>
          <w:sz w:val="22"/>
          <w:szCs w:val="22"/>
          <w:lang w:eastAsia="zh-CN"/>
        </w:rPr>
        <w:t xml:space="preserve"> sales by region: Americas, Asia Pacific and EMEA. </w:t>
      </w:r>
      <w:r>
        <w:rPr>
          <w:rFonts w:hint="eastAsia" w:cs="Calibri" w:eastAsiaTheme="minorEastAsia"/>
          <w:b w:val="0"/>
          <w:bCs w:val="0"/>
          <w:sz w:val="22"/>
          <w:szCs w:val="22"/>
          <w:lang w:eastAsia="zh-CN"/>
        </w:rPr>
        <w:t>While net sales reached $10.2 billion in 2025, the underlying drivers varied significantly across the three reporting segments:</w:t>
      </w:r>
    </w:p>
    <w:p w14:paraId="6AFF0F39">
      <w:pPr>
        <w:jc w:val="both"/>
        <w:rPr>
          <w:rFonts w:hint="eastAsia" w:cs="Calibri" w:eastAsiaTheme="minorEastAsia"/>
          <w:b/>
          <w:bCs/>
          <w:sz w:val="22"/>
          <w:szCs w:val="22"/>
          <w:lang w:eastAsia="zh-CN"/>
        </w:rPr>
      </w:pPr>
    </w:p>
    <w:p w14:paraId="4D6432F2">
      <w:pPr>
        <w:numPr>
          <w:ilvl w:val="0"/>
          <w:numId w:val="10"/>
        </w:numPr>
        <w:ind w:left="420" w:leftChars="0" w:hanging="420" w:firstLineChars="0"/>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 xml:space="preserve">Americas (62% of sales): </w:t>
      </w:r>
      <w:r>
        <w:rPr>
          <w:rFonts w:hint="eastAsia" w:cs="Calibri" w:eastAsiaTheme="minorEastAsia"/>
          <w:b w:val="0"/>
          <w:bCs w:val="0"/>
          <w:sz w:val="22"/>
          <w:szCs w:val="22"/>
          <w:lang w:eastAsia="zh-CN"/>
        </w:rPr>
        <w:t>Performance was characterized by strong, broad-based organic growth across all product lines and customer segments. Despite the negative impact of tariffs, the region achieved a higher adjusted operating margin through effective price-cost management, productivity gains, and operational leverage.</w:t>
      </w:r>
    </w:p>
    <w:p w14:paraId="7900CA9D">
      <w:pPr>
        <w:numPr>
          <w:ilvl w:val="0"/>
          <w:numId w:val="10"/>
        </w:numPr>
        <w:ind w:left="420" w:leftChars="0" w:hanging="420" w:firstLineChars="0"/>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 xml:space="preserve">Asia Pacific (20% of sales): </w:t>
      </w:r>
      <w:r>
        <w:rPr>
          <w:rFonts w:hint="eastAsia" w:cs="Calibri" w:eastAsiaTheme="minorEastAsia"/>
          <w:b w:val="0"/>
          <w:bCs w:val="0"/>
          <w:sz w:val="22"/>
          <w:szCs w:val="22"/>
          <w:lang w:eastAsia="zh-CN"/>
        </w:rPr>
        <w:t>Organic sales faced challenges due to macroeconomic conditions in China, although other Asian markets remained resilient. Margins in this segment were squeezed by unfavorable "mix" and volume de-leverage.</w:t>
      </w:r>
    </w:p>
    <w:p w14:paraId="4679024B">
      <w:pPr>
        <w:numPr>
          <w:ilvl w:val="0"/>
          <w:numId w:val="10"/>
        </w:numPr>
        <w:ind w:left="420" w:leftChars="0" w:hanging="420" w:firstLineChars="0"/>
        <w:jc w:val="both"/>
        <w:rPr>
          <w:rFonts w:hint="eastAsia" w:cs="Calibri" w:eastAsiaTheme="minorEastAsia"/>
          <w:b w:val="0"/>
          <w:bCs w:val="0"/>
          <w:sz w:val="22"/>
          <w:szCs w:val="22"/>
          <w:lang w:eastAsia="zh-CN"/>
        </w:rPr>
      </w:pPr>
      <w:r>
        <w:rPr>
          <w:rFonts w:hint="eastAsia" w:cs="Calibri" w:eastAsiaTheme="minorEastAsia"/>
          <w:b/>
          <w:bCs/>
          <w:sz w:val="22"/>
          <w:szCs w:val="22"/>
          <w:lang w:eastAsia="zh-CN"/>
        </w:rPr>
        <w:t>EMEA (18% of sales):</w:t>
      </w:r>
      <w:r>
        <w:rPr>
          <w:rFonts w:hint="eastAsia" w:cs="Calibri" w:eastAsiaTheme="minorEastAsia"/>
          <w:b w:val="0"/>
          <w:bCs w:val="0"/>
          <w:sz w:val="22"/>
          <w:szCs w:val="22"/>
          <w:lang w:eastAsia="zh-CN"/>
        </w:rPr>
        <w:t xml:space="preserve"> Organic sales remained soft, primarily due to data center industry constraints. However, the outlook is optimistic; a strong surge in fourth-quarter orders and a robust pipeline are expected to support revenue growth in the second half of 2026. While margins were lower than the previous year due to operating leverage headwinds, the segment saw a strong sequential improvement as anticipated.</w:t>
      </w:r>
    </w:p>
    <w:p w14:paraId="3AE5158D">
      <w:pPr>
        <w:jc w:val="both"/>
        <w:rPr>
          <w:rFonts w:hint="eastAsia" w:eastAsia="宋体" w:cs="Calibri"/>
          <w:b/>
          <w:bCs/>
          <w:sz w:val="22"/>
          <w:szCs w:val="22"/>
          <w:lang w:eastAsia="zh-CN"/>
        </w:rPr>
      </w:pPr>
    </w:p>
    <w:p w14:paraId="01788FDA">
      <w:pPr>
        <w:jc w:val="both"/>
        <w:rPr>
          <w:rFonts w:cs="Calibri" w:eastAsiaTheme="minorEastAsia"/>
          <w:b w:val="0"/>
          <w:bCs w:val="0"/>
          <w:sz w:val="22"/>
          <w:szCs w:val="22"/>
          <w:lang w:eastAsia="zh-CN"/>
        </w:rPr>
      </w:pPr>
      <w:r>
        <w:rPr>
          <w:rFonts w:hint="eastAsia" w:cs="Calibri" w:eastAsiaTheme="minorEastAsia"/>
          <w:b/>
          <w:bCs/>
          <w:sz w:val="22"/>
          <w:szCs w:val="22"/>
          <w:lang w:eastAsia="zh-CN"/>
        </w:rPr>
        <w:t xml:space="preserve">Vertiv has the most complete critical digital infrastructure portfolio. </w:t>
      </w:r>
      <w:r>
        <w:rPr>
          <w:rFonts w:hint="eastAsia" w:cs="Calibri" w:eastAsiaTheme="minorEastAsia"/>
          <w:b w:val="0"/>
          <w:bCs w:val="0"/>
          <w:sz w:val="22"/>
          <w:szCs w:val="22"/>
          <w:lang w:eastAsia="zh-CN"/>
        </w:rPr>
        <w:t xml:space="preserve">The </w:t>
      </w:r>
      <w:r>
        <w:rPr>
          <w:rFonts w:cs="Calibri" w:eastAsiaTheme="minorEastAsia"/>
          <w:b w:val="0"/>
          <w:bCs w:val="0"/>
          <w:sz w:val="22"/>
          <w:szCs w:val="22"/>
          <w:lang w:eastAsia="zh-CN"/>
        </w:rPr>
        <w:t>principal offerings</w:t>
      </w:r>
      <w:r>
        <w:rPr>
          <w:rFonts w:hint="eastAsia" w:cs="Calibri" w:eastAsiaTheme="minorEastAsia"/>
          <w:b w:val="0"/>
          <w:bCs w:val="0"/>
          <w:sz w:val="22"/>
          <w:szCs w:val="22"/>
          <w:lang w:eastAsia="zh-CN"/>
        </w:rPr>
        <w:t xml:space="preserve"> of Vertiv</w:t>
      </w:r>
      <w:r>
        <w:rPr>
          <w:rFonts w:cs="Calibri" w:eastAsiaTheme="minorEastAsia"/>
          <w:b w:val="0"/>
          <w:bCs w:val="0"/>
          <w:sz w:val="22"/>
          <w:szCs w:val="22"/>
          <w:lang w:eastAsia="zh-CN"/>
        </w:rPr>
        <w:t xml:space="preserve"> include</w:t>
      </w:r>
      <w:r>
        <w:rPr>
          <w:rFonts w:hint="eastAsia" w:cs="Calibri" w:eastAsiaTheme="minorEastAsia"/>
          <w:b w:val="0"/>
          <w:bCs w:val="0"/>
          <w:sz w:val="22"/>
          <w:szCs w:val="22"/>
          <w:lang w:eastAsia="zh-CN"/>
        </w:rPr>
        <w:t xml:space="preserve"> </w:t>
      </w:r>
      <w:r>
        <w:rPr>
          <w:rFonts w:hint="eastAsia" w:cs="Calibri" w:eastAsiaTheme="minorEastAsia"/>
          <w:b/>
          <w:bCs/>
          <w:sz w:val="22"/>
          <w:szCs w:val="22"/>
          <w:lang w:eastAsia="zh-CN"/>
        </w:rPr>
        <w:t>Products</w:t>
      </w:r>
      <w:r>
        <w:rPr>
          <w:rFonts w:hint="eastAsia" w:cs="Calibri" w:eastAsiaTheme="minorEastAsia"/>
          <w:b/>
          <w:bCs/>
          <w:sz w:val="22"/>
          <w:szCs w:val="22"/>
          <w:lang w:val="en-US" w:eastAsia="zh-CN"/>
        </w:rPr>
        <w:t xml:space="preserve"> (~80% of sales)</w:t>
      </w:r>
      <w:r>
        <w:rPr>
          <w:rFonts w:hint="eastAsia" w:cs="Calibri" w:eastAsiaTheme="minorEastAsia"/>
          <w:b/>
          <w:bCs/>
          <w:sz w:val="22"/>
          <w:szCs w:val="22"/>
          <w:lang w:eastAsia="zh-CN"/>
        </w:rPr>
        <w:t xml:space="preserve"> </w:t>
      </w:r>
      <w:r>
        <w:rPr>
          <w:rFonts w:hint="eastAsia" w:cs="Calibri" w:eastAsiaTheme="minorEastAsia"/>
          <w:b w:val="0"/>
          <w:bCs w:val="0"/>
          <w:sz w:val="22"/>
          <w:szCs w:val="22"/>
          <w:lang w:eastAsia="zh-CN"/>
        </w:rPr>
        <w:t xml:space="preserve">and </w:t>
      </w:r>
      <w:r>
        <w:rPr>
          <w:rFonts w:hint="eastAsia" w:cs="Calibri" w:eastAsiaTheme="minorEastAsia"/>
          <w:b/>
          <w:bCs/>
          <w:sz w:val="22"/>
          <w:szCs w:val="22"/>
          <w:lang w:eastAsia="zh-CN"/>
        </w:rPr>
        <w:t>Services &amp; spares</w:t>
      </w:r>
      <w:r>
        <w:rPr>
          <w:rFonts w:hint="eastAsia" w:cs="Calibri" w:eastAsiaTheme="minorEastAsia"/>
          <w:b/>
          <w:bCs/>
          <w:sz w:val="22"/>
          <w:szCs w:val="22"/>
          <w:lang w:val="en-US" w:eastAsia="zh-CN"/>
        </w:rPr>
        <w:t xml:space="preserve"> (~20% of sales)</w:t>
      </w:r>
      <w:r>
        <w:rPr>
          <w:rFonts w:hint="eastAsia" w:cs="Calibri" w:eastAsiaTheme="minorEastAsia"/>
          <w:b/>
          <w:bCs/>
          <w:sz w:val="22"/>
          <w:szCs w:val="22"/>
          <w:lang w:eastAsia="zh-CN"/>
        </w:rPr>
        <w:t xml:space="preserve"> </w:t>
      </w:r>
      <w:r>
        <w:rPr>
          <w:rFonts w:hint="eastAsia" w:cs="Calibri" w:eastAsiaTheme="minorEastAsia"/>
          <w:b w:val="0"/>
          <w:bCs w:val="0"/>
          <w:sz w:val="22"/>
          <w:szCs w:val="22"/>
          <w:lang w:eastAsia="zh-CN"/>
        </w:rPr>
        <w:t xml:space="preserve">under brands include Vertiv, Liebert, NetSure, Geist, Energy Labs, ERS, Albér, and Avocent: </w:t>
      </w:r>
    </w:p>
    <w:p w14:paraId="7DBBBFED">
      <w:pPr>
        <w:rPr>
          <w:rFonts w:cs="Calibri" w:eastAsiaTheme="minorEastAsia"/>
          <w:sz w:val="22"/>
          <w:szCs w:val="22"/>
          <w:lang w:eastAsia="zh-CN"/>
        </w:rPr>
      </w:pPr>
      <w:r>
        <w:rPr>
          <w:rFonts w:cs="Calibri" w:eastAsiaTheme="minorEastAsia"/>
          <w:sz w:val="22"/>
          <w:szCs w:val="22"/>
          <w:lang w:eastAsia="zh-CN"/>
        </w:rPr>
        <w:br w:type="page"/>
      </w:r>
    </w:p>
    <w:p w14:paraId="11D97943">
      <w:pPr>
        <w:jc w:val="both"/>
        <w:rPr>
          <w:rFonts w:cs="Calibri" w:eastAsiaTheme="minorEastAsia"/>
          <w:sz w:val="22"/>
          <w:szCs w:val="22"/>
          <w:lang w:eastAsia="zh-CN"/>
        </w:rPr>
      </w:pPr>
      <w:r>
        <w:rPr>
          <w:rFonts w:cs="Calibri" w:eastAsiaTheme="minorEastAsia"/>
          <w:b/>
          <w:bCs/>
          <w:sz w:val="22"/>
          <w:szCs w:val="22"/>
          <w:lang w:eastAsia="zh-CN"/>
        </w:rPr>
        <w:t>Products</w:t>
      </w:r>
      <w:r>
        <w:rPr>
          <w:rFonts w:hint="eastAsia" w:cs="Calibri" w:eastAsiaTheme="minorEastAsia"/>
          <w:b/>
          <w:bCs/>
          <w:sz w:val="22"/>
          <w:szCs w:val="22"/>
          <w:lang w:eastAsia="zh-CN"/>
        </w:rPr>
        <w:t>:</w:t>
      </w:r>
      <w:r>
        <w:rPr>
          <w:rFonts w:hint="eastAsia" w:cs="Calibri" w:eastAsiaTheme="minorEastAsia"/>
          <w:sz w:val="22"/>
          <w:szCs w:val="22"/>
          <w:lang w:eastAsia="zh-CN"/>
        </w:rPr>
        <w:t xml:space="preserve"> The company </w:t>
      </w:r>
      <w:r>
        <w:rPr>
          <w:rFonts w:cs="Calibri" w:eastAsiaTheme="minorEastAsia"/>
          <w:sz w:val="22"/>
          <w:szCs w:val="22"/>
          <w:lang w:eastAsia="zh-CN"/>
        </w:rPr>
        <w:t>identif</w:t>
      </w:r>
      <w:r>
        <w:rPr>
          <w:rFonts w:hint="eastAsia" w:cs="Calibri" w:eastAsiaTheme="minorEastAsia"/>
          <w:sz w:val="22"/>
          <w:szCs w:val="22"/>
          <w:lang w:eastAsia="zh-CN"/>
        </w:rPr>
        <w:t>ies</w:t>
      </w:r>
      <w:r>
        <w:rPr>
          <w:rFonts w:cs="Calibri" w:eastAsiaTheme="minorEastAsia"/>
          <w:sz w:val="22"/>
          <w:szCs w:val="22"/>
          <w:lang w:eastAsia="zh-CN"/>
        </w:rPr>
        <w:t xml:space="preserve"> delivery of products as performance obligations. Such products include AC and DC power management, thermal management, low/medium voltage</w:t>
      </w:r>
      <w:r>
        <w:rPr>
          <w:rFonts w:hint="eastAsia" w:cs="Calibri" w:eastAsiaTheme="minorEastAsia"/>
          <w:sz w:val="22"/>
          <w:szCs w:val="22"/>
          <w:lang w:eastAsia="zh-CN"/>
        </w:rPr>
        <w:t xml:space="preserve"> </w:t>
      </w:r>
      <w:r>
        <w:rPr>
          <w:rFonts w:cs="Calibri" w:eastAsiaTheme="minorEastAsia"/>
          <w:sz w:val="22"/>
          <w:szCs w:val="22"/>
          <w:lang w:eastAsia="zh-CN"/>
        </w:rPr>
        <w:t>switchgear, busbar, integrated modular solutions, racks, single phase UPS, rack power distribution, rack thermal systems, configurable integrated solutions, energy storage solutions, hardware, and software for managing I.T. equipment.</w:t>
      </w:r>
    </w:p>
    <w:p w14:paraId="5F0DC25D">
      <w:pPr>
        <w:jc w:val="both"/>
        <w:rPr>
          <w:rFonts w:cs="Calibri" w:eastAsiaTheme="minorEastAsia"/>
          <w:sz w:val="22"/>
          <w:szCs w:val="22"/>
          <w:lang w:eastAsia="zh-CN"/>
        </w:rPr>
      </w:pPr>
    </w:p>
    <w:p w14:paraId="2DE642C4">
      <w:pPr>
        <w:jc w:val="both"/>
        <w:rPr>
          <w:rFonts w:cs="Calibri" w:eastAsiaTheme="minorEastAsia"/>
          <w:sz w:val="22"/>
          <w:szCs w:val="22"/>
          <w:lang w:eastAsia="zh-CN"/>
        </w:rPr>
      </w:pPr>
      <w:r>
        <w:rPr>
          <w:rFonts w:cs="Calibri" w:eastAsiaTheme="minorEastAsia"/>
          <w:b/>
          <w:bCs/>
          <w:sz w:val="22"/>
          <w:szCs w:val="22"/>
          <w:lang w:eastAsia="zh-CN"/>
        </w:rPr>
        <w:t>Services &amp; spares</w:t>
      </w:r>
      <w:r>
        <w:rPr>
          <w:rFonts w:hint="eastAsia" w:cs="Calibri" w:eastAsiaTheme="minorEastAsia"/>
          <w:b/>
          <w:bCs/>
          <w:sz w:val="22"/>
          <w:szCs w:val="22"/>
          <w:lang w:eastAsia="zh-CN"/>
        </w:rPr>
        <w:t xml:space="preserve">: </w:t>
      </w:r>
      <w:r>
        <w:rPr>
          <w:rFonts w:hint="eastAsia" w:cs="Calibri" w:eastAsiaTheme="minorEastAsia"/>
          <w:sz w:val="22"/>
          <w:szCs w:val="22"/>
          <w:lang w:eastAsia="zh-CN"/>
        </w:rPr>
        <w:t xml:space="preserve">Global services include both pre-sale and after-sales services, for example, preventative maintenance, project management, acceptance testing, engineering and consulting, performance assessments, remote monitoring, training, </w:t>
      </w:r>
    </w:p>
    <w:p w14:paraId="759C143E">
      <w:pPr>
        <w:jc w:val="both"/>
        <w:rPr>
          <w:rFonts w:cs="Calibri" w:eastAsiaTheme="minorEastAsia"/>
          <w:sz w:val="22"/>
          <w:szCs w:val="22"/>
          <w:lang w:eastAsia="zh-CN"/>
        </w:rPr>
      </w:pPr>
      <w:r>
        <w:rPr>
          <w:rFonts w:hint="eastAsia" w:cs="Calibri" w:eastAsiaTheme="minorEastAsia"/>
          <w:sz w:val="22"/>
          <w:szCs w:val="22"/>
          <w:lang w:eastAsia="zh-CN"/>
        </w:rPr>
        <w:t xml:space="preserve">spare parts, and critical digital infrastructure software. The company provides consistent service delivery for critical facilities in all regions of the world with service provided by knowledgeable, local specialists. </w:t>
      </w:r>
    </w:p>
    <w:p w14:paraId="7FC193D1">
      <w:pPr>
        <w:jc w:val="both"/>
        <w:rPr>
          <w:rFonts w:hint="eastAsia" w:eastAsia="宋体" w:cs="Calibri"/>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74A9EF6C">
        <w:trPr>
          <w:trHeight w:val="302" w:hRule="atLeast"/>
        </w:trPr>
        <w:tc>
          <w:tcPr>
            <w:tcW w:w="7466" w:type="dxa"/>
            <w:tcBorders>
              <w:bottom w:val="nil"/>
            </w:tcBorders>
            <w:tcMar>
              <w:left w:w="0" w:type="dxa"/>
              <w:right w:w="28" w:type="dxa"/>
            </w:tcMar>
          </w:tcPr>
          <w:p w14:paraId="4050BE86">
            <w:pPr>
              <w:jc w:val="both"/>
              <w:rPr>
                <w:rFonts w:cs="Calibri" w:eastAsiaTheme="minorEastAsia"/>
                <w:sz w:val="22"/>
                <w:szCs w:val="22"/>
                <w:lang w:eastAsia="zh-CN"/>
              </w:rPr>
            </w:pPr>
            <w:r>
              <w:rPr>
                <w:rFonts w:hint="eastAsia" w:eastAsia="宋体" w:cs="Calibri"/>
                <w:b/>
                <w:bCs/>
                <w:sz w:val="20"/>
                <w:szCs w:val="20"/>
                <w:lang w:eastAsia="zh-CN"/>
              </w:rPr>
              <w:t>Table</w:t>
            </w:r>
            <w:r>
              <w:rPr>
                <w:rFonts w:cs="Calibri" w:eastAsiaTheme="minorEastAsia"/>
                <w:b/>
                <w:bCs/>
                <w:sz w:val="20"/>
                <w:szCs w:val="20"/>
                <w:lang w:eastAsia="zh-CN"/>
              </w:rPr>
              <w:t xml:space="preserve">: </w:t>
            </w:r>
            <w:r>
              <w:rPr>
                <w:rFonts w:hint="eastAsia" w:cs="Calibri" w:eastAsiaTheme="minorEastAsia"/>
                <w:b/>
                <w:bCs/>
                <w:sz w:val="20"/>
                <w:szCs w:val="20"/>
                <w:lang w:eastAsia="zh-CN"/>
              </w:rPr>
              <w:t>Product and services c</w:t>
            </w:r>
            <w:r>
              <w:rPr>
                <w:rFonts w:cs="Calibri" w:eastAsiaTheme="minorEastAsia"/>
                <w:b/>
                <w:bCs/>
                <w:sz w:val="20"/>
                <w:szCs w:val="20"/>
                <w:lang w:eastAsia="zh-CN"/>
              </w:rPr>
              <w:t>ategories</w:t>
            </w:r>
          </w:p>
        </w:tc>
      </w:tr>
      <w:tr w14:paraId="020C5DBF">
        <w:tblPrEx>
          <w:tblCellMar>
            <w:top w:w="0" w:type="dxa"/>
            <w:left w:w="108" w:type="dxa"/>
            <w:bottom w:w="0" w:type="dxa"/>
            <w:right w:w="108" w:type="dxa"/>
          </w:tblCellMar>
        </w:tblPrEx>
        <w:trPr>
          <w:trHeight w:val="856" w:hRule="atLeast"/>
        </w:trPr>
        <w:tc>
          <w:tcPr>
            <w:tcW w:w="7466" w:type="dxa"/>
            <w:tcBorders>
              <w:top w:val="nil"/>
              <w:bottom w:val="nil"/>
            </w:tcBorders>
            <w:vAlign w:val="center"/>
          </w:tcPr>
          <w:tbl>
            <w:tblPr>
              <w:tblStyle w:val="14"/>
              <w:tblW w:w="7311" w:type="dxa"/>
              <w:tblInd w:w="0" w:type="dxa"/>
              <w:tblLayout w:type="fixed"/>
              <w:tblCellMar>
                <w:top w:w="0" w:type="dxa"/>
                <w:left w:w="108" w:type="dxa"/>
                <w:bottom w:w="0" w:type="dxa"/>
                <w:right w:w="108" w:type="dxa"/>
              </w:tblCellMar>
            </w:tblPr>
            <w:tblGrid>
              <w:gridCol w:w="2709"/>
              <w:gridCol w:w="4602"/>
            </w:tblGrid>
            <w:tr w14:paraId="49E65C27">
              <w:tblPrEx>
                <w:tblCellMar>
                  <w:top w:w="0" w:type="dxa"/>
                  <w:left w:w="108" w:type="dxa"/>
                  <w:bottom w:w="0" w:type="dxa"/>
                  <w:right w:w="108" w:type="dxa"/>
                </w:tblCellMar>
              </w:tblPrEx>
              <w:trPr>
                <w:trHeight w:val="263"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3652ECC9">
                  <w:pPr>
                    <w:jc w:val="center"/>
                    <w:textAlignment w:val="center"/>
                    <w:rPr>
                      <w:rFonts w:eastAsia="宋体" w:cs="Calibri"/>
                      <w:b/>
                      <w:bCs/>
                      <w:color w:val="000000"/>
                      <w:sz w:val="18"/>
                      <w:szCs w:val="18"/>
                    </w:rPr>
                  </w:pPr>
                  <w:r>
                    <w:rPr>
                      <w:rFonts w:eastAsia="宋体" w:cs="Calibri"/>
                      <w:b/>
                      <w:bCs/>
                      <w:color w:val="000000"/>
                      <w:sz w:val="18"/>
                      <w:szCs w:val="18"/>
                      <w:lang w:eastAsia="zh-CN" w:bidi="ar"/>
                    </w:rPr>
                    <w:t>Categories</w:t>
                  </w:r>
                </w:p>
              </w:tc>
              <w:tc>
                <w:tcPr>
                  <w:tcW w:w="4602" w:type="dxa"/>
                  <w:tcBorders>
                    <w:top w:val="single" w:color="000000" w:sz="4" w:space="0"/>
                    <w:left w:val="single" w:color="000000" w:sz="4" w:space="0"/>
                    <w:bottom w:val="single" w:color="000000" w:sz="4" w:space="0"/>
                    <w:right w:val="single" w:color="000000" w:sz="4" w:space="0"/>
                  </w:tcBorders>
                  <w:noWrap/>
                  <w:vAlign w:val="center"/>
                </w:tcPr>
                <w:p w14:paraId="265299E3">
                  <w:pPr>
                    <w:jc w:val="center"/>
                    <w:textAlignment w:val="center"/>
                    <w:rPr>
                      <w:rFonts w:eastAsia="宋体" w:cs="Calibri"/>
                      <w:b/>
                      <w:bCs/>
                      <w:color w:val="000000"/>
                      <w:sz w:val="18"/>
                      <w:szCs w:val="18"/>
                    </w:rPr>
                  </w:pPr>
                  <w:r>
                    <w:rPr>
                      <w:rFonts w:eastAsia="宋体" w:cs="Calibri"/>
                      <w:b/>
                      <w:bCs/>
                      <w:color w:val="000000"/>
                      <w:sz w:val="18"/>
                      <w:szCs w:val="18"/>
                      <w:lang w:eastAsia="zh-CN" w:bidi="ar"/>
                    </w:rPr>
                    <w:t>Offerings (number of offerings)</w:t>
                  </w:r>
                </w:p>
              </w:tc>
            </w:tr>
            <w:tr w14:paraId="07EF9D79">
              <w:tblPrEx>
                <w:tblCellMar>
                  <w:top w:w="0" w:type="dxa"/>
                  <w:left w:w="108" w:type="dxa"/>
                  <w:bottom w:w="0" w:type="dxa"/>
                  <w:right w:w="108" w:type="dxa"/>
                </w:tblCellMar>
              </w:tblPrEx>
              <w:trPr>
                <w:trHeight w:val="1244"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256A10F9">
                  <w:pPr>
                    <w:textAlignment w:val="center"/>
                    <w:rPr>
                      <w:rFonts w:eastAsia="宋体" w:cs="Calibri"/>
                      <w:b/>
                      <w:bCs/>
                      <w:color w:val="000000"/>
                      <w:sz w:val="18"/>
                      <w:szCs w:val="18"/>
                    </w:rPr>
                  </w:pPr>
                  <w:r>
                    <w:rPr>
                      <w:rFonts w:eastAsia="宋体" w:cs="Calibri"/>
                      <w:b/>
                      <w:bCs/>
                      <w:color w:val="000000"/>
                      <w:sz w:val="18"/>
                      <w:szCs w:val="18"/>
                      <w:lang w:eastAsia="zh-CN" w:bidi="ar"/>
                    </w:rPr>
                    <w:t>Critical Power</w:t>
                  </w:r>
                </w:p>
              </w:tc>
              <w:tc>
                <w:tcPr>
                  <w:tcW w:w="4602" w:type="dxa"/>
                  <w:tcBorders>
                    <w:top w:val="single" w:color="000000" w:sz="4" w:space="0"/>
                    <w:left w:val="single" w:color="000000" w:sz="4" w:space="0"/>
                    <w:bottom w:val="single" w:color="000000" w:sz="4" w:space="0"/>
                    <w:right w:val="single" w:color="000000" w:sz="4" w:space="0"/>
                  </w:tcBorders>
                  <w:vAlign w:val="center"/>
                </w:tcPr>
                <w:p w14:paraId="7119DAE6">
                  <w:pPr>
                    <w:textAlignment w:val="center"/>
                    <w:rPr>
                      <w:rFonts w:eastAsia="宋体" w:cs="Calibri"/>
                      <w:color w:val="000000"/>
                      <w:sz w:val="18"/>
                      <w:szCs w:val="18"/>
                    </w:rPr>
                  </w:pPr>
                  <w:r>
                    <w:rPr>
                      <w:rFonts w:eastAsia="宋体" w:cs="Calibri"/>
                      <w:color w:val="000000"/>
                      <w:sz w:val="18"/>
                      <w:szCs w:val="18"/>
                      <w:lang w:eastAsia="zh-CN" w:bidi="ar"/>
                    </w:rPr>
                    <w:t>Uninterruptible Power Supplies (UPS) (217)</w:t>
                  </w:r>
                  <w:r>
                    <w:rPr>
                      <w:rFonts w:eastAsia="宋体" w:cs="Calibri"/>
                      <w:color w:val="000000"/>
                      <w:sz w:val="18"/>
                      <w:szCs w:val="18"/>
                      <w:lang w:eastAsia="zh-CN" w:bidi="ar"/>
                    </w:rPr>
                    <w:br w:type="textWrapping"/>
                  </w:r>
                  <w:r>
                    <w:rPr>
                      <w:rFonts w:eastAsia="宋体" w:cs="Calibri"/>
                      <w:color w:val="000000"/>
                      <w:sz w:val="18"/>
                      <w:szCs w:val="18"/>
                      <w:lang w:eastAsia="zh-CN" w:bidi="ar"/>
                    </w:rPr>
                    <w:t>Power Distribution (123)</w:t>
                  </w:r>
                  <w:r>
                    <w:rPr>
                      <w:rFonts w:eastAsia="宋体" w:cs="Calibri"/>
                      <w:color w:val="000000"/>
                      <w:sz w:val="18"/>
                      <w:szCs w:val="18"/>
                      <w:lang w:eastAsia="zh-CN" w:bidi="ar"/>
                    </w:rPr>
                    <w:br w:type="textWrapping"/>
                  </w:r>
                  <w:r>
                    <w:rPr>
                      <w:rFonts w:eastAsia="宋体" w:cs="Calibri"/>
                      <w:color w:val="000000"/>
                      <w:sz w:val="18"/>
                      <w:szCs w:val="18"/>
                      <w:lang w:eastAsia="zh-CN" w:bidi="ar"/>
                    </w:rPr>
                    <w:t>DC Power Systems (81)</w:t>
                  </w:r>
                  <w:r>
                    <w:rPr>
                      <w:rFonts w:eastAsia="宋体" w:cs="Calibri"/>
                      <w:color w:val="000000"/>
                      <w:sz w:val="18"/>
                      <w:szCs w:val="18"/>
                      <w:lang w:eastAsia="zh-CN" w:bidi="ar"/>
                    </w:rPr>
                    <w:br w:type="textWrapping"/>
                  </w:r>
                  <w:r>
                    <w:rPr>
                      <w:rFonts w:eastAsia="宋体" w:cs="Calibri"/>
                      <w:color w:val="000000"/>
                      <w:sz w:val="18"/>
                      <w:szCs w:val="18"/>
                      <w:lang w:eastAsia="zh-CN" w:bidi="ar"/>
                    </w:rPr>
                    <w:t>Static Transfer Switches (6)</w:t>
                  </w:r>
                  <w:r>
                    <w:rPr>
                      <w:rFonts w:eastAsia="宋体" w:cs="Calibri"/>
                      <w:color w:val="000000"/>
                      <w:sz w:val="18"/>
                      <w:szCs w:val="18"/>
                      <w:lang w:eastAsia="zh-CN" w:bidi="ar"/>
                    </w:rPr>
                    <w:br w:type="textWrapping"/>
                  </w:r>
                  <w:r>
                    <w:rPr>
                      <w:rFonts w:eastAsia="宋体" w:cs="Calibri"/>
                      <w:color w:val="000000"/>
                      <w:sz w:val="18"/>
                      <w:szCs w:val="18"/>
                      <w:lang w:eastAsia="zh-CN" w:bidi="ar"/>
                    </w:rPr>
                    <w:t>Industrial AC and DC Systems (4)</w:t>
                  </w:r>
                </w:p>
              </w:tc>
            </w:tr>
            <w:tr w14:paraId="0EC42508">
              <w:tblPrEx>
                <w:tblCellMar>
                  <w:top w:w="0" w:type="dxa"/>
                  <w:left w:w="108" w:type="dxa"/>
                  <w:bottom w:w="0" w:type="dxa"/>
                  <w:right w:w="108" w:type="dxa"/>
                </w:tblCellMar>
              </w:tblPrEx>
              <w:trPr>
                <w:trHeight w:val="1244"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0E78DE70">
                  <w:pPr>
                    <w:textAlignment w:val="center"/>
                    <w:rPr>
                      <w:rFonts w:eastAsia="宋体" w:cs="Calibri"/>
                      <w:b/>
                      <w:bCs/>
                      <w:color w:val="000000"/>
                      <w:sz w:val="18"/>
                      <w:szCs w:val="18"/>
                    </w:rPr>
                  </w:pPr>
                  <w:r>
                    <w:rPr>
                      <w:rFonts w:eastAsia="宋体" w:cs="Calibri"/>
                      <w:b/>
                      <w:bCs/>
                      <w:color w:val="000000"/>
                      <w:sz w:val="18"/>
                      <w:szCs w:val="18"/>
                      <w:lang w:eastAsia="zh-CN" w:bidi="ar"/>
                    </w:rPr>
                    <w:t>Thermal Management</w:t>
                  </w:r>
                </w:p>
              </w:tc>
              <w:tc>
                <w:tcPr>
                  <w:tcW w:w="4602" w:type="dxa"/>
                  <w:tcBorders>
                    <w:top w:val="single" w:color="000000" w:sz="4" w:space="0"/>
                    <w:left w:val="single" w:color="000000" w:sz="4" w:space="0"/>
                    <w:bottom w:val="single" w:color="000000" w:sz="4" w:space="0"/>
                    <w:right w:val="single" w:color="000000" w:sz="4" w:space="0"/>
                  </w:tcBorders>
                  <w:vAlign w:val="center"/>
                </w:tcPr>
                <w:p w14:paraId="4DFA19FF">
                  <w:pPr>
                    <w:textAlignment w:val="center"/>
                    <w:rPr>
                      <w:rFonts w:eastAsia="宋体" w:cs="Calibri"/>
                      <w:color w:val="000000"/>
                      <w:sz w:val="18"/>
                      <w:szCs w:val="18"/>
                    </w:rPr>
                  </w:pPr>
                  <w:r>
                    <w:rPr>
                      <w:rFonts w:eastAsia="宋体" w:cs="Calibri"/>
                      <w:color w:val="000000"/>
                      <w:sz w:val="18"/>
                      <w:szCs w:val="18"/>
                      <w:lang w:eastAsia="zh-CN" w:bidi="ar"/>
                    </w:rPr>
                    <w:t>Room Cooling (50)</w:t>
                  </w:r>
                  <w:r>
                    <w:rPr>
                      <w:rFonts w:eastAsia="宋体" w:cs="Calibri"/>
                      <w:color w:val="000000"/>
                      <w:sz w:val="18"/>
                      <w:szCs w:val="18"/>
                      <w:lang w:eastAsia="zh-CN" w:bidi="ar"/>
                    </w:rPr>
                    <w:br w:type="textWrapping"/>
                  </w:r>
                  <w:r>
                    <w:rPr>
                      <w:rFonts w:eastAsia="宋体" w:cs="Calibri"/>
                      <w:color w:val="000000"/>
                      <w:sz w:val="18"/>
                      <w:szCs w:val="18"/>
                      <w:lang w:eastAsia="zh-CN" w:bidi="ar"/>
                    </w:rPr>
                    <w:t>Rack Cooling (26)</w:t>
                  </w:r>
                  <w:r>
                    <w:rPr>
                      <w:rFonts w:eastAsia="宋体" w:cs="Calibri"/>
                      <w:color w:val="000000"/>
                      <w:sz w:val="18"/>
                      <w:szCs w:val="18"/>
                      <w:lang w:eastAsia="zh-CN" w:bidi="ar"/>
                    </w:rPr>
                    <w:br w:type="textWrapping"/>
                  </w:r>
                  <w:r>
                    <w:rPr>
                      <w:rFonts w:eastAsia="宋体" w:cs="Calibri"/>
                      <w:color w:val="000000"/>
                      <w:sz w:val="18"/>
                      <w:szCs w:val="18"/>
                      <w:lang w:eastAsia="zh-CN" w:bidi="ar"/>
                    </w:rPr>
                    <w:t>In-Row Cooling (25)</w:t>
                  </w:r>
                  <w:r>
                    <w:rPr>
                      <w:rFonts w:eastAsia="宋体" w:cs="Calibri"/>
                      <w:color w:val="000000"/>
                      <w:sz w:val="18"/>
                      <w:szCs w:val="18"/>
                      <w:lang w:eastAsia="zh-CN" w:bidi="ar"/>
                    </w:rPr>
                    <w:br w:type="textWrapping"/>
                  </w:r>
                  <w:r>
                    <w:rPr>
                      <w:rFonts w:eastAsia="宋体" w:cs="Calibri"/>
                      <w:color w:val="000000"/>
                      <w:sz w:val="18"/>
                      <w:szCs w:val="18"/>
                      <w:lang w:eastAsia="zh-CN" w:bidi="ar"/>
                    </w:rPr>
                    <w:t>Thermal Control and Monitoring (9)</w:t>
                  </w:r>
                  <w:r>
                    <w:rPr>
                      <w:rFonts w:eastAsia="宋体" w:cs="Calibri"/>
                      <w:color w:val="000000"/>
                      <w:sz w:val="18"/>
                      <w:szCs w:val="18"/>
                      <w:lang w:eastAsia="zh-CN" w:bidi="ar"/>
                    </w:rPr>
                    <w:br w:type="textWrapping"/>
                  </w:r>
                  <w:r>
                    <w:rPr>
                      <w:rFonts w:eastAsia="宋体" w:cs="Calibri"/>
                      <w:color w:val="000000"/>
                      <w:sz w:val="18"/>
                      <w:szCs w:val="18"/>
                      <w:lang w:eastAsia="zh-CN" w:bidi="ar"/>
                    </w:rPr>
                    <w:t>Free Cooling Chillers (5)</w:t>
                  </w:r>
                </w:p>
              </w:tc>
            </w:tr>
            <w:tr w14:paraId="650D65C4">
              <w:tblPrEx>
                <w:tblCellMar>
                  <w:top w:w="0" w:type="dxa"/>
                  <w:left w:w="108" w:type="dxa"/>
                  <w:bottom w:w="0" w:type="dxa"/>
                  <w:right w:w="108" w:type="dxa"/>
                </w:tblCellMar>
              </w:tblPrEx>
              <w:trPr>
                <w:trHeight w:val="750"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15CD4BC5">
                  <w:pPr>
                    <w:textAlignment w:val="center"/>
                    <w:rPr>
                      <w:rFonts w:eastAsia="宋体" w:cs="Calibri"/>
                      <w:b/>
                      <w:bCs/>
                      <w:color w:val="000000"/>
                      <w:sz w:val="18"/>
                      <w:szCs w:val="18"/>
                    </w:rPr>
                  </w:pPr>
                  <w:r>
                    <w:rPr>
                      <w:rFonts w:eastAsia="宋体" w:cs="Calibri"/>
                      <w:b/>
                      <w:bCs/>
                      <w:color w:val="000000"/>
                      <w:sz w:val="18"/>
                      <w:szCs w:val="18"/>
                      <w:lang w:eastAsia="zh-CN" w:bidi="ar"/>
                    </w:rPr>
                    <w:t>Facilities, Enclosures and Racks</w:t>
                  </w:r>
                </w:p>
              </w:tc>
              <w:tc>
                <w:tcPr>
                  <w:tcW w:w="4602" w:type="dxa"/>
                  <w:tcBorders>
                    <w:top w:val="single" w:color="000000" w:sz="4" w:space="0"/>
                    <w:left w:val="single" w:color="000000" w:sz="4" w:space="0"/>
                    <w:bottom w:val="single" w:color="000000" w:sz="4" w:space="0"/>
                    <w:right w:val="single" w:color="000000" w:sz="4" w:space="0"/>
                  </w:tcBorders>
                  <w:vAlign w:val="center"/>
                </w:tcPr>
                <w:p w14:paraId="7FE09051">
                  <w:pPr>
                    <w:textAlignment w:val="center"/>
                    <w:rPr>
                      <w:rFonts w:eastAsia="宋体" w:cs="Calibri"/>
                      <w:color w:val="000000"/>
                      <w:sz w:val="18"/>
                      <w:szCs w:val="18"/>
                    </w:rPr>
                  </w:pPr>
                  <w:r>
                    <w:rPr>
                      <w:rFonts w:eastAsia="宋体" w:cs="Calibri"/>
                      <w:color w:val="000000"/>
                      <w:sz w:val="18"/>
                      <w:szCs w:val="18"/>
                      <w:lang w:eastAsia="zh-CN" w:bidi="ar"/>
                    </w:rPr>
                    <w:t>Integrated Solutions (59)</w:t>
                  </w:r>
                  <w:r>
                    <w:rPr>
                      <w:rFonts w:eastAsia="宋体" w:cs="Calibri"/>
                      <w:color w:val="000000"/>
                      <w:sz w:val="18"/>
                      <w:szCs w:val="18"/>
                      <w:lang w:eastAsia="zh-CN" w:bidi="ar"/>
                    </w:rPr>
                    <w:br w:type="textWrapping"/>
                  </w:r>
                  <w:r>
                    <w:rPr>
                      <w:rFonts w:eastAsia="宋体" w:cs="Calibri"/>
                      <w:color w:val="000000"/>
                      <w:sz w:val="18"/>
                      <w:szCs w:val="18"/>
                      <w:lang w:eastAsia="zh-CN" w:bidi="ar"/>
                    </w:rPr>
                    <w:t>Outdoor Enclosures (11)</w:t>
                  </w:r>
                  <w:r>
                    <w:rPr>
                      <w:rFonts w:eastAsia="宋体" w:cs="Calibri"/>
                      <w:color w:val="000000"/>
                      <w:sz w:val="18"/>
                      <w:szCs w:val="18"/>
                      <w:lang w:eastAsia="zh-CN" w:bidi="ar"/>
                    </w:rPr>
                    <w:br w:type="textWrapping"/>
                  </w:r>
                  <w:r>
                    <w:rPr>
                      <w:rFonts w:eastAsia="宋体" w:cs="Calibri"/>
                      <w:color w:val="000000"/>
                      <w:sz w:val="18"/>
                      <w:szCs w:val="18"/>
                      <w:lang w:eastAsia="zh-CN" w:bidi="ar"/>
                    </w:rPr>
                    <w:t>Racks and Containment (2)</w:t>
                  </w:r>
                </w:p>
              </w:tc>
            </w:tr>
            <w:tr w14:paraId="25E02404">
              <w:tblPrEx>
                <w:tblCellMar>
                  <w:top w:w="0" w:type="dxa"/>
                  <w:left w:w="108" w:type="dxa"/>
                  <w:bottom w:w="0" w:type="dxa"/>
                  <w:right w:w="108" w:type="dxa"/>
                </w:tblCellMar>
              </w:tblPrEx>
              <w:trPr>
                <w:trHeight w:val="750"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4E05F13C">
                  <w:pPr>
                    <w:textAlignment w:val="center"/>
                    <w:rPr>
                      <w:rFonts w:eastAsia="宋体" w:cs="Calibri"/>
                      <w:b/>
                      <w:bCs/>
                      <w:color w:val="000000"/>
                      <w:sz w:val="18"/>
                      <w:szCs w:val="18"/>
                    </w:rPr>
                  </w:pPr>
                  <w:r>
                    <w:rPr>
                      <w:rFonts w:eastAsia="宋体" w:cs="Calibri"/>
                      <w:b/>
                      <w:bCs/>
                      <w:color w:val="000000"/>
                      <w:sz w:val="18"/>
                      <w:szCs w:val="18"/>
                      <w:lang w:eastAsia="zh-CN" w:bidi="ar"/>
                    </w:rPr>
                    <w:t>Monitoring, Control and Management</w:t>
                  </w:r>
                </w:p>
              </w:tc>
              <w:tc>
                <w:tcPr>
                  <w:tcW w:w="4602" w:type="dxa"/>
                  <w:tcBorders>
                    <w:top w:val="single" w:color="000000" w:sz="4" w:space="0"/>
                    <w:left w:val="single" w:color="000000" w:sz="4" w:space="0"/>
                    <w:bottom w:val="single" w:color="000000" w:sz="4" w:space="0"/>
                    <w:right w:val="single" w:color="000000" w:sz="4" w:space="0"/>
                  </w:tcBorders>
                  <w:vAlign w:val="center"/>
                </w:tcPr>
                <w:p w14:paraId="55046D40">
                  <w:pPr>
                    <w:textAlignment w:val="center"/>
                    <w:rPr>
                      <w:rFonts w:eastAsia="宋体" w:cs="Calibri"/>
                      <w:color w:val="000000"/>
                      <w:sz w:val="18"/>
                      <w:szCs w:val="18"/>
                    </w:rPr>
                  </w:pPr>
                  <w:r>
                    <w:rPr>
                      <w:rFonts w:eastAsia="宋体" w:cs="Calibri"/>
                      <w:color w:val="000000"/>
                      <w:sz w:val="18"/>
                      <w:szCs w:val="18"/>
                      <w:lang w:eastAsia="zh-CN" w:bidi="ar"/>
                    </w:rPr>
                    <w:t>IT Management (219)</w:t>
                  </w:r>
                  <w:r>
                    <w:rPr>
                      <w:rFonts w:eastAsia="宋体" w:cs="Calibri"/>
                      <w:color w:val="000000"/>
                      <w:sz w:val="18"/>
                      <w:szCs w:val="18"/>
                      <w:lang w:eastAsia="zh-CN" w:bidi="ar"/>
                    </w:rPr>
                    <w:br w:type="textWrapping"/>
                  </w:r>
                  <w:r>
                    <w:rPr>
                      <w:rFonts w:eastAsia="宋体" w:cs="Calibri"/>
                      <w:color w:val="000000"/>
                      <w:sz w:val="18"/>
                      <w:szCs w:val="18"/>
                      <w:lang w:eastAsia="zh-CN" w:bidi="ar"/>
                    </w:rPr>
                    <w:t>Monitoring (77)</w:t>
                  </w:r>
                  <w:r>
                    <w:rPr>
                      <w:rFonts w:eastAsia="宋体" w:cs="Calibri"/>
                      <w:color w:val="000000"/>
                      <w:sz w:val="18"/>
                      <w:szCs w:val="18"/>
                      <w:lang w:eastAsia="zh-CN" w:bidi="ar"/>
                    </w:rPr>
                    <w:br w:type="textWrapping"/>
                  </w:r>
                  <w:r>
                    <w:rPr>
                      <w:rFonts w:eastAsia="宋体" w:cs="Calibri"/>
                      <w:color w:val="000000"/>
                      <w:sz w:val="18"/>
                      <w:szCs w:val="18"/>
                      <w:lang w:eastAsia="zh-CN" w:bidi="ar"/>
                    </w:rPr>
                    <w:t>Software (57)</w:t>
                  </w:r>
                </w:p>
              </w:tc>
            </w:tr>
            <w:tr w14:paraId="7588CC34">
              <w:tblPrEx>
                <w:tblCellMar>
                  <w:top w:w="0" w:type="dxa"/>
                  <w:left w:w="108" w:type="dxa"/>
                  <w:bottom w:w="0" w:type="dxa"/>
                  <w:right w:w="108" w:type="dxa"/>
                </w:tblCellMar>
              </w:tblPrEx>
              <w:trPr>
                <w:trHeight w:val="759" w:hRule="atLeast"/>
              </w:trPr>
              <w:tc>
                <w:tcPr>
                  <w:tcW w:w="2709" w:type="dxa"/>
                  <w:tcBorders>
                    <w:top w:val="single" w:color="000000" w:sz="4" w:space="0"/>
                    <w:left w:val="single" w:color="000000" w:sz="4" w:space="0"/>
                    <w:bottom w:val="single" w:color="000000" w:sz="4" w:space="0"/>
                    <w:right w:val="single" w:color="000000" w:sz="4" w:space="0"/>
                  </w:tcBorders>
                  <w:noWrap/>
                  <w:vAlign w:val="center"/>
                </w:tcPr>
                <w:p w14:paraId="22D27948">
                  <w:pPr>
                    <w:textAlignment w:val="center"/>
                    <w:rPr>
                      <w:rFonts w:eastAsia="宋体" w:cs="Calibri"/>
                      <w:b/>
                      <w:bCs/>
                      <w:color w:val="000000"/>
                      <w:sz w:val="18"/>
                      <w:szCs w:val="18"/>
                    </w:rPr>
                  </w:pPr>
                  <w:r>
                    <w:rPr>
                      <w:rFonts w:eastAsia="宋体" w:cs="Calibri"/>
                      <w:b/>
                      <w:bCs/>
                      <w:color w:val="000000"/>
                      <w:sz w:val="18"/>
                      <w:szCs w:val="18"/>
                      <w:lang w:eastAsia="zh-CN" w:bidi="ar"/>
                    </w:rPr>
                    <w:t>Services</w:t>
                  </w:r>
                </w:p>
              </w:tc>
              <w:tc>
                <w:tcPr>
                  <w:tcW w:w="4602" w:type="dxa"/>
                  <w:tcBorders>
                    <w:top w:val="single" w:color="000000" w:sz="4" w:space="0"/>
                    <w:left w:val="single" w:color="000000" w:sz="4" w:space="0"/>
                    <w:bottom w:val="single" w:color="000000" w:sz="4" w:space="0"/>
                    <w:right w:val="single" w:color="000000" w:sz="4" w:space="0"/>
                  </w:tcBorders>
                  <w:vAlign w:val="center"/>
                </w:tcPr>
                <w:p w14:paraId="7F839219">
                  <w:pPr>
                    <w:textAlignment w:val="center"/>
                    <w:rPr>
                      <w:rFonts w:eastAsia="宋体" w:cs="Calibri"/>
                      <w:color w:val="000000"/>
                      <w:sz w:val="18"/>
                      <w:szCs w:val="18"/>
                    </w:rPr>
                  </w:pPr>
                  <w:r>
                    <w:rPr>
                      <w:rFonts w:eastAsia="宋体" w:cs="Calibri"/>
                      <w:color w:val="000000"/>
                      <w:sz w:val="18"/>
                      <w:szCs w:val="18"/>
                      <w:lang w:eastAsia="zh-CN" w:bidi="ar"/>
                    </w:rPr>
                    <w:t>Project Services (15)</w:t>
                  </w:r>
                  <w:r>
                    <w:rPr>
                      <w:rFonts w:eastAsia="宋体" w:cs="Calibri"/>
                      <w:color w:val="000000"/>
                      <w:sz w:val="18"/>
                      <w:szCs w:val="18"/>
                      <w:lang w:eastAsia="zh-CN" w:bidi="ar"/>
                    </w:rPr>
                    <w:br w:type="textWrapping"/>
                  </w:r>
                  <w:r>
                    <w:rPr>
                      <w:rFonts w:eastAsia="宋体" w:cs="Calibri"/>
                      <w:color w:val="000000"/>
                      <w:sz w:val="18"/>
                      <w:szCs w:val="18"/>
                      <w:lang w:eastAsia="zh-CN" w:bidi="ar"/>
                    </w:rPr>
                    <w:t>Performance Optimization Services (6)</w:t>
                  </w:r>
                  <w:r>
                    <w:rPr>
                      <w:rFonts w:eastAsia="宋体" w:cs="Calibri"/>
                      <w:color w:val="000000"/>
                      <w:sz w:val="18"/>
                      <w:szCs w:val="18"/>
                      <w:lang w:eastAsia="zh-CN" w:bidi="ar"/>
                    </w:rPr>
                    <w:br w:type="textWrapping"/>
                  </w:r>
                  <w:r>
                    <w:rPr>
                      <w:rFonts w:eastAsia="宋体" w:cs="Calibri"/>
                      <w:color w:val="000000"/>
                      <w:sz w:val="18"/>
                      <w:szCs w:val="18"/>
                      <w:lang w:eastAsia="zh-CN" w:bidi="ar"/>
                    </w:rPr>
                    <w:t>Training (2)</w:t>
                  </w:r>
                </w:p>
              </w:tc>
            </w:tr>
          </w:tbl>
          <w:p w14:paraId="1C0EE24D">
            <w:pPr>
              <w:jc w:val="both"/>
              <w:rPr>
                <w:rFonts w:cs="Calibri" w:eastAsiaTheme="minorEastAsia"/>
                <w:sz w:val="22"/>
                <w:szCs w:val="22"/>
                <w:lang w:eastAsia="zh-CN"/>
              </w:rPr>
            </w:pPr>
          </w:p>
        </w:tc>
      </w:tr>
      <w:tr w14:paraId="3AFCDBFC">
        <w:tblPrEx>
          <w:tblCellMar>
            <w:top w:w="0" w:type="dxa"/>
            <w:left w:w="108" w:type="dxa"/>
            <w:bottom w:w="0" w:type="dxa"/>
            <w:right w:w="108" w:type="dxa"/>
          </w:tblCellMar>
        </w:tblPrEx>
        <w:trPr>
          <w:trHeight w:val="64" w:hRule="atLeast"/>
        </w:trPr>
        <w:tc>
          <w:tcPr>
            <w:tcW w:w="7466" w:type="dxa"/>
            <w:tcBorders>
              <w:top w:val="nil"/>
            </w:tcBorders>
            <w:tcMar>
              <w:left w:w="0" w:type="dxa"/>
              <w:right w:w="28" w:type="dxa"/>
            </w:tcMar>
            <w:vAlign w:val="center"/>
          </w:tcPr>
          <w:p w14:paraId="2F751D96">
            <w:pPr>
              <w:jc w:val="both"/>
              <w:rPr>
                <w:rFonts w:cs="Calibri" w:eastAsiaTheme="minorEastAsia"/>
                <w:sz w:val="22"/>
                <w:szCs w:val="22"/>
                <w:lang w:eastAsia="zh-CN"/>
              </w:rPr>
            </w:pPr>
            <w:r>
              <w:rPr>
                <w:rFonts w:cs="Calibri" w:eastAsiaTheme="minorEastAsia"/>
                <w:lang w:eastAsia="zh-CN"/>
              </w:rPr>
              <w:t>Source: Company, HFI</w:t>
            </w:r>
          </w:p>
        </w:tc>
      </w:tr>
    </w:tbl>
    <w:p w14:paraId="49B46A0B">
      <w:pPr>
        <w:rPr>
          <w:rFonts w:hint="eastAsia" w:eastAsia="宋体" w:cs="Calibri"/>
          <w:sz w:val="22"/>
          <w:szCs w:val="22"/>
          <w:lang w:eastAsia="zh-CN"/>
        </w:rPr>
      </w:pPr>
      <w:r>
        <w:rPr>
          <w:rFonts w:hint="eastAsia" w:eastAsia="宋体" w:cs="Calibri"/>
          <w:sz w:val="22"/>
          <w:szCs w:val="22"/>
          <w:lang w:eastAsia="zh-CN"/>
        </w:rPr>
        <w:br w:type="page"/>
      </w:r>
    </w:p>
    <w:tbl>
      <w:tblPr>
        <w:tblStyle w:val="15"/>
        <w:tblpPr w:leftFromText="180" w:rightFromText="180" w:vertAnchor="text" w:horzAnchor="page" w:tblpX="1150" w:tblpY="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18405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0" w:hRule="atLeast"/>
        </w:trPr>
        <w:tc>
          <w:tcPr>
            <w:tcW w:w="10160" w:type="dxa"/>
            <w:tcBorders>
              <w:bottom w:val="nil"/>
            </w:tcBorders>
          </w:tcPr>
          <w:p w14:paraId="3078757F">
            <w:pPr>
              <w:jc w:val="both"/>
              <w:rPr>
                <w:rFonts w:cs="Calibri" w:eastAsiaTheme="minorEastAsia"/>
                <w:b/>
                <w:bCs/>
                <w:sz w:val="22"/>
                <w:szCs w:val="22"/>
                <w:lang w:eastAsia="zh-CN"/>
              </w:rPr>
            </w:pPr>
            <w:r>
              <w:rPr>
                <w:rFonts w:cs="Calibri" w:eastAsiaTheme="minorEastAsia"/>
                <w:b/>
                <w:bCs/>
                <w:sz w:val="22"/>
                <w:szCs w:val="22"/>
                <w:lang w:eastAsia="zh-CN"/>
              </w:rPr>
              <w:t xml:space="preserve">Figure: </w:t>
            </w:r>
            <w:r>
              <w:rPr>
                <w:rFonts w:hint="eastAsia" w:eastAsia="宋体" w:cs="Calibri"/>
                <w:b/>
                <w:bCs/>
                <w:sz w:val="22"/>
                <w:szCs w:val="22"/>
                <w:lang w:eastAsia="zh-CN"/>
              </w:rPr>
              <w:t>Vertiv has the</w:t>
            </w:r>
            <w:r>
              <w:rPr>
                <w:rFonts w:cs="Calibri" w:eastAsiaTheme="minorEastAsia"/>
                <w:b/>
                <w:bCs/>
                <w:sz w:val="22"/>
                <w:szCs w:val="22"/>
                <w:lang w:eastAsia="zh-CN"/>
              </w:rPr>
              <w:t xml:space="preserve"> most complete critical digital infrastructure portfolio  </w:t>
            </w:r>
          </w:p>
        </w:tc>
      </w:tr>
      <w:tr w14:paraId="3FB35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78390CF7">
            <w:pPr>
              <w:jc w:val="both"/>
              <w:rPr>
                <w:rFonts w:cs="Calibri" w:eastAsiaTheme="minorEastAsia"/>
                <w:sz w:val="22"/>
                <w:szCs w:val="22"/>
                <w:lang w:eastAsia="zh-CN"/>
              </w:rPr>
            </w:pPr>
            <w:r>
              <w:rPr>
                <w:rFonts w:cs="Calibri" w:eastAsiaTheme="minorEastAsia"/>
                <w:sz w:val="22"/>
                <w:szCs w:val="22"/>
                <w:lang w:eastAsia="zh-CN"/>
              </w:rPr>
              <w:drawing>
                <wp:inline distT="0" distB="0" distL="114300" distR="114300">
                  <wp:extent cx="6369685" cy="2604770"/>
                  <wp:effectExtent l="0" t="0" r="635" b="127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19"/>
                          <a:stretch>
                            <a:fillRect/>
                          </a:stretch>
                        </pic:blipFill>
                        <pic:spPr>
                          <a:xfrm>
                            <a:off x="0" y="0"/>
                            <a:ext cx="6369685" cy="2604770"/>
                          </a:xfrm>
                          <a:prstGeom prst="rect">
                            <a:avLst/>
                          </a:prstGeom>
                          <a:noFill/>
                          <a:ln>
                            <a:noFill/>
                          </a:ln>
                        </pic:spPr>
                      </pic:pic>
                    </a:graphicData>
                  </a:graphic>
                </wp:inline>
              </w:drawing>
            </w:r>
          </w:p>
        </w:tc>
      </w:tr>
      <w:tr w14:paraId="0813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5DAB1A0F">
            <w:pPr>
              <w:jc w:val="both"/>
              <w:rPr>
                <w:rFonts w:cs="Calibri" w:eastAsiaTheme="minorEastAsia"/>
                <w:sz w:val="22"/>
                <w:szCs w:val="22"/>
                <w:lang w:eastAsia="zh-CN"/>
              </w:rPr>
            </w:pPr>
            <w:r>
              <w:rPr>
                <w:rFonts w:cs="Calibri" w:eastAsiaTheme="minorEastAsia"/>
                <w:sz w:val="16"/>
                <w:szCs w:val="16"/>
                <w:lang w:eastAsia="zh-CN"/>
              </w:rPr>
              <w:t>Source: Company, HFI</w:t>
            </w:r>
          </w:p>
        </w:tc>
      </w:tr>
      <w:tr w14:paraId="0CD90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trPr>
        <w:tc>
          <w:tcPr>
            <w:tcW w:w="10160" w:type="dxa"/>
            <w:tcBorders>
              <w:top w:val="nil"/>
            </w:tcBorders>
          </w:tcPr>
          <w:p w14:paraId="71380307">
            <w:pPr>
              <w:jc w:val="both"/>
              <w:rPr>
                <w:rFonts w:cs="Calibri" w:eastAsiaTheme="minorEastAsia"/>
                <w:sz w:val="22"/>
                <w:szCs w:val="22"/>
                <w:lang w:eastAsia="zh-CN"/>
              </w:rPr>
            </w:pPr>
          </w:p>
        </w:tc>
      </w:tr>
    </w:tbl>
    <w:p w14:paraId="7CCDBB24">
      <w:pPr>
        <w:jc w:val="both"/>
        <w:rPr>
          <w:rFonts w:cs="Calibri" w:eastAsiaTheme="minorEastAsia"/>
          <w:sz w:val="22"/>
          <w:szCs w:val="22"/>
          <w:lang w:eastAsia="zh-CN"/>
        </w:rPr>
      </w:pPr>
      <w:r>
        <w:rPr>
          <w:rFonts w:hint="eastAsia" w:cs="Calibri" w:eastAsiaTheme="minorEastAsia"/>
          <w:b/>
          <w:bCs/>
          <w:sz w:val="22"/>
          <w:szCs w:val="22"/>
          <w:lang w:eastAsia="zh-CN"/>
        </w:rPr>
        <w:t>Competition</w:t>
      </w:r>
      <w:r>
        <w:rPr>
          <w:rFonts w:hint="eastAsia" w:cs="Calibri" w:eastAsiaTheme="minorEastAsia"/>
          <w:b/>
          <w:bCs/>
          <w:sz w:val="22"/>
          <w:szCs w:val="22"/>
          <w:lang w:val="en-US" w:eastAsia="zh-CN"/>
        </w:rPr>
        <w:t xml:space="preserve"> faced by the company</w:t>
      </w:r>
      <w:r>
        <w:rPr>
          <w:rFonts w:hint="eastAsia" w:cs="Calibri" w:eastAsiaTheme="minorEastAsia"/>
          <w:b/>
          <w:bCs/>
          <w:sz w:val="22"/>
          <w:szCs w:val="22"/>
          <w:lang w:eastAsia="zh-CN"/>
        </w:rPr>
        <w:t xml:space="preserve"> is driven by reliability, quality, price, service, and customer relationships. </w:t>
      </w:r>
      <w:r>
        <w:rPr>
          <w:rFonts w:hint="eastAsia" w:cs="Calibri" w:eastAsiaTheme="minorEastAsia"/>
          <w:sz w:val="22"/>
          <w:szCs w:val="22"/>
          <w:lang w:eastAsia="zh-CN"/>
        </w:rPr>
        <w:t>Vertiv faces two main types of rivals: large global providers (e.g., Schneider Electric, Eaton, Legrand, Huawei) and niche players (e.g., Delta Electronics, Stulz, Johnson Controls, Socomec). While most competitors focus on a specific product or region, Vertiv differentiates itself through application expertise, deep customer collaboration, the industry</w:t>
      </w:r>
      <w:r>
        <w:rPr>
          <w:rFonts w:cs="Calibri" w:eastAsiaTheme="minorEastAsia"/>
          <w:sz w:val="22"/>
          <w:szCs w:val="22"/>
          <w:lang w:eastAsia="zh-CN"/>
        </w:rPr>
        <w:t>’</w:t>
      </w:r>
      <w:r>
        <w:rPr>
          <w:rFonts w:hint="eastAsia" w:cs="Calibri" w:eastAsiaTheme="minorEastAsia"/>
          <w:sz w:val="22"/>
          <w:szCs w:val="22"/>
          <w:lang w:eastAsia="zh-CN"/>
        </w:rPr>
        <w:t>s most complete portfolio, continuous innovation, proven reliability and quality, a truly global footprint, and an industry-leading global service network.</w:t>
      </w:r>
    </w:p>
    <w:p w14:paraId="7B913E06">
      <w:pPr>
        <w:jc w:val="both"/>
        <w:rPr>
          <w:rFonts w:cs="Calibri" w:eastAsiaTheme="minorEastAsia"/>
          <w:b/>
          <w:bCs/>
          <w:sz w:val="22"/>
          <w:szCs w:val="22"/>
          <w:lang w:eastAsia="zh-CN"/>
        </w:rPr>
      </w:pPr>
    </w:p>
    <w:p w14:paraId="0E056664">
      <w:pPr>
        <w:jc w:val="both"/>
        <w:rPr>
          <w:rFonts w:cs="Calibri" w:eastAsiaTheme="minorEastAsia"/>
          <w:sz w:val="22"/>
          <w:szCs w:val="22"/>
          <w:lang w:eastAsia="zh-CN"/>
        </w:rPr>
      </w:pPr>
      <w:r>
        <w:rPr>
          <w:rFonts w:hint="eastAsia" w:cs="Calibri" w:eastAsiaTheme="minorEastAsia"/>
          <w:b/>
          <w:bCs/>
          <w:sz w:val="22"/>
          <w:szCs w:val="22"/>
          <w:lang w:eastAsia="zh-CN"/>
        </w:rPr>
        <w:t>Headquartered in Westerville, Ohio, USA, Vertiv does business in more than 130 countries. Vertiv</w:t>
      </w:r>
      <w:r>
        <w:rPr>
          <w:rFonts w:cs="Calibri" w:eastAsiaTheme="minorEastAsia"/>
          <w:b/>
          <w:bCs/>
          <w:sz w:val="22"/>
          <w:szCs w:val="22"/>
          <w:lang w:eastAsia="zh-CN"/>
        </w:rPr>
        <w:t>’</w:t>
      </w:r>
      <w:r>
        <w:rPr>
          <w:rFonts w:hint="eastAsia" w:cs="Calibri" w:eastAsiaTheme="minorEastAsia"/>
          <w:b/>
          <w:bCs/>
          <w:sz w:val="22"/>
          <w:szCs w:val="22"/>
          <w:lang w:eastAsia="zh-CN"/>
        </w:rPr>
        <w:t xml:space="preserve">s </w:t>
      </w:r>
      <w:r>
        <w:rPr>
          <w:rFonts w:cs="Calibri" w:eastAsiaTheme="minorEastAsia"/>
          <w:b/>
          <w:bCs/>
          <w:sz w:val="22"/>
          <w:szCs w:val="22"/>
          <w:lang w:eastAsia="zh-CN"/>
        </w:rPr>
        <w:t>customers operate in some of the world's most critical industries.</w:t>
      </w:r>
      <w:r>
        <w:rPr>
          <w:rFonts w:cs="Calibri" w:eastAsiaTheme="minorEastAsia"/>
          <w:sz w:val="22"/>
          <w:szCs w:val="22"/>
          <w:lang w:eastAsia="zh-CN"/>
        </w:rPr>
        <w:t xml:space="preserve"> </w:t>
      </w:r>
      <w:r>
        <w:rPr>
          <w:rFonts w:hint="eastAsia" w:cs="Calibri" w:eastAsiaTheme="minorEastAsia"/>
          <w:sz w:val="22"/>
          <w:szCs w:val="22"/>
          <w:lang w:eastAsia="zh-CN"/>
        </w:rPr>
        <w:t xml:space="preserve">The company </w:t>
      </w:r>
      <w:r>
        <w:rPr>
          <w:rFonts w:cs="Calibri" w:eastAsiaTheme="minorEastAsia"/>
          <w:sz w:val="22"/>
          <w:szCs w:val="22"/>
          <w:lang w:eastAsia="zh-CN"/>
        </w:rPr>
        <w:t xml:space="preserve">primarily serve customers across three main end markets: </w:t>
      </w:r>
    </w:p>
    <w:p w14:paraId="6ED5EADA">
      <w:pPr>
        <w:jc w:val="both"/>
        <w:rPr>
          <w:rFonts w:cs="Calibri" w:eastAsiaTheme="minorEastAsia"/>
          <w:sz w:val="22"/>
          <w:szCs w:val="22"/>
          <w:lang w:eastAsia="zh-CN"/>
        </w:rPr>
      </w:pPr>
    </w:p>
    <w:p w14:paraId="0035C7B3">
      <w:pPr>
        <w:numPr>
          <w:ilvl w:val="0"/>
          <w:numId w:val="10"/>
        </w:numPr>
        <w:ind w:left="420" w:leftChars="0" w:hanging="420" w:firstLineChars="0"/>
        <w:jc w:val="both"/>
        <w:rPr>
          <w:rFonts w:cs="Calibri" w:eastAsiaTheme="minorEastAsia"/>
          <w:sz w:val="22"/>
          <w:szCs w:val="22"/>
          <w:lang w:eastAsia="zh-CN"/>
        </w:rPr>
      </w:pPr>
      <w:r>
        <w:rPr>
          <w:rFonts w:hint="eastAsia" w:cs="Calibri" w:eastAsiaTheme="minorEastAsia"/>
          <w:b/>
          <w:bCs/>
          <w:sz w:val="22"/>
          <w:szCs w:val="22"/>
          <w:lang w:eastAsia="zh-CN"/>
        </w:rPr>
        <w:t>D</w:t>
      </w:r>
      <w:r>
        <w:rPr>
          <w:rFonts w:cs="Calibri" w:eastAsiaTheme="minorEastAsia"/>
          <w:b/>
          <w:bCs/>
          <w:sz w:val="22"/>
          <w:szCs w:val="22"/>
          <w:lang w:eastAsia="zh-CN"/>
        </w:rPr>
        <w:t>ata centers</w:t>
      </w:r>
      <w:r>
        <w:rPr>
          <w:rFonts w:hint="eastAsia" w:cs="Calibri" w:eastAsiaTheme="minorEastAsia"/>
          <w:b/>
          <w:bCs/>
          <w:sz w:val="22"/>
          <w:szCs w:val="22"/>
          <w:lang w:val="en-US" w:eastAsia="zh-CN"/>
        </w:rPr>
        <w:t xml:space="preserve"> (~80% of sales)</w:t>
      </w:r>
      <w:r>
        <w:rPr>
          <w:rFonts w:hint="eastAsia" w:cs="Calibri" w:eastAsiaTheme="minorEastAsia"/>
          <w:b w:val="0"/>
          <w:bCs w:val="0"/>
          <w:sz w:val="22"/>
          <w:szCs w:val="22"/>
          <w:lang w:eastAsia="zh-CN"/>
        </w:rPr>
        <w:t>,</w:t>
      </w:r>
      <w:r>
        <w:rPr>
          <w:rFonts w:hint="eastAsia" w:cs="Calibri" w:eastAsiaTheme="minorEastAsia"/>
          <w:sz w:val="22"/>
          <w:szCs w:val="22"/>
          <w:lang w:eastAsia="zh-CN"/>
        </w:rPr>
        <w:t xml:space="preserve"> </w:t>
      </w:r>
      <w:r>
        <w:rPr>
          <w:rFonts w:cs="Calibri" w:eastAsiaTheme="minorEastAsia"/>
          <w:sz w:val="22"/>
          <w:szCs w:val="22"/>
          <w:lang w:eastAsia="zh-CN"/>
        </w:rPr>
        <w:t>including hyperscale/cloud</w:t>
      </w:r>
      <w:r>
        <w:rPr>
          <w:rFonts w:hint="eastAsia" w:cs="Calibri" w:eastAsiaTheme="minorEastAsia"/>
          <w:sz w:val="22"/>
          <w:szCs w:val="22"/>
          <w:lang w:eastAsia="zh-CN"/>
        </w:rPr>
        <w:t xml:space="preserve">, </w:t>
      </w:r>
      <w:r>
        <w:rPr>
          <w:rFonts w:cs="Calibri" w:eastAsiaTheme="minorEastAsia"/>
          <w:sz w:val="22"/>
          <w:szCs w:val="22"/>
          <w:lang w:eastAsia="zh-CN"/>
        </w:rPr>
        <w:t>colocation</w:t>
      </w:r>
      <w:r>
        <w:rPr>
          <w:rFonts w:hint="eastAsia" w:cs="Calibri" w:eastAsiaTheme="minorEastAsia"/>
          <w:sz w:val="22"/>
          <w:szCs w:val="22"/>
          <w:lang w:eastAsia="zh-CN"/>
        </w:rPr>
        <w:t xml:space="preserve">, </w:t>
      </w:r>
      <w:r>
        <w:rPr>
          <w:rFonts w:cs="Calibri" w:eastAsiaTheme="minorEastAsia"/>
          <w:sz w:val="22"/>
          <w:szCs w:val="22"/>
          <w:lang w:eastAsia="zh-CN"/>
        </w:rPr>
        <w:t>and enterprise</w:t>
      </w:r>
      <w:r>
        <w:rPr>
          <w:rFonts w:hint="eastAsia" w:cs="Calibri" w:eastAsiaTheme="minorEastAsia"/>
          <w:sz w:val="22"/>
          <w:szCs w:val="22"/>
          <w:lang w:eastAsia="zh-CN"/>
        </w:rPr>
        <w:t>;</w:t>
      </w:r>
    </w:p>
    <w:p w14:paraId="2A3AC870">
      <w:pPr>
        <w:numPr>
          <w:ilvl w:val="0"/>
          <w:numId w:val="10"/>
        </w:numPr>
        <w:ind w:left="420" w:leftChars="0" w:hanging="420" w:firstLineChars="0"/>
        <w:jc w:val="both"/>
        <w:rPr>
          <w:rFonts w:cs="Calibri" w:eastAsiaTheme="minorEastAsia"/>
          <w:sz w:val="22"/>
          <w:szCs w:val="22"/>
          <w:lang w:eastAsia="zh-CN"/>
        </w:rPr>
      </w:pPr>
      <w:r>
        <w:rPr>
          <w:rFonts w:hint="eastAsia" w:cs="Calibri" w:eastAsiaTheme="minorEastAsia"/>
          <w:b/>
          <w:bCs/>
          <w:sz w:val="22"/>
          <w:szCs w:val="22"/>
          <w:lang w:eastAsia="zh-CN"/>
        </w:rPr>
        <w:t>C</w:t>
      </w:r>
      <w:r>
        <w:rPr>
          <w:rFonts w:cs="Calibri" w:eastAsiaTheme="minorEastAsia"/>
          <w:b/>
          <w:bCs/>
          <w:sz w:val="22"/>
          <w:szCs w:val="22"/>
          <w:lang w:eastAsia="zh-CN"/>
        </w:rPr>
        <w:t xml:space="preserve">ommunication networks </w:t>
      </w:r>
      <w:r>
        <w:rPr>
          <w:rFonts w:hint="eastAsia" w:cs="Calibri" w:eastAsiaTheme="minorEastAsia"/>
          <w:b/>
          <w:bCs/>
          <w:sz w:val="22"/>
          <w:szCs w:val="22"/>
          <w:lang w:val="en-US" w:eastAsia="zh-CN"/>
        </w:rPr>
        <w:t>(~10% of sales)</w:t>
      </w:r>
      <w:r>
        <w:rPr>
          <w:rFonts w:hint="eastAsia" w:cs="Calibri" w:eastAsiaTheme="minorEastAsia"/>
          <w:sz w:val="22"/>
          <w:szCs w:val="22"/>
          <w:lang w:eastAsia="zh-CN"/>
        </w:rPr>
        <w:t>,</w:t>
      </w:r>
      <w:r>
        <w:rPr>
          <w:rFonts w:cs="Calibri" w:eastAsiaTheme="minorEastAsia"/>
          <w:sz w:val="22"/>
          <w:szCs w:val="22"/>
          <w:lang w:eastAsia="zh-CN"/>
        </w:rPr>
        <w:t xml:space="preserve">and </w:t>
      </w:r>
    </w:p>
    <w:p w14:paraId="2C284330">
      <w:pPr>
        <w:numPr>
          <w:ilvl w:val="0"/>
          <w:numId w:val="10"/>
        </w:numPr>
        <w:ind w:left="420" w:leftChars="0" w:hanging="420" w:firstLineChars="0"/>
        <w:jc w:val="both"/>
        <w:rPr>
          <w:rFonts w:cs="Calibri" w:eastAsiaTheme="minorEastAsia"/>
          <w:sz w:val="22"/>
          <w:szCs w:val="22"/>
          <w:lang w:eastAsia="zh-CN"/>
        </w:rPr>
      </w:pPr>
      <w:r>
        <w:rPr>
          <w:rFonts w:hint="eastAsia" w:cs="Calibri" w:eastAsiaTheme="minorEastAsia"/>
          <w:b/>
          <w:bCs/>
          <w:sz w:val="22"/>
          <w:szCs w:val="22"/>
          <w:lang w:eastAsia="zh-CN"/>
        </w:rPr>
        <w:t>C</w:t>
      </w:r>
      <w:r>
        <w:rPr>
          <w:rFonts w:cs="Calibri" w:eastAsiaTheme="minorEastAsia"/>
          <w:b/>
          <w:bCs/>
          <w:sz w:val="22"/>
          <w:szCs w:val="22"/>
          <w:lang w:eastAsia="zh-CN"/>
        </w:rPr>
        <w:t>ommercial and industrial applications</w:t>
      </w:r>
      <w:r>
        <w:rPr>
          <w:rFonts w:hint="eastAsia" w:cs="Calibri" w:eastAsiaTheme="minorEastAsia"/>
          <w:b/>
          <w:bCs/>
          <w:sz w:val="22"/>
          <w:szCs w:val="22"/>
          <w:lang w:val="en-US" w:eastAsia="zh-CN"/>
        </w:rPr>
        <w:t xml:space="preserve"> (~10% of sales)</w:t>
      </w:r>
      <w:r>
        <w:rPr>
          <w:rFonts w:cs="Calibri" w:eastAsiaTheme="minorEastAsia"/>
          <w:sz w:val="22"/>
          <w:szCs w:val="22"/>
          <w:lang w:eastAsia="zh-CN"/>
        </w:rPr>
        <w:t>.</w:t>
      </w:r>
      <w:r>
        <w:rPr>
          <w:rFonts w:hint="eastAsia" w:cs="Calibri" w:eastAsiaTheme="minorEastAsia"/>
          <w:sz w:val="22"/>
          <w:szCs w:val="22"/>
          <w:lang w:eastAsia="zh-CN"/>
        </w:rPr>
        <w:t xml:space="preserve"> </w:t>
      </w:r>
    </w:p>
    <w:p w14:paraId="060BF2D7">
      <w:pPr>
        <w:jc w:val="both"/>
        <w:rPr>
          <w:rFonts w:eastAsia="宋体" w:cs="Calibri"/>
          <w:sz w:val="22"/>
          <w:szCs w:val="22"/>
          <w:lang w:eastAsia="zh-CN"/>
        </w:rPr>
      </w:pPr>
    </w:p>
    <w:p w14:paraId="496919C1">
      <w:pPr>
        <w:jc w:val="both"/>
        <w:rPr>
          <w:rFonts w:eastAsia="宋体" w:cs="Calibri"/>
          <w:sz w:val="22"/>
          <w:szCs w:val="22"/>
          <w:lang w:eastAsia="zh-CN"/>
        </w:rPr>
      </w:pPr>
      <w:r>
        <w:rPr>
          <w:rFonts w:hint="eastAsia" w:cs="Calibri" w:eastAsiaTheme="minorEastAsia"/>
          <w:sz w:val="22"/>
          <w:szCs w:val="22"/>
          <w:lang w:eastAsia="zh-CN"/>
        </w:rPr>
        <w:t>The company engages these customers through a global network of direct sales teams, independent representatives, channel partners, and OEMs. Vertiv often collaborates closely with clients from initial planning through delivery and ongoing service, fostering deep, long-term relationships that frequently span decades.</w:t>
      </w:r>
    </w:p>
    <w:p w14:paraId="17CE49E7">
      <w:pPr>
        <w:rPr>
          <w:rFonts w:hint="eastAsia" w:eastAsia="宋体" w:cs="Calibri"/>
          <w:sz w:val="22"/>
          <w:szCs w:val="22"/>
          <w:lang w:eastAsia="zh-CN"/>
        </w:rPr>
      </w:pPr>
      <w:r>
        <w:rPr>
          <w:rFonts w:hint="eastAsia" w:eastAsia="宋体" w:cs="Calibri"/>
          <w:sz w:val="22"/>
          <w:szCs w:val="22"/>
          <w:lang w:eastAsia="zh-CN"/>
        </w:rPr>
        <w:br w:type="page"/>
      </w:r>
    </w:p>
    <w:tbl>
      <w:tblPr>
        <w:tblStyle w:val="15"/>
        <w:tblpPr w:leftFromText="180" w:rightFromText="180" w:vertAnchor="text" w:horzAnchor="page" w:tblpX="1150" w:tblpY="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F3F2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bottom w:val="nil"/>
            </w:tcBorders>
          </w:tcPr>
          <w:p w14:paraId="600DDF5F">
            <w:pPr>
              <w:jc w:val="both"/>
              <w:rPr>
                <w:rFonts w:cs="Calibri" w:eastAsiaTheme="minorEastAsia"/>
                <w:b/>
                <w:bCs/>
                <w:sz w:val="20"/>
                <w:szCs w:val="20"/>
                <w:lang w:eastAsia="zh-CN"/>
              </w:rPr>
            </w:pPr>
            <w:r>
              <w:rPr>
                <w:rFonts w:hint="eastAsia" w:cs="Calibri" w:eastAsiaTheme="minorEastAsia"/>
                <w:b/>
                <w:bCs/>
                <w:sz w:val="20"/>
                <w:szCs w:val="20"/>
                <w:lang w:eastAsia="zh-CN"/>
              </w:rPr>
              <w:t xml:space="preserve">Figure: </w:t>
            </w:r>
            <w:r>
              <w:rPr>
                <w:rFonts w:hint="eastAsia" w:cs="Calibri" w:eastAsiaTheme="minorEastAsia"/>
                <w:b/>
                <w:bCs/>
                <w:sz w:val="20"/>
                <w:szCs w:val="20"/>
                <w:lang w:val="en-US" w:eastAsia="zh-CN"/>
              </w:rPr>
              <w:t xml:space="preserve">2024FY </w:t>
            </w:r>
            <w:r>
              <w:rPr>
                <w:rFonts w:hint="eastAsia" w:cs="Calibri" w:eastAsiaTheme="minorEastAsia"/>
                <w:b/>
                <w:bCs/>
                <w:sz w:val="20"/>
                <w:szCs w:val="20"/>
                <w:lang w:eastAsia="zh-CN"/>
              </w:rPr>
              <w:t xml:space="preserve">Revenue breakdown </w:t>
            </w:r>
          </w:p>
        </w:tc>
      </w:tr>
      <w:tr w14:paraId="33339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05A20201">
            <w:pPr>
              <w:jc w:val="both"/>
              <w:rPr>
                <w:rFonts w:cs="Calibri" w:eastAsiaTheme="minorEastAsia"/>
                <w:sz w:val="22"/>
                <w:szCs w:val="22"/>
                <w:lang w:eastAsia="zh-CN"/>
              </w:rPr>
            </w:pPr>
            <w:r>
              <w:rPr>
                <w:rFonts w:hint="eastAsia" w:cs="Calibri" w:eastAsiaTheme="minorEastAsia"/>
                <w:sz w:val="22"/>
                <w:szCs w:val="22"/>
                <w:lang w:eastAsia="zh-CN"/>
              </w:rPr>
              <w:drawing>
                <wp:inline distT="0" distB="0" distL="114300" distR="114300">
                  <wp:extent cx="6243955" cy="1855470"/>
                  <wp:effectExtent l="0" t="0" r="4445" b="381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20"/>
                          <a:srcRect t="8793" b="3600"/>
                          <a:stretch>
                            <a:fillRect/>
                          </a:stretch>
                        </pic:blipFill>
                        <pic:spPr>
                          <a:xfrm>
                            <a:off x="0" y="0"/>
                            <a:ext cx="6243955" cy="1855470"/>
                          </a:xfrm>
                          <a:prstGeom prst="rect">
                            <a:avLst/>
                          </a:prstGeom>
                          <a:noFill/>
                          <a:ln>
                            <a:noFill/>
                          </a:ln>
                        </pic:spPr>
                      </pic:pic>
                    </a:graphicData>
                  </a:graphic>
                </wp:inline>
              </w:drawing>
            </w:r>
          </w:p>
        </w:tc>
      </w:tr>
      <w:tr w14:paraId="6C64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5E4DDEAC">
            <w:pPr>
              <w:jc w:val="both"/>
              <w:rPr>
                <w:rFonts w:cs="Calibri" w:eastAsiaTheme="minorEastAsia"/>
                <w:sz w:val="16"/>
                <w:szCs w:val="16"/>
                <w:lang w:eastAsia="zh-CN"/>
              </w:rPr>
            </w:pPr>
            <w:r>
              <w:rPr>
                <w:rFonts w:hint="eastAsia" w:cs="Calibri" w:eastAsiaTheme="minorEastAsia"/>
                <w:sz w:val="16"/>
                <w:szCs w:val="16"/>
                <w:lang w:eastAsia="zh-CN"/>
              </w:rPr>
              <w:t>Source: Company, HFI</w:t>
            </w:r>
          </w:p>
        </w:tc>
      </w:tr>
      <w:tr w14:paraId="5C414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tcBorders>
          </w:tcPr>
          <w:p w14:paraId="5D9FF32F">
            <w:pPr>
              <w:jc w:val="both"/>
              <w:rPr>
                <w:rFonts w:cs="Calibri" w:eastAsiaTheme="minorEastAsia"/>
                <w:sz w:val="16"/>
                <w:szCs w:val="16"/>
                <w:lang w:eastAsia="zh-CN"/>
              </w:rPr>
            </w:pPr>
            <w:r>
              <w:rPr>
                <w:rFonts w:hint="eastAsia" w:cs="Calibri" w:eastAsiaTheme="minorEastAsia"/>
                <w:sz w:val="16"/>
                <w:szCs w:val="16"/>
                <w:lang w:eastAsia="zh-CN"/>
              </w:rPr>
              <w:t>Note: :1 Based on FY 2024 revenue</w:t>
            </w:r>
            <w:r>
              <w:rPr>
                <w:rFonts w:hint="eastAsia" w:cs="Calibri" w:eastAsiaTheme="minorEastAsia"/>
                <w:sz w:val="16"/>
                <w:szCs w:val="16"/>
                <w:lang w:val="en-US" w:eastAsia="zh-CN"/>
              </w:rPr>
              <w:t>, for the year ended December 31, 2025, Vertiv</w:t>
            </w:r>
            <w:r>
              <w:rPr>
                <w:rFonts w:hint="default" w:cs="Calibri" w:eastAsiaTheme="minorEastAsia"/>
                <w:sz w:val="16"/>
                <w:szCs w:val="16"/>
                <w:lang w:val="en-US" w:eastAsia="zh-CN"/>
              </w:rPr>
              <w:t>’</w:t>
            </w:r>
            <w:r>
              <w:rPr>
                <w:rFonts w:hint="eastAsia" w:cs="Calibri" w:eastAsiaTheme="minorEastAsia"/>
                <w:sz w:val="16"/>
                <w:szCs w:val="16"/>
                <w:lang w:val="en-US" w:eastAsia="zh-CN"/>
              </w:rPr>
              <w:t>s net sales were $10.2 billion, of which 62% was transacted in the Americas; 20% was transacted in Asia Pacific; and 18% was transacted in Europe, Middle East &amp; Africa.</w:t>
            </w:r>
            <w:r>
              <w:rPr>
                <w:rFonts w:hint="eastAsia" w:cs="Calibri" w:eastAsiaTheme="minorEastAsia"/>
                <w:sz w:val="16"/>
                <w:szCs w:val="16"/>
                <w:lang w:eastAsia="zh-CN"/>
              </w:rPr>
              <w:t>;</w:t>
            </w:r>
            <w:r>
              <w:rPr>
                <w:rFonts w:hint="eastAsia" w:cs="Calibri" w:eastAsiaTheme="minorEastAsia"/>
                <w:sz w:val="16"/>
                <w:szCs w:val="16"/>
                <w:lang w:val="en-US" w:eastAsia="zh-CN"/>
              </w:rPr>
              <w:t xml:space="preserve"> 80% for product, 20% for Services in 2025.</w:t>
            </w:r>
            <w:r>
              <w:rPr>
                <w:rFonts w:hint="eastAsia" w:cs="Calibri" w:eastAsiaTheme="minorEastAsia"/>
                <w:sz w:val="16"/>
                <w:szCs w:val="16"/>
                <w:lang w:eastAsia="zh-CN"/>
              </w:rPr>
              <w:t xml:space="preserve"> 2 Market segment rounded to 5%; Prior to 2024, the Company previously reported critical infrastructure &amp; solutions and integrated rack solutions revenue separately. In 2024, the previously reported revenue for those product and service offerings are combined and reported as products as they are now collectively managed together.</w:t>
            </w:r>
          </w:p>
        </w:tc>
      </w:tr>
    </w:tbl>
    <w:p w14:paraId="4FBC4DF3">
      <w:pPr>
        <w:jc w:val="both"/>
        <w:rPr>
          <w:rFonts w:cs="Calibri" w:eastAsiaTheme="minorEastAsia"/>
          <w:b/>
          <w:bCs/>
          <w:sz w:val="22"/>
          <w:szCs w:val="22"/>
          <w:lang w:eastAsia="zh-CN"/>
        </w:rPr>
      </w:pPr>
    </w:p>
    <w:p w14:paraId="06073DDF">
      <w:pPr>
        <w:jc w:val="both"/>
        <w:rPr>
          <w:rFonts w:cs="Calibri" w:eastAsiaTheme="minorEastAsia"/>
          <w:sz w:val="22"/>
          <w:szCs w:val="22"/>
          <w:lang w:eastAsia="zh-CN"/>
        </w:rPr>
      </w:pPr>
      <w:r>
        <w:rPr>
          <w:rFonts w:cs="Calibri" w:eastAsiaTheme="minorEastAsia"/>
          <w:b/>
          <w:bCs/>
          <w:sz w:val="22"/>
          <w:szCs w:val="22"/>
          <w:lang w:eastAsia="zh-CN"/>
        </w:rPr>
        <w:t xml:space="preserve">Vertiv is led by an experienced executive team with deep expertise in global industrial operations, power systems, and digital infrastructure. </w:t>
      </w:r>
      <w:r>
        <w:rPr>
          <w:rFonts w:cs="Calibri" w:eastAsiaTheme="minorEastAsia"/>
          <w:sz w:val="22"/>
          <w:szCs w:val="22"/>
          <w:lang w:eastAsia="zh-CN"/>
        </w:rPr>
        <w:t>CEO Giordano Albertazzi, who joined in 2023, previously held leadership roles at Nidec, GE, and ABB, bringing a strong focus on innovation and operational rigor. CFO Rob Johnson, formerly of Generac, drives financial discipline and strategic capital allocation. COO Gary Niederpruem, a long-time Vertiv veteran, oversees global manufacturing, supply chain, and service delivery—ensuring reliable execution at scale.</w:t>
      </w:r>
    </w:p>
    <w:p w14:paraId="5EDD3847">
      <w:pPr>
        <w:jc w:val="both"/>
        <w:rPr>
          <w:rFonts w:cs="Calibri" w:eastAsiaTheme="minorEastAsia"/>
          <w:b/>
          <w:bCs/>
          <w:sz w:val="22"/>
          <w:szCs w:val="22"/>
          <w:lang w:eastAsia="zh-CN"/>
        </w:rPr>
      </w:pPr>
    </w:p>
    <w:p w14:paraId="0C797758">
      <w:pPr>
        <w:jc w:val="both"/>
        <w:rPr>
          <w:rFonts w:cs="Calibri" w:eastAsiaTheme="minorEastAsia"/>
          <w:sz w:val="22"/>
          <w:szCs w:val="22"/>
          <w:lang w:eastAsia="zh-CN"/>
        </w:rPr>
      </w:pPr>
      <w:r>
        <w:rPr>
          <w:rFonts w:cs="Calibri" w:eastAsiaTheme="minorEastAsia"/>
          <w:b/>
          <w:bCs/>
          <w:sz w:val="22"/>
          <w:szCs w:val="22"/>
          <w:lang w:eastAsia="zh-CN"/>
        </w:rPr>
        <w:t xml:space="preserve">The company’s operational foundation is the Vertiv Operating System (VOS), a structured framework rooted in lean principles and continuous improvement. </w:t>
      </w:r>
      <w:r>
        <w:rPr>
          <w:rFonts w:cs="Calibri" w:eastAsiaTheme="minorEastAsia"/>
          <w:sz w:val="22"/>
          <w:szCs w:val="22"/>
          <w:lang w:eastAsia="zh-CN"/>
        </w:rPr>
        <w:t>VOS provides a standardized, enterprise-wide approach to running the business, with clear ownership of seven core end-to-end processes. While championed by leadership, VOS is embedded across all levels of the organization to drive efficiency, quality, and customer responsiveness</w:t>
      </w:r>
      <w:r>
        <w:rPr>
          <w:rFonts w:hint="eastAsia" w:cs="Calibri" w:eastAsiaTheme="minorEastAsia"/>
          <w:sz w:val="22"/>
          <w:szCs w:val="22"/>
          <w:lang w:val="en-US" w:eastAsia="zh-CN"/>
        </w:rPr>
        <w:t xml:space="preserve"> and allow the company the ability to drive further productivity savings to help offset inflation</w:t>
      </w:r>
      <w:r>
        <w:rPr>
          <w:rFonts w:cs="Calibri" w:eastAsiaTheme="minorEastAsia"/>
          <w:sz w:val="22"/>
          <w:szCs w:val="22"/>
          <w:lang w:eastAsia="zh-CN"/>
        </w:rPr>
        <w:t>.</w:t>
      </w:r>
    </w:p>
    <w:p w14:paraId="349F07D6">
      <w:pPr>
        <w:jc w:val="both"/>
        <w:rPr>
          <w:rFonts w:hint="eastAsia" w:eastAsia="宋体" w:cs="Calibri"/>
          <w:sz w:val="22"/>
          <w:szCs w:val="22"/>
          <w:lang w:eastAsia="zh-CN"/>
        </w:rPr>
      </w:pPr>
    </w:p>
    <w:tbl>
      <w:tblPr>
        <w:tblStyle w:val="15"/>
        <w:tblpPr w:leftFromText="180" w:rightFromText="180" w:vertAnchor="text" w:horzAnchor="page" w:tblpX="1125" w:tblpY="125"/>
        <w:tblOverlap w:val="never"/>
        <w:tblW w:w="101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60"/>
      </w:tblGrid>
      <w:tr w14:paraId="0FB56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0" w:hRule="atLeast"/>
        </w:trPr>
        <w:tc>
          <w:tcPr>
            <w:tcW w:w="10160" w:type="dxa"/>
            <w:tcBorders>
              <w:bottom w:val="nil"/>
            </w:tcBorders>
          </w:tcPr>
          <w:p w14:paraId="6D346FE4">
            <w:pPr>
              <w:jc w:val="both"/>
              <w:rPr>
                <w:rFonts w:cs="Calibri" w:eastAsiaTheme="minorEastAsia"/>
                <w:b/>
                <w:bCs/>
                <w:sz w:val="22"/>
                <w:szCs w:val="22"/>
                <w:lang w:eastAsia="zh-CN"/>
              </w:rPr>
            </w:pPr>
            <w:r>
              <w:rPr>
                <w:rFonts w:cs="Calibri" w:eastAsiaTheme="minorEastAsia"/>
                <w:b/>
                <w:bCs/>
                <w:sz w:val="22"/>
                <w:szCs w:val="22"/>
                <w:lang w:eastAsia="zh-CN"/>
              </w:rPr>
              <w:t xml:space="preserve">Figure: Leadership team </w:t>
            </w:r>
          </w:p>
        </w:tc>
      </w:tr>
      <w:tr w14:paraId="7F70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10" w:hRule="atLeast"/>
        </w:trPr>
        <w:tc>
          <w:tcPr>
            <w:tcW w:w="10160" w:type="dxa"/>
            <w:tcBorders>
              <w:top w:val="nil"/>
              <w:bottom w:val="nil"/>
            </w:tcBorders>
            <w:tcMar>
              <w:top w:w="28" w:type="dxa"/>
              <w:bottom w:w="28" w:type="dxa"/>
            </w:tcMar>
            <w:vAlign w:val="center"/>
          </w:tcPr>
          <w:p w14:paraId="3CB178B2">
            <w:pPr>
              <w:jc w:val="both"/>
              <w:rPr>
                <w:rFonts w:cs="Calibri" w:eastAsiaTheme="minorEastAsia"/>
                <w:b/>
                <w:bCs/>
                <w:sz w:val="22"/>
                <w:szCs w:val="22"/>
                <w:lang w:eastAsia="zh-CN"/>
              </w:rPr>
            </w:pPr>
            <w:r>
              <w:rPr>
                <w:rFonts w:cs="Calibri" w:eastAsiaTheme="minorEastAsia"/>
                <w:b/>
                <w:bCs/>
                <w:sz w:val="22"/>
                <w:szCs w:val="22"/>
                <w:lang w:eastAsia="zh-CN"/>
              </w:rPr>
              <w:drawing>
                <wp:inline distT="0" distB="0" distL="114300" distR="114300">
                  <wp:extent cx="6386830" cy="2437130"/>
                  <wp:effectExtent l="0" t="0" r="13970" b="127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1"/>
                          <a:stretch>
                            <a:fillRect/>
                          </a:stretch>
                        </pic:blipFill>
                        <pic:spPr>
                          <a:xfrm>
                            <a:off x="0" y="0"/>
                            <a:ext cx="6386830" cy="2437130"/>
                          </a:xfrm>
                          <a:prstGeom prst="rect">
                            <a:avLst/>
                          </a:prstGeom>
                          <a:noFill/>
                          <a:ln>
                            <a:noFill/>
                          </a:ln>
                        </pic:spPr>
                      </pic:pic>
                    </a:graphicData>
                  </a:graphic>
                </wp:inline>
              </w:drawing>
            </w:r>
          </w:p>
        </w:tc>
      </w:tr>
      <w:tr w14:paraId="49D63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trPr>
        <w:tc>
          <w:tcPr>
            <w:tcW w:w="10160" w:type="dxa"/>
            <w:tcBorders>
              <w:top w:val="nil"/>
              <w:bottom w:val="nil"/>
            </w:tcBorders>
          </w:tcPr>
          <w:p w14:paraId="07EDD377">
            <w:pPr>
              <w:jc w:val="both"/>
              <w:rPr>
                <w:rFonts w:cs="Calibri" w:eastAsiaTheme="minorEastAsia"/>
                <w:b/>
                <w:bCs/>
                <w:sz w:val="22"/>
                <w:szCs w:val="22"/>
                <w:lang w:eastAsia="zh-CN"/>
              </w:rPr>
            </w:pPr>
            <w:r>
              <w:rPr>
                <w:rFonts w:cs="Calibri" w:eastAsiaTheme="minorEastAsia"/>
                <w:sz w:val="16"/>
                <w:szCs w:val="16"/>
                <w:lang w:eastAsia="zh-CN"/>
              </w:rPr>
              <w:t>Source: Company, HFI</w:t>
            </w:r>
          </w:p>
        </w:tc>
      </w:tr>
    </w:tbl>
    <w:p w14:paraId="0E4C93CC">
      <w:pPr>
        <w:jc w:val="both"/>
        <w:rPr>
          <w:rFonts w:cs="Calibri" w:eastAsiaTheme="minorEastAsia"/>
          <w:sz w:val="22"/>
          <w:szCs w:val="22"/>
          <w:lang w:eastAsia="zh-CN"/>
        </w:rPr>
      </w:pPr>
      <w:r>
        <w:rPr>
          <w:rFonts w:cs="Calibri" w:eastAsiaTheme="minorEastAsia"/>
          <w:b/>
          <w:bCs/>
          <w:sz w:val="22"/>
          <w:szCs w:val="22"/>
          <w:lang w:eastAsia="zh-CN"/>
        </w:rPr>
        <w:t>The company</w:t>
      </w:r>
      <w:r>
        <w:rPr>
          <w:rFonts w:hint="eastAsia" w:eastAsia="宋体" w:cs="Calibri"/>
          <w:b/>
          <w:bCs/>
          <w:sz w:val="22"/>
          <w:szCs w:val="22"/>
          <w:lang w:eastAsia="zh-CN"/>
        </w:rPr>
        <w:t xml:space="preserve"> now</w:t>
      </w:r>
      <w:r>
        <w:rPr>
          <w:rFonts w:cs="Calibri" w:eastAsiaTheme="minorEastAsia"/>
          <w:b/>
          <w:bCs/>
          <w:sz w:val="22"/>
          <w:szCs w:val="22"/>
          <w:lang w:eastAsia="zh-CN"/>
        </w:rPr>
        <w:t xml:space="preserve"> is actively expanding its global </w:t>
      </w:r>
      <w:r>
        <w:rPr>
          <w:rFonts w:hint="eastAsia" w:cs="Calibri" w:eastAsiaTheme="minorEastAsia"/>
          <w:b/>
          <w:bCs/>
          <w:sz w:val="22"/>
          <w:szCs w:val="22"/>
          <w:lang w:eastAsia="zh-CN"/>
        </w:rPr>
        <w:t>capacity footprint</w:t>
      </w:r>
      <w:r>
        <w:rPr>
          <w:rFonts w:cs="Calibri" w:eastAsiaTheme="minorEastAsia"/>
          <w:b/>
          <w:bCs/>
          <w:sz w:val="22"/>
          <w:szCs w:val="22"/>
          <w:lang w:eastAsia="zh-CN"/>
        </w:rPr>
        <w:t xml:space="preserve">. </w:t>
      </w:r>
      <w:r>
        <w:rPr>
          <w:rFonts w:cs="Calibri" w:eastAsiaTheme="minorEastAsia"/>
          <w:sz w:val="22"/>
          <w:szCs w:val="22"/>
          <w:lang w:eastAsia="zh-CN"/>
        </w:rPr>
        <w:t>As of the end of 2024, Vertiv operates 24 manufacturing and assembly facilities, including 9 in the Americas, 10 in EMEA, and 5 in Asia Pacific. The company also maintains a robust service network with over 310 service centers and approximately 4,000 field engineers. The company is investing in global manufacturing and service capacity across all regions, notably AMER to support sustained growth with disciplined fixed cost managemen</w:t>
      </w:r>
      <w:r>
        <w:rPr>
          <w:rFonts w:hint="eastAsia" w:eastAsia="宋体" w:cs="Calibri"/>
          <w:sz w:val="22"/>
          <w:szCs w:val="22"/>
          <w:lang w:eastAsia="zh-CN"/>
        </w:rPr>
        <w:t>t</w:t>
      </w:r>
      <w:r>
        <w:rPr>
          <w:rFonts w:cs="Calibri" w:eastAsiaTheme="minorEastAsia"/>
          <w:sz w:val="22"/>
          <w:szCs w:val="22"/>
          <w:lang w:eastAsia="zh-CN"/>
        </w:rPr>
        <w:t>.</w:t>
      </w:r>
      <w:r>
        <w:rPr>
          <w:rFonts w:hint="eastAsia" w:cs="Calibri" w:eastAsiaTheme="minorEastAsia"/>
          <w:sz w:val="22"/>
          <w:szCs w:val="22"/>
          <w:lang w:eastAsia="zh-CN"/>
        </w:rPr>
        <w:t xml:space="preserve"> </w:t>
      </w:r>
    </w:p>
    <w:p w14:paraId="2ACEBBB9">
      <w:pPr>
        <w:rPr>
          <w:rFonts w:cs="Calibri" w:eastAsiaTheme="minorEastAsia"/>
          <w:b/>
          <w:bCs/>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3CFE5A90">
        <w:trPr>
          <w:trHeight w:val="302" w:hRule="atLeast"/>
        </w:trPr>
        <w:tc>
          <w:tcPr>
            <w:tcW w:w="7466" w:type="dxa"/>
            <w:tcBorders>
              <w:bottom w:val="nil"/>
            </w:tcBorders>
            <w:tcMar>
              <w:left w:w="0" w:type="dxa"/>
              <w:right w:w="28" w:type="dxa"/>
            </w:tcMar>
          </w:tcPr>
          <w:p w14:paraId="58046E0A">
            <w:pPr>
              <w:rPr>
                <w:rFonts w:cs="Calibri" w:eastAsiaTheme="minorEastAsia"/>
                <w:b/>
                <w:bCs/>
                <w:sz w:val="22"/>
                <w:szCs w:val="22"/>
                <w:lang w:eastAsia="zh-CN"/>
              </w:rPr>
            </w:pPr>
            <w:r>
              <w:rPr>
                <w:rFonts w:hint="eastAsia" w:cs="Calibri" w:eastAsiaTheme="minorEastAsia"/>
                <w:b/>
                <w:bCs/>
                <w:sz w:val="20"/>
                <w:szCs w:val="20"/>
                <w:lang w:eastAsia="zh-CN"/>
              </w:rPr>
              <w:t>Figure: Global presence</w:t>
            </w:r>
          </w:p>
        </w:tc>
      </w:tr>
      <w:tr w14:paraId="63297FB2">
        <w:tblPrEx>
          <w:tblCellMar>
            <w:top w:w="0" w:type="dxa"/>
            <w:left w:w="108" w:type="dxa"/>
            <w:bottom w:w="0" w:type="dxa"/>
            <w:right w:w="108" w:type="dxa"/>
          </w:tblCellMar>
        </w:tblPrEx>
        <w:trPr>
          <w:trHeight w:val="856" w:hRule="atLeast"/>
        </w:trPr>
        <w:tc>
          <w:tcPr>
            <w:tcW w:w="7466" w:type="dxa"/>
            <w:tcBorders>
              <w:top w:val="nil"/>
              <w:bottom w:val="nil"/>
            </w:tcBorders>
            <w:vAlign w:val="center"/>
          </w:tcPr>
          <w:p w14:paraId="04E5137E">
            <w:pPr>
              <w:rPr>
                <w:rFonts w:cs="Calibri" w:eastAsiaTheme="minorEastAsia"/>
                <w:b/>
                <w:bCs/>
                <w:sz w:val="22"/>
                <w:szCs w:val="22"/>
                <w:lang w:eastAsia="zh-CN"/>
              </w:rPr>
            </w:pPr>
            <w:r>
              <w:rPr>
                <w:rFonts w:hint="eastAsia" w:cs="Calibri" w:eastAsiaTheme="minorEastAsia"/>
                <w:b/>
                <w:bCs/>
                <w:sz w:val="22"/>
                <w:szCs w:val="22"/>
                <w:lang w:eastAsia="zh-CN"/>
              </w:rPr>
              <w:drawing>
                <wp:inline distT="0" distB="0" distL="114300" distR="114300">
                  <wp:extent cx="4671060" cy="761365"/>
                  <wp:effectExtent l="0" t="0" r="7620" b="63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22"/>
                          <a:stretch>
                            <a:fillRect/>
                          </a:stretch>
                        </pic:blipFill>
                        <pic:spPr>
                          <a:xfrm>
                            <a:off x="0" y="0"/>
                            <a:ext cx="4671060" cy="761365"/>
                          </a:xfrm>
                          <a:prstGeom prst="rect">
                            <a:avLst/>
                          </a:prstGeom>
                          <a:noFill/>
                          <a:ln>
                            <a:noFill/>
                          </a:ln>
                        </pic:spPr>
                      </pic:pic>
                    </a:graphicData>
                  </a:graphic>
                </wp:inline>
              </w:drawing>
            </w:r>
          </w:p>
        </w:tc>
      </w:tr>
      <w:tr w14:paraId="16896219">
        <w:tblPrEx>
          <w:tblCellMar>
            <w:top w:w="0" w:type="dxa"/>
            <w:left w:w="108" w:type="dxa"/>
            <w:bottom w:w="0" w:type="dxa"/>
            <w:right w:w="108" w:type="dxa"/>
          </w:tblCellMar>
        </w:tblPrEx>
        <w:trPr>
          <w:trHeight w:val="64" w:hRule="atLeast"/>
        </w:trPr>
        <w:tc>
          <w:tcPr>
            <w:tcW w:w="7466" w:type="dxa"/>
            <w:tcBorders>
              <w:top w:val="nil"/>
            </w:tcBorders>
            <w:tcMar>
              <w:left w:w="0" w:type="dxa"/>
              <w:right w:w="28" w:type="dxa"/>
            </w:tcMar>
            <w:vAlign w:val="center"/>
          </w:tcPr>
          <w:p w14:paraId="4A14AEF9">
            <w:pPr>
              <w:rPr>
                <w:rFonts w:cs="Calibri" w:eastAsiaTheme="minorEastAsia"/>
                <w:b/>
                <w:bCs/>
                <w:sz w:val="16"/>
                <w:szCs w:val="16"/>
                <w:lang w:eastAsia="zh-CN"/>
              </w:rPr>
            </w:pPr>
            <w:r>
              <w:rPr>
                <w:rFonts w:hint="eastAsia" w:cs="Calibri" w:eastAsiaTheme="minorEastAsia"/>
                <w:sz w:val="16"/>
                <w:szCs w:val="16"/>
                <w:lang w:eastAsia="zh-CN"/>
              </w:rPr>
              <w:t>Source: Company, HFI</w:t>
            </w:r>
          </w:p>
        </w:tc>
      </w:tr>
    </w:tbl>
    <w:p w14:paraId="1F1731ED">
      <w:pPr>
        <w:pStyle w:val="151"/>
        <w:keepNext/>
        <w:keepLines w:val="0"/>
        <w:pageBreakBefore w:val="0"/>
        <w:widowControl/>
        <w:kinsoku/>
        <w:wordWrap/>
        <w:overflowPunct/>
        <w:topLinePunct w:val="0"/>
        <w:autoSpaceDE/>
        <w:autoSpaceDN/>
        <w:bidi w:val="0"/>
        <w:adjustRightInd/>
        <w:snapToGrid/>
        <w:spacing w:before="120" w:after="120"/>
        <w:jc w:val="both"/>
        <w:textAlignment w:val="auto"/>
        <w:rPr>
          <w:rFonts w:ascii="Calibri" w:hAnsi="Calibri" w:eastAsia="楷体" w:cs="Calibri"/>
          <w:color w:val="23558C"/>
          <w:sz w:val="24"/>
        </w:rPr>
      </w:pPr>
      <w:bookmarkStart w:id="3" w:name="_Toc5703"/>
      <w:r>
        <w:rPr>
          <w:rFonts w:ascii="Calibri" w:hAnsi="Calibri" w:eastAsia="楷体_GB2312" w:cs="Calibri"/>
          <w:color w:val="23558C"/>
          <w:sz w:val="24"/>
        </w:rPr>
        <w:t xml:space="preserve">1.2 </w:t>
      </w:r>
      <w:r>
        <w:rPr>
          <w:rFonts w:ascii="Calibri" w:hAnsi="Calibri" w:eastAsia="楷体" w:cs="Calibri"/>
          <w:color w:val="23558C"/>
          <w:sz w:val="24"/>
        </w:rPr>
        <w:t>Financial performance highlights</w:t>
      </w:r>
      <w:bookmarkEnd w:id="3"/>
    </w:p>
    <w:p w14:paraId="68B316B8">
      <w:pPr>
        <w:bidi w:val="0"/>
        <w:jc w:val="both"/>
        <w:rPr>
          <w:rFonts w:ascii="Calibri" w:hAnsi="Calibri" w:cs="Calibri" w:eastAsiaTheme="minorEastAsia"/>
          <w:b w:val="0"/>
          <w:bCs w:val="0"/>
          <w:snapToGrid w:val="0"/>
          <w:sz w:val="22"/>
          <w:szCs w:val="22"/>
          <w:lang w:val="en-US" w:eastAsia="zh-CN" w:bidi="ar-SA"/>
        </w:rPr>
      </w:pPr>
      <w:r>
        <w:rPr>
          <w:rFonts w:ascii="Calibri" w:hAnsi="Calibri" w:cs="Calibri" w:eastAsiaTheme="minorEastAsia"/>
          <w:b/>
          <w:bCs/>
          <w:snapToGrid w:val="0"/>
          <w:sz w:val="22"/>
          <w:szCs w:val="22"/>
          <w:lang w:val="en-US" w:eastAsia="zh-CN" w:bidi="ar-SA"/>
        </w:rPr>
        <w:t xml:space="preserve">Vertiv’s full-year 2025 results, reported on February 11, 2026, show a company successfully scaling its operations to meet the unprecedented demand of the AI era. </w:t>
      </w:r>
      <w:r>
        <w:rPr>
          <w:rFonts w:ascii="Calibri" w:hAnsi="Calibri" w:cs="Calibri" w:eastAsiaTheme="minorEastAsia"/>
          <w:b w:val="0"/>
          <w:bCs w:val="0"/>
          <w:snapToGrid w:val="0"/>
          <w:sz w:val="22"/>
          <w:szCs w:val="22"/>
          <w:lang w:val="en-US" w:eastAsia="zh-CN" w:bidi="ar-SA"/>
        </w:rPr>
        <w:t>While top-line growth was substantial, the most significant narrative was the company's ability to maintain and expand its profitability despite regional volatility and supply chain complexities.</w:t>
      </w:r>
    </w:p>
    <w:p w14:paraId="411B6FC6">
      <w:pPr>
        <w:bidi w:val="0"/>
        <w:jc w:val="both"/>
        <w:rPr>
          <w:rFonts w:ascii="Calibri" w:hAnsi="Calibri" w:cs="Calibri" w:eastAsiaTheme="minorEastAsia"/>
          <w:b w:val="0"/>
          <w:bCs w:val="0"/>
          <w:snapToGrid w:val="0"/>
          <w:sz w:val="22"/>
          <w:szCs w:val="22"/>
          <w:lang w:val="en-US" w:eastAsia="zh-CN" w:bidi="ar-SA"/>
        </w:rPr>
      </w:pPr>
    </w:p>
    <w:p w14:paraId="5F50F21F">
      <w:pPr>
        <w:bidi w:val="0"/>
        <w:jc w:val="both"/>
        <w:rPr>
          <w:rFonts w:hint="default" w:ascii="Calibri" w:hAnsi="Calibri" w:cs="Calibri" w:eastAsiaTheme="minorEastAsia"/>
          <w:b w:val="0"/>
          <w:bCs w:val="0"/>
          <w:snapToGrid w:val="0"/>
          <w:sz w:val="22"/>
          <w:szCs w:val="22"/>
          <w:lang w:val="en-US" w:eastAsia="zh-CN" w:bidi="ar-SA"/>
        </w:rPr>
      </w:pPr>
      <w:r>
        <w:rPr>
          <w:rFonts w:ascii="Calibri" w:hAnsi="Calibri" w:cs="Calibri" w:eastAsiaTheme="minorEastAsia"/>
          <w:b/>
          <w:bCs/>
          <w:snapToGrid w:val="0"/>
          <w:sz w:val="22"/>
          <w:szCs w:val="22"/>
          <w:lang w:val="en-US" w:eastAsia="zh-CN" w:bidi="ar-SA"/>
        </w:rPr>
        <w:t xml:space="preserve">Vertiv reported total net sales of $10.23 billion for 2025, a 28% increase over 2024. </w:t>
      </w:r>
      <w:r>
        <w:rPr>
          <w:rFonts w:ascii="Calibri" w:hAnsi="Calibri" w:cs="Calibri" w:eastAsiaTheme="minorEastAsia"/>
          <w:b w:val="0"/>
          <w:bCs w:val="0"/>
          <w:snapToGrid w:val="0"/>
          <w:sz w:val="22"/>
          <w:szCs w:val="22"/>
          <w:lang w:val="en-US" w:eastAsia="zh-CN" w:bidi="ar-SA"/>
        </w:rPr>
        <w:t>This growth was remarkably efficient, as the company leveraged its fixed costs to drive profit growth that significantly outpaced revenue gains.</w:t>
      </w:r>
      <w:r>
        <w:rPr>
          <w:rFonts w:hint="eastAsia" w:ascii="Calibri" w:hAnsi="Calibri" w:cs="Calibri" w:eastAsiaTheme="minorEastAsia"/>
          <w:b w:val="0"/>
          <w:bCs w:val="0"/>
          <w:snapToGrid w:val="0"/>
          <w:sz w:val="22"/>
          <w:szCs w:val="22"/>
          <w:lang w:val="en-US" w:eastAsia="zh-CN" w:bidi="ar-SA"/>
        </w:rPr>
        <w:t xml:space="preserve"> The company maintained a strong gross margin of 36.3% throughout 2025. This was driven by a favorable "price-cost" dynamic, where the premium nature of AI-ready liquid cooling and high-density power products allowed Vertiv to more than offset inflationary pressures and rising raw material costs. Especially, the Americas region served as the primary engine for Vertiv's growth in 2025. This segment saw a staggering 41% increase in organic sales for the full year, with the fourth quarter alone surging 46%. This performance was driven by the rapid build-out of hyperscale and colocation data centers in North America. By the end of 2025, the Americas accounted for roughly 63% of Vertiv</w:t>
      </w:r>
      <w:r>
        <w:rPr>
          <w:rFonts w:hint="default" w:ascii="Calibri" w:hAnsi="Calibri" w:cs="Calibri" w:eastAsiaTheme="minorEastAsia"/>
          <w:b w:val="0"/>
          <w:bCs w:val="0"/>
          <w:snapToGrid w:val="0"/>
          <w:sz w:val="22"/>
          <w:szCs w:val="22"/>
          <w:lang w:val="en-US" w:eastAsia="zh-CN" w:bidi="ar-SA"/>
        </w:rPr>
        <w:t>’</w:t>
      </w:r>
      <w:r>
        <w:rPr>
          <w:rFonts w:hint="eastAsia" w:ascii="Calibri" w:hAnsi="Calibri" w:cs="Calibri" w:eastAsiaTheme="minorEastAsia"/>
          <w:b w:val="0"/>
          <w:bCs w:val="0"/>
          <w:snapToGrid w:val="0"/>
          <w:sz w:val="22"/>
          <w:szCs w:val="22"/>
          <w:lang w:val="en-US" w:eastAsia="zh-CN" w:bidi="ar-SA"/>
        </w:rPr>
        <w:t>s total revenue.</w:t>
      </w:r>
    </w:p>
    <w:p w14:paraId="14392F78">
      <w:pPr>
        <w:bidi w:val="0"/>
        <w:rPr>
          <w:rFonts w:hint="default" w:ascii="Calibri" w:hAnsi="Calibri" w:cs="Calibri" w:eastAsiaTheme="minorEastAsia"/>
          <w:b/>
          <w:bCs/>
          <w:snapToGrid w:val="0"/>
          <w:sz w:val="22"/>
          <w:szCs w:val="22"/>
          <w:lang w:val="en-US" w:eastAsia="zh-CN" w:bidi="ar-SA"/>
        </w:rPr>
      </w:pPr>
    </w:p>
    <w:p w14:paraId="295D382B">
      <w:pPr>
        <w:bidi w:val="0"/>
        <w:jc w:val="both"/>
        <w:rPr>
          <w:rFonts w:hint="default" w:ascii="Calibri" w:hAnsi="Calibri" w:cs="Calibri" w:eastAsiaTheme="minorEastAsia"/>
          <w:b w:val="0"/>
          <w:bCs w:val="0"/>
          <w:snapToGrid w:val="0"/>
          <w:sz w:val="22"/>
          <w:szCs w:val="22"/>
          <w:lang w:val="en-US" w:eastAsia="zh-CN" w:bidi="ar-SA"/>
        </w:rPr>
      </w:pPr>
      <w:r>
        <w:rPr>
          <w:rFonts w:hint="default" w:ascii="Calibri" w:hAnsi="Calibri" w:cs="Calibri" w:eastAsiaTheme="minorEastAsia"/>
          <w:b/>
          <w:bCs/>
          <w:snapToGrid w:val="0"/>
          <w:sz w:val="22"/>
          <w:szCs w:val="22"/>
          <w:lang w:val="en-US" w:eastAsia="zh-CN" w:bidi="ar-SA"/>
        </w:rPr>
        <w:t xml:space="preserve">For the full year, adjusted operating profit reached $2.1 billion, a 35% increase from 2024. </w:t>
      </w:r>
      <w:r>
        <w:rPr>
          <w:rFonts w:hint="default" w:ascii="Calibri" w:hAnsi="Calibri" w:cs="Calibri" w:eastAsiaTheme="minorEastAsia"/>
          <w:b w:val="0"/>
          <w:bCs w:val="0"/>
          <w:snapToGrid w:val="0"/>
          <w:sz w:val="22"/>
          <w:szCs w:val="22"/>
          <w:lang w:val="en-US" w:eastAsia="zh-CN" w:bidi="ar-SA"/>
        </w:rPr>
        <w:t>This resulted in an adjusted operating margin of 20.4%, a 100-basis-point expansion compared to the 19.4% recorded in the prior year. The margin expansion was particularly impressive given the company’s increased investment in research and development (ER&amp;D) and capacity expansion during the year.</w:t>
      </w:r>
    </w:p>
    <w:p w14:paraId="02383064">
      <w:pPr>
        <w:bidi w:val="0"/>
        <w:jc w:val="both"/>
        <w:rPr>
          <w:rFonts w:hint="default" w:ascii="Calibri" w:hAnsi="Calibri" w:cs="Calibri" w:eastAsiaTheme="minorEastAsia"/>
          <w:b/>
          <w:bCs/>
          <w:snapToGrid w:val="0"/>
          <w:sz w:val="22"/>
          <w:szCs w:val="22"/>
          <w:lang w:val="en-US" w:eastAsia="zh-CN" w:bidi="ar-SA"/>
        </w:rPr>
      </w:pPr>
    </w:p>
    <w:p w14:paraId="1A6B1D60">
      <w:pPr>
        <w:bidi w:val="0"/>
        <w:jc w:val="both"/>
        <w:rPr>
          <w:rFonts w:hint="eastAsia" w:eastAsia="宋体"/>
          <w:lang w:eastAsia="zh-CN"/>
        </w:rPr>
      </w:pPr>
      <w:r>
        <w:rPr>
          <w:rFonts w:hint="default" w:ascii="Calibri" w:hAnsi="Calibri" w:cs="Calibri" w:eastAsiaTheme="minorEastAsia"/>
          <w:b/>
          <w:bCs/>
          <w:snapToGrid w:val="0"/>
          <w:sz w:val="22"/>
          <w:szCs w:val="22"/>
          <w:lang w:val="en-US" w:eastAsia="zh-CN" w:bidi="ar-SA"/>
        </w:rPr>
        <w:t xml:space="preserve">Vertiv saw a dramatic rise in bottom-line earnings. </w:t>
      </w:r>
      <w:r>
        <w:rPr>
          <w:rFonts w:hint="default" w:ascii="Calibri" w:hAnsi="Calibri" w:cs="Calibri" w:eastAsiaTheme="minorEastAsia"/>
          <w:b w:val="0"/>
          <w:bCs w:val="0"/>
          <w:snapToGrid w:val="0"/>
          <w:sz w:val="22"/>
          <w:szCs w:val="22"/>
          <w:lang w:val="en-US" w:eastAsia="zh-CN" w:bidi="ar-SA"/>
        </w:rPr>
        <w:t>The company's adjusted (non-GAAP) net income was significantly bolstered by operational leverage and lower interest expenses as debt was paid down. Adjusted diluted EPS grew 47% to $4.20 for the full year 2025. Based on the weighted average share count, this implies a non-GAAP net income of approximately $1.6 billion, up from approximately $1.1 billion in 2024. This puts the non-GAAP net income margin at approximately 15.6%, a notable improvement over the 2024 margin (roughly 13.8%), highlighting the company's increased efficiency in converting top-line growth into bottom-line value.</w:t>
      </w:r>
    </w:p>
    <w:tbl>
      <w:tblPr>
        <w:tblStyle w:val="15"/>
        <w:tblpPr w:leftFromText="180" w:rightFromText="180" w:vertAnchor="text" w:horzAnchor="page" w:tblpX="856" w:tblpY="108"/>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A47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74F8D9D7">
            <w:pPr>
              <w:widowControl w:val="0"/>
              <w:jc w:val="both"/>
              <w:rPr>
                <w:rFonts w:hint="default" w:eastAsia="楷体" w:cs="Calibri"/>
                <w:b/>
                <w:bCs/>
                <w:kern w:val="2"/>
                <w:sz w:val="20"/>
                <w:szCs w:val="20"/>
                <w:lang w:val="en-US" w:eastAsia="zh-CN"/>
              </w:rPr>
            </w:pPr>
            <w:r>
              <w:rPr>
                <w:rFonts w:eastAsia="楷体" w:cs="Calibri"/>
                <w:b/>
                <w:bCs/>
                <w:kern w:val="2"/>
                <w:sz w:val="20"/>
                <w:szCs w:val="20"/>
                <w:lang w:eastAsia="zh-CN"/>
              </w:rPr>
              <w:t>Figure:</w:t>
            </w:r>
            <w:r>
              <w:rPr>
                <w:rFonts w:hint="eastAsia" w:eastAsia="楷体" w:cs="Calibri"/>
                <w:b/>
                <w:bCs/>
                <w:kern w:val="2"/>
                <w:sz w:val="20"/>
                <w:szCs w:val="20"/>
                <w:lang w:val="en-US" w:eastAsia="zh-CN"/>
              </w:rPr>
              <w:t xml:space="preserve"> Vertiv</w:t>
            </w:r>
            <w:r>
              <w:rPr>
                <w:rFonts w:hint="default" w:eastAsia="楷体" w:cs="Calibri"/>
                <w:b/>
                <w:bCs/>
                <w:kern w:val="2"/>
                <w:sz w:val="20"/>
                <w:szCs w:val="20"/>
                <w:lang w:val="en-US" w:eastAsia="zh-CN"/>
              </w:rPr>
              <w:t>’</w:t>
            </w:r>
            <w:r>
              <w:rPr>
                <w:rFonts w:hint="eastAsia" w:eastAsia="楷体" w:cs="Calibri"/>
                <w:b/>
                <w:bCs/>
                <w:kern w:val="2"/>
                <w:sz w:val="20"/>
                <w:szCs w:val="20"/>
                <w:lang w:val="en-US" w:eastAsia="zh-CN"/>
              </w:rPr>
              <w:t>s financial data in total and by segments</w:t>
            </w:r>
          </w:p>
        </w:tc>
      </w:tr>
      <w:tr w14:paraId="3609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206" w:type="dxa"/>
            <w:tcBorders>
              <w:top w:val="nil"/>
              <w:bottom w:val="nil"/>
            </w:tcBorders>
            <w:tcMar>
              <w:top w:w="28" w:type="dxa"/>
              <w:bottom w:w="28" w:type="dxa"/>
            </w:tcMar>
            <w:vAlign w:val="center"/>
          </w:tcPr>
          <w:p w14:paraId="5FC70E6A">
            <w:pPr>
              <w:widowControl w:val="0"/>
              <w:jc w:val="both"/>
              <w:rPr>
                <w:rFonts w:eastAsia="楷体" w:cs="Calibri"/>
                <w:b/>
                <w:bCs/>
                <w:kern w:val="2"/>
                <w:sz w:val="20"/>
                <w:szCs w:val="20"/>
                <w:lang w:eastAsia="zh-CN"/>
              </w:rPr>
            </w:pPr>
            <w:r>
              <w:rPr>
                <w:rFonts w:eastAsia="楷体" w:cs="Calibri"/>
                <w:b/>
                <w:bCs/>
                <w:kern w:val="2"/>
                <w:sz w:val="20"/>
                <w:szCs w:val="20"/>
                <w:lang w:eastAsia="zh-CN"/>
              </w:rPr>
              <w:drawing>
                <wp:inline distT="0" distB="0" distL="114300" distR="114300">
                  <wp:extent cx="6200775" cy="3484880"/>
                  <wp:effectExtent l="0" t="0" r="1905" b="508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3"/>
                          <a:stretch>
                            <a:fillRect/>
                          </a:stretch>
                        </pic:blipFill>
                        <pic:spPr>
                          <a:xfrm>
                            <a:off x="0" y="0"/>
                            <a:ext cx="6200775" cy="3484880"/>
                          </a:xfrm>
                          <a:prstGeom prst="rect">
                            <a:avLst/>
                          </a:prstGeom>
                          <a:noFill/>
                          <a:ln>
                            <a:noFill/>
                          </a:ln>
                        </pic:spPr>
                      </pic:pic>
                    </a:graphicData>
                  </a:graphic>
                </wp:inline>
              </w:drawing>
            </w:r>
          </w:p>
        </w:tc>
      </w:tr>
      <w:tr w14:paraId="49CE6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nil"/>
            </w:tcBorders>
          </w:tcPr>
          <w:p w14:paraId="79BBE041">
            <w:pPr>
              <w:widowControl w:val="0"/>
              <w:jc w:val="both"/>
              <w:rPr>
                <w:rFonts w:eastAsia="楷体" w:cs="Calibri"/>
                <w:b/>
                <w:bCs/>
                <w:kern w:val="2"/>
                <w:sz w:val="20"/>
                <w:szCs w:val="20"/>
                <w:lang w:eastAsia="zh-CN"/>
              </w:rPr>
            </w:pPr>
            <w:r>
              <w:rPr>
                <w:rFonts w:eastAsia="楷体" w:cs="Calibri"/>
                <w:b w:val="0"/>
                <w:bCs w:val="0"/>
                <w:kern w:val="2"/>
                <w:sz w:val="20"/>
                <w:szCs w:val="20"/>
                <w:lang w:eastAsia="zh-CN"/>
              </w:rPr>
              <w:t xml:space="preserve">Source: </w:t>
            </w:r>
            <w:r>
              <w:rPr>
                <w:rFonts w:hint="eastAsia" w:eastAsia="楷体" w:cs="Calibri"/>
                <w:b w:val="0"/>
                <w:bCs w:val="0"/>
                <w:kern w:val="2"/>
                <w:sz w:val="20"/>
                <w:szCs w:val="20"/>
                <w:lang w:val="en-US" w:eastAsia="zh-CN"/>
              </w:rPr>
              <w:t>Company</w:t>
            </w:r>
            <w:r>
              <w:rPr>
                <w:rFonts w:eastAsia="楷体" w:cs="Calibri"/>
                <w:b w:val="0"/>
                <w:bCs w:val="0"/>
                <w:kern w:val="2"/>
                <w:sz w:val="20"/>
                <w:szCs w:val="20"/>
                <w:lang w:eastAsia="zh-CN"/>
              </w:rPr>
              <w:t>, HFI</w:t>
            </w:r>
          </w:p>
        </w:tc>
      </w:tr>
    </w:tbl>
    <w:p w14:paraId="5D9BBBA1">
      <w:pPr>
        <w:rPr>
          <w:rFonts w:hint="eastAsia" w:eastAsia="宋体"/>
          <w:lang w:eastAsia="zh-CN"/>
        </w:rPr>
      </w:pPr>
    </w:p>
    <w:p w14:paraId="10731ACD">
      <w:pPr>
        <w:widowControl w:val="0"/>
        <w:jc w:val="both"/>
        <w:rPr>
          <w:rFonts w:hint="eastAsia" w:eastAsia="楷体" w:cs="Calibri"/>
          <w:kern w:val="2"/>
          <w:sz w:val="22"/>
          <w:szCs w:val="22"/>
          <w:lang w:eastAsia="zh-CN"/>
        </w:rPr>
      </w:pPr>
      <w:r>
        <w:rPr>
          <w:rFonts w:hint="eastAsia" w:eastAsia="楷体" w:cs="Calibri"/>
          <w:b/>
          <w:bCs/>
          <w:kern w:val="2"/>
          <w:sz w:val="22"/>
          <w:szCs w:val="22"/>
          <w:lang w:eastAsia="zh-CN"/>
        </w:rPr>
        <w:t>Vertiv</w:t>
      </w:r>
      <w:r>
        <w:rPr>
          <w:rFonts w:hint="default" w:eastAsia="楷体" w:cs="Calibri"/>
          <w:b/>
          <w:bCs/>
          <w:kern w:val="2"/>
          <w:sz w:val="22"/>
          <w:szCs w:val="22"/>
          <w:lang w:val="en-US" w:eastAsia="zh-CN"/>
        </w:rPr>
        <w:t>’</w:t>
      </w:r>
      <w:r>
        <w:rPr>
          <w:rFonts w:hint="eastAsia" w:eastAsia="楷体" w:cs="Calibri"/>
          <w:b/>
          <w:bCs/>
          <w:kern w:val="2"/>
          <w:sz w:val="22"/>
          <w:szCs w:val="22"/>
          <w:lang w:eastAsia="zh-CN"/>
        </w:rPr>
        <w:t>s full-year 2026 financial guidance</w:t>
      </w:r>
      <w:r>
        <w:rPr>
          <w:rFonts w:hint="eastAsia" w:eastAsia="楷体" w:cs="Calibri"/>
          <w:b/>
          <w:bCs/>
          <w:kern w:val="2"/>
          <w:sz w:val="22"/>
          <w:szCs w:val="22"/>
          <w:lang w:val="en-US" w:eastAsia="zh-CN"/>
        </w:rPr>
        <w:t xml:space="preserve"> p</w:t>
      </w:r>
      <w:r>
        <w:rPr>
          <w:rFonts w:hint="eastAsia" w:eastAsia="楷体" w:cs="Calibri"/>
          <w:b/>
          <w:bCs/>
          <w:kern w:val="2"/>
          <w:sz w:val="22"/>
          <w:szCs w:val="22"/>
          <w:lang w:eastAsia="zh-CN"/>
        </w:rPr>
        <w:t>rojects a year of continued significant expansion</w:t>
      </w:r>
      <w:r>
        <w:rPr>
          <w:rFonts w:hint="eastAsia" w:eastAsia="楷体" w:cs="Calibri"/>
          <w:kern w:val="2"/>
          <w:sz w:val="22"/>
          <w:szCs w:val="22"/>
          <w:lang w:eastAsia="zh-CN"/>
        </w:rPr>
        <w:t xml:space="preserve"> fueled by a massive $15 billion backlog and accelerating global demand for AI infrastructure. The company expects net sales to range between $13.25 billion and $13.75 billion, representing an organic growth rate of 27% to 29% compared to 2025. Profitability is also forecast to rise sharply, with adjusted operating profit projected between $2.98 billion and $3.10 billion and adjusted operating margins expanding to between 22.0% and 23.0%. This robust operational performance is expected to translate into adjusted diluted EPS of $5.97 to $6.07, a roughly 43% increase at the midpoint.</w:t>
      </w:r>
    </w:p>
    <w:p w14:paraId="6896EEE7">
      <w:pPr>
        <w:rPr>
          <w:rFonts w:hint="eastAsia" w:eastAsia="宋体"/>
          <w:lang w:eastAsia="zh-CN"/>
        </w:rPr>
      </w:pPr>
    </w:p>
    <w:tbl>
      <w:tblPr>
        <w:tblStyle w:val="14"/>
        <w:tblW w:w="7419" w:type="dxa"/>
        <w:tblInd w:w="0" w:type="dxa"/>
        <w:tblLayout w:type="fixed"/>
        <w:tblCellMar>
          <w:top w:w="0" w:type="dxa"/>
          <w:left w:w="108" w:type="dxa"/>
          <w:bottom w:w="0" w:type="dxa"/>
          <w:right w:w="108" w:type="dxa"/>
        </w:tblCellMar>
      </w:tblPr>
      <w:tblGrid>
        <w:gridCol w:w="7419"/>
      </w:tblGrid>
      <w:tr w14:paraId="1057DE8D">
        <w:trPr>
          <w:trHeight w:val="302" w:hRule="atLeast"/>
        </w:trPr>
        <w:tc>
          <w:tcPr>
            <w:tcW w:w="7419" w:type="dxa"/>
            <w:tcBorders>
              <w:top w:val="nil"/>
              <w:left w:val="nil"/>
              <w:bottom w:val="nil"/>
              <w:right w:val="nil"/>
            </w:tcBorders>
            <w:tcMar>
              <w:left w:w="0" w:type="dxa"/>
              <w:right w:w="28" w:type="dxa"/>
            </w:tcMar>
          </w:tcPr>
          <w:p w14:paraId="419AA0B7">
            <w:pPr>
              <w:rPr>
                <w:rFonts w:hint="eastAsia" w:eastAsia="宋体"/>
                <w:lang w:eastAsia="zh-CN"/>
              </w:rPr>
            </w:pPr>
            <w:r>
              <w:rPr>
                <w:rFonts w:hint="eastAsia" w:eastAsia="宋体"/>
                <w:b/>
                <w:bCs/>
                <w:sz w:val="22"/>
                <w:szCs w:val="22"/>
                <w:lang w:eastAsia="zh-CN"/>
              </w:rPr>
              <w:t>Table: 2026 Guidance</w:t>
            </w:r>
          </w:p>
        </w:tc>
      </w:tr>
      <w:tr w14:paraId="7E7B34F9">
        <w:tblPrEx>
          <w:tblCellMar>
            <w:top w:w="0" w:type="dxa"/>
            <w:left w:w="108" w:type="dxa"/>
            <w:bottom w:w="0" w:type="dxa"/>
            <w:right w:w="108" w:type="dxa"/>
          </w:tblCellMar>
        </w:tblPrEx>
        <w:trPr>
          <w:trHeight w:val="856" w:hRule="atLeast"/>
        </w:trPr>
        <w:tc>
          <w:tcPr>
            <w:tcW w:w="7419" w:type="dxa"/>
            <w:tcBorders>
              <w:top w:val="nil"/>
              <w:left w:val="nil"/>
              <w:bottom w:val="nil"/>
              <w:right w:val="nil"/>
            </w:tcBorders>
            <w:vAlign w:val="center"/>
          </w:tcPr>
          <w:p w14:paraId="45600DB7">
            <w:pPr>
              <w:rPr>
                <w:rFonts w:hint="eastAsia" w:eastAsia="宋体"/>
                <w:lang w:eastAsia="zh-CN"/>
              </w:rPr>
            </w:pPr>
            <w:r>
              <w:drawing>
                <wp:inline distT="0" distB="0" distL="114300" distR="114300">
                  <wp:extent cx="4568825" cy="1929130"/>
                  <wp:effectExtent l="0" t="0" r="3175" b="635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4"/>
                          <a:stretch>
                            <a:fillRect/>
                          </a:stretch>
                        </pic:blipFill>
                        <pic:spPr>
                          <a:xfrm>
                            <a:off x="0" y="0"/>
                            <a:ext cx="4568825" cy="1929130"/>
                          </a:xfrm>
                          <a:prstGeom prst="rect">
                            <a:avLst/>
                          </a:prstGeom>
                          <a:noFill/>
                          <a:ln>
                            <a:noFill/>
                          </a:ln>
                        </pic:spPr>
                      </pic:pic>
                    </a:graphicData>
                  </a:graphic>
                </wp:inline>
              </w:drawing>
            </w:r>
          </w:p>
        </w:tc>
      </w:tr>
      <w:tr w14:paraId="7E202F61">
        <w:tblPrEx>
          <w:tblCellMar>
            <w:top w:w="0" w:type="dxa"/>
            <w:left w:w="108" w:type="dxa"/>
            <w:bottom w:w="0" w:type="dxa"/>
            <w:right w:w="108" w:type="dxa"/>
          </w:tblCellMar>
        </w:tblPrEx>
        <w:trPr>
          <w:trHeight w:val="64" w:hRule="atLeast"/>
        </w:trPr>
        <w:tc>
          <w:tcPr>
            <w:tcW w:w="7419" w:type="dxa"/>
            <w:tcBorders>
              <w:top w:val="nil"/>
              <w:left w:val="nil"/>
              <w:bottom w:val="nil"/>
              <w:right w:val="nil"/>
            </w:tcBorders>
            <w:tcMar>
              <w:left w:w="0" w:type="dxa"/>
              <w:right w:w="28" w:type="dxa"/>
            </w:tcMar>
            <w:vAlign w:val="center"/>
          </w:tcPr>
          <w:p w14:paraId="1F2A99B9">
            <w:pPr>
              <w:rPr>
                <w:rFonts w:hint="eastAsia" w:eastAsia="宋体"/>
                <w:lang w:eastAsia="zh-CN"/>
              </w:rPr>
            </w:pPr>
            <w:r>
              <w:rPr>
                <w:rFonts w:hint="eastAsia" w:eastAsia="宋体"/>
                <w:lang w:eastAsia="zh-CN"/>
              </w:rPr>
              <w:t>Source: Company, HFI</w:t>
            </w:r>
          </w:p>
        </w:tc>
      </w:tr>
    </w:tbl>
    <w:p w14:paraId="7ABB52A8">
      <w:pPr>
        <w:rPr>
          <w:lang w:eastAsia="zh-CN"/>
        </w:rPr>
      </w:pPr>
    </w:p>
    <w:p w14:paraId="67A71E00">
      <w:pPr>
        <w:rPr>
          <w:lang w:eastAsia="zh-CN"/>
        </w:rPr>
      </w:pPr>
    </w:p>
    <w:p w14:paraId="6E522E40">
      <w:pPr>
        <w:rPr>
          <w:lang w:eastAsia="zh-CN"/>
        </w:rPr>
      </w:pPr>
    </w:p>
    <w:p w14:paraId="6AB4E905">
      <w:pPr>
        <w:rPr>
          <w:lang w:eastAsia="zh-CN"/>
        </w:rPr>
      </w:pPr>
    </w:p>
    <w:p w14:paraId="26A3F2E7">
      <w:pPr>
        <w:rPr>
          <w:lang w:eastAsia="zh-CN"/>
        </w:rPr>
      </w:pPr>
    </w:p>
    <w:p w14:paraId="534F271B">
      <w:pPr>
        <w:pStyle w:val="2"/>
        <w:spacing w:beforeLines="100" w:after="240" w:afterLines="100"/>
        <w:jc w:val="both"/>
        <w:rPr>
          <w:rFonts w:eastAsia="楷体" w:cs="Calibri"/>
          <w:color w:val="23558C"/>
          <w:sz w:val="28"/>
          <w:szCs w:val="28"/>
          <w:lang w:eastAsia="zh-CN"/>
        </w:rPr>
      </w:pPr>
      <w:bookmarkStart w:id="4" w:name="_Toc14793"/>
      <w:r>
        <w:rPr>
          <w:rFonts w:eastAsia="楷体" w:cs="Calibri"/>
          <w:color w:val="23558C"/>
          <w:sz w:val="28"/>
          <w:szCs w:val="28"/>
          <w:lang w:eastAsia="zh-CN"/>
        </w:rPr>
        <w:t>2</w:t>
      </w:r>
      <w:r>
        <w:rPr>
          <w:rFonts w:hint="eastAsia" w:eastAsia="楷体" w:cs="Calibri"/>
          <w:color w:val="23558C"/>
          <w:sz w:val="28"/>
          <w:szCs w:val="28"/>
          <w:lang w:eastAsia="zh-CN"/>
        </w:rPr>
        <w:t>.</w:t>
      </w:r>
      <w:r>
        <w:rPr>
          <w:rFonts w:eastAsia="楷体" w:cs="Calibri"/>
          <w:color w:val="C00000"/>
          <w:sz w:val="28"/>
          <w:szCs w:val="28"/>
          <w:lang w:eastAsia="zh-CN"/>
        </w:rPr>
        <w:t xml:space="preserve"> </w:t>
      </w:r>
      <w:r>
        <w:rPr>
          <w:rFonts w:eastAsia="楷体" w:cs="Calibri"/>
          <w:color w:val="23558C"/>
          <w:sz w:val="28"/>
          <w:szCs w:val="28"/>
          <w:lang w:eastAsia="zh-CN"/>
        </w:rPr>
        <w:t xml:space="preserve">Data Centers will not be completed without </w:t>
      </w:r>
      <w:r>
        <w:rPr>
          <w:rFonts w:hint="eastAsia" w:eastAsia="楷体" w:cs="Calibri"/>
          <w:color w:val="23558C"/>
          <w:sz w:val="28"/>
          <w:szCs w:val="28"/>
          <w:lang w:eastAsia="zh-CN"/>
        </w:rPr>
        <w:t>p</w:t>
      </w:r>
      <w:r>
        <w:rPr>
          <w:rFonts w:eastAsia="楷体" w:cs="Calibri"/>
          <w:color w:val="23558C"/>
          <w:sz w:val="28"/>
          <w:szCs w:val="28"/>
          <w:lang w:eastAsia="zh-CN"/>
        </w:rPr>
        <w:t xml:space="preserve">ower and thermal </w:t>
      </w:r>
      <w:r>
        <w:rPr>
          <w:rFonts w:hint="eastAsia" w:eastAsia="楷体" w:cs="Calibri"/>
          <w:color w:val="23558C"/>
          <w:sz w:val="28"/>
          <w:szCs w:val="28"/>
          <w:lang w:eastAsia="zh-CN"/>
        </w:rPr>
        <w:t>s</w:t>
      </w:r>
      <w:r>
        <w:rPr>
          <w:rFonts w:eastAsia="楷体" w:cs="Calibri"/>
          <w:color w:val="23558C"/>
          <w:sz w:val="28"/>
          <w:szCs w:val="28"/>
          <w:lang w:eastAsia="zh-CN"/>
        </w:rPr>
        <w:t>olutions</w:t>
      </w:r>
      <w:bookmarkEnd w:id="4"/>
    </w:p>
    <w:p w14:paraId="1E9C14EC">
      <w:pPr>
        <w:pStyle w:val="151"/>
        <w:jc w:val="both"/>
        <w:rPr>
          <w:rFonts w:ascii="Calibri" w:hAnsi="Calibri" w:eastAsia="楷体" w:cs="Calibri"/>
          <w:color w:val="23558C"/>
          <w:sz w:val="24"/>
        </w:rPr>
      </w:pPr>
      <w:bookmarkStart w:id="5" w:name="_Toc15522"/>
      <w:r>
        <w:rPr>
          <w:rFonts w:ascii="Calibri" w:hAnsi="Calibri" w:eastAsia="楷体_GB2312" w:cs="Calibri"/>
          <w:color w:val="23558C"/>
          <w:sz w:val="24"/>
        </w:rPr>
        <w:t xml:space="preserve">2.1 </w:t>
      </w:r>
      <w:r>
        <w:rPr>
          <w:rFonts w:ascii="Calibri" w:hAnsi="Calibri" w:eastAsia="楷体" w:cs="Calibri"/>
          <w:color w:val="23558C"/>
          <w:sz w:val="24"/>
        </w:rPr>
        <w:t xml:space="preserve">AI Data Center (AIDC) </w:t>
      </w:r>
      <w:r>
        <w:rPr>
          <w:rFonts w:hint="eastAsia" w:ascii="Calibri" w:hAnsi="Calibri" w:eastAsia="楷体" w:cs="Calibri"/>
          <w:color w:val="23558C"/>
          <w:sz w:val="24"/>
        </w:rPr>
        <w:t>c</w:t>
      </w:r>
      <w:r>
        <w:rPr>
          <w:rFonts w:ascii="Calibri" w:hAnsi="Calibri" w:eastAsia="楷体" w:cs="Calibri"/>
          <w:color w:val="23558C"/>
          <w:sz w:val="24"/>
        </w:rPr>
        <w:t>onstruction</w:t>
      </w:r>
      <w:r>
        <w:rPr>
          <w:rFonts w:hint="eastAsia" w:ascii="Calibri" w:hAnsi="Calibri" w:eastAsia="楷体" w:cs="Calibri"/>
          <w:color w:val="23558C"/>
          <w:sz w:val="24"/>
        </w:rPr>
        <w:t xml:space="preserve"> keeps growing</w:t>
      </w:r>
      <w:bookmarkEnd w:id="5"/>
    </w:p>
    <w:p w14:paraId="64DB5A9A">
      <w:pPr>
        <w:widowControl w:val="0"/>
        <w:jc w:val="both"/>
        <w:rPr>
          <w:rFonts w:eastAsia="楷体" w:cs="Calibri"/>
          <w:kern w:val="2"/>
          <w:sz w:val="22"/>
          <w:szCs w:val="22"/>
          <w:lang w:eastAsia="zh-CN"/>
        </w:rPr>
      </w:pPr>
      <w:r>
        <w:rPr>
          <w:rFonts w:eastAsia="楷体" w:cs="Calibri"/>
          <w:b/>
          <w:bCs/>
          <w:kern w:val="2"/>
          <w:sz w:val="22"/>
          <w:szCs w:val="22"/>
          <w:lang w:eastAsia="zh-CN"/>
        </w:rPr>
        <w:t xml:space="preserve">Since early 2020, global data center construction and hyperscale capital expenditure have surged by 200–250%, </w:t>
      </w:r>
      <w:r>
        <w:rPr>
          <w:rFonts w:eastAsia="楷体" w:cs="Calibri"/>
          <w:kern w:val="2"/>
          <w:sz w:val="22"/>
          <w:szCs w:val="22"/>
          <w:lang w:eastAsia="zh-CN"/>
        </w:rPr>
        <w:t xml:space="preserve">fueled by cloud adoption, enterprise IT upgrades, and the rapid rollout of generative AI. According to </w:t>
      </w:r>
      <w:r>
        <w:rPr>
          <w:rFonts w:hint="eastAsia" w:eastAsia="楷体" w:cs="Calibri"/>
          <w:kern w:val="2"/>
          <w:sz w:val="22"/>
          <w:szCs w:val="22"/>
          <w:lang w:eastAsia="zh-CN"/>
        </w:rPr>
        <w:t>a report</w:t>
      </w:r>
      <w:r>
        <w:rPr>
          <w:rFonts w:eastAsia="楷体" w:cs="Calibri"/>
          <w:kern w:val="2"/>
          <w:sz w:val="22"/>
          <w:szCs w:val="22"/>
          <w:lang w:eastAsia="zh-CN"/>
        </w:rPr>
        <w:t xml:space="preserve"> from Synergy Research Group</w:t>
      </w:r>
      <w:r>
        <w:rPr>
          <w:rFonts w:hint="eastAsia" w:eastAsia="楷体" w:cs="Calibri"/>
          <w:kern w:val="2"/>
          <w:sz w:val="22"/>
          <w:szCs w:val="22"/>
          <w:lang w:eastAsia="zh-CN"/>
        </w:rPr>
        <w:t xml:space="preserve"> in December 2025</w:t>
      </w:r>
      <w:r>
        <w:rPr>
          <w:rFonts w:eastAsia="楷体" w:cs="Calibri"/>
          <w:kern w:val="2"/>
          <w:sz w:val="22"/>
          <w:szCs w:val="22"/>
          <w:lang w:eastAsia="zh-CN"/>
        </w:rPr>
        <w:t>, the total number of operational hyperscale data centers worldwide has reached 1,297, nearly doubling from approximately 700–800 in early 2020, with the United States accounting for about 50–54% of the global share</w:t>
      </w:r>
      <w:r>
        <w:rPr>
          <w:rFonts w:hint="eastAsia" w:eastAsia="楷体" w:cs="Calibri"/>
          <w:kern w:val="2"/>
          <w:sz w:val="22"/>
          <w:szCs w:val="22"/>
          <w:lang w:eastAsia="zh-CN"/>
        </w:rPr>
        <w:t>. The researchers estimate that there are currently over 750 hyperscale facilities under construction or in planning worldwide, with global total capacity expected to at least double by 2028, and over 75% of new capacity dedicated to AI training and inference tasks.</w:t>
      </w:r>
    </w:p>
    <w:p w14:paraId="4E2FC0FA">
      <w:pPr>
        <w:widowControl w:val="0"/>
        <w:jc w:val="both"/>
        <w:rPr>
          <w:rFonts w:eastAsia="楷体" w:cs="Calibri"/>
          <w:b/>
          <w:bCs/>
          <w:kern w:val="2"/>
          <w:sz w:val="22"/>
          <w:szCs w:val="22"/>
          <w:lang w:eastAsia="zh-CN"/>
        </w:rPr>
      </w:pPr>
    </w:p>
    <w:tbl>
      <w:tblPr>
        <w:tblStyle w:val="15"/>
        <w:tblW w:w="8064"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5"/>
        <w:gridCol w:w="7315"/>
        <w:gridCol w:w="384"/>
      </w:tblGrid>
      <w:tr w14:paraId="5A00A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241" w:hRule="atLeast"/>
        </w:trPr>
        <w:tc>
          <w:tcPr>
            <w:tcW w:w="7680" w:type="dxa"/>
            <w:gridSpan w:val="2"/>
            <w:tcBorders>
              <w:bottom w:val="nil"/>
            </w:tcBorders>
          </w:tcPr>
          <w:p w14:paraId="190B1A67">
            <w:pPr>
              <w:widowControl w:val="0"/>
              <w:ind w:left="218"/>
              <w:jc w:val="both"/>
              <w:rPr>
                <w:rFonts w:eastAsia="楷体" w:cs="Calibri"/>
                <w:b/>
                <w:bCs/>
                <w:kern w:val="2"/>
                <w:sz w:val="20"/>
                <w:szCs w:val="20"/>
                <w:lang w:eastAsia="zh-CN"/>
              </w:rPr>
            </w:pPr>
            <w:r>
              <w:rPr>
                <w:rFonts w:eastAsia="楷体" w:cs="Calibri"/>
                <w:b/>
                <w:bCs/>
                <w:kern w:val="2"/>
                <w:sz w:val="20"/>
                <w:szCs w:val="20"/>
                <w:lang w:eastAsia="zh-CN"/>
              </w:rPr>
              <w:t xml:space="preserve">Figure: </w:t>
            </w:r>
            <w:r>
              <w:rPr>
                <w:rFonts w:hint="eastAsia" w:eastAsia="楷体" w:cs="Calibri"/>
                <w:b/>
                <w:bCs/>
                <w:kern w:val="2"/>
                <w:sz w:val="20"/>
                <w:szCs w:val="20"/>
                <w:lang w:eastAsia="zh-CN"/>
              </w:rPr>
              <w:t>Hyperscale ope</w:t>
            </w:r>
            <w:r>
              <w:rPr>
                <w:rFonts w:eastAsia="楷体" w:cs="Calibri"/>
                <w:b/>
                <w:bCs/>
                <w:kern w:val="2"/>
                <w:sz w:val="20"/>
                <w:szCs w:val="20"/>
                <w:lang w:eastAsia="zh-CN"/>
              </w:rPr>
              <w:t>r</w:t>
            </w:r>
            <w:r>
              <w:rPr>
                <w:rFonts w:hint="eastAsia" w:eastAsia="楷体" w:cs="Calibri"/>
                <w:b/>
                <w:bCs/>
                <w:kern w:val="2"/>
                <w:sz w:val="20"/>
                <w:szCs w:val="20"/>
                <w:lang w:eastAsia="zh-CN"/>
              </w:rPr>
              <w:t>ator CapEx and data center capacity added</w:t>
            </w:r>
          </w:p>
        </w:tc>
      </w:tr>
      <w:tr w14:paraId="4C745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84" w:type="dxa"/>
          <w:trHeight w:val="3575" w:hRule="atLeast"/>
        </w:trPr>
        <w:tc>
          <w:tcPr>
            <w:tcW w:w="7680" w:type="dxa"/>
            <w:gridSpan w:val="2"/>
            <w:tcBorders>
              <w:top w:val="nil"/>
              <w:bottom w:val="nil"/>
            </w:tcBorders>
            <w:tcMar>
              <w:top w:w="28" w:type="dxa"/>
              <w:bottom w:w="28" w:type="dxa"/>
            </w:tcMar>
            <w:vAlign w:val="center"/>
          </w:tcPr>
          <w:p w14:paraId="65AA2C59">
            <w:pPr>
              <w:widowControl w:val="0"/>
              <w:ind w:left="218"/>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4732655" cy="2406650"/>
                  <wp:effectExtent l="0" t="0" r="6985" b="127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25"/>
                          <a:stretch>
                            <a:fillRect/>
                          </a:stretch>
                        </pic:blipFill>
                        <pic:spPr>
                          <a:xfrm>
                            <a:off x="0" y="0"/>
                            <a:ext cx="4732655" cy="2406650"/>
                          </a:xfrm>
                          <a:prstGeom prst="rect">
                            <a:avLst/>
                          </a:prstGeom>
                          <a:noFill/>
                          <a:ln>
                            <a:noFill/>
                          </a:ln>
                        </pic:spPr>
                      </pic:pic>
                    </a:graphicData>
                  </a:graphic>
                </wp:inline>
              </w:drawing>
            </w:r>
          </w:p>
        </w:tc>
      </w:tr>
      <w:tr w14:paraId="2CA2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65" w:type="dxa"/>
          <w:trHeight w:val="90" w:hRule="atLeast"/>
        </w:trPr>
        <w:tc>
          <w:tcPr>
            <w:tcW w:w="7699" w:type="dxa"/>
            <w:gridSpan w:val="2"/>
            <w:tcBorders>
              <w:top w:val="nil"/>
            </w:tcBorders>
          </w:tcPr>
          <w:p w14:paraId="255E45A4">
            <w:pPr>
              <w:widowControl w:val="0"/>
              <w:jc w:val="both"/>
              <w:rPr>
                <w:rFonts w:eastAsia="楷体" w:cs="Calibri"/>
                <w:b/>
                <w:bCs/>
                <w:kern w:val="2"/>
                <w:sz w:val="22"/>
                <w:szCs w:val="22"/>
                <w:lang w:eastAsia="zh-CN"/>
              </w:rPr>
            </w:pPr>
            <w:r>
              <w:rPr>
                <w:rFonts w:eastAsia="楷体" w:cs="Calibri"/>
                <w:kern w:val="2"/>
                <w:sz w:val="16"/>
                <w:szCs w:val="16"/>
                <w:lang w:eastAsia="zh-CN"/>
              </w:rPr>
              <w:t>Source:Synergy Research Group, HFI</w:t>
            </w:r>
          </w:p>
        </w:tc>
      </w:tr>
    </w:tbl>
    <w:p w14:paraId="6FC78CD4">
      <w:pPr>
        <w:widowControl w:val="0"/>
        <w:jc w:val="both"/>
        <w:rPr>
          <w:rFonts w:eastAsia="楷体" w:cs="Calibri"/>
          <w:b/>
          <w:bCs/>
          <w:kern w:val="2"/>
          <w:sz w:val="22"/>
          <w:szCs w:val="22"/>
          <w:lang w:eastAsia="zh-CN"/>
        </w:rPr>
      </w:pPr>
    </w:p>
    <w:p w14:paraId="2DF73611">
      <w:pPr>
        <w:widowControl w:val="0"/>
        <w:jc w:val="both"/>
        <w:rPr>
          <w:rFonts w:eastAsia="楷体" w:cs="Calibri"/>
          <w:kern w:val="2"/>
          <w:sz w:val="22"/>
          <w:szCs w:val="22"/>
          <w:lang w:eastAsia="zh-CN"/>
        </w:rPr>
      </w:pPr>
      <w:r>
        <w:rPr>
          <w:rFonts w:eastAsia="楷体" w:cs="Calibri"/>
          <w:b/>
          <w:bCs/>
          <w:kern w:val="2"/>
          <w:sz w:val="22"/>
          <w:szCs w:val="22"/>
          <w:lang w:val="zh-CN" w:eastAsia="zh-CN"/>
        </w:rPr>
        <w:t xml:space="preserve">Although the current investment scale is already unprecedented, the data center market is still considered to be in the early stages of a long-term construction cycle driven by AI. </w:t>
      </w:r>
      <w:r>
        <w:rPr>
          <w:rFonts w:eastAsia="楷体" w:cs="Calibri"/>
          <w:kern w:val="2"/>
          <w:sz w:val="22"/>
          <w:szCs w:val="22"/>
          <w:lang w:val="zh-CN" w:eastAsia="zh-CN"/>
        </w:rPr>
        <w:t>McKinsey indicates that currently built AI-related infrastructure meets only a small fraction of projected future demand over the next decade. It estimates that by 2030, cumulative global investment in data c</w:t>
      </w:r>
      <w:r>
        <w:rPr>
          <w:rFonts w:hint="eastAsia" w:eastAsia="楷体" w:cs="Calibri"/>
          <w:kern w:val="2"/>
          <w:sz w:val="22"/>
          <w:szCs w:val="22"/>
          <w:lang w:val="zh-CN" w:eastAsia="zh-CN"/>
        </w:rPr>
        <w:t>e</w:t>
      </w:r>
      <w:r>
        <w:rPr>
          <w:rFonts w:eastAsia="楷体" w:cs="Calibri"/>
          <w:kern w:val="2"/>
          <w:sz w:val="22"/>
          <w:szCs w:val="22"/>
          <w:lang w:val="zh-CN" w:eastAsia="zh-CN"/>
        </w:rPr>
        <w:t xml:space="preserve">nters could reach around $6.7 trillion to keep pace with compute demand with a significant portion driven by AI, and the US is expected to continue leading in investment share. Over the past </w:t>
      </w:r>
      <w:r>
        <w:rPr>
          <w:rFonts w:hint="eastAsia" w:eastAsia="楷体" w:cs="Calibri"/>
          <w:kern w:val="2"/>
          <w:sz w:val="22"/>
          <w:szCs w:val="22"/>
          <w:lang w:val="zh-CN" w:eastAsia="zh-CN"/>
        </w:rPr>
        <w:t>three</w:t>
      </w:r>
      <w:r>
        <w:rPr>
          <w:rFonts w:eastAsia="楷体" w:cs="Calibri"/>
          <w:kern w:val="2"/>
          <w:sz w:val="22"/>
          <w:szCs w:val="22"/>
          <w:lang w:val="zh-CN" w:eastAsia="zh-CN"/>
        </w:rPr>
        <w:t xml:space="preserve"> years since the launch of ChatGPT, we have seen improved growth metrics across nearly all key hyperscalers in their total company revenues</w:t>
      </w:r>
      <w:r>
        <w:rPr>
          <w:rFonts w:hint="eastAsia" w:eastAsia="楷体" w:cs="Calibri"/>
          <w:kern w:val="2"/>
          <w:sz w:val="22"/>
          <w:szCs w:val="22"/>
          <w:lang w:val="en-US" w:eastAsia="zh-CN"/>
        </w:rPr>
        <w:t xml:space="preserve">, </w:t>
      </w:r>
      <w:r>
        <w:rPr>
          <w:rFonts w:eastAsia="楷体" w:cs="Calibri"/>
          <w:kern w:val="2"/>
          <w:sz w:val="22"/>
          <w:szCs w:val="22"/>
          <w:lang w:val="zh-CN" w:eastAsia="zh-CN"/>
        </w:rPr>
        <w:t>especially their cloud-specific revenues</w:t>
      </w:r>
      <w:r>
        <w:rPr>
          <w:rFonts w:hint="eastAsia" w:eastAsia="楷体" w:cs="Calibri"/>
          <w:kern w:val="2"/>
          <w:sz w:val="22"/>
          <w:szCs w:val="22"/>
          <w:lang w:val="en-US" w:eastAsia="zh-CN"/>
        </w:rPr>
        <w:t xml:space="preserve"> </w:t>
      </w:r>
      <w:r>
        <w:rPr>
          <w:rFonts w:eastAsia="楷体" w:cs="Calibri"/>
          <w:kern w:val="2"/>
          <w:sz w:val="22"/>
          <w:szCs w:val="22"/>
          <w:lang w:val="zh-CN" w:eastAsia="zh-CN"/>
        </w:rPr>
        <w:t>and they have consistently revised upward their capital expenditure plans. Thus, we expect continued strong growth in AIDC construction.</w:t>
      </w:r>
    </w:p>
    <w:p w14:paraId="5535E958">
      <w:pPr>
        <w:rPr>
          <w:rFonts w:eastAsia="楷体" w:cs="Calibri"/>
          <w:kern w:val="2"/>
          <w:sz w:val="22"/>
          <w:szCs w:val="22"/>
          <w:lang w:eastAsia="zh-CN"/>
        </w:rPr>
      </w:pPr>
      <w:r>
        <w:rPr>
          <w:rFonts w:eastAsia="楷体" w:cs="Calibri"/>
          <w:kern w:val="2"/>
          <w:sz w:val="22"/>
          <w:szCs w:val="22"/>
          <w:lang w:eastAsia="zh-CN"/>
        </w:rPr>
        <w:br w:type="page"/>
      </w:r>
    </w:p>
    <w:tbl>
      <w:tblPr>
        <w:tblStyle w:val="15"/>
        <w:tblW w:w="752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0"/>
      </w:tblGrid>
      <w:tr w14:paraId="02D09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520" w:type="dxa"/>
            <w:tcBorders>
              <w:bottom w:val="nil"/>
            </w:tcBorders>
          </w:tcPr>
          <w:p w14:paraId="1D593846">
            <w:pPr>
              <w:widowControl w:val="0"/>
              <w:jc w:val="both"/>
              <w:rPr>
                <w:rFonts w:eastAsia="楷体" w:cs="Calibri"/>
                <w:kern w:val="2"/>
                <w:sz w:val="22"/>
                <w:szCs w:val="22"/>
                <w:lang w:eastAsia="zh-CN"/>
              </w:rPr>
            </w:pPr>
            <w:r>
              <w:rPr>
                <w:rFonts w:eastAsia="楷体" w:cs="Calibri"/>
                <w:b/>
                <w:bCs/>
                <w:kern w:val="2"/>
                <w:sz w:val="20"/>
                <w:szCs w:val="20"/>
                <w:lang w:eastAsia="zh-CN"/>
              </w:rPr>
              <w:t>Figure:</w:t>
            </w:r>
            <w:r>
              <w:rPr>
                <w:rFonts w:hint="eastAsia" w:eastAsia="楷体" w:cs="Calibri"/>
                <w:b/>
                <w:bCs/>
                <w:kern w:val="2"/>
                <w:sz w:val="20"/>
                <w:szCs w:val="20"/>
                <w:lang w:val="en-US" w:eastAsia="zh-CN"/>
              </w:rPr>
              <w:t xml:space="preserve"> Top 5</w:t>
            </w:r>
            <w:r>
              <w:rPr>
                <w:rFonts w:eastAsia="楷体" w:cs="Calibri"/>
                <w:b/>
                <w:bCs/>
                <w:kern w:val="2"/>
                <w:sz w:val="20"/>
                <w:szCs w:val="20"/>
                <w:lang w:eastAsia="zh-CN"/>
              </w:rPr>
              <w:t xml:space="preserve"> </w:t>
            </w:r>
            <w:r>
              <w:rPr>
                <w:rFonts w:hint="eastAsia" w:eastAsia="楷体" w:cs="Calibri"/>
                <w:b/>
                <w:bCs/>
                <w:kern w:val="2"/>
                <w:sz w:val="20"/>
                <w:szCs w:val="20"/>
                <w:lang w:eastAsia="zh-CN"/>
              </w:rPr>
              <w:t xml:space="preserve">hyperscale </w:t>
            </w:r>
            <w:r>
              <w:rPr>
                <w:rFonts w:eastAsia="楷体" w:cs="Calibri"/>
                <w:b/>
                <w:bCs/>
                <w:kern w:val="2"/>
                <w:sz w:val="20"/>
                <w:szCs w:val="20"/>
                <w:lang w:eastAsia="zh-CN"/>
              </w:rPr>
              <w:t>operators’</w:t>
            </w:r>
            <w:r>
              <w:rPr>
                <w:rFonts w:hint="eastAsia" w:eastAsia="楷体" w:cs="Calibri"/>
                <w:b/>
                <w:bCs/>
                <w:kern w:val="2"/>
                <w:sz w:val="20"/>
                <w:szCs w:val="20"/>
                <w:lang w:eastAsia="zh-CN"/>
              </w:rPr>
              <w:t> revenue keeps rising</w:t>
            </w:r>
          </w:p>
        </w:tc>
      </w:tr>
      <w:tr w14:paraId="278A3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520" w:type="dxa"/>
            <w:tcBorders>
              <w:top w:val="nil"/>
              <w:bottom w:val="nil"/>
            </w:tcBorders>
            <w:tcMar>
              <w:top w:w="28" w:type="dxa"/>
              <w:bottom w:w="28" w:type="dxa"/>
            </w:tcMar>
            <w:vAlign w:val="center"/>
          </w:tcPr>
          <w:p w14:paraId="16D5EA4C">
            <w:pPr>
              <w:widowControl w:val="0"/>
              <w:jc w:val="both"/>
              <w:rPr>
                <w:rFonts w:eastAsia="楷体" w:cs="Calibri"/>
                <w:kern w:val="2"/>
                <w:sz w:val="22"/>
                <w:szCs w:val="22"/>
                <w:lang w:eastAsia="zh-CN"/>
              </w:rPr>
            </w:pPr>
            <w:r>
              <w:drawing>
                <wp:inline distT="0" distB="0" distL="114300" distR="114300">
                  <wp:extent cx="4686300" cy="2136775"/>
                  <wp:effectExtent l="4445" t="5080" r="18415" b="698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179BC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520" w:type="dxa"/>
            <w:tcBorders>
              <w:top w:val="nil"/>
            </w:tcBorders>
          </w:tcPr>
          <w:p w14:paraId="52691C3E">
            <w:pPr>
              <w:widowControl w:val="0"/>
              <w:jc w:val="both"/>
              <w:rPr>
                <w:rFonts w:hint="default" w:eastAsia="楷体" w:cs="Calibri"/>
                <w:kern w:val="2"/>
                <w:sz w:val="12"/>
                <w:szCs w:val="12"/>
                <w:lang w:val="en-US" w:eastAsia="zh-CN"/>
              </w:rPr>
            </w:pPr>
            <w:r>
              <w:rPr>
                <w:rFonts w:eastAsia="楷体" w:cs="Calibri"/>
                <w:kern w:val="2"/>
                <w:sz w:val="16"/>
                <w:szCs w:val="16"/>
                <w:lang w:eastAsia="zh-CN"/>
              </w:rPr>
              <w:t>Source:</w:t>
            </w:r>
            <w:r>
              <w:rPr>
                <w:rFonts w:hint="eastAsia" w:eastAsia="楷体" w:cs="Calibri"/>
                <w:kern w:val="2"/>
                <w:sz w:val="16"/>
                <w:szCs w:val="16"/>
                <w:lang w:val="en-US" w:eastAsia="zh-CN"/>
              </w:rPr>
              <w:t xml:space="preserve"> Bloomberg</w:t>
            </w:r>
            <w:r>
              <w:rPr>
                <w:rFonts w:eastAsia="楷体" w:cs="Calibri"/>
                <w:kern w:val="2"/>
                <w:sz w:val="16"/>
                <w:szCs w:val="16"/>
                <w:lang w:eastAsia="zh-CN"/>
              </w:rPr>
              <w:t>, HFI</w:t>
            </w:r>
          </w:p>
        </w:tc>
      </w:tr>
    </w:tbl>
    <w:p w14:paraId="4DCDCA26">
      <w:pPr>
        <w:widowControl w:val="0"/>
        <w:jc w:val="both"/>
        <w:rPr>
          <w:rFonts w:eastAsia="楷体" w:cs="Calibri"/>
          <w:kern w:val="2"/>
          <w:sz w:val="22"/>
          <w:szCs w:val="22"/>
          <w:lang w:eastAsia="zh-CN"/>
        </w:rPr>
      </w:pPr>
    </w:p>
    <w:tbl>
      <w:tblPr>
        <w:tblStyle w:val="15"/>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C08C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6AD0EC5E">
            <w:pPr>
              <w:widowControl w:val="0"/>
              <w:jc w:val="both"/>
              <w:rPr>
                <w:rFonts w:eastAsia="楷体" w:cs="Calibri"/>
                <w:b/>
                <w:bCs/>
                <w:kern w:val="2"/>
                <w:sz w:val="20"/>
                <w:szCs w:val="20"/>
                <w:lang w:eastAsia="zh-CN"/>
              </w:rPr>
            </w:pPr>
            <w:r>
              <w:rPr>
                <w:rFonts w:eastAsia="楷体" w:cs="Calibri"/>
                <w:b/>
                <w:bCs/>
                <w:kern w:val="2"/>
                <w:sz w:val="20"/>
                <w:szCs w:val="20"/>
                <w:highlight w:val="none"/>
                <w:lang w:eastAsia="zh-CN"/>
              </w:rPr>
              <w:t xml:space="preserve">Figure: US </w:t>
            </w:r>
            <w:r>
              <w:rPr>
                <w:rFonts w:hint="eastAsia" w:eastAsia="楷体" w:cs="Calibri"/>
                <w:b/>
                <w:bCs/>
                <w:kern w:val="2"/>
                <w:sz w:val="20"/>
                <w:szCs w:val="20"/>
                <w:highlight w:val="none"/>
                <w:lang w:val="en-US" w:eastAsia="zh-CN"/>
              </w:rPr>
              <w:t>CSPs</w:t>
            </w:r>
            <w:r>
              <w:rPr>
                <w:rFonts w:hint="default" w:eastAsia="楷体" w:cs="Calibri"/>
                <w:b/>
                <w:bCs/>
                <w:kern w:val="2"/>
                <w:sz w:val="20"/>
                <w:szCs w:val="20"/>
                <w:highlight w:val="none"/>
                <w:lang w:val="en-US" w:eastAsia="zh-CN"/>
              </w:rPr>
              <w:t>’</w:t>
            </w:r>
            <w:r>
              <w:rPr>
                <w:rFonts w:hint="eastAsia" w:eastAsia="楷体" w:cs="Calibri"/>
                <w:b/>
                <w:bCs/>
                <w:kern w:val="2"/>
                <w:sz w:val="20"/>
                <w:szCs w:val="20"/>
                <w:highlight w:val="none"/>
                <w:lang w:val="en-US" w:eastAsia="zh-CN"/>
              </w:rPr>
              <w:t xml:space="preserve"> </w:t>
            </w:r>
            <w:r>
              <w:rPr>
                <w:rFonts w:eastAsia="楷体" w:cs="Calibri"/>
                <w:b/>
                <w:bCs/>
                <w:kern w:val="2"/>
                <w:sz w:val="20"/>
                <w:szCs w:val="20"/>
                <w:highlight w:val="none"/>
                <w:lang w:eastAsia="zh-CN"/>
              </w:rPr>
              <w:t xml:space="preserve">rising </w:t>
            </w:r>
            <w:r>
              <w:rPr>
                <w:rFonts w:hint="eastAsia" w:eastAsia="楷体" w:cs="Calibri"/>
                <w:b/>
                <w:bCs/>
                <w:kern w:val="2"/>
                <w:sz w:val="20"/>
                <w:szCs w:val="20"/>
                <w:highlight w:val="none"/>
                <w:lang w:val="en-US" w:eastAsia="zh-CN"/>
              </w:rPr>
              <w:t xml:space="preserve">2025 </w:t>
            </w:r>
            <w:r>
              <w:rPr>
                <w:rFonts w:eastAsia="楷体" w:cs="Calibri"/>
                <w:b/>
                <w:bCs/>
                <w:kern w:val="2"/>
                <w:sz w:val="20"/>
                <w:szCs w:val="20"/>
                <w:highlight w:val="none"/>
                <w:lang w:eastAsia="zh-CN"/>
              </w:rPr>
              <w:t xml:space="preserve">full-year capex guidance, </w:t>
            </w:r>
            <w:r>
              <w:rPr>
                <w:rFonts w:hint="eastAsia" w:eastAsia="楷体" w:cs="Calibri"/>
                <w:b/>
                <w:bCs/>
                <w:kern w:val="2"/>
                <w:sz w:val="20"/>
                <w:szCs w:val="20"/>
                <w:highlight w:val="none"/>
                <w:lang w:val="en-US" w:eastAsia="zh-CN"/>
              </w:rPr>
              <w:t>1</w:t>
            </w:r>
            <w:r>
              <w:rPr>
                <w:rFonts w:eastAsia="楷体" w:cs="Calibri"/>
                <w:b/>
                <w:bCs/>
                <w:kern w:val="2"/>
                <w:sz w:val="20"/>
                <w:szCs w:val="20"/>
                <w:highlight w:val="none"/>
                <w:lang w:eastAsia="zh-CN"/>
              </w:rPr>
              <w:t>Q</w:t>
            </w:r>
            <w:r>
              <w:rPr>
                <w:rFonts w:hint="eastAsia" w:eastAsia="楷体" w:cs="Calibri"/>
                <w:b/>
                <w:bCs/>
                <w:kern w:val="2"/>
                <w:sz w:val="20"/>
                <w:szCs w:val="20"/>
                <w:highlight w:val="none"/>
                <w:lang w:val="en-US" w:eastAsia="zh-CN"/>
              </w:rPr>
              <w:t>25</w:t>
            </w:r>
            <w:r>
              <w:rPr>
                <w:rFonts w:eastAsia="楷体" w:cs="Calibri"/>
                <w:b/>
                <w:bCs/>
                <w:kern w:val="2"/>
                <w:sz w:val="20"/>
                <w:szCs w:val="20"/>
                <w:highlight w:val="none"/>
                <w:lang w:eastAsia="zh-CN"/>
              </w:rPr>
              <w:t>-</w:t>
            </w:r>
            <w:r>
              <w:rPr>
                <w:rFonts w:hint="eastAsia" w:eastAsia="楷体" w:cs="Calibri"/>
                <w:b/>
                <w:bCs/>
                <w:kern w:val="2"/>
                <w:sz w:val="20"/>
                <w:szCs w:val="20"/>
                <w:highlight w:val="none"/>
                <w:lang w:val="en-US" w:eastAsia="zh-CN"/>
              </w:rPr>
              <w:t>4</w:t>
            </w:r>
            <w:r>
              <w:rPr>
                <w:rFonts w:eastAsia="楷体" w:cs="Calibri"/>
                <w:b/>
                <w:bCs/>
                <w:kern w:val="2"/>
                <w:sz w:val="20"/>
                <w:szCs w:val="20"/>
                <w:highlight w:val="none"/>
                <w:lang w:eastAsia="zh-CN"/>
              </w:rPr>
              <w:t>Q25</w:t>
            </w:r>
            <w:r>
              <w:rPr>
                <w:rFonts w:hint="eastAsia" w:eastAsia="楷体" w:cs="Calibri"/>
                <w:b/>
                <w:bCs/>
                <w:kern w:val="2"/>
                <w:sz w:val="20"/>
                <w:szCs w:val="20"/>
                <w:highlight w:val="none"/>
                <w:lang w:val="en-US" w:eastAsia="zh-CN"/>
              </w:rPr>
              <w:t xml:space="preserve"> and 2026 Guidance</w:t>
            </w:r>
            <w:r>
              <w:rPr>
                <w:rFonts w:eastAsia="楷体" w:cs="Calibri"/>
                <w:b/>
                <w:bCs/>
                <w:kern w:val="2"/>
                <w:sz w:val="20"/>
                <w:szCs w:val="20"/>
                <w:highlight w:val="none"/>
                <w:lang w:eastAsia="zh-CN"/>
              </w:rPr>
              <w:t xml:space="preserve"> (USD bn)</w:t>
            </w:r>
          </w:p>
        </w:tc>
      </w:tr>
      <w:tr w14:paraId="08DB5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27BFEC5C">
            <w:pPr>
              <w:widowControl w:val="0"/>
              <w:jc w:val="both"/>
              <w:rPr>
                <w:rFonts w:eastAsia="楷体" w:cs="Calibri"/>
                <w:b/>
                <w:bCs/>
                <w:kern w:val="2"/>
                <w:sz w:val="20"/>
                <w:szCs w:val="20"/>
                <w:lang w:eastAsia="zh-CN"/>
              </w:rPr>
            </w:pPr>
            <w:r>
              <w:drawing>
                <wp:inline distT="0" distB="0" distL="114300" distR="114300">
                  <wp:extent cx="6386830" cy="2009140"/>
                  <wp:effectExtent l="4445" t="4445" r="9525" b="13335"/>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3D3B6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nil"/>
            </w:tcBorders>
          </w:tcPr>
          <w:p w14:paraId="613EB1E4">
            <w:pPr>
              <w:widowControl w:val="0"/>
              <w:jc w:val="both"/>
              <w:rPr>
                <w:rFonts w:eastAsia="楷体" w:cs="Calibri"/>
                <w:kern w:val="2"/>
                <w:lang w:eastAsia="zh-CN"/>
              </w:rPr>
            </w:pPr>
            <w:r>
              <w:rPr>
                <w:rFonts w:eastAsia="楷体" w:cs="Calibri"/>
                <w:kern w:val="2"/>
                <w:sz w:val="16"/>
                <w:szCs w:val="16"/>
                <w:lang w:eastAsia="zh-CN"/>
              </w:rPr>
              <w:t>Source: Bloomberg, HFI</w:t>
            </w:r>
          </w:p>
        </w:tc>
      </w:tr>
    </w:tbl>
    <w:p w14:paraId="2B95B24E">
      <w:pPr>
        <w:widowControl w:val="0"/>
        <w:jc w:val="both"/>
        <w:rPr>
          <w:rFonts w:eastAsia="楷体" w:cs="Calibri"/>
          <w:b/>
          <w:bCs/>
          <w:kern w:val="2"/>
          <w:sz w:val="22"/>
          <w:szCs w:val="22"/>
          <w:lang w:eastAsia="zh-CN"/>
        </w:rPr>
      </w:pPr>
    </w:p>
    <w:p w14:paraId="57B55D33">
      <w:pPr>
        <w:widowControl w:val="0"/>
        <w:jc w:val="both"/>
        <w:rPr>
          <w:rFonts w:eastAsia="楷体" w:cs="Calibri"/>
          <w:kern w:val="2"/>
          <w:sz w:val="22"/>
          <w:szCs w:val="22"/>
          <w:lang w:val="zh-CN"/>
        </w:rPr>
      </w:pPr>
      <w:r>
        <w:rPr>
          <w:rFonts w:eastAsia="楷体" w:cs="Calibri"/>
          <w:b/>
          <w:bCs/>
          <w:kern w:val="2"/>
          <w:sz w:val="22"/>
          <w:szCs w:val="22"/>
          <w:lang w:val="zh-CN" w:eastAsia="zh-CN"/>
        </w:rPr>
        <w:t>While the AI-driven da</w:t>
      </w:r>
      <w:r>
        <w:rPr>
          <w:rFonts w:hint="eastAsia" w:eastAsia="楷体" w:cs="Calibri"/>
          <w:b/>
          <w:bCs/>
          <w:kern w:val="2"/>
          <w:sz w:val="22"/>
          <w:szCs w:val="22"/>
          <w:lang w:val="zh-CN" w:eastAsia="zh-CN"/>
        </w:rPr>
        <w:t>t</w:t>
      </w:r>
      <w:r>
        <w:rPr>
          <w:rFonts w:eastAsia="楷体" w:cs="Calibri"/>
          <w:b/>
          <w:bCs/>
          <w:kern w:val="2"/>
          <w:sz w:val="22"/>
          <w:szCs w:val="22"/>
          <w:lang w:val="zh-CN" w:eastAsia="zh-CN"/>
        </w:rPr>
        <w:t>a center construction boom is dramatically increasing demand for IT equipment, it is also driving proportional growth in supporting non-IT infrastructure</w:t>
      </w:r>
      <w:r>
        <w:rPr>
          <w:rFonts w:hint="eastAsia" w:eastAsia="楷体" w:cs="Calibri"/>
          <w:b/>
          <w:bCs/>
          <w:kern w:val="2"/>
          <w:sz w:val="22"/>
          <w:szCs w:val="22"/>
          <w:lang w:val="zh-CN" w:eastAsia="zh-CN"/>
        </w:rPr>
        <w:t xml:space="preserve">. </w:t>
      </w:r>
      <w:r>
        <w:rPr>
          <w:rFonts w:eastAsia="楷体" w:cs="Calibri"/>
          <w:kern w:val="2"/>
          <w:sz w:val="22"/>
          <w:szCs w:val="22"/>
          <w:lang w:val="zh-CN"/>
        </w:rPr>
        <w:t xml:space="preserve">Data center investments can be broadly divided into two CapEx categories: </w:t>
      </w:r>
      <w:r>
        <w:rPr>
          <w:rFonts w:eastAsia="楷体" w:cs="Calibri"/>
          <w:b/>
          <w:bCs/>
          <w:kern w:val="2"/>
          <w:sz w:val="22"/>
          <w:szCs w:val="22"/>
          <w:lang w:val="zh-CN"/>
        </w:rPr>
        <w:t>IT CapEx</w:t>
      </w:r>
      <w:r>
        <w:rPr>
          <w:rFonts w:eastAsia="楷体" w:cs="Calibri"/>
          <w:kern w:val="2"/>
          <w:sz w:val="22"/>
          <w:szCs w:val="22"/>
          <w:lang w:val="zh-CN"/>
        </w:rPr>
        <w:t xml:space="preserve"> (servers, storage, networking, etc.) and </w:t>
      </w:r>
      <w:r>
        <w:rPr>
          <w:rFonts w:eastAsia="楷体" w:cs="Calibri"/>
          <w:b/>
          <w:bCs/>
          <w:kern w:val="2"/>
          <w:sz w:val="22"/>
          <w:szCs w:val="22"/>
          <w:lang w:val="zh-CN"/>
        </w:rPr>
        <w:t>non-IT CapEx</w:t>
      </w:r>
      <w:r>
        <w:rPr>
          <w:rFonts w:eastAsia="楷体" w:cs="Calibri"/>
          <w:kern w:val="2"/>
          <w:sz w:val="22"/>
          <w:szCs w:val="22"/>
          <w:lang w:val="zh-CN"/>
        </w:rPr>
        <w:t xml:space="preserve"> (power, cooling, building shell, etc.). The sharp rise in total CapEx is primarily fuelled by IT equipment, which typically accounts for ~70% of overall spending in modern facilities, while non-IT CapEx makes up the remaining ~30%. For high-density AI data centers in particular, the IT share can be even higher due to the compute-intensive nature of AI workloads.</w:t>
      </w:r>
    </w:p>
    <w:p w14:paraId="59AD257E">
      <w:pPr>
        <w:widowControl w:val="0"/>
        <w:jc w:val="both"/>
        <w:rPr>
          <w:rFonts w:eastAsia="楷体" w:cs="Calibri"/>
          <w:b/>
          <w:bCs/>
          <w:kern w:val="2"/>
          <w:sz w:val="22"/>
          <w:szCs w:val="22"/>
          <w:lang w:val="zh-CN" w:eastAsia="zh-CN"/>
        </w:rPr>
      </w:pPr>
    </w:p>
    <w:p w14:paraId="63C55454">
      <w:pPr>
        <w:widowControl w:val="0"/>
        <w:jc w:val="both"/>
        <w:rPr>
          <w:rFonts w:eastAsia="楷体" w:cs="Calibri"/>
          <w:kern w:val="2"/>
          <w:sz w:val="22"/>
          <w:szCs w:val="22"/>
          <w:lang w:val="zh-CN" w:eastAsia="zh-CN"/>
        </w:rPr>
      </w:pPr>
      <w:r>
        <w:rPr>
          <w:rFonts w:eastAsia="楷体" w:cs="Calibri"/>
          <w:kern w:val="2"/>
          <w:sz w:val="22"/>
          <w:szCs w:val="22"/>
          <w:lang w:val="zh-CN" w:eastAsia="zh-CN"/>
        </w:rPr>
        <w:t xml:space="preserve">Non-IT CapEx remains essential to enable these high-density environments, </w:t>
      </w:r>
      <w:r>
        <w:rPr>
          <w:rFonts w:hint="eastAsia" w:eastAsia="楷体" w:cs="Calibri"/>
          <w:kern w:val="2"/>
          <w:sz w:val="22"/>
          <w:szCs w:val="22"/>
          <w:lang w:val="zh-CN" w:eastAsia="zh-CN"/>
        </w:rPr>
        <w:t xml:space="preserve">however, </w:t>
      </w:r>
      <w:r>
        <w:rPr>
          <w:rFonts w:eastAsia="楷体" w:cs="Calibri"/>
          <w:kern w:val="2"/>
          <w:sz w:val="22"/>
          <w:szCs w:val="22"/>
          <w:lang w:val="zh-CN" w:eastAsia="zh-CN"/>
        </w:rPr>
        <w:t>supporting reliable power delivery, advanced cooling for extreme heat loads, and robust facility structures. For example, co-location operator Digital Realty has indicated that</w:t>
      </w:r>
      <w:r>
        <w:rPr>
          <w:rFonts w:hint="eastAsia" w:eastAsia="楷体" w:cs="Calibri"/>
          <w:kern w:val="2"/>
          <w:sz w:val="22"/>
          <w:szCs w:val="22"/>
          <w:lang w:val="zh-CN" w:eastAsia="zh-CN"/>
        </w:rPr>
        <w:t xml:space="preserve"> </w:t>
      </w:r>
      <w:r>
        <w:rPr>
          <w:rFonts w:eastAsia="楷体" w:cs="Calibri"/>
          <w:kern w:val="2"/>
          <w:sz w:val="22"/>
          <w:szCs w:val="22"/>
          <w:lang w:val="zh-CN" w:eastAsia="zh-CN"/>
        </w:rPr>
        <w:t>for a new data center facility excluding IT equipment</w:t>
      </w:r>
      <w:r>
        <w:rPr>
          <w:rFonts w:hint="eastAsia" w:eastAsia="楷体" w:cs="Calibri"/>
          <w:kern w:val="2"/>
          <w:sz w:val="22"/>
          <w:szCs w:val="22"/>
          <w:lang w:val="zh-CN" w:eastAsia="zh-CN"/>
        </w:rPr>
        <w:t xml:space="preserve"> </w:t>
      </w:r>
      <w:r>
        <w:rPr>
          <w:rFonts w:eastAsia="楷体" w:cs="Calibri"/>
          <w:kern w:val="2"/>
          <w:sz w:val="22"/>
          <w:szCs w:val="22"/>
          <w:lang w:val="zh-CN" w:eastAsia="zh-CN"/>
        </w:rPr>
        <w:t>the total capital investment breaks down roughly as follows:</w:t>
      </w:r>
    </w:p>
    <w:p w14:paraId="1ED5A2E3">
      <w:pPr>
        <w:widowControl w:val="0"/>
        <w:jc w:val="both"/>
        <w:rPr>
          <w:rFonts w:eastAsia="楷体" w:cs="Calibri"/>
          <w:kern w:val="2"/>
          <w:sz w:val="22"/>
          <w:szCs w:val="22"/>
          <w:lang w:val="zh-CN" w:eastAsia="zh-CN"/>
        </w:rPr>
      </w:pPr>
    </w:p>
    <w:p w14:paraId="04407850">
      <w:pPr>
        <w:pStyle w:val="30"/>
        <w:widowControl w:val="0"/>
        <w:numPr>
          <w:ilvl w:val="0"/>
          <w:numId w:val="11"/>
        </w:numPr>
        <w:jc w:val="both"/>
        <w:rPr>
          <w:rFonts w:eastAsia="楷体" w:cs="Calibri"/>
          <w:kern w:val="2"/>
          <w:sz w:val="22"/>
          <w:szCs w:val="22"/>
          <w:lang w:val="zh-CN" w:eastAsia="zh-CN"/>
        </w:rPr>
      </w:pPr>
      <w:r>
        <w:rPr>
          <w:rFonts w:eastAsia="楷体" w:cs="Calibri"/>
          <w:kern w:val="2"/>
          <w:sz w:val="22"/>
          <w:szCs w:val="22"/>
          <w:lang w:val="zh-CN" w:eastAsia="zh-CN"/>
        </w:rPr>
        <w:t xml:space="preserve">~30% for building shell and </w:t>
      </w:r>
      <w:r>
        <w:rPr>
          <w:rFonts w:hint="eastAsia" w:eastAsia="楷体" w:cs="Calibri"/>
          <w:kern w:val="2"/>
          <w:sz w:val="22"/>
          <w:szCs w:val="22"/>
          <w:lang w:val="zh-CN" w:eastAsia="zh-CN"/>
        </w:rPr>
        <w:t>core</w:t>
      </w:r>
      <w:r>
        <w:rPr>
          <w:rFonts w:eastAsia="楷体" w:cs="Calibri"/>
          <w:kern w:val="2"/>
          <w:sz w:val="22"/>
          <w:szCs w:val="22"/>
          <w:lang w:val="zh-CN" w:eastAsia="zh-CN"/>
        </w:rPr>
        <w:t xml:space="preserve"> </w:t>
      </w:r>
    </w:p>
    <w:p w14:paraId="38543A3A">
      <w:pPr>
        <w:pStyle w:val="30"/>
        <w:widowControl w:val="0"/>
        <w:numPr>
          <w:ilvl w:val="0"/>
          <w:numId w:val="11"/>
        </w:numPr>
        <w:jc w:val="both"/>
        <w:rPr>
          <w:rFonts w:eastAsia="楷体" w:cs="Calibri"/>
          <w:kern w:val="2"/>
          <w:sz w:val="22"/>
          <w:szCs w:val="22"/>
          <w:lang w:val="zh-CN" w:eastAsia="zh-CN"/>
        </w:rPr>
      </w:pPr>
      <w:r>
        <w:rPr>
          <w:rFonts w:eastAsia="楷体" w:cs="Calibri"/>
          <w:kern w:val="2"/>
          <w:sz w:val="22"/>
          <w:szCs w:val="22"/>
          <w:lang w:val="zh-CN" w:eastAsia="zh-CN"/>
        </w:rPr>
        <w:t xml:space="preserve">~35% for electrical systems </w:t>
      </w:r>
    </w:p>
    <w:p w14:paraId="124AA082">
      <w:pPr>
        <w:pStyle w:val="30"/>
        <w:widowControl w:val="0"/>
        <w:numPr>
          <w:ilvl w:val="0"/>
          <w:numId w:val="11"/>
        </w:numPr>
        <w:jc w:val="both"/>
        <w:rPr>
          <w:rFonts w:eastAsia="楷体" w:cs="Calibri"/>
          <w:kern w:val="2"/>
          <w:sz w:val="22"/>
          <w:szCs w:val="22"/>
          <w:lang w:val="zh-CN" w:eastAsia="zh-CN"/>
        </w:rPr>
      </w:pPr>
      <w:r>
        <w:rPr>
          <w:rFonts w:eastAsia="楷体" w:cs="Calibri"/>
          <w:kern w:val="2"/>
          <w:sz w:val="22"/>
          <w:szCs w:val="22"/>
          <w:lang w:val="zh-CN" w:eastAsia="zh-CN"/>
        </w:rPr>
        <w:t xml:space="preserve">~25% for HVAC and mechanical systems </w:t>
      </w:r>
    </w:p>
    <w:p w14:paraId="28E63587">
      <w:pPr>
        <w:pStyle w:val="30"/>
        <w:widowControl w:val="0"/>
        <w:numPr>
          <w:ilvl w:val="0"/>
          <w:numId w:val="11"/>
        </w:numPr>
        <w:jc w:val="both"/>
        <w:rPr>
          <w:rFonts w:eastAsia="楷体" w:cs="Calibri"/>
          <w:b/>
          <w:bCs/>
          <w:kern w:val="2"/>
          <w:sz w:val="22"/>
          <w:szCs w:val="22"/>
          <w:lang w:eastAsia="zh-CN"/>
        </w:rPr>
      </w:pPr>
      <w:r>
        <w:rPr>
          <w:rFonts w:eastAsia="楷体" w:cs="Calibri"/>
          <w:kern w:val="2"/>
          <w:sz w:val="22"/>
          <w:szCs w:val="22"/>
          <w:lang w:val="zh-CN" w:eastAsia="zh-CN"/>
        </w:rPr>
        <w:t>~15% for racks</w:t>
      </w:r>
      <w:r>
        <w:rPr>
          <w:rFonts w:hint="eastAsia" w:eastAsia="楷体" w:cs="Calibri"/>
          <w:kern w:val="2"/>
          <w:sz w:val="22"/>
          <w:szCs w:val="22"/>
          <w:lang w:val="zh-CN" w:eastAsia="zh-CN"/>
        </w:rPr>
        <w:t xml:space="preserve"> and</w:t>
      </w:r>
      <w:r>
        <w:rPr>
          <w:rFonts w:eastAsia="楷体" w:cs="Calibri"/>
          <w:kern w:val="2"/>
          <w:sz w:val="22"/>
          <w:szCs w:val="22"/>
          <w:lang w:val="zh-CN" w:eastAsia="zh-CN"/>
        </w:rPr>
        <w:t xml:space="preserve"> containment</w:t>
      </w:r>
    </w:p>
    <w:p w14:paraId="5C197569">
      <w:pPr>
        <w:widowControl w:val="0"/>
        <w:jc w:val="both"/>
        <w:rPr>
          <w:rFonts w:eastAsia="楷体" w:cs="Calibri"/>
          <w:kern w:val="2"/>
          <w:sz w:val="22"/>
          <w:szCs w:val="22"/>
          <w:lang w:val="zh-CN" w:eastAsia="zh-CN"/>
        </w:rPr>
      </w:pPr>
      <w:r>
        <w:rPr>
          <w:rFonts w:eastAsia="楷体" w:cs="Calibri"/>
          <w:kern w:val="2"/>
          <w:sz w:val="22"/>
          <w:szCs w:val="22"/>
          <w:lang w:val="zh-CN" w:eastAsia="zh-CN"/>
        </w:rPr>
        <w:t>This construction surge in AIDCs therefore creates broad opportunities not only for IT hardware suppliers but also for companies providing capital goods and services in the non-IT domain—such as electrical infrastructure, cooling technologies, structural engineering, and specialized construction firms.</w:t>
      </w:r>
    </w:p>
    <w:p w14:paraId="22A031B2">
      <w:pPr>
        <w:widowControl w:val="0"/>
        <w:jc w:val="both"/>
        <w:rPr>
          <w:rFonts w:eastAsia="楷体" w:cs="Calibri"/>
          <w:b/>
          <w:bCs/>
          <w:kern w:val="2"/>
          <w:sz w:val="22"/>
          <w:szCs w:val="22"/>
          <w:lang w:eastAsia="zh-CN"/>
        </w:rPr>
      </w:pPr>
    </w:p>
    <w:tbl>
      <w:tblPr>
        <w:tblStyle w:val="15"/>
        <w:tblW w:w="768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53E40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41" w:hRule="atLeast"/>
        </w:trPr>
        <w:tc>
          <w:tcPr>
            <w:tcW w:w="7680" w:type="dxa"/>
            <w:tcBorders>
              <w:bottom w:val="nil"/>
            </w:tcBorders>
          </w:tcPr>
          <w:p w14:paraId="769F2F3C">
            <w:pPr>
              <w:widowControl w:val="0"/>
              <w:jc w:val="both"/>
              <w:rPr>
                <w:rFonts w:eastAsia="楷体" w:cs="Calibri"/>
                <w:b/>
                <w:bCs/>
                <w:kern w:val="2"/>
                <w:sz w:val="22"/>
                <w:szCs w:val="22"/>
                <w:lang w:eastAsia="zh-CN"/>
              </w:rPr>
            </w:pPr>
            <w:r>
              <w:rPr>
                <w:rFonts w:eastAsia="楷体" w:cs="Calibri"/>
                <w:b/>
                <w:bCs/>
                <w:kern w:val="2"/>
                <w:sz w:val="20"/>
                <w:szCs w:val="20"/>
                <w:lang w:eastAsia="zh-CN"/>
              </w:rPr>
              <w:t xml:space="preserve">Figure: Co-location data centre Capex split (excluding IT equipment) </w:t>
            </w:r>
          </w:p>
        </w:tc>
      </w:tr>
      <w:tr w14:paraId="4397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trPr>
        <w:tc>
          <w:tcPr>
            <w:tcW w:w="7680" w:type="dxa"/>
            <w:tcBorders>
              <w:top w:val="nil"/>
              <w:bottom w:val="nil"/>
            </w:tcBorders>
            <w:tcMar>
              <w:top w:w="28" w:type="dxa"/>
              <w:bottom w:w="28" w:type="dxa"/>
            </w:tcMar>
            <w:vAlign w:val="center"/>
          </w:tcPr>
          <w:p w14:paraId="6EB2273A">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4733290" cy="1548765"/>
                  <wp:effectExtent l="0" t="0" r="6350" b="5715"/>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28"/>
                          <a:stretch>
                            <a:fillRect/>
                          </a:stretch>
                        </pic:blipFill>
                        <pic:spPr>
                          <a:xfrm>
                            <a:off x="0" y="0"/>
                            <a:ext cx="4733290" cy="1548765"/>
                          </a:xfrm>
                          <a:prstGeom prst="rect">
                            <a:avLst/>
                          </a:prstGeom>
                          <a:noFill/>
                          <a:ln>
                            <a:noFill/>
                          </a:ln>
                        </pic:spPr>
                      </pic:pic>
                    </a:graphicData>
                  </a:graphic>
                </wp:inline>
              </w:drawing>
            </w:r>
          </w:p>
        </w:tc>
      </w:tr>
      <w:tr w14:paraId="5824E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trPr>
        <w:tc>
          <w:tcPr>
            <w:tcW w:w="7680" w:type="dxa"/>
            <w:tcBorders>
              <w:top w:val="nil"/>
            </w:tcBorders>
          </w:tcPr>
          <w:p w14:paraId="3016075A">
            <w:pPr>
              <w:widowControl w:val="0"/>
              <w:jc w:val="both"/>
              <w:rPr>
                <w:rFonts w:eastAsia="楷体" w:cs="Calibri"/>
                <w:b/>
                <w:bCs/>
                <w:kern w:val="2"/>
                <w:sz w:val="22"/>
                <w:szCs w:val="22"/>
                <w:lang w:eastAsia="zh-CN"/>
              </w:rPr>
            </w:pPr>
            <w:r>
              <w:rPr>
                <w:rFonts w:eastAsia="楷体" w:cs="Calibri"/>
                <w:kern w:val="2"/>
                <w:sz w:val="16"/>
                <w:szCs w:val="16"/>
                <w:lang w:eastAsia="zh-CN"/>
              </w:rPr>
              <w:t>Source:</w:t>
            </w:r>
            <w:r>
              <w:rPr>
                <w:rFonts w:hint="eastAsia" w:eastAsia="楷体" w:cs="Calibri"/>
                <w:kern w:val="2"/>
                <w:sz w:val="16"/>
                <w:szCs w:val="16"/>
                <w:lang w:eastAsia="zh-CN"/>
              </w:rPr>
              <w:t xml:space="preserve"> Digital Realty</w:t>
            </w:r>
            <w:r>
              <w:rPr>
                <w:rFonts w:eastAsia="楷体" w:cs="Calibri"/>
                <w:kern w:val="2"/>
                <w:sz w:val="16"/>
                <w:szCs w:val="16"/>
                <w:lang w:eastAsia="zh-CN"/>
              </w:rPr>
              <w:t>, HFI</w:t>
            </w:r>
          </w:p>
        </w:tc>
      </w:tr>
    </w:tbl>
    <w:p w14:paraId="344E6F44">
      <w:pPr>
        <w:widowControl w:val="0"/>
        <w:jc w:val="both"/>
        <w:rPr>
          <w:rFonts w:eastAsia="楷体" w:cs="Calibri"/>
          <w:b/>
          <w:bCs/>
          <w:iCs/>
          <w:snapToGrid/>
          <w:color w:val="23558C"/>
          <w:sz w:val="24"/>
          <w:szCs w:val="20"/>
          <w:lang w:eastAsia="zh-CN"/>
        </w:rPr>
      </w:pPr>
    </w:p>
    <w:p w14:paraId="57090D6C">
      <w:pPr>
        <w:pStyle w:val="3"/>
        <w:bidi w:val="0"/>
        <w:rPr>
          <w:rFonts w:ascii="Calibri" w:hAnsi="Calibri" w:eastAsia="楷体" w:cs="Calibri"/>
          <w:b/>
          <w:bCs/>
          <w:iCs/>
          <w:snapToGrid/>
          <w:color w:val="23558C"/>
          <w:sz w:val="24"/>
          <w:szCs w:val="20"/>
          <w:lang w:val="en-US" w:eastAsia="zh-CN" w:bidi="ar-SA"/>
        </w:rPr>
      </w:pPr>
      <w:bookmarkStart w:id="6" w:name="_Toc4848"/>
      <w:r>
        <w:rPr>
          <w:rFonts w:hint="eastAsia" w:ascii="Calibri" w:hAnsi="Calibri" w:eastAsia="楷体" w:cs="Calibri"/>
          <w:b/>
          <w:bCs/>
          <w:iCs/>
          <w:snapToGrid/>
          <w:color w:val="23558C"/>
          <w:sz w:val="24"/>
          <w:szCs w:val="20"/>
          <w:lang w:val="en-US" w:eastAsia="zh-CN" w:bidi="ar-SA"/>
        </w:rPr>
        <w:t>2.2 Powering AI: The power supply equipment system is crucial to AIDC</w:t>
      </w:r>
      <w:bookmarkEnd w:id="6"/>
    </w:p>
    <w:p w14:paraId="6EB35B45">
      <w:pPr>
        <w:widowControl w:val="0"/>
        <w:jc w:val="both"/>
        <w:rPr>
          <w:rFonts w:eastAsia="楷体" w:cs="Calibri"/>
          <w:b/>
          <w:bCs/>
          <w:kern w:val="2"/>
          <w:sz w:val="22"/>
          <w:szCs w:val="22"/>
          <w:lang w:val="zh-CN" w:eastAsia="zh-CN"/>
        </w:rPr>
      </w:pPr>
    </w:p>
    <w:p w14:paraId="0D6262E5">
      <w:pPr>
        <w:widowControl w:val="0"/>
        <w:jc w:val="both"/>
        <w:rPr>
          <w:rFonts w:hint="eastAsia" w:eastAsia="楷体" w:cs="Calibri"/>
          <w:b w:val="0"/>
          <w:bCs w:val="0"/>
          <w:kern w:val="2"/>
          <w:sz w:val="22"/>
          <w:szCs w:val="22"/>
          <w:lang w:val="zh-CN" w:eastAsia="zh-CN"/>
        </w:rPr>
      </w:pPr>
      <w:r>
        <w:rPr>
          <w:rFonts w:eastAsia="楷体" w:cs="Calibri"/>
          <w:b/>
          <w:bCs/>
          <w:kern w:val="2"/>
          <w:sz w:val="22"/>
          <w:szCs w:val="22"/>
          <w:lang w:val="zh-CN" w:eastAsia="zh-CN"/>
        </w:rPr>
        <w:t xml:space="preserve">Power is the lifeblood of AI, energizing the data centers that drive both intensive model training and real-time inference. </w:t>
      </w:r>
      <w:r>
        <w:rPr>
          <w:rFonts w:eastAsia="楷体" w:cs="Calibri"/>
          <w:b w:val="0"/>
          <w:bCs w:val="0"/>
          <w:kern w:val="2"/>
          <w:sz w:val="22"/>
          <w:szCs w:val="22"/>
          <w:lang w:val="zh-CN" w:eastAsia="zh-CN"/>
        </w:rPr>
        <w:t>The sheer scale of AI computation is staggering, requiring massive amounts of electricity to process the vast datasets essential for development and ongoing operations. This energy is channeled into high-density server clusters—dense groupings of high-performance chips—that demand a stable, dependable power source to ensure peak efficiency. Ultimately, a robust power supply system is the backbone of an AIDC, guaranteeing the uptime and consistency required for non-stop AI workloads</w:t>
      </w:r>
      <w:r>
        <w:rPr>
          <w:rFonts w:eastAsia="楷体" w:cs="Calibri"/>
          <w:b w:val="0"/>
          <w:bCs w:val="0"/>
          <w:kern w:val="2"/>
          <w:sz w:val="22"/>
          <w:szCs w:val="22"/>
          <w:lang w:eastAsia="zh-CN"/>
        </w:rPr>
        <w:t>.</w:t>
      </w:r>
    </w:p>
    <w:p w14:paraId="2B81A154">
      <w:pPr>
        <w:widowControl w:val="0"/>
        <w:jc w:val="both"/>
        <w:rPr>
          <w:rFonts w:eastAsia="楷体" w:cs="Calibri"/>
          <w:kern w:val="2"/>
          <w:sz w:val="22"/>
          <w:szCs w:val="22"/>
          <w:lang w:val="zh-CN" w:eastAsia="zh-CN"/>
        </w:rPr>
      </w:pPr>
    </w:p>
    <w:p w14:paraId="16596975">
      <w:pPr>
        <w:widowControl w:val="0"/>
        <w:jc w:val="both"/>
        <w:rPr>
          <w:rFonts w:eastAsia="楷体" w:cs="Calibri"/>
          <w:b w:val="0"/>
          <w:bCs w:val="0"/>
          <w:kern w:val="2"/>
          <w:sz w:val="22"/>
          <w:szCs w:val="22"/>
          <w:lang w:eastAsia="zh-CN"/>
        </w:rPr>
      </w:pPr>
      <w:r>
        <w:rPr>
          <w:rFonts w:hint="eastAsia" w:eastAsia="楷体" w:cs="Calibri"/>
          <w:b w:val="0"/>
          <w:bCs w:val="0"/>
          <w:kern w:val="2"/>
          <w:sz w:val="22"/>
          <w:szCs w:val="22"/>
          <w:lang w:val="zh-CN" w:eastAsia="zh-CN"/>
        </w:rPr>
        <w:t xml:space="preserve">In the </w:t>
      </w:r>
      <w:r>
        <w:rPr>
          <w:rFonts w:eastAsia="楷体" w:cs="Calibri"/>
          <w:b w:val="0"/>
          <w:bCs w:val="0"/>
          <w:kern w:val="2"/>
          <w:sz w:val="22"/>
          <w:szCs w:val="22"/>
          <w:lang w:eastAsia="zh-CN"/>
        </w:rPr>
        <w:t>conventional UPS-based power supply architecture</w:t>
      </w:r>
      <w:r>
        <w:rPr>
          <w:rFonts w:hint="eastAsia" w:eastAsia="楷体" w:cs="Calibri"/>
          <w:b w:val="0"/>
          <w:bCs w:val="0"/>
          <w:kern w:val="2"/>
          <w:sz w:val="22"/>
          <w:szCs w:val="22"/>
          <w:lang w:eastAsia="zh-CN"/>
        </w:rPr>
        <w:t xml:space="preserve"> </w:t>
      </w:r>
      <w:r>
        <w:rPr>
          <w:rFonts w:eastAsia="楷体" w:cs="Calibri"/>
          <w:b w:val="0"/>
          <w:bCs w:val="0"/>
          <w:kern w:val="2"/>
          <w:sz w:val="22"/>
          <w:szCs w:val="22"/>
          <w:lang w:val="zh-CN" w:eastAsia="zh-CN"/>
        </w:rPr>
        <w:t xml:space="preserve">of a </w:t>
      </w:r>
      <w:r>
        <w:rPr>
          <w:rFonts w:hint="eastAsia" w:eastAsia="楷体" w:cs="Calibri"/>
          <w:b w:val="0"/>
          <w:bCs w:val="0"/>
          <w:kern w:val="2"/>
          <w:sz w:val="22"/>
          <w:szCs w:val="22"/>
          <w:lang w:val="zh-CN" w:eastAsia="zh-CN"/>
        </w:rPr>
        <w:t>d</w:t>
      </w:r>
      <w:r>
        <w:rPr>
          <w:rFonts w:eastAsia="楷体" w:cs="Calibri"/>
          <w:b w:val="0"/>
          <w:bCs w:val="0"/>
          <w:kern w:val="2"/>
          <w:sz w:val="22"/>
          <w:szCs w:val="22"/>
          <w:lang w:val="zh-CN" w:eastAsia="zh-CN"/>
        </w:rPr>
        <w:t>ata</w:t>
      </w:r>
      <w:r>
        <w:rPr>
          <w:rFonts w:hint="eastAsia" w:eastAsia="楷体" w:cs="Calibri"/>
          <w:b w:val="0"/>
          <w:bCs w:val="0"/>
          <w:kern w:val="2"/>
          <w:sz w:val="22"/>
          <w:szCs w:val="22"/>
          <w:lang w:val="zh-CN" w:eastAsia="zh-CN"/>
        </w:rPr>
        <w:t xml:space="preserve"> </w:t>
      </w:r>
      <w:r>
        <w:rPr>
          <w:rFonts w:eastAsia="楷体" w:cs="Calibri"/>
          <w:b w:val="0"/>
          <w:bCs w:val="0"/>
          <w:kern w:val="2"/>
          <w:sz w:val="22"/>
          <w:szCs w:val="22"/>
          <w:lang w:val="zh-CN" w:eastAsia="zh-CN"/>
        </w:rPr>
        <w:t>center</w:t>
      </w:r>
      <w:r>
        <w:rPr>
          <w:rFonts w:hint="eastAsia" w:eastAsia="楷体" w:cs="Calibri"/>
          <w:b w:val="0"/>
          <w:bCs w:val="0"/>
          <w:kern w:val="2"/>
          <w:sz w:val="22"/>
          <w:szCs w:val="22"/>
          <w:lang w:val="zh-CN" w:eastAsia="zh-CN"/>
        </w:rPr>
        <w:t xml:space="preserve">, </w:t>
      </w:r>
      <w:r>
        <w:rPr>
          <w:rFonts w:eastAsia="楷体" w:cs="Calibri"/>
          <w:b w:val="0"/>
          <w:bCs w:val="0"/>
          <w:kern w:val="2"/>
          <w:sz w:val="22"/>
          <w:szCs w:val="22"/>
          <w:lang w:eastAsia="zh-CN"/>
        </w:rPr>
        <w:t>power follows the following path:</w:t>
      </w:r>
    </w:p>
    <w:p w14:paraId="77EF07DD">
      <w:pPr>
        <w:widowControl w:val="0"/>
        <w:jc w:val="both"/>
        <w:rPr>
          <w:rFonts w:eastAsia="楷体" w:cs="Calibri"/>
          <w:kern w:val="2"/>
          <w:sz w:val="22"/>
          <w:szCs w:val="22"/>
          <w:lang w:eastAsia="zh-CN"/>
        </w:rPr>
      </w:pPr>
    </w:p>
    <w:p w14:paraId="61D993A3">
      <w:pPr>
        <w:widowControl w:val="0"/>
        <w:jc w:val="both"/>
        <w:rPr>
          <w:rFonts w:hint="eastAsia" w:eastAsia="楷体" w:cs="Calibri"/>
          <w:kern w:val="2"/>
          <w:sz w:val="22"/>
          <w:szCs w:val="22"/>
          <w:lang w:eastAsia="zh-CN"/>
        </w:rPr>
      </w:pPr>
      <w:r>
        <w:rPr>
          <w:rFonts w:eastAsia="楷体" w:cs="Calibri"/>
          <w:kern w:val="2"/>
          <w:sz w:val="22"/>
          <w:szCs w:val="22"/>
          <w:lang w:eastAsia="zh-CN"/>
        </w:rPr>
        <w:t>From the outside-in</w:t>
      </w:r>
      <w:r>
        <w:rPr>
          <w:rFonts w:hint="eastAsia" w:eastAsia="楷体" w:cs="Calibri"/>
          <w:kern w:val="2"/>
          <w:sz w:val="22"/>
          <w:szCs w:val="22"/>
          <w:lang w:eastAsia="zh-CN"/>
        </w:rPr>
        <w:t xml:space="preserve">, the system functions to </w:t>
      </w:r>
      <w:r>
        <w:rPr>
          <w:rFonts w:eastAsia="楷体" w:cs="Calibri"/>
          <w:kern w:val="2"/>
          <w:sz w:val="22"/>
          <w:szCs w:val="22"/>
          <w:lang w:eastAsia="zh-CN"/>
        </w:rPr>
        <w:t xml:space="preserve">step down </w:t>
      </w:r>
      <w:r>
        <w:rPr>
          <w:rFonts w:hint="eastAsia" w:eastAsia="楷体" w:cs="Calibri"/>
          <w:kern w:val="2"/>
          <w:sz w:val="22"/>
          <w:szCs w:val="22"/>
          <w:lang w:eastAsia="zh-CN"/>
        </w:rPr>
        <w:t>the</w:t>
      </w:r>
      <w:r>
        <w:rPr>
          <w:rFonts w:eastAsia="楷体" w:cs="Calibri"/>
          <w:kern w:val="2"/>
          <w:sz w:val="22"/>
          <w:szCs w:val="22"/>
          <w:lang w:eastAsia="zh-CN"/>
        </w:rPr>
        <w:t xml:space="preserve"> voltage </w:t>
      </w:r>
      <w:r>
        <w:rPr>
          <w:rFonts w:hint="eastAsia" w:eastAsia="楷体" w:cs="Calibri"/>
          <w:kern w:val="2"/>
          <w:sz w:val="22"/>
          <w:szCs w:val="22"/>
          <w:lang w:eastAsia="zh-CN"/>
        </w:rPr>
        <w:t>from grid.</w:t>
      </w:r>
    </w:p>
    <w:p w14:paraId="08036499">
      <w:pPr>
        <w:widowControl w:val="0"/>
        <w:jc w:val="both"/>
        <w:rPr>
          <w:rFonts w:hint="eastAsia" w:eastAsia="楷体" w:cs="Calibri"/>
          <w:kern w:val="2"/>
          <w:sz w:val="22"/>
          <w:szCs w:val="22"/>
          <w:lang w:eastAsia="zh-CN"/>
        </w:rPr>
      </w:pPr>
    </w:p>
    <w:p w14:paraId="7583D5AD">
      <w:pPr>
        <w:pStyle w:val="30"/>
        <w:widowControl w:val="0"/>
        <w:numPr>
          <w:ilvl w:val="0"/>
          <w:numId w:val="12"/>
        </w:numPr>
        <w:jc w:val="both"/>
        <w:rPr>
          <w:rFonts w:eastAsia="楷体" w:cs="Calibri"/>
          <w:kern w:val="2"/>
          <w:sz w:val="22"/>
          <w:szCs w:val="22"/>
          <w:lang w:val="zh-CN" w:eastAsia="zh-CN"/>
        </w:rPr>
      </w:pPr>
      <w:r>
        <w:rPr>
          <w:rFonts w:eastAsia="楷体" w:cs="Calibri"/>
          <w:kern w:val="2"/>
          <w:sz w:val="22"/>
          <w:szCs w:val="22"/>
          <w:lang w:eastAsia="zh-CN"/>
        </w:rPr>
        <w:t>The utility delivers either High Voltage (&gt;100kV) or Medium Voltage power. In the former case, an on-site substation with power transformers is required to step it down to Medium Voltage (MV).</w:t>
      </w:r>
    </w:p>
    <w:p w14:paraId="4CCC2B7F">
      <w:pPr>
        <w:pStyle w:val="30"/>
        <w:numPr>
          <w:ilvl w:val="0"/>
          <w:numId w:val="12"/>
        </w:numPr>
        <w:jc w:val="both"/>
        <w:rPr>
          <w:rFonts w:eastAsia="楷体" w:cs="Calibri"/>
          <w:kern w:val="2"/>
          <w:sz w:val="22"/>
          <w:szCs w:val="22"/>
          <w:lang w:val="zh-CN" w:eastAsia="zh-CN"/>
        </w:rPr>
      </w:pPr>
      <w:r>
        <w:rPr>
          <w:rFonts w:eastAsia="楷体" w:cs="Calibri"/>
          <w:kern w:val="2"/>
          <w:sz w:val="22"/>
          <w:szCs w:val="22"/>
          <w:lang w:val="zh-CN" w:eastAsia="zh-CN"/>
        </w:rPr>
        <w:t>MV power will then be safely distributed using MV switchgear into another Transformer, physically near the data hall, stepping down voltage to Low Voltage (415V)</w:t>
      </w:r>
      <w:r>
        <w:rPr>
          <w:rFonts w:hint="eastAsia" w:eastAsia="楷体" w:cs="Calibri"/>
          <w:kern w:val="2"/>
          <w:sz w:val="22"/>
          <w:szCs w:val="22"/>
          <w:lang w:val="zh-CN" w:eastAsia="zh-CN"/>
        </w:rPr>
        <w:t xml:space="preserve"> (LV)</w:t>
      </w:r>
      <w:r>
        <w:rPr>
          <w:rFonts w:eastAsia="楷体" w:cs="Calibri"/>
          <w:kern w:val="2"/>
          <w:sz w:val="22"/>
          <w:szCs w:val="22"/>
          <w:lang w:val="zh-CN" w:eastAsia="zh-CN"/>
        </w:rPr>
        <w:t>.</w:t>
      </w:r>
    </w:p>
    <w:p w14:paraId="7F2DCACA">
      <w:pPr>
        <w:pStyle w:val="30"/>
        <w:numPr>
          <w:ilvl w:val="0"/>
          <w:numId w:val="12"/>
        </w:numPr>
        <w:jc w:val="both"/>
        <w:rPr>
          <w:rFonts w:eastAsia="楷体" w:cs="Calibri"/>
          <w:kern w:val="2"/>
          <w:sz w:val="22"/>
          <w:szCs w:val="22"/>
          <w:lang w:val="zh-CN" w:eastAsia="zh-CN"/>
        </w:rPr>
      </w:pPr>
      <w:r>
        <w:rPr>
          <w:rFonts w:eastAsia="楷体" w:cs="Calibri"/>
          <w:kern w:val="2"/>
          <w:sz w:val="22"/>
          <w:szCs w:val="22"/>
          <w:lang w:val="zh-CN" w:eastAsia="zh-CN"/>
        </w:rPr>
        <w:t xml:space="preserve">Paired with a transformer is a </w:t>
      </w:r>
      <w:r>
        <w:rPr>
          <w:rFonts w:hint="eastAsia" w:eastAsia="楷体" w:cs="Calibri"/>
          <w:kern w:val="2"/>
          <w:sz w:val="22"/>
          <w:szCs w:val="22"/>
          <w:lang w:val="zh-CN" w:eastAsia="zh-CN"/>
        </w:rPr>
        <w:t>LV</w:t>
      </w:r>
      <w:r>
        <w:rPr>
          <w:rFonts w:eastAsia="楷体" w:cs="Calibri"/>
          <w:kern w:val="2"/>
          <w:sz w:val="22"/>
          <w:szCs w:val="22"/>
          <w:lang w:val="zh-CN" w:eastAsia="zh-CN"/>
        </w:rPr>
        <w:t xml:space="preserve"> Generator that also outputs at 415V AC. If there is an outage from the electrical utility, an Auto Transfer Switch (ATS) will automatically switch power to the generator.</w:t>
      </w:r>
    </w:p>
    <w:p w14:paraId="5BD7D5BB">
      <w:pPr>
        <w:rPr>
          <w:rFonts w:eastAsia="楷体" w:cs="Calibri"/>
          <w:kern w:val="2"/>
          <w:sz w:val="22"/>
          <w:szCs w:val="22"/>
          <w:lang w:eastAsia="zh-CN"/>
        </w:rPr>
      </w:pPr>
      <w:r>
        <w:rPr>
          <w:rFonts w:eastAsia="楷体" w:cs="Calibri"/>
          <w:kern w:val="2"/>
          <w:sz w:val="22"/>
          <w:szCs w:val="22"/>
          <w:lang w:eastAsia="zh-CN"/>
        </w:rPr>
        <w:br w:type="page"/>
      </w:r>
    </w:p>
    <w:p w14:paraId="6F493949">
      <w:pPr>
        <w:widowControl w:val="0"/>
        <w:jc w:val="both"/>
        <w:rPr>
          <w:rFonts w:hint="eastAsia" w:eastAsia="楷体" w:cs="Calibri"/>
          <w:kern w:val="2"/>
          <w:sz w:val="22"/>
          <w:szCs w:val="22"/>
          <w:lang w:eastAsia="zh-CN"/>
        </w:rPr>
      </w:pPr>
      <w:r>
        <w:rPr>
          <w:rFonts w:hint="eastAsia" w:eastAsia="楷体" w:cs="Calibri"/>
          <w:kern w:val="2"/>
          <w:sz w:val="22"/>
          <w:szCs w:val="22"/>
          <w:lang w:eastAsia="zh-CN"/>
        </w:rPr>
        <w:t>T</w:t>
      </w:r>
      <w:r>
        <w:rPr>
          <w:rFonts w:eastAsia="楷体" w:cs="Calibri"/>
          <w:kern w:val="2"/>
          <w:sz w:val="22"/>
          <w:szCs w:val="22"/>
          <w:lang w:eastAsia="zh-CN"/>
        </w:rPr>
        <w:t>here are then two power paths: one towards the IT Equipment, and the other cooling equipment</w:t>
      </w:r>
      <w:r>
        <w:rPr>
          <w:rFonts w:hint="eastAsia" w:eastAsia="楷体" w:cs="Calibri"/>
          <w:kern w:val="2"/>
          <w:sz w:val="22"/>
          <w:szCs w:val="22"/>
          <w:lang w:eastAsia="zh-CN"/>
        </w:rPr>
        <w:t>.</w:t>
      </w:r>
    </w:p>
    <w:p w14:paraId="0F39AF0B">
      <w:pPr>
        <w:widowControl w:val="0"/>
        <w:jc w:val="both"/>
        <w:rPr>
          <w:rFonts w:hint="eastAsia" w:eastAsia="楷体" w:cs="Calibri"/>
          <w:kern w:val="2"/>
          <w:sz w:val="22"/>
          <w:szCs w:val="22"/>
          <w:lang w:eastAsia="zh-CN"/>
        </w:rPr>
      </w:pPr>
    </w:p>
    <w:p w14:paraId="4629BC8A">
      <w:pPr>
        <w:widowControl w:val="0"/>
        <w:numPr>
          <w:ilvl w:val="0"/>
          <w:numId w:val="13"/>
        </w:numPr>
        <w:jc w:val="both"/>
        <w:rPr>
          <w:rFonts w:eastAsia="楷体" w:cs="Calibri"/>
          <w:kern w:val="2"/>
          <w:sz w:val="22"/>
          <w:szCs w:val="22"/>
          <w:lang w:val="zh-CN" w:eastAsia="zh-CN"/>
        </w:rPr>
      </w:pPr>
      <w:r>
        <w:rPr>
          <w:rFonts w:eastAsia="楷体" w:cs="Calibri"/>
          <w:kern w:val="2"/>
          <w:sz w:val="22"/>
          <w:szCs w:val="22"/>
          <w:lang w:val="zh-CN" w:eastAsia="zh-CN"/>
        </w:rPr>
        <w:t>The IT Equipment path first flows through a UPS system</w:t>
      </w:r>
      <w:r>
        <w:rPr>
          <w:rFonts w:hint="eastAsia" w:eastAsia="楷体" w:cs="Calibri"/>
          <w:kern w:val="2"/>
          <w:sz w:val="22"/>
          <w:szCs w:val="22"/>
          <w:lang w:val="zh-CN" w:eastAsia="zh-CN"/>
        </w:rPr>
        <w:t xml:space="preserve"> </w:t>
      </w:r>
      <w:r>
        <w:rPr>
          <w:rFonts w:eastAsia="楷体" w:cs="Calibri"/>
          <w:kern w:val="2"/>
          <w:sz w:val="22"/>
          <w:szCs w:val="22"/>
          <w:lang w:val="zh-CN" w:eastAsia="zh-CN"/>
        </w:rPr>
        <w:t>connected to a bank of batteries: it is common to have 5-10</w:t>
      </w:r>
      <w:r>
        <w:rPr>
          <w:rFonts w:hint="eastAsia" w:eastAsia="楷体" w:cs="Calibri"/>
          <w:kern w:val="2"/>
          <w:sz w:val="22"/>
          <w:szCs w:val="22"/>
          <w:lang w:val="en-US" w:eastAsia="zh-CN"/>
        </w:rPr>
        <w:t xml:space="preserve"> </w:t>
      </w:r>
      <w:r>
        <w:rPr>
          <w:rFonts w:eastAsia="楷体" w:cs="Calibri"/>
          <w:kern w:val="2"/>
          <w:sz w:val="22"/>
          <w:szCs w:val="22"/>
          <w:lang w:val="zh-CN" w:eastAsia="zh-CN"/>
        </w:rPr>
        <w:t>min of battery storage, enough time for the generators to turn on (within a minute) and avoid a temporary outage.</w:t>
      </w:r>
    </w:p>
    <w:p w14:paraId="471677DB">
      <w:pPr>
        <w:widowControl w:val="0"/>
        <w:numPr>
          <w:ilvl w:val="0"/>
          <w:numId w:val="0"/>
        </w:numPr>
        <w:ind w:left="360" w:leftChars="0"/>
        <w:jc w:val="both"/>
        <w:rPr>
          <w:rFonts w:eastAsia="楷体" w:cs="Calibri"/>
          <w:kern w:val="2"/>
          <w:sz w:val="22"/>
          <w:szCs w:val="22"/>
          <w:lang w:val="zh-CN" w:eastAsia="zh-CN"/>
        </w:rPr>
      </w:pPr>
    </w:p>
    <w:tbl>
      <w:tblPr>
        <w:tblStyle w:val="15"/>
        <w:tblW w:w="7680"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80"/>
      </w:tblGrid>
      <w:tr w14:paraId="76478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jc w:val="right"/>
        </w:trPr>
        <w:tc>
          <w:tcPr>
            <w:tcW w:w="7680" w:type="dxa"/>
            <w:tcBorders>
              <w:bottom w:val="nil"/>
            </w:tcBorders>
          </w:tcPr>
          <w:p w14:paraId="63743A5F">
            <w:pPr>
              <w:widowControl w:val="0"/>
              <w:jc w:val="both"/>
              <w:rPr>
                <w:rFonts w:eastAsia="楷体" w:cs="Calibri"/>
                <w:b/>
                <w:bCs/>
                <w:kern w:val="2"/>
                <w:sz w:val="20"/>
                <w:szCs w:val="20"/>
                <w:lang w:eastAsia="zh-CN"/>
              </w:rPr>
            </w:pPr>
            <w:r>
              <w:rPr>
                <w:rFonts w:eastAsia="楷体" w:cs="Calibri"/>
                <w:b/>
                <w:bCs/>
                <w:kern w:val="2"/>
                <w:sz w:val="20"/>
                <w:szCs w:val="20"/>
                <w:lang w:eastAsia="zh-CN"/>
              </w:rPr>
              <w:t>Figure: A simplified illustration of electric flow in a typical data center</w:t>
            </w:r>
          </w:p>
        </w:tc>
      </w:tr>
      <w:tr w14:paraId="7F2E1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9" w:hRule="atLeast"/>
          <w:jc w:val="right"/>
        </w:trPr>
        <w:tc>
          <w:tcPr>
            <w:tcW w:w="7680" w:type="dxa"/>
            <w:tcBorders>
              <w:top w:val="nil"/>
              <w:bottom w:val="nil"/>
            </w:tcBorders>
            <w:tcMar>
              <w:top w:w="28" w:type="dxa"/>
              <w:bottom w:w="28" w:type="dxa"/>
            </w:tcMar>
            <w:vAlign w:val="center"/>
          </w:tcPr>
          <w:p w14:paraId="19D416AF">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0" distR="0">
                  <wp:extent cx="4540250" cy="3402965"/>
                  <wp:effectExtent l="0" t="0" r="1270" b="10795"/>
                  <wp:docPr id="62275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3094" name="Picture 1"/>
                          <pic:cNvPicPr>
                            <a:picLocks noChangeAspect="1"/>
                          </pic:cNvPicPr>
                        </pic:nvPicPr>
                        <pic:blipFill>
                          <a:blip r:embed="rId29"/>
                          <a:stretch>
                            <a:fillRect/>
                          </a:stretch>
                        </pic:blipFill>
                        <pic:spPr>
                          <a:xfrm>
                            <a:off x="0" y="0"/>
                            <a:ext cx="4597062" cy="3445266"/>
                          </a:xfrm>
                          <a:prstGeom prst="rect">
                            <a:avLst/>
                          </a:prstGeom>
                        </pic:spPr>
                      </pic:pic>
                    </a:graphicData>
                  </a:graphic>
                </wp:inline>
              </w:drawing>
            </w:r>
          </w:p>
        </w:tc>
      </w:tr>
      <w:tr w14:paraId="5D947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 w:hRule="atLeast"/>
          <w:jc w:val="right"/>
        </w:trPr>
        <w:tc>
          <w:tcPr>
            <w:tcW w:w="7680" w:type="dxa"/>
            <w:tcBorders>
              <w:top w:val="nil"/>
            </w:tcBorders>
          </w:tcPr>
          <w:p w14:paraId="571B6D4F">
            <w:pPr>
              <w:widowControl w:val="0"/>
              <w:jc w:val="both"/>
              <w:rPr>
                <w:rFonts w:eastAsia="楷体" w:cs="Calibri"/>
                <w:b/>
                <w:bCs/>
                <w:kern w:val="2"/>
                <w:sz w:val="22"/>
                <w:szCs w:val="22"/>
                <w:lang w:eastAsia="zh-CN"/>
              </w:rPr>
            </w:pPr>
            <w:r>
              <w:rPr>
                <w:rFonts w:eastAsia="楷体" w:cs="Calibri"/>
                <w:kern w:val="2"/>
                <w:sz w:val="16"/>
                <w:szCs w:val="16"/>
                <w:lang w:eastAsia="zh-CN"/>
              </w:rPr>
              <w:t>Source:</w:t>
            </w:r>
            <w:r>
              <w:rPr>
                <w:rFonts w:hint="eastAsia" w:eastAsia="楷体" w:cs="Calibri"/>
                <w:kern w:val="2"/>
                <w:sz w:val="16"/>
                <w:szCs w:val="16"/>
                <w:lang w:eastAsia="zh-CN"/>
              </w:rPr>
              <w:t xml:space="preserve"> </w:t>
            </w:r>
            <w:r>
              <w:rPr>
                <w:rFonts w:eastAsia="楷体" w:cs="Calibri"/>
                <w:kern w:val="2"/>
                <w:sz w:val="16"/>
                <w:szCs w:val="16"/>
                <w:lang w:eastAsia="zh-CN"/>
              </w:rPr>
              <w:t>HFI</w:t>
            </w:r>
          </w:p>
        </w:tc>
      </w:tr>
    </w:tbl>
    <w:p w14:paraId="25BF4E6C">
      <w:pPr>
        <w:widowControl w:val="0"/>
        <w:numPr>
          <w:ilvl w:val="0"/>
          <w:numId w:val="0"/>
        </w:numPr>
        <w:jc w:val="both"/>
        <w:rPr>
          <w:rFonts w:eastAsia="楷体" w:cs="Calibri"/>
          <w:kern w:val="2"/>
          <w:sz w:val="22"/>
          <w:szCs w:val="22"/>
          <w:lang w:val="zh-CN" w:eastAsia="zh-CN"/>
        </w:rPr>
      </w:pPr>
    </w:p>
    <w:p w14:paraId="4DA8B3AA">
      <w:pPr>
        <w:pStyle w:val="30"/>
        <w:numPr>
          <w:ilvl w:val="0"/>
          <w:numId w:val="13"/>
        </w:numPr>
        <w:jc w:val="both"/>
        <w:rPr>
          <w:rFonts w:eastAsia="楷体" w:cs="Calibri"/>
          <w:kern w:val="2"/>
          <w:sz w:val="22"/>
          <w:szCs w:val="22"/>
          <w:lang w:val="zh-CN" w:eastAsia="zh-CN"/>
        </w:rPr>
      </w:pPr>
      <w:r>
        <w:rPr>
          <w:rFonts w:eastAsia="楷体" w:cs="Calibri"/>
          <w:kern w:val="2"/>
          <w:sz w:val="22"/>
          <w:szCs w:val="22"/>
          <w:lang w:val="zh-CN" w:eastAsia="zh-CN"/>
        </w:rPr>
        <w:t>The “UPS Power” is then supplied directly to IT Equipment, generally via Power Distribution Units (PDUs).</w:t>
      </w:r>
    </w:p>
    <w:p w14:paraId="65F6F1D7">
      <w:pPr>
        <w:pStyle w:val="30"/>
        <w:numPr>
          <w:ilvl w:val="0"/>
          <w:numId w:val="0"/>
        </w:numPr>
        <w:ind w:left="360" w:leftChars="0"/>
        <w:rPr>
          <w:rFonts w:eastAsia="楷体" w:cs="Calibri"/>
          <w:kern w:val="2"/>
          <w:sz w:val="22"/>
          <w:szCs w:val="22"/>
          <w:lang w:val="zh-CN" w:eastAsia="zh-CN"/>
        </w:rPr>
      </w:pPr>
    </w:p>
    <w:p w14:paraId="76121FC5">
      <w:pPr>
        <w:widowControl w:val="0"/>
        <w:numPr>
          <w:ilvl w:val="0"/>
          <w:numId w:val="13"/>
        </w:numPr>
        <w:jc w:val="both"/>
        <w:rPr>
          <w:rFonts w:eastAsia="楷体" w:cs="Calibri"/>
          <w:kern w:val="2"/>
          <w:sz w:val="22"/>
          <w:szCs w:val="22"/>
          <w:lang w:val="zh-CN" w:eastAsia="zh-CN"/>
        </w:rPr>
      </w:pPr>
      <w:r>
        <w:rPr>
          <w:rFonts w:eastAsia="楷体" w:cs="Calibri"/>
          <w:kern w:val="2"/>
          <w:sz w:val="22"/>
          <w:szCs w:val="22"/>
          <w:lang w:eastAsia="zh-CN"/>
        </w:rPr>
        <w:t>The last step is delivering electricity to the chip, via Power Supply Units (PSU) and Voltage Regulator Modules (VRM)</w:t>
      </w:r>
    </w:p>
    <w:p w14:paraId="5E5A4749">
      <w:pPr>
        <w:widowControl w:val="0"/>
        <w:jc w:val="both"/>
        <w:rPr>
          <w:rFonts w:hint="eastAsia" w:eastAsia="楷体" w:cs="Calibri"/>
          <w:kern w:val="2"/>
          <w:sz w:val="22"/>
          <w:szCs w:val="22"/>
          <w:lang w:val="zh-CN" w:eastAsia="zh-CN"/>
        </w:rPr>
      </w:pPr>
    </w:p>
    <w:p w14:paraId="60E2A51B">
      <w:pPr>
        <w:widowControl w:val="0"/>
        <w:jc w:val="both"/>
        <w:rPr>
          <w:rFonts w:eastAsia="楷体" w:cs="Calibri"/>
          <w:kern w:val="2"/>
          <w:sz w:val="22"/>
          <w:szCs w:val="22"/>
          <w:lang w:val="zh-CN" w:eastAsia="zh-CN"/>
        </w:rPr>
      </w:pPr>
    </w:p>
    <w:p w14:paraId="20C98DC5">
      <w:pPr>
        <w:widowControl w:val="0"/>
        <w:jc w:val="both"/>
        <w:rPr>
          <w:rFonts w:eastAsia="楷体" w:cs="Calibri"/>
          <w:kern w:val="2"/>
          <w:sz w:val="22"/>
          <w:szCs w:val="22"/>
          <w:lang w:val="zh-CN" w:eastAsia="zh-CN"/>
        </w:rPr>
      </w:pPr>
    </w:p>
    <w:p w14:paraId="3B24EC1A">
      <w:pPr>
        <w:widowControl w:val="0"/>
        <w:jc w:val="both"/>
        <w:rPr>
          <w:rFonts w:eastAsia="楷体" w:cs="Calibri"/>
          <w:kern w:val="2"/>
          <w:sz w:val="22"/>
          <w:szCs w:val="22"/>
          <w:lang w:val="zh-CN" w:eastAsia="zh-CN"/>
        </w:rPr>
      </w:pPr>
    </w:p>
    <w:p w14:paraId="7AD0BD32">
      <w:pPr>
        <w:widowControl w:val="0"/>
        <w:jc w:val="both"/>
        <w:rPr>
          <w:rFonts w:eastAsia="楷体" w:cs="Calibri"/>
          <w:kern w:val="2"/>
          <w:sz w:val="22"/>
          <w:szCs w:val="22"/>
          <w:lang w:val="zh-CN" w:eastAsia="zh-CN"/>
        </w:rPr>
      </w:pPr>
    </w:p>
    <w:p w14:paraId="5272CDB6">
      <w:pPr>
        <w:widowControl w:val="0"/>
        <w:jc w:val="both"/>
        <w:rPr>
          <w:rFonts w:eastAsia="楷体" w:cs="Calibri"/>
          <w:kern w:val="2"/>
          <w:sz w:val="22"/>
          <w:szCs w:val="22"/>
          <w:lang w:val="zh-CN" w:eastAsia="zh-CN"/>
        </w:rPr>
      </w:pPr>
    </w:p>
    <w:p w14:paraId="05800C1D">
      <w:pPr>
        <w:widowControl w:val="0"/>
        <w:jc w:val="both"/>
        <w:rPr>
          <w:rFonts w:eastAsia="楷体" w:cs="Calibri"/>
          <w:kern w:val="2"/>
          <w:sz w:val="22"/>
          <w:szCs w:val="22"/>
          <w:lang w:val="zh-CN" w:eastAsia="zh-CN"/>
        </w:rPr>
      </w:pPr>
    </w:p>
    <w:p w14:paraId="6857EF86">
      <w:pPr>
        <w:widowControl w:val="0"/>
        <w:jc w:val="both"/>
        <w:rPr>
          <w:rFonts w:eastAsia="楷体" w:cs="Calibri"/>
          <w:kern w:val="2"/>
          <w:sz w:val="22"/>
          <w:szCs w:val="22"/>
          <w:lang w:val="zh-CN" w:eastAsia="zh-CN"/>
        </w:rPr>
      </w:pPr>
    </w:p>
    <w:p w14:paraId="73C233F9">
      <w:pPr>
        <w:widowControl w:val="0"/>
        <w:jc w:val="both"/>
        <w:rPr>
          <w:rFonts w:eastAsia="楷体" w:cs="Calibri"/>
          <w:kern w:val="2"/>
          <w:sz w:val="22"/>
          <w:szCs w:val="22"/>
          <w:lang w:val="zh-CN" w:eastAsia="zh-CN"/>
        </w:rPr>
      </w:pPr>
    </w:p>
    <w:p w14:paraId="331CC884">
      <w:pPr>
        <w:widowControl w:val="0"/>
        <w:jc w:val="both"/>
        <w:rPr>
          <w:rFonts w:eastAsia="楷体" w:cs="Calibri"/>
          <w:kern w:val="2"/>
          <w:sz w:val="22"/>
          <w:szCs w:val="22"/>
          <w:lang w:val="zh-CN" w:eastAsia="zh-CN"/>
        </w:rPr>
      </w:pPr>
    </w:p>
    <w:p w14:paraId="4D8C2A3B">
      <w:pPr>
        <w:widowControl w:val="0"/>
        <w:jc w:val="both"/>
        <w:rPr>
          <w:rFonts w:eastAsia="楷体" w:cs="Calibri"/>
          <w:kern w:val="2"/>
          <w:sz w:val="22"/>
          <w:szCs w:val="22"/>
          <w:lang w:val="zh-CN" w:eastAsia="zh-CN"/>
        </w:rPr>
      </w:pPr>
    </w:p>
    <w:p w14:paraId="2471E549">
      <w:pPr>
        <w:widowControl w:val="0"/>
        <w:jc w:val="both"/>
        <w:rPr>
          <w:rFonts w:eastAsia="楷体" w:cs="Calibri"/>
          <w:kern w:val="2"/>
          <w:sz w:val="22"/>
          <w:szCs w:val="22"/>
          <w:lang w:val="zh-CN" w:eastAsia="zh-CN"/>
        </w:rPr>
      </w:pPr>
    </w:p>
    <w:p w14:paraId="5E213999">
      <w:pPr>
        <w:widowControl w:val="0"/>
        <w:jc w:val="both"/>
        <w:rPr>
          <w:rFonts w:eastAsia="楷体" w:cs="Calibri"/>
          <w:kern w:val="2"/>
          <w:sz w:val="22"/>
          <w:szCs w:val="22"/>
          <w:lang w:val="zh-CN" w:eastAsia="zh-CN"/>
        </w:rPr>
      </w:pPr>
    </w:p>
    <w:p w14:paraId="6D563323">
      <w:pPr>
        <w:widowControl w:val="0"/>
        <w:jc w:val="both"/>
        <w:rPr>
          <w:rFonts w:eastAsia="楷体" w:cs="Calibri"/>
          <w:kern w:val="2"/>
          <w:sz w:val="22"/>
          <w:szCs w:val="22"/>
          <w:lang w:val="zh-CN" w:eastAsia="zh-CN"/>
        </w:rPr>
      </w:pPr>
    </w:p>
    <w:tbl>
      <w:tblPr>
        <w:tblStyle w:val="15"/>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5EBA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00089FEB">
            <w:pPr>
              <w:widowControl w:val="0"/>
              <w:jc w:val="both"/>
              <w:rPr>
                <w:rFonts w:hint="eastAsia" w:eastAsia="楷体" w:cs="Calibri"/>
                <w:b/>
                <w:bCs/>
                <w:kern w:val="2"/>
                <w:sz w:val="22"/>
                <w:szCs w:val="22"/>
                <w:lang w:eastAsia="zh-CN"/>
              </w:rPr>
            </w:pPr>
            <w:r>
              <w:rPr>
                <w:rFonts w:eastAsia="楷体" w:cs="Calibri"/>
                <w:b/>
                <w:bCs/>
                <w:kern w:val="2"/>
                <w:sz w:val="20"/>
                <w:szCs w:val="20"/>
                <w:lang w:eastAsia="zh-CN"/>
              </w:rPr>
              <w:t xml:space="preserve">Figure: Uninterrupted power supply and power distribution in the </w:t>
            </w:r>
            <w:r>
              <w:rPr>
                <w:rFonts w:eastAsia="楷体" w:cs="Calibri"/>
                <w:b/>
                <w:bCs/>
                <w:kern w:val="2"/>
                <w:sz w:val="22"/>
                <w:szCs w:val="22"/>
                <w:lang w:eastAsia="zh-CN"/>
              </w:rPr>
              <w:t>power supply architecture</w:t>
            </w:r>
          </w:p>
        </w:tc>
      </w:tr>
      <w:tr w14:paraId="7E9E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1BE6C19D">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0" distR="0">
                  <wp:extent cx="6343650" cy="3288030"/>
                  <wp:effectExtent l="0" t="0" r="0" b="7620"/>
                  <wp:docPr id="111055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50980" name="Picture 1"/>
                          <pic:cNvPicPr>
                            <a:picLocks noChangeAspect="1"/>
                          </pic:cNvPicPr>
                        </pic:nvPicPr>
                        <pic:blipFill>
                          <a:blip r:embed="rId30"/>
                          <a:stretch>
                            <a:fillRect/>
                          </a:stretch>
                        </pic:blipFill>
                        <pic:spPr>
                          <a:xfrm>
                            <a:off x="0" y="0"/>
                            <a:ext cx="6343650" cy="3288030"/>
                          </a:xfrm>
                          <a:prstGeom prst="rect">
                            <a:avLst/>
                          </a:prstGeom>
                        </pic:spPr>
                      </pic:pic>
                    </a:graphicData>
                  </a:graphic>
                </wp:inline>
              </w:drawing>
            </w:r>
          </w:p>
        </w:tc>
      </w:tr>
      <w:tr w14:paraId="6E690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nil"/>
            </w:tcBorders>
          </w:tcPr>
          <w:p w14:paraId="1DC374EB">
            <w:pPr>
              <w:widowControl w:val="0"/>
              <w:jc w:val="both"/>
              <w:rPr>
                <w:rFonts w:eastAsia="楷体" w:cs="Calibri"/>
                <w:b/>
                <w:bCs/>
                <w:kern w:val="2"/>
                <w:sz w:val="22"/>
                <w:szCs w:val="22"/>
                <w:lang w:eastAsia="zh-CN"/>
              </w:rPr>
            </w:pPr>
            <w:r>
              <w:rPr>
                <w:rFonts w:eastAsia="楷体" w:cs="Calibri"/>
                <w:kern w:val="2"/>
                <w:sz w:val="16"/>
                <w:szCs w:val="16"/>
                <w:lang w:eastAsia="zh-CN"/>
              </w:rPr>
              <w:t xml:space="preserve">Source: </w:t>
            </w:r>
            <w:r>
              <w:rPr>
                <w:rFonts w:hint="eastAsia" w:eastAsia="楷体" w:cs="Calibri"/>
                <w:kern w:val="2"/>
                <w:sz w:val="16"/>
                <w:szCs w:val="16"/>
                <w:lang w:val="en-US" w:eastAsia="zh-CN"/>
              </w:rPr>
              <w:t xml:space="preserve">Vertiv, </w:t>
            </w:r>
            <w:r>
              <w:rPr>
                <w:rFonts w:eastAsia="楷体" w:cs="Calibri"/>
                <w:kern w:val="2"/>
                <w:sz w:val="16"/>
                <w:szCs w:val="16"/>
                <w:lang w:eastAsia="zh-CN"/>
              </w:rPr>
              <w:t>HFI</w:t>
            </w:r>
          </w:p>
        </w:tc>
      </w:tr>
    </w:tbl>
    <w:p w14:paraId="7C91CA3E">
      <w:pPr>
        <w:widowControl w:val="0"/>
        <w:jc w:val="both"/>
        <w:rPr>
          <w:rFonts w:eastAsia="楷体" w:cs="Calibri"/>
          <w:b/>
          <w:bCs/>
          <w:kern w:val="2"/>
          <w:sz w:val="22"/>
          <w:szCs w:val="22"/>
          <w:lang w:eastAsia="zh-CN"/>
        </w:rPr>
      </w:pPr>
    </w:p>
    <w:p w14:paraId="1154D974">
      <w:pPr>
        <w:widowControl w:val="0"/>
        <w:jc w:val="both"/>
        <w:rPr>
          <w:rFonts w:eastAsia="楷体" w:cs="Calibri"/>
          <w:kern w:val="2"/>
          <w:sz w:val="22"/>
          <w:szCs w:val="22"/>
          <w:lang w:eastAsia="zh-CN"/>
        </w:rPr>
      </w:pPr>
      <w:r>
        <w:rPr>
          <w:rFonts w:eastAsia="楷体" w:cs="Calibri"/>
          <w:b/>
          <w:bCs/>
          <w:kern w:val="2"/>
          <w:sz w:val="22"/>
          <w:szCs w:val="22"/>
          <w:lang w:eastAsia="zh-CN"/>
        </w:rPr>
        <w:t>Compared with traditional data centers</w:t>
      </w:r>
      <w:r>
        <w:rPr>
          <w:rFonts w:hint="eastAsia" w:eastAsia="楷体" w:cs="Calibri"/>
          <w:b/>
          <w:bCs/>
          <w:kern w:val="2"/>
          <w:sz w:val="22"/>
          <w:szCs w:val="22"/>
          <w:lang w:eastAsia="zh-CN"/>
        </w:rPr>
        <w:t xml:space="preserve">, the </w:t>
      </w:r>
      <w:r>
        <w:rPr>
          <w:rFonts w:eastAsia="楷体" w:cs="Calibri"/>
          <w:b/>
          <w:bCs/>
          <w:kern w:val="2"/>
          <w:sz w:val="22"/>
          <w:szCs w:val="22"/>
          <w:lang w:eastAsia="zh-CN"/>
        </w:rPr>
        <w:t xml:space="preserve">fast-growing power </w:t>
      </w:r>
      <w:r>
        <w:rPr>
          <w:rFonts w:hint="eastAsia" w:eastAsia="楷体" w:cs="Calibri"/>
          <w:b/>
          <w:bCs/>
          <w:kern w:val="2"/>
          <w:sz w:val="22"/>
          <w:szCs w:val="22"/>
          <w:lang w:eastAsia="zh-CN"/>
        </w:rPr>
        <w:t>density</w:t>
      </w:r>
      <w:r>
        <w:rPr>
          <w:rFonts w:eastAsia="楷体" w:cs="Calibri"/>
          <w:b/>
          <w:bCs/>
          <w:kern w:val="2"/>
          <w:sz w:val="22"/>
          <w:szCs w:val="22"/>
          <w:lang w:eastAsia="zh-CN"/>
        </w:rPr>
        <w:t xml:space="preserve"> of AIDC</w:t>
      </w:r>
      <w:r>
        <w:rPr>
          <w:rFonts w:hint="eastAsia" w:eastAsia="楷体" w:cs="Calibri"/>
          <w:b/>
          <w:bCs/>
          <w:kern w:val="2"/>
          <w:sz w:val="22"/>
          <w:szCs w:val="22"/>
          <w:lang w:eastAsia="zh-CN"/>
        </w:rPr>
        <w:t>s</w:t>
      </w:r>
      <w:r>
        <w:rPr>
          <w:rFonts w:eastAsia="楷体" w:cs="Calibri"/>
          <w:b/>
          <w:bCs/>
          <w:kern w:val="2"/>
          <w:sz w:val="22"/>
          <w:szCs w:val="22"/>
          <w:lang w:eastAsia="zh-CN"/>
        </w:rPr>
        <w:t xml:space="preserve"> has brought increasing demand for power supply systems</w:t>
      </w:r>
      <w:r>
        <w:rPr>
          <w:rFonts w:hint="eastAsia" w:eastAsia="楷体" w:cs="Calibri"/>
          <w:b/>
          <w:bCs/>
          <w:kern w:val="2"/>
          <w:sz w:val="22"/>
          <w:szCs w:val="22"/>
          <w:lang w:eastAsia="zh-CN"/>
        </w:rPr>
        <w:t xml:space="preserve">, </w:t>
      </w:r>
      <w:r>
        <w:rPr>
          <w:rFonts w:eastAsia="楷体" w:cs="Calibri"/>
          <w:b/>
          <w:bCs/>
          <w:kern w:val="2"/>
          <w:sz w:val="22"/>
          <w:szCs w:val="22"/>
          <w:lang w:eastAsia="zh-CN"/>
        </w:rPr>
        <w:t>requir</w:t>
      </w:r>
      <w:r>
        <w:rPr>
          <w:rFonts w:hint="eastAsia" w:eastAsia="楷体" w:cs="Calibri"/>
          <w:b/>
          <w:bCs/>
          <w:kern w:val="2"/>
          <w:sz w:val="22"/>
          <w:szCs w:val="22"/>
          <w:lang w:eastAsia="zh-CN"/>
        </w:rPr>
        <w:t>ing</w:t>
      </w:r>
      <w:r>
        <w:rPr>
          <w:rFonts w:eastAsia="楷体" w:cs="Calibri"/>
          <w:b/>
          <w:bCs/>
          <w:kern w:val="2"/>
          <w:sz w:val="22"/>
          <w:szCs w:val="22"/>
          <w:lang w:eastAsia="zh-CN"/>
        </w:rPr>
        <w:t xml:space="preserve"> higher capacity switchgear, power distribution, UPS systems, and standby power to serve as a robust backbone for the entire power train</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Unlike traditional cloud data centers, which typically consume 10–50 MW, modern AI clusters demand far more intensive energy footprints. A single AI training cluster can now exceed 100</w:t>
      </w:r>
      <w:r>
        <w:rPr>
          <w:rFonts w:hint="eastAsia" w:eastAsia="楷体" w:cs="Calibri"/>
          <w:kern w:val="2"/>
          <w:sz w:val="22"/>
          <w:szCs w:val="22"/>
          <w:lang w:eastAsia="zh-CN"/>
        </w:rPr>
        <w:t xml:space="preserve"> </w:t>
      </w:r>
      <w:r>
        <w:rPr>
          <w:rFonts w:eastAsia="楷体" w:cs="Calibri"/>
          <w:kern w:val="2"/>
          <w:sz w:val="22"/>
          <w:szCs w:val="22"/>
          <w:lang w:eastAsia="zh-CN"/>
        </w:rPr>
        <w:t>MW, with next-generation facilities approaching or surpassing 200 MW</w:t>
      </w:r>
      <w:r>
        <w:rPr>
          <w:rFonts w:hint="eastAsia" w:eastAsia="楷体" w:cs="Calibri"/>
          <w:kern w:val="2"/>
          <w:sz w:val="22"/>
          <w:szCs w:val="22"/>
          <w:lang w:eastAsia="zh-CN"/>
        </w:rPr>
        <w:t xml:space="preserve"> </w:t>
      </w:r>
      <w:r>
        <w:rPr>
          <w:rFonts w:eastAsia="楷体" w:cs="Calibri"/>
          <w:kern w:val="2"/>
          <w:sz w:val="22"/>
          <w:szCs w:val="22"/>
          <w:lang w:val="zh-CN"/>
        </w:rPr>
        <w:t>(and some planned at gigawatt scale)</w:t>
      </w:r>
      <w:r>
        <w:rPr>
          <w:rFonts w:eastAsia="楷体" w:cs="Calibri"/>
          <w:kern w:val="2"/>
          <w:sz w:val="22"/>
          <w:szCs w:val="22"/>
          <w:lang w:eastAsia="zh-CN"/>
        </w:rPr>
        <w:t>.</w:t>
      </w:r>
    </w:p>
    <w:p w14:paraId="7F26FC39">
      <w:pPr>
        <w:widowControl w:val="0"/>
        <w:jc w:val="both"/>
        <w:rPr>
          <w:rFonts w:eastAsia="楷体" w:cs="Calibri"/>
          <w:kern w:val="2"/>
          <w:sz w:val="22"/>
          <w:szCs w:val="22"/>
          <w:lang w:eastAsia="zh-CN"/>
        </w:rPr>
      </w:pPr>
    </w:p>
    <w:p w14:paraId="5D8903FB">
      <w:pPr>
        <w:widowControl w:val="0"/>
        <w:jc w:val="both"/>
        <w:rPr>
          <w:rFonts w:hint="eastAsia" w:eastAsia="楷体" w:cs="Calibri"/>
          <w:kern w:val="2"/>
          <w:sz w:val="22"/>
          <w:szCs w:val="22"/>
          <w:lang w:eastAsia="zh-CN"/>
        </w:rPr>
      </w:pPr>
      <w:r>
        <w:rPr>
          <w:rFonts w:hint="eastAsia" w:eastAsia="楷体" w:cs="Calibri"/>
          <w:kern w:val="2"/>
          <w:sz w:val="22"/>
          <w:szCs w:val="22"/>
          <w:lang w:eastAsia="zh-CN"/>
        </w:rPr>
        <w:t>This surge is first driven by chip-level power demand. Taking NVIDIA as an example, since the 2014 launch of the Titan X, the first dedicated AI computing card under the Maxwell architecture, to the R100 and R200 GPUs within the latest Vera Rubin architecture, the power consumption of a single GPU chip has escalated from 250W to over 1,000W for Blackwell B200 units, reaching up to 1,800W–2,300W for the next-generation Rubin series. This has been further pushed to 3,600W and beyond through advanced multi-die and dual-chip superchip designs. At the rack level, the escalation is even more dramatic. NVIDIA’s GB200 NVL72 platform represents a paradigm shift in rack-scale computing, specifically engineered for Blackwell GPUs. By integrating 72 GPUs and 36 Grace CPUs into a single NVLink domain, the system enables 13.5TB of unified HBM3e memory. This density drives rack-level power requirements to 132kW nominal, with electrical peak demands (EDPp) reaching 192kW. Looking forward, the Vera Rubin NVL144 and future Kyber architectures are projected to push these densities to a staggering 600kW per rack, requiring a total transformation of the power train infrastructure.</w:t>
      </w:r>
    </w:p>
    <w:p w14:paraId="03BC131E">
      <w:pPr>
        <w:widowControl w:val="0"/>
        <w:jc w:val="both"/>
        <w:rPr>
          <w:rFonts w:hint="eastAsia" w:eastAsia="楷体" w:cs="Calibri"/>
          <w:kern w:val="2"/>
          <w:sz w:val="22"/>
          <w:szCs w:val="22"/>
          <w:lang w:eastAsia="zh-CN"/>
        </w:rPr>
      </w:pPr>
    </w:p>
    <w:p w14:paraId="387306BB">
      <w:pPr>
        <w:widowControl w:val="0"/>
        <w:jc w:val="both"/>
        <w:rPr>
          <w:rFonts w:hint="eastAsia" w:eastAsia="楷体" w:cs="Calibri"/>
          <w:kern w:val="2"/>
          <w:sz w:val="22"/>
          <w:szCs w:val="22"/>
          <w:lang w:eastAsia="zh-CN"/>
        </w:rPr>
      </w:pPr>
    </w:p>
    <w:p w14:paraId="65D5F494">
      <w:pPr>
        <w:widowControl w:val="0"/>
        <w:jc w:val="both"/>
        <w:rPr>
          <w:rFonts w:hint="eastAsia" w:eastAsia="楷体" w:cs="Calibri"/>
          <w:kern w:val="2"/>
          <w:sz w:val="22"/>
          <w:szCs w:val="22"/>
          <w:lang w:eastAsia="zh-CN"/>
        </w:rPr>
      </w:pPr>
    </w:p>
    <w:p w14:paraId="0885C036">
      <w:pPr>
        <w:widowControl w:val="0"/>
        <w:jc w:val="both"/>
        <w:rPr>
          <w:rFonts w:eastAsia="楷体" w:cs="Calibri"/>
          <w:kern w:val="2"/>
          <w:sz w:val="22"/>
          <w:szCs w:val="22"/>
          <w:lang w:eastAsia="zh-CN"/>
        </w:rPr>
      </w:pPr>
    </w:p>
    <w:tbl>
      <w:tblPr>
        <w:tblStyle w:val="15"/>
        <w:tblW w:w="10206" w:type="dxa"/>
        <w:tblInd w:w="-25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73EE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0E2B894C">
            <w:pPr>
              <w:widowControl w:val="0"/>
              <w:jc w:val="both"/>
              <w:rPr>
                <w:rFonts w:eastAsia="楷体" w:cs="Calibri"/>
                <w:b/>
                <w:bCs/>
                <w:kern w:val="2"/>
                <w:sz w:val="22"/>
                <w:szCs w:val="22"/>
                <w:lang w:eastAsia="zh-CN"/>
              </w:rPr>
            </w:pPr>
            <w:r>
              <w:rPr>
                <w:rFonts w:eastAsia="楷体" w:cs="Calibri"/>
                <w:b/>
                <w:bCs/>
                <w:kern w:val="2"/>
                <w:sz w:val="20"/>
                <w:szCs w:val="20"/>
                <w:lang w:eastAsia="zh-CN"/>
              </w:rPr>
              <w:t>Figure: Anticipated increases in extreme and overall industry rack densities</w:t>
            </w:r>
          </w:p>
        </w:tc>
      </w:tr>
      <w:tr w14:paraId="17522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04038D58">
            <w:pPr>
              <w:widowControl w:val="0"/>
              <w:jc w:val="both"/>
              <w:rPr>
                <w:rFonts w:eastAsia="楷体" w:cs="Calibri"/>
                <w:b/>
                <w:bCs/>
                <w:kern w:val="2"/>
                <w:sz w:val="22"/>
                <w:szCs w:val="22"/>
                <w:lang w:eastAsia="zh-CN"/>
              </w:rPr>
            </w:pPr>
            <w:r>
              <w:rPr>
                <w:rFonts w:eastAsia="楷体" w:cs="Calibri"/>
                <w:b/>
                <w:bCs/>
                <w:kern w:val="2"/>
                <w:sz w:val="22"/>
                <w:szCs w:val="22"/>
                <w:lang w:eastAsia="zh-CN"/>
              </w:rPr>
              <w:drawing>
                <wp:inline distT="0" distB="0" distL="114300" distR="114300">
                  <wp:extent cx="6369050" cy="2564130"/>
                  <wp:effectExtent l="0" t="0" r="1270" b="1143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31"/>
                          <a:stretch>
                            <a:fillRect/>
                          </a:stretch>
                        </pic:blipFill>
                        <pic:spPr>
                          <a:xfrm>
                            <a:off x="0" y="0"/>
                            <a:ext cx="6369050" cy="2564130"/>
                          </a:xfrm>
                          <a:prstGeom prst="rect">
                            <a:avLst/>
                          </a:prstGeom>
                          <a:noFill/>
                          <a:ln>
                            <a:noFill/>
                          </a:ln>
                        </pic:spPr>
                      </pic:pic>
                    </a:graphicData>
                  </a:graphic>
                </wp:inline>
              </w:drawing>
            </w:r>
          </w:p>
        </w:tc>
      </w:tr>
      <w:tr w14:paraId="4E8B1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 w:hRule="atLeast"/>
        </w:trPr>
        <w:tc>
          <w:tcPr>
            <w:tcW w:w="10206" w:type="dxa"/>
            <w:tcBorders>
              <w:top w:val="nil"/>
            </w:tcBorders>
          </w:tcPr>
          <w:p w14:paraId="46C35470">
            <w:pPr>
              <w:widowControl w:val="0"/>
              <w:jc w:val="both"/>
              <w:rPr>
                <w:rFonts w:eastAsia="楷体" w:cs="Calibri"/>
                <w:b/>
                <w:bCs/>
                <w:kern w:val="2"/>
                <w:sz w:val="22"/>
                <w:szCs w:val="22"/>
                <w:lang w:eastAsia="zh-CN"/>
              </w:rPr>
            </w:pPr>
            <w:r>
              <w:rPr>
                <w:rFonts w:eastAsia="楷体" w:cs="Calibri"/>
                <w:kern w:val="2"/>
                <w:sz w:val="16"/>
                <w:szCs w:val="16"/>
                <w:lang w:eastAsia="zh-CN"/>
              </w:rPr>
              <w:t xml:space="preserve">Source: </w:t>
            </w:r>
            <w:r>
              <w:rPr>
                <w:rFonts w:hint="eastAsia" w:eastAsia="楷体" w:cs="Calibri"/>
                <w:kern w:val="2"/>
                <w:sz w:val="16"/>
                <w:szCs w:val="16"/>
                <w:lang w:eastAsia="zh-CN"/>
              </w:rPr>
              <w:t>Company</w:t>
            </w:r>
            <w:r>
              <w:rPr>
                <w:rFonts w:eastAsia="楷体" w:cs="Calibri"/>
                <w:kern w:val="2"/>
                <w:sz w:val="16"/>
                <w:szCs w:val="16"/>
                <w:lang w:eastAsia="zh-CN"/>
              </w:rPr>
              <w:t>, HFI</w:t>
            </w:r>
          </w:p>
        </w:tc>
      </w:tr>
    </w:tbl>
    <w:p w14:paraId="489D19E2">
      <w:pPr>
        <w:widowControl w:val="0"/>
        <w:jc w:val="both"/>
        <w:rPr>
          <w:rFonts w:eastAsia="楷体" w:cs="Calibri"/>
          <w:b/>
          <w:bCs/>
          <w:kern w:val="2"/>
          <w:sz w:val="22"/>
          <w:szCs w:val="22"/>
          <w:lang w:eastAsia="zh-CN"/>
        </w:rPr>
      </w:pPr>
    </w:p>
    <w:p w14:paraId="4DF6C838">
      <w:pPr>
        <w:widowControl w:val="0"/>
        <w:jc w:val="both"/>
        <w:rPr>
          <w:rFonts w:eastAsia="楷体" w:cs="Calibri"/>
          <w:kern w:val="2"/>
          <w:sz w:val="22"/>
          <w:szCs w:val="22"/>
          <w:lang w:eastAsia="zh-CN"/>
        </w:rPr>
      </w:pPr>
      <w:r>
        <w:rPr>
          <w:rFonts w:eastAsia="楷体" w:cs="Calibri"/>
          <w:b/>
          <w:bCs/>
          <w:kern w:val="2"/>
          <w:sz w:val="22"/>
          <w:szCs w:val="22"/>
          <w:lang w:eastAsia="zh-CN"/>
        </w:rPr>
        <w:t xml:space="preserve">In addition to more power-intensive workloads, AI workloads are increasingly more mission-critical, which require </w:t>
      </w:r>
      <w:r>
        <w:rPr>
          <w:rFonts w:hint="eastAsia" w:eastAsia="楷体" w:cs="Calibri"/>
          <w:b/>
          <w:bCs/>
          <w:kern w:val="2"/>
          <w:sz w:val="22"/>
          <w:szCs w:val="22"/>
          <w:lang w:eastAsia="zh-CN"/>
        </w:rPr>
        <w:t xml:space="preserve">higher </w:t>
      </w:r>
      <w:r>
        <w:rPr>
          <w:rFonts w:eastAsia="楷体" w:cs="Calibri"/>
          <w:b/>
          <w:bCs/>
          <w:kern w:val="2"/>
          <w:sz w:val="22"/>
          <w:szCs w:val="22"/>
          <w:lang w:eastAsia="zh-CN"/>
        </w:rPr>
        <w:t>redundancy</w:t>
      </w:r>
      <w:r>
        <w:rPr>
          <w:rFonts w:hint="eastAsia" w:eastAsia="楷体" w:cs="Calibri"/>
          <w:b/>
          <w:bCs/>
          <w:kern w:val="2"/>
          <w:sz w:val="22"/>
          <w:szCs w:val="22"/>
          <w:lang w:eastAsia="zh-CN"/>
        </w:rPr>
        <w:t xml:space="preserve"> to</w:t>
      </w:r>
      <w:r>
        <w:rPr>
          <w:rFonts w:eastAsia="楷体" w:cs="Calibri"/>
          <w:b/>
          <w:bCs/>
          <w:kern w:val="2"/>
          <w:sz w:val="22"/>
          <w:szCs w:val="22"/>
          <w:lang w:eastAsia="zh-CN"/>
        </w:rPr>
        <w:t xml:space="preserve"> mitigate downtime risk.</w:t>
      </w:r>
      <w:r>
        <w:rPr>
          <w:rFonts w:hint="eastAsia" w:eastAsia="楷体" w:cs="Calibri"/>
          <w:kern w:val="2"/>
          <w:sz w:val="22"/>
          <w:szCs w:val="22"/>
          <w:lang w:eastAsia="zh-CN"/>
        </w:rPr>
        <w:t xml:space="preserve"> The ANSI/TIA-942 standard provides a vital framework for this evaluation, categorizing data centers into progressive </w:t>
      </w:r>
      <w:r>
        <w:rPr>
          <w:rFonts w:eastAsia="楷体" w:cs="Calibri"/>
          <w:kern w:val="2"/>
          <w:sz w:val="22"/>
          <w:szCs w:val="22"/>
          <w:lang w:eastAsia="zh-CN"/>
        </w:rPr>
        <w:t>“</w:t>
      </w:r>
      <w:r>
        <w:rPr>
          <w:rFonts w:hint="eastAsia" w:eastAsia="楷体" w:cs="Calibri"/>
          <w:kern w:val="2"/>
          <w:sz w:val="22"/>
          <w:szCs w:val="22"/>
          <w:lang w:eastAsia="zh-CN"/>
        </w:rPr>
        <w:t>Rated</w:t>
      </w:r>
      <w:r>
        <w:rPr>
          <w:rFonts w:eastAsia="楷体" w:cs="Calibri"/>
          <w:kern w:val="2"/>
          <w:sz w:val="22"/>
          <w:szCs w:val="22"/>
          <w:lang w:eastAsia="zh-CN"/>
        </w:rPr>
        <w:t>”</w:t>
      </w:r>
      <w:r>
        <w:rPr>
          <w:rFonts w:hint="eastAsia" w:eastAsia="楷体" w:cs="Calibri"/>
          <w:kern w:val="2"/>
          <w:sz w:val="22"/>
          <w:szCs w:val="22"/>
          <w:lang w:eastAsia="zh-CN"/>
        </w:rPr>
        <w:t xml:space="preserve"> levels. Under this system, a higher rating (such as Rated 3) must satisfy all the technical requirements of the lower levels while adding specific layers of fault tolerance and maintainability.</w:t>
      </w:r>
    </w:p>
    <w:p w14:paraId="0F6BF360">
      <w:pPr>
        <w:widowControl w:val="0"/>
        <w:jc w:val="both"/>
        <w:rPr>
          <w:rFonts w:eastAsia="楷体" w:cs="Calibri"/>
          <w:kern w:val="2"/>
          <w:sz w:val="22"/>
          <w:szCs w:val="22"/>
          <w:lang w:eastAsia="zh-CN"/>
        </w:rPr>
      </w:pPr>
    </w:p>
    <w:p w14:paraId="3B6453FC">
      <w:pPr>
        <w:widowControl w:val="0"/>
        <w:jc w:val="both"/>
        <w:rPr>
          <w:rFonts w:eastAsia="楷体" w:cs="Calibri"/>
          <w:kern w:val="2"/>
          <w:sz w:val="22"/>
          <w:szCs w:val="22"/>
          <w:lang w:eastAsia="zh-CN"/>
        </w:rPr>
      </w:pPr>
      <w:r>
        <w:rPr>
          <w:rFonts w:hint="eastAsia" w:eastAsia="楷体" w:cs="Calibri"/>
          <w:kern w:val="2"/>
          <w:sz w:val="22"/>
          <w:szCs w:val="22"/>
          <w:lang w:eastAsia="zh-CN"/>
        </w:rPr>
        <w:t xml:space="preserve">Redundancy is defined by configurations such as N, N+1, or 2N. For instance, if a facility requires ten transformers to operate (N=10), an N+1 configuration involves eleven units (one spare), whereas a 2N configuration requires twenty units. </w:t>
      </w:r>
    </w:p>
    <w:p w14:paraId="12F6C789">
      <w:pPr>
        <w:widowControl w:val="0"/>
        <w:jc w:val="both"/>
        <w:rPr>
          <w:rFonts w:eastAsia="楷体" w:cs="Calibri"/>
          <w:kern w:val="2"/>
          <w:sz w:val="22"/>
          <w:szCs w:val="22"/>
          <w:lang w:eastAsia="zh-CN"/>
        </w:rPr>
      </w:pPr>
    </w:p>
    <w:p w14:paraId="08BA3677">
      <w:pPr>
        <w:jc w:val="both"/>
        <w:rPr>
          <w:rFonts w:eastAsia="楷体" w:cs="Calibri"/>
          <w:kern w:val="2"/>
          <w:sz w:val="22"/>
          <w:szCs w:val="22"/>
        </w:rPr>
      </w:pPr>
      <w:r>
        <w:rPr>
          <w:rFonts w:hint="eastAsia" w:eastAsia="楷体" w:cs="Calibri"/>
          <w:kern w:val="2"/>
          <w:sz w:val="22"/>
          <w:szCs w:val="22"/>
          <w:lang w:eastAsia="zh-CN"/>
        </w:rPr>
        <w:t xml:space="preserve">While Rated 3 remains the global standard for large-scale facilities, there is a clear transition toward enhanced reliability in the power train. Data centers now typically mandate N+1 redundancy for primary upstream components like transformers and </w:t>
      </w:r>
      <w:r>
        <w:rPr>
          <w:rFonts w:eastAsia="楷体" w:cs="Calibri"/>
          <w:kern w:val="2"/>
          <w:sz w:val="22"/>
          <w:szCs w:val="22"/>
          <w:lang w:eastAsia="zh-CN"/>
        </w:rPr>
        <w:t>generators but</w:t>
      </w:r>
      <w:r>
        <w:rPr>
          <w:rFonts w:hint="eastAsia" w:eastAsia="楷体" w:cs="Calibri"/>
          <w:kern w:val="2"/>
          <w:sz w:val="22"/>
          <w:szCs w:val="22"/>
          <w:lang w:eastAsia="zh-CN"/>
        </w:rPr>
        <w:t xml:space="preserve"> are increasingly adopting 2N redundancy for critical downstream distribution, specifically for Uninterruptible Power Supplies (UPS) and Power Distribution Units (PDU) to ensure fault tolerance at the rack level. Plus, t</w:t>
      </w:r>
      <w:r>
        <w:rPr>
          <w:rFonts w:eastAsia="楷体" w:cs="Calibri"/>
          <w:kern w:val="2"/>
          <w:sz w:val="22"/>
          <w:szCs w:val="22"/>
        </w:rPr>
        <w:t>raditional data centers typically provide UPS backup only for IT equipment. In contrast, to prevent thermal runaway,</w:t>
      </w:r>
      <w:r>
        <w:rPr>
          <w:rFonts w:hint="eastAsia" w:eastAsia="楷体" w:cs="Calibri"/>
          <w:kern w:val="2"/>
          <w:sz w:val="22"/>
          <w:szCs w:val="22"/>
          <w:lang w:eastAsia="zh-CN"/>
        </w:rPr>
        <w:t xml:space="preserve"> </w:t>
      </w:r>
      <w:r>
        <w:rPr>
          <w:rFonts w:eastAsia="楷体" w:cs="Calibri"/>
          <w:kern w:val="2"/>
          <w:sz w:val="22"/>
          <w:szCs w:val="22"/>
        </w:rPr>
        <w:t>AIDCs must also connect part of the cooling circulation pumps to redundant power systems, further driving up the demand for power supply and distribution capacity.</w:t>
      </w:r>
    </w:p>
    <w:p w14:paraId="2F83AD93">
      <w:pPr>
        <w:rPr>
          <w:rFonts w:eastAsia="楷体" w:cs="Calibri"/>
          <w:kern w:val="2"/>
          <w:sz w:val="22"/>
          <w:szCs w:val="22"/>
        </w:rPr>
      </w:pPr>
      <w:r>
        <w:rPr>
          <w:rFonts w:eastAsia="楷体" w:cs="Calibri"/>
          <w:kern w:val="2"/>
          <w:sz w:val="22"/>
          <w:szCs w:val="22"/>
        </w:rPr>
        <w:br w:type="page"/>
      </w:r>
    </w:p>
    <w:tbl>
      <w:tblPr>
        <w:tblStyle w:val="14"/>
        <w:tblW w:w="7466" w:type="dxa"/>
        <w:tblInd w:w="0" w:type="dxa"/>
        <w:tblLayout w:type="fixed"/>
        <w:tblCellMar>
          <w:top w:w="0" w:type="dxa"/>
          <w:left w:w="108" w:type="dxa"/>
          <w:bottom w:w="0" w:type="dxa"/>
          <w:right w:w="108" w:type="dxa"/>
        </w:tblCellMar>
      </w:tblPr>
      <w:tblGrid>
        <w:gridCol w:w="7466"/>
      </w:tblGrid>
      <w:tr w14:paraId="0CACB720">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160FA01C">
            <w:pPr>
              <w:rPr>
                <w:rFonts w:hint="eastAsia" w:eastAsia="楷体" w:cs="Calibri"/>
                <w:kern w:val="2"/>
                <w:sz w:val="22"/>
                <w:szCs w:val="22"/>
                <w:lang w:eastAsia="zh-CN"/>
              </w:rPr>
            </w:pPr>
            <w:r>
              <w:rPr>
                <w:rFonts w:hint="eastAsia" w:eastAsia="楷体" w:cs="Calibri"/>
                <w:b/>
                <w:bCs/>
                <w:kern w:val="2"/>
                <w:sz w:val="22"/>
                <w:szCs w:val="22"/>
                <w:lang w:eastAsia="zh-CN"/>
              </w:rPr>
              <w:t>Table: The ANSI/TIA-942 standard</w:t>
            </w:r>
          </w:p>
        </w:tc>
      </w:tr>
      <w:tr w14:paraId="6B939F46">
        <w:tblPrEx>
          <w:tblCellMar>
            <w:top w:w="0" w:type="dxa"/>
            <w:left w:w="108" w:type="dxa"/>
            <w:bottom w:w="0" w:type="dxa"/>
            <w:right w:w="108" w:type="dxa"/>
          </w:tblCellMar>
        </w:tblPrEx>
        <w:trPr>
          <w:trHeight w:val="856" w:hRule="atLeast"/>
        </w:trPr>
        <w:tc>
          <w:tcPr>
            <w:tcW w:w="7466" w:type="dxa"/>
            <w:tcBorders>
              <w:top w:val="nil"/>
              <w:left w:val="nil"/>
              <w:bottom w:val="nil"/>
              <w:right w:val="nil"/>
            </w:tcBorders>
            <w:vAlign w:val="center"/>
          </w:tcPr>
          <w:tbl>
            <w:tblPr>
              <w:tblStyle w:val="14"/>
              <w:tblW w:w="7272" w:type="dxa"/>
              <w:tblInd w:w="0" w:type="dxa"/>
              <w:tblLayout w:type="fixed"/>
              <w:tblCellMar>
                <w:top w:w="0" w:type="dxa"/>
                <w:left w:w="108" w:type="dxa"/>
                <w:bottom w:w="0" w:type="dxa"/>
                <w:right w:w="108" w:type="dxa"/>
              </w:tblCellMar>
            </w:tblPr>
            <w:tblGrid>
              <w:gridCol w:w="1186"/>
              <w:gridCol w:w="1408"/>
              <w:gridCol w:w="3320"/>
              <w:gridCol w:w="1358"/>
            </w:tblGrid>
            <w:tr w14:paraId="2B57181F">
              <w:tblPrEx>
                <w:tblCellMar>
                  <w:top w:w="0" w:type="dxa"/>
                  <w:left w:w="108" w:type="dxa"/>
                  <w:bottom w:w="0" w:type="dxa"/>
                  <w:right w:w="108" w:type="dxa"/>
                </w:tblCellMar>
              </w:tblPrEx>
              <w:trPr>
                <w:trHeight w:val="546"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5A232ADC">
                  <w:pPr>
                    <w:rPr>
                      <w:rFonts w:hint="eastAsia" w:eastAsia="楷体" w:cs="Calibri"/>
                      <w:kern w:val="2"/>
                      <w:sz w:val="22"/>
                      <w:szCs w:val="22"/>
                      <w:lang w:eastAsia="zh-CN"/>
                    </w:rPr>
                  </w:pPr>
                  <w:r>
                    <w:rPr>
                      <w:rFonts w:hint="eastAsia" w:eastAsia="楷体" w:cs="Calibri"/>
                      <w:kern w:val="2"/>
                      <w:sz w:val="22"/>
                      <w:szCs w:val="22"/>
                      <w:lang w:eastAsia="zh-CN"/>
                    </w:rPr>
                    <w:t>Rating Level</w:t>
                  </w:r>
                </w:p>
              </w:tc>
              <w:tc>
                <w:tcPr>
                  <w:tcW w:w="1408" w:type="dxa"/>
                  <w:tcBorders>
                    <w:top w:val="single" w:color="1F1F1F" w:sz="8" w:space="0"/>
                    <w:left w:val="single" w:color="1F1F1F" w:sz="8" w:space="0"/>
                    <w:bottom w:val="single" w:color="1F1F1F" w:sz="8" w:space="0"/>
                    <w:right w:val="single" w:color="1F1F1F" w:sz="8" w:space="0"/>
                  </w:tcBorders>
                  <w:vAlign w:val="center"/>
                </w:tcPr>
                <w:p w14:paraId="76F95A2C">
                  <w:pPr>
                    <w:rPr>
                      <w:rFonts w:hint="eastAsia" w:eastAsia="楷体" w:cs="Calibri"/>
                      <w:kern w:val="2"/>
                      <w:sz w:val="22"/>
                      <w:szCs w:val="22"/>
                      <w:lang w:eastAsia="zh-CN"/>
                    </w:rPr>
                  </w:pPr>
                  <w:r>
                    <w:rPr>
                      <w:rFonts w:hint="eastAsia" w:eastAsia="楷体" w:cs="Calibri"/>
                      <w:kern w:val="2"/>
                      <w:sz w:val="22"/>
                      <w:szCs w:val="22"/>
                      <w:lang w:eastAsia="zh-CN"/>
                    </w:rPr>
                    <w:t>Common Name</w:t>
                  </w:r>
                </w:p>
              </w:tc>
              <w:tc>
                <w:tcPr>
                  <w:tcW w:w="3320" w:type="dxa"/>
                  <w:tcBorders>
                    <w:top w:val="single" w:color="1F1F1F" w:sz="8" w:space="0"/>
                    <w:left w:val="single" w:color="1F1F1F" w:sz="8" w:space="0"/>
                    <w:bottom w:val="single" w:color="1F1F1F" w:sz="8" w:space="0"/>
                    <w:right w:val="single" w:color="1F1F1F" w:sz="8" w:space="0"/>
                  </w:tcBorders>
                  <w:vAlign w:val="center"/>
                </w:tcPr>
                <w:p w14:paraId="3F94F8E2">
                  <w:pPr>
                    <w:rPr>
                      <w:rFonts w:hint="eastAsia" w:eastAsia="楷体" w:cs="Calibri"/>
                      <w:kern w:val="2"/>
                      <w:sz w:val="22"/>
                      <w:szCs w:val="22"/>
                      <w:lang w:eastAsia="zh-CN"/>
                    </w:rPr>
                  </w:pPr>
                  <w:r>
                    <w:rPr>
                      <w:rFonts w:hint="eastAsia" w:eastAsia="楷体" w:cs="Calibri"/>
                      <w:kern w:val="2"/>
                      <w:sz w:val="22"/>
                      <w:szCs w:val="22"/>
                      <w:lang w:eastAsia="zh-CN"/>
                    </w:rPr>
                    <w:t>Key Characteristic</w:t>
                  </w:r>
                </w:p>
              </w:tc>
              <w:tc>
                <w:tcPr>
                  <w:tcW w:w="1358" w:type="dxa"/>
                  <w:tcBorders>
                    <w:top w:val="single" w:color="1F1F1F" w:sz="8" w:space="0"/>
                    <w:left w:val="single" w:color="1F1F1F" w:sz="8" w:space="0"/>
                    <w:bottom w:val="single" w:color="1F1F1F" w:sz="8" w:space="0"/>
                    <w:right w:val="single" w:color="1F1F1F" w:sz="8" w:space="0"/>
                  </w:tcBorders>
                  <w:vAlign w:val="center"/>
                </w:tcPr>
                <w:p w14:paraId="1A5E7878">
                  <w:pPr>
                    <w:rPr>
                      <w:rFonts w:hint="eastAsia" w:eastAsia="楷体" w:cs="Calibri"/>
                      <w:kern w:val="2"/>
                      <w:sz w:val="22"/>
                      <w:szCs w:val="22"/>
                      <w:lang w:eastAsia="zh-CN"/>
                    </w:rPr>
                  </w:pPr>
                  <w:r>
                    <w:rPr>
                      <w:rFonts w:hint="eastAsia" w:eastAsia="楷体" w:cs="Calibri"/>
                      <w:kern w:val="2"/>
                      <w:sz w:val="22"/>
                      <w:szCs w:val="22"/>
                      <w:lang w:eastAsia="zh-CN"/>
                    </w:rPr>
                    <w:t>Redundancy</w:t>
                  </w:r>
                </w:p>
              </w:tc>
            </w:tr>
            <w:tr w14:paraId="3EDEE00A">
              <w:tblPrEx>
                <w:tblCellMar>
                  <w:top w:w="0" w:type="dxa"/>
                  <w:left w:w="108" w:type="dxa"/>
                  <w:bottom w:w="0" w:type="dxa"/>
                  <w:right w:w="108" w:type="dxa"/>
                </w:tblCellMar>
              </w:tblPrEx>
              <w:trPr>
                <w:trHeight w:val="705"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7DD2220C">
                  <w:pPr>
                    <w:rPr>
                      <w:rFonts w:hint="eastAsia" w:eastAsia="楷体" w:cs="Calibri"/>
                      <w:kern w:val="2"/>
                      <w:sz w:val="22"/>
                      <w:szCs w:val="22"/>
                      <w:lang w:eastAsia="zh-CN"/>
                    </w:rPr>
                  </w:pPr>
                  <w:r>
                    <w:rPr>
                      <w:rFonts w:hint="eastAsia" w:eastAsia="楷体" w:cs="Calibri"/>
                      <w:kern w:val="2"/>
                      <w:sz w:val="22"/>
                      <w:szCs w:val="22"/>
                      <w:lang w:eastAsia="zh-CN"/>
                    </w:rPr>
                    <w:t>Rated 1</w:t>
                  </w:r>
                </w:p>
              </w:tc>
              <w:tc>
                <w:tcPr>
                  <w:tcW w:w="1408" w:type="dxa"/>
                  <w:tcBorders>
                    <w:top w:val="single" w:color="1F1F1F" w:sz="8" w:space="0"/>
                    <w:left w:val="single" w:color="1F1F1F" w:sz="8" w:space="0"/>
                    <w:bottom w:val="single" w:color="1F1F1F" w:sz="8" w:space="0"/>
                    <w:right w:val="single" w:color="1F1F1F" w:sz="8" w:space="0"/>
                  </w:tcBorders>
                  <w:vAlign w:val="center"/>
                </w:tcPr>
                <w:p w14:paraId="28275EC1">
                  <w:pPr>
                    <w:rPr>
                      <w:rFonts w:hint="eastAsia" w:eastAsia="楷体" w:cs="Calibri"/>
                      <w:kern w:val="2"/>
                      <w:sz w:val="22"/>
                      <w:szCs w:val="22"/>
                      <w:lang w:eastAsia="zh-CN"/>
                    </w:rPr>
                  </w:pPr>
                  <w:r>
                    <w:rPr>
                      <w:rFonts w:hint="eastAsia" w:eastAsia="楷体" w:cs="Calibri"/>
                      <w:kern w:val="2"/>
                      <w:sz w:val="22"/>
                      <w:szCs w:val="22"/>
                      <w:lang w:eastAsia="zh-CN"/>
                    </w:rPr>
                    <w:t>Basic</w:t>
                  </w:r>
                </w:p>
              </w:tc>
              <w:tc>
                <w:tcPr>
                  <w:tcW w:w="3320" w:type="dxa"/>
                  <w:tcBorders>
                    <w:top w:val="single" w:color="1F1F1F" w:sz="8" w:space="0"/>
                    <w:left w:val="single" w:color="1F1F1F" w:sz="8" w:space="0"/>
                    <w:bottom w:val="single" w:color="1F1F1F" w:sz="8" w:space="0"/>
                    <w:right w:val="single" w:color="1F1F1F" w:sz="8" w:space="0"/>
                  </w:tcBorders>
                  <w:vAlign w:val="center"/>
                </w:tcPr>
                <w:p w14:paraId="7F7A1B4A">
                  <w:pPr>
                    <w:rPr>
                      <w:rFonts w:hint="eastAsia" w:eastAsia="楷体" w:cs="Calibri"/>
                      <w:kern w:val="2"/>
                      <w:sz w:val="22"/>
                      <w:szCs w:val="22"/>
                      <w:lang w:eastAsia="zh-CN"/>
                    </w:rPr>
                  </w:pPr>
                  <w:r>
                    <w:rPr>
                      <w:rFonts w:hint="eastAsia" w:eastAsia="楷体" w:cs="Calibri"/>
                      <w:kern w:val="2"/>
                      <w:sz w:val="22"/>
                      <w:szCs w:val="22"/>
                      <w:lang w:eastAsia="zh-CN"/>
                    </w:rPr>
                    <w:t>No redundant capacity, single path to power with99.671% 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16049A23">
                  <w:pPr>
                    <w:rPr>
                      <w:rFonts w:hint="eastAsia" w:eastAsia="楷体" w:cs="Calibri"/>
                      <w:kern w:val="2"/>
                      <w:sz w:val="22"/>
                      <w:szCs w:val="22"/>
                      <w:lang w:eastAsia="zh-CN"/>
                    </w:rPr>
                  </w:pPr>
                  <w:r>
                    <w:rPr>
                      <w:rFonts w:hint="eastAsia" w:eastAsia="楷体" w:cs="Calibri"/>
                      <w:kern w:val="2"/>
                      <w:sz w:val="22"/>
                      <w:szCs w:val="22"/>
                      <w:lang w:eastAsia="zh-CN"/>
                    </w:rPr>
                    <w:t>N</w:t>
                  </w:r>
                </w:p>
              </w:tc>
            </w:tr>
            <w:tr w14:paraId="3DD8416B">
              <w:tblPrEx>
                <w:tblCellMar>
                  <w:top w:w="0" w:type="dxa"/>
                  <w:left w:w="108" w:type="dxa"/>
                  <w:bottom w:w="0" w:type="dxa"/>
                  <w:right w:w="108" w:type="dxa"/>
                </w:tblCellMar>
              </w:tblPrEx>
              <w:trPr>
                <w:trHeight w:val="686"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11033855">
                  <w:pPr>
                    <w:rPr>
                      <w:rFonts w:hint="eastAsia" w:eastAsia="楷体" w:cs="Calibri"/>
                      <w:kern w:val="2"/>
                      <w:sz w:val="22"/>
                      <w:szCs w:val="22"/>
                      <w:lang w:eastAsia="zh-CN"/>
                    </w:rPr>
                  </w:pPr>
                  <w:r>
                    <w:rPr>
                      <w:rFonts w:hint="eastAsia" w:eastAsia="楷体" w:cs="Calibri"/>
                      <w:kern w:val="2"/>
                      <w:sz w:val="22"/>
                      <w:szCs w:val="22"/>
                      <w:lang w:eastAsia="zh-CN"/>
                    </w:rPr>
                    <w:t>Rated 2</w:t>
                  </w:r>
                </w:p>
              </w:tc>
              <w:tc>
                <w:tcPr>
                  <w:tcW w:w="1408" w:type="dxa"/>
                  <w:tcBorders>
                    <w:top w:val="single" w:color="1F1F1F" w:sz="8" w:space="0"/>
                    <w:left w:val="single" w:color="1F1F1F" w:sz="8" w:space="0"/>
                    <w:bottom w:val="single" w:color="1F1F1F" w:sz="8" w:space="0"/>
                    <w:right w:val="single" w:color="1F1F1F" w:sz="8" w:space="0"/>
                  </w:tcBorders>
                  <w:vAlign w:val="center"/>
                </w:tcPr>
                <w:p w14:paraId="524D37E6">
                  <w:pPr>
                    <w:rPr>
                      <w:rFonts w:hint="eastAsia" w:eastAsia="楷体" w:cs="Calibri"/>
                      <w:kern w:val="2"/>
                      <w:sz w:val="22"/>
                      <w:szCs w:val="22"/>
                      <w:lang w:eastAsia="zh-CN"/>
                    </w:rPr>
                  </w:pPr>
                  <w:r>
                    <w:rPr>
                      <w:rFonts w:hint="eastAsia" w:eastAsia="楷体" w:cs="Calibri"/>
                      <w:kern w:val="2"/>
                      <w:sz w:val="22"/>
                      <w:szCs w:val="22"/>
                      <w:lang w:eastAsia="zh-CN"/>
                    </w:rPr>
                    <w:t>Redundant</w:t>
                  </w:r>
                </w:p>
              </w:tc>
              <w:tc>
                <w:tcPr>
                  <w:tcW w:w="3320" w:type="dxa"/>
                  <w:tcBorders>
                    <w:top w:val="single" w:color="1F1F1F" w:sz="8" w:space="0"/>
                    <w:left w:val="single" w:color="1F1F1F" w:sz="8" w:space="0"/>
                    <w:bottom w:val="single" w:color="1F1F1F" w:sz="8" w:space="0"/>
                    <w:right w:val="single" w:color="1F1F1F" w:sz="8" w:space="0"/>
                  </w:tcBorders>
                  <w:vAlign w:val="center"/>
                </w:tcPr>
                <w:p w14:paraId="1E933630">
                  <w:pPr>
                    <w:rPr>
                      <w:rFonts w:hint="eastAsia" w:eastAsia="楷体" w:cs="Calibri"/>
                      <w:kern w:val="2"/>
                      <w:sz w:val="22"/>
                      <w:szCs w:val="22"/>
                      <w:lang w:eastAsia="zh-CN"/>
                    </w:rPr>
                  </w:pPr>
                  <w:r>
                    <w:rPr>
                      <w:rFonts w:hint="eastAsia" w:eastAsia="楷体" w:cs="Calibri"/>
                      <w:kern w:val="2"/>
                      <w:sz w:val="22"/>
                      <w:szCs w:val="22"/>
                      <w:lang w:eastAsia="zh-CN"/>
                    </w:rPr>
                    <w:t>Rated 1 + Redundant capacity + 99.741%availability.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5ECF9560">
                  <w:pPr>
                    <w:rPr>
                      <w:rFonts w:hint="eastAsia" w:eastAsia="楷体" w:cs="Calibri"/>
                      <w:kern w:val="2"/>
                      <w:sz w:val="22"/>
                      <w:szCs w:val="22"/>
                      <w:lang w:eastAsia="zh-CN"/>
                    </w:rPr>
                  </w:pPr>
                  <w:r>
                    <w:rPr>
                      <w:rFonts w:hint="eastAsia" w:eastAsia="楷体" w:cs="Calibri"/>
                      <w:kern w:val="2"/>
                      <w:sz w:val="22"/>
                      <w:szCs w:val="22"/>
                      <w:lang w:eastAsia="zh-CN"/>
                    </w:rPr>
                    <w:t>N+1</w:t>
                  </w:r>
                </w:p>
              </w:tc>
            </w:tr>
            <w:tr w14:paraId="00BAD3C0">
              <w:tblPrEx>
                <w:tblCellMar>
                  <w:top w:w="0" w:type="dxa"/>
                  <w:left w:w="108" w:type="dxa"/>
                  <w:bottom w:w="0" w:type="dxa"/>
                  <w:right w:w="108" w:type="dxa"/>
                </w:tblCellMar>
              </w:tblPrEx>
              <w:trPr>
                <w:trHeight w:val="774"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764AD42A">
                  <w:pPr>
                    <w:rPr>
                      <w:rFonts w:hint="eastAsia" w:eastAsia="楷体" w:cs="Calibri"/>
                      <w:kern w:val="2"/>
                      <w:sz w:val="22"/>
                      <w:szCs w:val="22"/>
                      <w:lang w:eastAsia="zh-CN"/>
                    </w:rPr>
                  </w:pPr>
                  <w:r>
                    <w:rPr>
                      <w:rFonts w:hint="eastAsia" w:eastAsia="楷体" w:cs="Calibri"/>
                      <w:kern w:val="2"/>
                      <w:sz w:val="22"/>
                      <w:szCs w:val="22"/>
                      <w:lang w:eastAsia="zh-CN"/>
                    </w:rPr>
                    <w:t>Rated 3</w:t>
                  </w:r>
                </w:p>
              </w:tc>
              <w:tc>
                <w:tcPr>
                  <w:tcW w:w="1408" w:type="dxa"/>
                  <w:tcBorders>
                    <w:top w:val="single" w:color="1F1F1F" w:sz="8" w:space="0"/>
                    <w:left w:val="single" w:color="1F1F1F" w:sz="8" w:space="0"/>
                    <w:bottom w:val="single" w:color="1F1F1F" w:sz="8" w:space="0"/>
                    <w:right w:val="single" w:color="1F1F1F" w:sz="8" w:space="0"/>
                  </w:tcBorders>
                  <w:vAlign w:val="center"/>
                </w:tcPr>
                <w:p w14:paraId="76C7C277">
                  <w:pPr>
                    <w:rPr>
                      <w:rFonts w:hint="eastAsia" w:eastAsia="楷体" w:cs="Calibri"/>
                      <w:kern w:val="2"/>
                      <w:sz w:val="22"/>
                      <w:szCs w:val="22"/>
                      <w:lang w:eastAsia="zh-CN"/>
                    </w:rPr>
                  </w:pPr>
                  <w:r>
                    <w:rPr>
                      <w:rFonts w:hint="eastAsia" w:eastAsia="楷体" w:cs="Calibri"/>
                      <w:kern w:val="2"/>
                      <w:sz w:val="22"/>
                      <w:szCs w:val="22"/>
                      <w:lang w:eastAsia="zh-CN"/>
                    </w:rPr>
                    <w:t>Concurrently Maintainable</w:t>
                  </w:r>
                </w:p>
              </w:tc>
              <w:tc>
                <w:tcPr>
                  <w:tcW w:w="3320" w:type="dxa"/>
                  <w:tcBorders>
                    <w:top w:val="single" w:color="1F1F1F" w:sz="8" w:space="0"/>
                    <w:left w:val="single" w:color="1F1F1F" w:sz="8" w:space="0"/>
                    <w:bottom w:val="single" w:color="1F1F1F" w:sz="8" w:space="0"/>
                    <w:right w:val="single" w:color="1F1F1F" w:sz="8" w:space="0"/>
                  </w:tcBorders>
                  <w:vAlign w:val="center"/>
                </w:tcPr>
                <w:p w14:paraId="1F4EFEB2">
                  <w:pPr>
                    <w:rPr>
                      <w:rFonts w:hint="eastAsia" w:eastAsia="楷体" w:cs="Calibri"/>
                      <w:kern w:val="2"/>
                      <w:sz w:val="22"/>
                      <w:szCs w:val="22"/>
                      <w:lang w:eastAsia="zh-CN"/>
                    </w:rPr>
                  </w:pPr>
                  <w:r>
                    <w:rPr>
                      <w:rFonts w:hint="eastAsia" w:eastAsia="楷体" w:cs="Calibri"/>
                      <w:kern w:val="2"/>
                      <w:sz w:val="22"/>
                      <w:szCs w:val="22"/>
                      <w:lang w:eastAsia="zh-CN"/>
                    </w:rPr>
                    <w:t>Rated 1 + Rated 2 + dual power systems +99.982% 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11A482A1">
                  <w:pPr>
                    <w:rPr>
                      <w:rFonts w:hint="eastAsia" w:eastAsia="楷体" w:cs="Calibri"/>
                      <w:kern w:val="2"/>
                      <w:sz w:val="22"/>
                      <w:szCs w:val="22"/>
                      <w:lang w:eastAsia="zh-CN"/>
                    </w:rPr>
                  </w:pPr>
                  <w:r>
                    <w:rPr>
                      <w:rFonts w:hint="eastAsia" w:eastAsia="楷体" w:cs="Calibri"/>
                      <w:kern w:val="2"/>
                      <w:sz w:val="22"/>
                      <w:szCs w:val="22"/>
                      <w:lang w:eastAsia="zh-CN"/>
                    </w:rPr>
                    <w:t>N+1</w:t>
                  </w:r>
                </w:p>
              </w:tc>
            </w:tr>
            <w:tr w14:paraId="72380610">
              <w:tblPrEx>
                <w:tblCellMar>
                  <w:top w:w="0" w:type="dxa"/>
                  <w:left w:w="108" w:type="dxa"/>
                  <w:bottom w:w="0" w:type="dxa"/>
                  <w:right w:w="108" w:type="dxa"/>
                </w:tblCellMar>
              </w:tblPrEx>
              <w:trPr>
                <w:trHeight w:val="647" w:hRule="atLeast"/>
              </w:trPr>
              <w:tc>
                <w:tcPr>
                  <w:tcW w:w="1186" w:type="dxa"/>
                  <w:tcBorders>
                    <w:top w:val="single" w:color="1F1F1F" w:sz="8" w:space="0"/>
                    <w:left w:val="single" w:color="1F1F1F" w:sz="8" w:space="0"/>
                    <w:bottom w:val="single" w:color="1F1F1F" w:sz="8" w:space="0"/>
                    <w:right w:val="single" w:color="1F1F1F" w:sz="8" w:space="0"/>
                  </w:tcBorders>
                  <w:vAlign w:val="center"/>
                </w:tcPr>
                <w:p w14:paraId="44EBFB92">
                  <w:pPr>
                    <w:rPr>
                      <w:rFonts w:hint="eastAsia" w:eastAsia="楷体" w:cs="Calibri"/>
                      <w:kern w:val="2"/>
                      <w:sz w:val="22"/>
                      <w:szCs w:val="22"/>
                      <w:lang w:eastAsia="zh-CN"/>
                    </w:rPr>
                  </w:pPr>
                  <w:r>
                    <w:rPr>
                      <w:rFonts w:hint="eastAsia" w:eastAsia="楷体" w:cs="Calibri"/>
                      <w:kern w:val="2"/>
                      <w:sz w:val="22"/>
                      <w:szCs w:val="22"/>
                      <w:lang w:eastAsia="zh-CN"/>
                    </w:rPr>
                    <w:t>Rated 4</w:t>
                  </w:r>
                </w:p>
              </w:tc>
              <w:tc>
                <w:tcPr>
                  <w:tcW w:w="1408" w:type="dxa"/>
                  <w:tcBorders>
                    <w:top w:val="single" w:color="1F1F1F" w:sz="8" w:space="0"/>
                    <w:left w:val="single" w:color="1F1F1F" w:sz="8" w:space="0"/>
                    <w:bottom w:val="single" w:color="1F1F1F" w:sz="8" w:space="0"/>
                    <w:right w:val="single" w:color="1F1F1F" w:sz="8" w:space="0"/>
                  </w:tcBorders>
                  <w:vAlign w:val="center"/>
                </w:tcPr>
                <w:p w14:paraId="1958E13C">
                  <w:pPr>
                    <w:rPr>
                      <w:rFonts w:hint="eastAsia" w:eastAsia="楷体" w:cs="Calibri"/>
                      <w:kern w:val="2"/>
                      <w:sz w:val="22"/>
                      <w:szCs w:val="22"/>
                      <w:lang w:eastAsia="zh-CN"/>
                    </w:rPr>
                  </w:pPr>
                  <w:r>
                    <w:rPr>
                      <w:rFonts w:hint="eastAsia" w:eastAsia="楷体" w:cs="Calibri"/>
                      <w:kern w:val="2"/>
                      <w:sz w:val="22"/>
                      <w:szCs w:val="22"/>
                      <w:lang w:eastAsia="zh-CN"/>
                    </w:rPr>
                    <w:t>Fault Tolerant</w:t>
                  </w:r>
                </w:p>
              </w:tc>
              <w:tc>
                <w:tcPr>
                  <w:tcW w:w="3320" w:type="dxa"/>
                  <w:tcBorders>
                    <w:top w:val="single" w:color="1F1F1F" w:sz="8" w:space="0"/>
                    <w:left w:val="single" w:color="1F1F1F" w:sz="8" w:space="0"/>
                    <w:bottom w:val="single" w:color="1F1F1F" w:sz="8" w:space="0"/>
                    <w:right w:val="single" w:color="1F1F1F" w:sz="8" w:space="0"/>
                  </w:tcBorders>
                  <w:vAlign w:val="center"/>
                </w:tcPr>
                <w:p w14:paraId="7BAF3E6F">
                  <w:pPr>
                    <w:rPr>
                      <w:rFonts w:hint="eastAsia" w:eastAsia="楷体" w:cs="Calibri"/>
                      <w:kern w:val="2"/>
                      <w:sz w:val="22"/>
                      <w:szCs w:val="22"/>
                      <w:lang w:eastAsia="zh-CN"/>
                    </w:rPr>
                  </w:pPr>
                  <w:r>
                    <w:rPr>
                      <w:rFonts w:hint="eastAsia" w:eastAsia="楷体" w:cs="Calibri"/>
                      <w:kern w:val="2"/>
                      <w:sz w:val="22"/>
                      <w:szCs w:val="22"/>
                      <w:lang w:eastAsia="zh-CN"/>
                    </w:rPr>
                    <w:t>Rated 1 + Rated 2 + Rated 3 + dual powersystems + HVACSystems + 99.995% availability.</w:t>
                  </w:r>
                </w:p>
              </w:tc>
              <w:tc>
                <w:tcPr>
                  <w:tcW w:w="1358" w:type="dxa"/>
                  <w:tcBorders>
                    <w:top w:val="single" w:color="1F1F1F" w:sz="8" w:space="0"/>
                    <w:left w:val="single" w:color="1F1F1F" w:sz="8" w:space="0"/>
                    <w:bottom w:val="single" w:color="1F1F1F" w:sz="8" w:space="0"/>
                    <w:right w:val="single" w:color="1F1F1F" w:sz="8" w:space="0"/>
                  </w:tcBorders>
                  <w:vAlign w:val="center"/>
                </w:tcPr>
                <w:p w14:paraId="56496F1F">
                  <w:pPr>
                    <w:rPr>
                      <w:rFonts w:hint="eastAsia" w:eastAsia="楷体" w:cs="Calibri"/>
                      <w:kern w:val="2"/>
                      <w:sz w:val="22"/>
                      <w:szCs w:val="22"/>
                      <w:lang w:eastAsia="zh-CN"/>
                    </w:rPr>
                  </w:pPr>
                  <w:r>
                    <w:rPr>
                      <w:rFonts w:hint="eastAsia" w:eastAsia="楷体" w:cs="Calibri"/>
                      <w:kern w:val="2"/>
                      <w:sz w:val="22"/>
                      <w:szCs w:val="22"/>
                      <w:lang w:eastAsia="zh-CN"/>
                    </w:rPr>
                    <w:t>2(N+1) or 2N</w:t>
                  </w:r>
                </w:p>
              </w:tc>
            </w:tr>
          </w:tbl>
          <w:p w14:paraId="775ADE9E">
            <w:pPr>
              <w:rPr>
                <w:rFonts w:hint="eastAsia" w:eastAsia="楷体" w:cs="Calibri"/>
                <w:kern w:val="2"/>
                <w:sz w:val="22"/>
                <w:szCs w:val="22"/>
                <w:lang w:eastAsia="zh-CN"/>
              </w:rPr>
            </w:pPr>
          </w:p>
        </w:tc>
      </w:tr>
      <w:tr w14:paraId="298E467B">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3A2BED4A">
            <w:pPr>
              <w:rPr>
                <w:rFonts w:hint="eastAsia" w:eastAsia="楷体" w:cs="Calibri"/>
                <w:kern w:val="2"/>
                <w:sz w:val="22"/>
                <w:szCs w:val="22"/>
                <w:lang w:eastAsia="zh-CN"/>
              </w:rPr>
            </w:pPr>
            <w:r>
              <w:rPr>
                <w:rFonts w:hint="eastAsia" w:eastAsia="楷体" w:cs="Calibri"/>
                <w:kern w:val="2"/>
                <w:sz w:val="16"/>
                <w:szCs w:val="16"/>
                <w:lang w:eastAsia="zh-CN"/>
              </w:rPr>
              <w:t>Source: Bloomberg, HFI</w:t>
            </w:r>
          </w:p>
        </w:tc>
      </w:tr>
    </w:tbl>
    <w:p w14:paraId="2C84C4FF">
      <w:pPr>
        <w:rPr>
          <w:rFonts w:hint="eastAsia" w:eastAsia="楷体" w:cs="Calibri"/>
          <w:kern w:val="2"/>
          <w:sz w:val="22"/>
          <w:szCs w:val="22"/>
          <w:lang w:eastAsia="zh-CN"/>
        </w:rPr>
      </w:pPr>
    </w:p>
    <w:p w14:paraId="75906D8B">
      <w:pPr>
        <w:widowControl w:val="0"/>
        <w:jc w:val="both"/>
        <w:rPr>
          <w:rFonts w:eastAsia="宋体" w:cs="Calibri"/>
          <w:kern w:val="2"/>
          <w:sz w:val="22"/>
          <w:szCs w:val="22"/>
          <w:lang w:eastAsia="zh-CN"/>
        </w:rPr>
      </w:pPr>
      <w:r>
        <w:rPr>
          <w:rFonts w:eastAsia="宋体" w:cs="Calibri"/>
          <w:kern w:val="2"/>
          <w:sz w:val="22"/>
          <w:szCs w:val="22"/>
          <w:lang w:eastAsia="zh-CN"/>
        </w:rPr>
        <w:t>In light of these evolving requirements, the landscape of AIDC power infrastructure is shifting from a commodity-based market to one defined by high-stakes engineering and integrated reliability. As power densities climb and the margin for error shrinks, the industry is no longer just looking for individual components, but for sophisticated, end-to-end power trains that can handle the volatile load swings characteristic of GPU-accelerated computing. This transition favors providers who possess the technical depth to bridge the gap between utility-scale power entry and chip-level delivery, ensuring that the increased redundancy does not result in prohibitive complexity or inefficiency.</w:t>
      </w:r>
    </w:p>
    <w:p w14:paraId="6E231E46">
      <w:pPr>
        <w:widowControl w:val="0"/>
        <w:jc w:val="both"/>
        <w:rPr>
          <w:rFonts w:eastAsia="宋体" w:cs="Calibri"/>
          <w:kern w:val="2"/>
          <w:sz w:val="22"/>
          <w:szCs w:val="22"/>
          <w:lang w:eastAsia="zh-CN"/>
        </w:rPr>
      </w:pPr>
    </w:p>
    <w:p w14:paraId="21D7AE43">
      <w:pPr>
        <w:widowControl w:val="0"/>
        <w:jc w:val="both"/>
        <w:rPr>
          <w:rFonts w:eastAsia="宋体" w:cs="Calibri"/>
          <w:kern w:val="2"/>
          <w:sz w:val="22"/>
          <w:szCs w:val="22"/>
          <w:lang w:eastAsia="zh-CN"/>
        </w:rPr>
      </w:pPr>
      <w:r>
        <w:rPr>
          <w:rFonts w:eastAsia="宋体" w:cs="Calibri"/>
          <w:kern w:val="2"/>
          <w:sz w:val="22"/>
          <w:szCs w:val="22"/>
          <w:lang w:eastAsia="zh-CN"/>
        </w:rPr>
        <w:t>Vertiv occupies a preeminent position within this high-growth sector by offering a uniquely holistic power architecture that transforms these challenges into operational advantages. While many competitors focus on isolated segments of the power chain, Vertiv’s strength lies in its ability to deliver integrated, large-scale power blocks that are specifically optimized for the rapid deployment cycles of AI hyperscalers. By leveraging a deep heritage in mission-critical infrastructure, Vertiv provides the high-capacity switchgear and UPS systems necessary to support N+1 and 2N architectures with a level of modularity that allows operators to scale their power capacity in lockstep with their compute density. This seamless integration not only simplifies the increasingly dense power train but also maximizes the total cost of ownership through superior energy efficiency and a proven track record of maintaining uptime in the world's most demanding AI environments.</w:t>
      </w:r>
    </w:p>
    <w:p w14:paraId="73DAFBC9">
      <w:pPr>
        <w:pStyle w:val="151"/>
        <w:jc w:val="both"/>
        <w:rPr>
          <w:rFonts w:ascii="Calibri" w:hAnsi="Calibri" w:eastAsia="楷体" w:cs="Calibri"/>
          <w:color w:val="23558C"/>
          <w:kern w:val="2"/>
          <w:sz w:val="22"/>
          <w:szCs w:val="22"/>
        </w:rPr>
      </w:pPr>
      <w:bookmarkStart w:id="7" w:name="_Toc16042"/>
      <w:r>
        <w:rPr>
          <w:rFonts w:ascii="Calibri" w:hAnsi="Calibri" w:eastAsia="楷体_GB2312" w:cs="Calibri"/>
          <w:color w:val="23558C"/>
          <w:sz w:val="24"/>
        </w:rPr>
        <w:t>2.</w:t>
      </w:r>
      <w:r>
        <w:rPr>
          <w:rFonts w:hint="eastAsia" w:ascii="Calibri" w:hAnsi="Calibri" w:eastAsia="楷体_GB2312" w:cs="Calibri"/>
          <w:color w:val="23558C"/>
          <w:sz w:val="24"/>
        </w:rPr>
        <w:t>3</w:t>
      </w:r>
      <w:r>
        <w:rPr>
          <w:rFonts w:ascii="Calibri" w:hAnsi="Calibri" w:eastAsia="楷体_GB2312" w:cs="Calibri"/>
          <w:color w:val="23558C"/>
          <w:sz w:val="24"/>
        </w:rPr>
        <w:t xml:space="preserve"> Cooling AI: liquid cooling penetration</w:t>
      </w:r>
      <w:r>
        <w:rPr>
          <w:rFonts w:hint="eastAsia" w:ascii="Calibri" w:hAnsi="Calibri" w:eastAsia="楷体_GB2312" w:cs="Calibri"/>
          <w:color w:val="23558C"/>
          <w:sz w:val="24"/>
        </w:rPr>
        <w:t xml:space="preserve"> is</w:t>
      </w:r>
      <w:r>
        <w:rPr>
          <w:rFonts w:ascii="Calibri" w:hAnsi="Calibri" w:eastAsia="楷体_GB2312" w:cs="Calibri"/>
          <w:color w:val="23558C"/>
          <w:sz w:val="24"/>
        </w:rPr>
        <w:t xml:space="preserve"> up</w:t>
      </w:r>
      <w:bookmarkEnd w:id="7"/>
    </w:p>
    <w:p w14:paraId="09BD5406">
      <w:pPr>
        <w:jc w:val="both"/>
        <w:rPr>
          <w:rFonts w:hint="eastAsia" w:eastAsia="楷体" w:cs="Calibri"/>
          <w:kern w:val="2"/>
          <w:sz w:val="22"/>
          <w:szCs w:val="22"/>
          <w:lang w:val="zh-CN"/>
        </w:rPr>
      </w:pPr>
      <w:r>
        <w:rPr>
          <w:rFonts w:eastAsia="楷体" w:cs="Calibri"/>
          <w:b/>
          <w:bCs/>
          <w:kern w:val="2"/>
          <w:sz w:val="22"/>
          <w:szCs w:val="22"/>
          <w:lang w:val="zh-CN" w:eastAsia="zh-CN"/>
        </w:rPr>
        <w:t>Cooling is indispensable in data cente</w:t>
      </w:r>
      <w:r>
        <w:rPr>
          <w:rFonts w:hint="eastAsia" w:eastAsia="楷体" w:cs="Calibri"/>
          <w:b/>
          <w:bCs/>
          <w:kern w:val="2"/>
          <w:sz w:val="22"/>
          <w:szCs w:val="22"/>
          <w:lang w:val="zh-CN" w:eastAsia="zh-CN"/>
        </w:rPr>
        <w:t xml:space="preserve">rs, </w:t>
      </w:r>
      <w:r>
        <w:rPr>
          <w:rFonts w:eastAsia="楷体" w:cs="Calibri"/>
          <w:b/>
          <w:bCs/>
          <w:kern w:val="2"/>
          <w:sz w:val="22"/>
          <w:szCs w:val="22"/>
          <w:lang w:eastAsia="zh-CN"/>
        </w:rPr>
        <w:t>represent</w:t>
      </w:r>
      <w:r>
        <w:rPr>
          <w:rFonts w:hint="eastAsia" w:eastAsia="楷体" w:cs="Calibri"/>
          <w:b/>
          <w:bCs/>
          <w:kern w:val="2"/>
          <w:sz w:val="22"/>
          <w:szCs w:val="22"/>
          <w:lang w:eastAsia="zh-CN"/>
        </w:rPr>
        <w:t>ing</w:t>
      </w:r>
      <w:r>
        <w:rPr>
          <w:rFonts w:eastAsia="楷体" w:cs="Calibri"/>
          <w:b/>
          <w:bCs/>
          <w:kern w:val="2"/>
          <w:sz w:val="22"/>
          <w:szCs w:val="22"/>
          <w:lang w:eastAsia="zh-CN"/>
        </w:rPr>
        <w:t xml:space="preserve"> ~30% of total power consumption</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 xml:space="preserve">The critical IT equipment in a data center </w:t>
      </w:r>
      <w:r>
        <w:rPr>
          <w:rFonts w:eastAsia="楷体" w:cs="Calibri"/>
          <w:kern w:val="2"/>
          <w:sz w:val="22"/>
          <w:szCs w:val="22"/>
          <w:lang w:val="zh-CN"/>
        </w:rPr>
        <w:t>operate</w:t>
      </w:r>
      <w:r>
        <w:rPr>
          <w:rFonts w:hint="eastAsia" w:eastAsia="楷体" w:cs="Calibri"/>
          <w:kern w:val="2"/>
          <w:sz w:val="22"/>
          <w:szCs w:val="22"/>
          <w:lang w:val="zh-CN" w:eastAsia="zh-CN"/>
        </w:rPr>
        <w:t>s</w:t>
      </w:r>
      <w:r>
        <w:rPr>
          <w:rFonts w:eastAsia="楷体" w:cs="Calibri"/>
          <w:kern w:val="2"/>
          <w:sz w:val="22"/>
          <w:szCs w:val="22"/>
          <w:lang w:val="zh-CN"/>
        </w:rPr>
        <w:t xml:space="preserve"> continuously around the clock</w:t>
      </w:r>
      <w:r>
        <w:rPr>
          <w:rFonts w:hint="eastAsia" w:eastAsia="楷体" w:cs="Calibri"/>
          <w:kern w:val="2"/>
          <w:sz w:val="22"/>
          <w:szCs w:val="22"/>
          <w:lang w:val="zh-CN" w:eastAsia="zh-CN"/>
        </w:rPr>
        <w:t xml:space="preserve"> </w:t>
      </w:r>
      <w:r>
        <w:rPr>
          <w:rFonts w:eastAsia="楷体" w:cs="Calibri"/>
          <w:kern w:val="2"/>
          <w:sz w:val="22"/>
          <w:szCs w:val="22"/>
          <w:lang w:val="zh-CN"/>
        </w:rPr>
        <w:t>24/7</w:t>
      </w:r>
      <w:r>
        <w:rPr>
          <w:rFonts w:eastAsia="楷体" w:cs="Calibri"/>
          <w:kern w:val="2"/>
          <w:sz w:val="22"/>
          <w:szCs w:val="22"/>
          <w:lang w:eastAsia="zh-CN"/>
        </w:rPr>
        <w:t>, generating a lot of heat in the white space. This makes cooling critical to ensure that the IT space operates safely and efficiently, as excessively high temperatures can cause an electrical short-circuit and excessive humidity can cause condensation and hence machine outage</w:t>
      </w:r>
      <w:r>
        <w:rPr>
          <w:rFonts w:hint="eastAsia" w:eastAsia="楷体" w:cs="Calibri"/>
          <w:kern w:val="2"/>
          <w:sz w:val="22"/>
          <w:szCs w:val="22"/>
          <w:lang w:eastAsia="zh-CN"/>
        </w:rPr>
        <w:t>.</w:t>
      </w:r>
    </w:p>
    <w:p w14:paraId="3DED12B8">
      <w:pPr>
        <w:rPr>
          <w:rFonts w:eastAsia="楷体" w:cs="Calibri"/>
          <w:b/>
          <w:bCs/>
          <w:kern w:val="2"/>
          <w:sz w:val="22"/>
          <w:szCs w:val="22"/>
          <w:lang w:eastAsia="zh-CN"/>
        </w:rPr>
      </w:pPr>
      <w:r>
        <w:rPr>
          <w:rFonts w:eastAsia="楷体" w:cs="Calibri"/>
          <w:b/>
          <w:bCs/>
          <w:kern w:val="2"/>
          <w:sz w:val="22"/>
          <w:szCs w:val="22"/>
          <w:lang w:eastAsia="zh-CN"/>
        </w:rPr>
        <w:br w:type="page"/>
      </w:r>
    </w:p>
    <w:p w14:paraId="0500C4D7">
      <w:pPr>
        <w:jc w:val="both"/>
        <w:rPr>
          <w:rFonts w:eastAsia="楷体" w:cs="Calibri"/>
          <w:kern w:val="2"/>
          <w:sz w:val="22"/>
          <w:szCs w:val="22"/>
          <w:lang w:eastAsia="zh-CN"/>
        </w:rPr>
      </w:pPr>
      <w:r>
        <w:rPr>
          <w:rFonts w:hint="eastAsia" w:eastAsia="楷体" w:cs="Calibri"/>
          <w:b/>
          <w:bCs/>
          <w:kern w:val="2"/>
          <w:sz w:val="22"/>
          <w:szCs w:val="22"/>
          <w:lang w:eastAsia="zh-CN"/>
        </w:rPr>
        <w:t>T</w:t>
      </w:r>
      <w:r>
        <w:rPr>
          <w:rFonts w:eastAsia="楷体" w:cs="Calibri"/>
          <w:b/>
          <w:bCs/>
          <w:kern w:val="2"/>
          <w:sz w:val="22"/>
          <w:szCs w:val="22"/>
          <w:lang w:eastAsia="zh-CN"/>
        </w:rPr>
        <w:t>he densification of AI server clusters is forcing an evolution from air-cooled to liquid-cooled to address increasing power requirements</w:t>
      </w:r>
      <w:r>
        <w:rPr>
          <w:rFonts w:hint="eastAsia" w:eastAsia="楷体" w:cs="Calibri"/>
          <w:b/>
          <w:bCs/>
          <w:kern w:val="2"/>
          <w:sz w:val="22"/>
          <w:szCs w:val="22"/>
          <w:lang w:eastAsia="zh-CN"/>
        </w:rPr>
        <w:t xml:space="preserve">. </w:t>
      </w:r>
      <w:r>
        <w:rPr>
          <w:rFonts w:eastAsia="楷体" w:cs="Calibri"/>
          <w:kern w:val="2"/>
          <w:sz w:val="22"/>
          <w:szCs w:val="22"/>
          <w:lang w:eastAsia="zh-CN"/>
        </w:rPr>
        <w:t>As GPU thermal densities skyrocket and racks become more crowded to meet HPC demands</w:t>
      </w:r>
      <w:r>
        <w:rPr>
          <w:rFonts w:hint="eastAsia" w:eastAsia="楷体" w:cs="Calibri"/>
          <w:kern w:val="2"/>
          <w:sz w:val="22"/>
          <w:szCs w:val="22"/>
          <w:lang w:eastAsia="zh-CN"/>
        </w:rPr>
        <w:t>, a</w:t>
      </w:r>
      <w:r>
        <w:rPr>
          <w:rFonts w:eastAsia="楷体" w:cs="Calibri"/>
          <w:kern w:val="2"/>
          <w:sz w:val="22"/>
          <w:szCs w:val="22"/>
          <w:lang w:eastAsia="zh-CN"/>
        </w:rPr>
        <w:t>ir processing is now showing its limits. Traditional air cooling can</w:t>
      </w:r>
      <w:r>
        <w:rPr>
          <w:rFonts w:hint="eastAsia" w:eastAsia="楷体" w:cs="Calibri"/>
          <w:kern w:val="2"/>
          <w:sz w:val="22"/>
          <w:szCs w:val="22"/>
          <w:lang w:eastAsia="zh-CN"/>
        </w:rPr>
        <w:t>not</w:t>
      </w:r>
      <w:r>
        <w:rPr>
          <w:rFonts w:eastAsia="楷体" w:cs="Calibri"/>
          <w:kern w:val="2"/>
          <w:sz w:val="22"/>
          <w:szCs w:val="22"/>
          <w:lang w:eastAsia="zh-CN"/>
        </w:rPr>
        <w:t xml:space="preserve"> cool high-density racks efficiently and sustainably.</w:t>
      </w:r>
      <w:r>
        <w:t xml:space="preserve"> </w:t>
      </w:r>
      <w:r>
        <w:rPr>
          <w:rFonts w:eastAsia="楷体" w:cs="Calibri"/>
          <w:kern w:val="2"/>
          <w:sz w:val="22"/>
          <w:szCs w:val="22"/>
          <w:lang w:eastAsia="zh-CN"/>
        </w:rPr>
        <w:t>With a 10°C temperature spike capable of cutting a server's reliability</w:t>
      </w:r>
      <w:r>
        <w:rPr>
          <w:rFonts w:hint="eastAsia" w:eastAsia="楷体" w:cs="Calibri"/>
          <w:kern w:val="2"/>
          <w:sz w:val="22"/>
          <w:szCs w:val="22"/>
          <w:lang w:eastAsia="zh-CN"/>
        </w:rPr>
        <w:t xml:space="preserve"> </w:t>
      </w:r>
      <w:r>
        <w:rPr>
          <w:rFonts w:eastAsia="楷体" w:cs="Calibri"/>
          <w:kern w:val="2"/>
          <w:sz w:val="22"/>
          <w:szCs w:val="22"/>
          <w:lang w:eastAsia="zh-CN"/>
        </w:rPr>
        <w:t>and</w:t>
      </w:r>
      <w:r>
        <w:rPr>
          <w:rFonts w:hint="eastAsia" w:eastAsia="楷体" w:cs="Calibri"/>
          <w:kern w:val="2"/>
          <w:sz w:val="22"/>
          <w:szCs w:val="22"/>
          <w:lang w:eastAsia="zh-CN"/>
        </w:rPr>
        <w:t xml:space="preserve"> </w:t>
      </w:r>
      <w:r>
        <w:rPr>
          <w:rFonts w:eastAsia="楷体" w:cs="Calibri"/>
          <w:kern w:val="2"/>
          <w:sz w:val="22"/>
          <w:szCs w:val="22"/>
          <w:lang w:eastAsia="zh-CN"/>
        </w:rPr>
        <w:t xml:space="preserve">lifespan in half, </w:t>
      </w:r>
      <w:r>
        <w:rPr>
          <w:rFonts w:hint="eastAsia" w:eastAsia="楷体" w:cs="Calibri"/>
          <w:kern w:val="2"/>
          <w:sz w:val="22"/>
          <w:szCs w:val="22"/>
          <w:lang w:eastAsia="zh-CN"/>
        </w:rPr>
        <w:t>data</w:t>
      </w:r>
      <w:r>
        <w:rPr>
          <w:rFonts w:eastAsia="楷体" w:cs="Calibri"/>
          <w:kern w:val="2"/>
          <w:sz w:val="22"/>
          <w:szCs w:val="22"/>
          <w:lang w:eastAsia="zh-CN"/>
        </w:rPr>
        <w:t xml:space="preserve"> center operators are </w:t>
      </w:r>
      <w:r>
        <w:rPr>
          <w:rFonts w:hint="eastAsia" w:eastAsia="楷体" w:cs="Calibri"/>
          <w:kern w:val="2"/>
          <w:sz w:val="22"/>
          <w:szCs w:val="22"/>
          <w:lang w:eastAsia="zh-CN"/>
        </w:rPr>
        <w:t>turning from r</w:t>
      </w:r>
      <w:r>
        <w:rPr>
          <w:rFonts w:eastAsia="楷体" w:cs="Calibri"/>
          <w:kern w:val="2"/>
          <w:sz w:val="22"/>
          <w:szCs w:val="22"/>
          <w:lang w:eastAsia="zh-CN"/>
        </w:rPr>
        <w:t xml:space="preserve">oom-based </w:t>
      </w:r>
      <w:r>
        <w:rPr>
          <w:rFonts w:hint="eastAsia" w:eastAsia="楷体" w:cs="Calibri"/>
          <w:kern w:val="2"/>
          <w:sz w:val="22"/>
          <w:szCs w:val="22"/>
          <w:lang w:eastAsia="zh-CN"/>
        </w:rPr>
        <w:t>c</w:t>
      </w:r>
      <w:r>
        <w:rPr>
          <w:rFonts w:eastAsia="楷体" w:cs="Calibri"/>
          <w:kern w:val="2"/>
          <w:sz w:val="22"/>
          <w:szCs w:val="22"/>
          <w:lang w:eastAsia="zh-CN"/>
        </w:rPr>
        <w:t>ooling</w:t>
      </w:r>
      <w:r>
        <w:rPr>
          <w:rFonts w:hint="eastAsia" w:eastAsia="楷体" w:cs="Calibri"/>
          <w:kern w:val="2"/>
          <w:sz w:val="22"/>
          <w:szCs w:val="22"/>
          <w:lang w:eastAsia="zh-CN"/>
        </w:rPr>
        <w:t xml:space="preserve"> and r</w:t>
      </w:r>
      <w:r>
        <w:rPr>
          <w:rFonts w:eastAsia="楷体" w:cs="Calibri"/>
          <w:kern w:val="2"/>
          <w:sz w:val="22"/>
          <w:szCs w:val="22"/>
          <w:lang w:eastAsia="zh-CN"/>
        </w:rPr>
        <w:t xml:space="preserve">ow-based </w:t>
      </w:r>
      <w:r>
        <w:rPr>
          <w:rFonts w:hint="eastAsia" w:eastAsia="楷体" w:cs="Calibri"/>
          <w:kern w:val="2"/>
          <w:sz w:val="22"/>
          <w:szCs w:val="22"/>
          <w:lang w:eastAsia="zh-CN"/>
        </w:rPr>
        <w:t>c</w:t>
      </w:r>
      <w:r>
        <w:rPr>
          <w:rFonts w:eastAsia="楷体" w:cs="Calibri"/>
          <w:kern w:val="2"/>
          <w:sz w:val="22"/>
          <w:szCs w:val="22"/>
          <w:lang w:eastAsia="zh-CN"/>
        </w:rPr>
        <w:t xml:space="preserve">ooling </w:t>
      </w:r>
      <w:r>
        <w:rPr>
          <w:rFonts w:hint="eastAsia" w:eastAsia="楷体" w:cs="Calibri"/>
          <w:kern w:val="2"/>
          <w:sz w:val="22"/>
          <w:szCs w:val="22"/>
          <w:lang w:eastAsia="zh-CN"/>
        </w:rPr>
        <w:t>to</w:t>
      </w:r>
      <w:r>
        <w:t xml:space="preserve"> </w:t>
      </w:r>
      <w:r>
        <w:rPr>
          <w:rFonts w:hint="eastAsia" w:eastAsia="楷体" w:cs="Calibri"/>
          <w:kern w:val="2"/>
          <w:sz w:val="22"/>
          <w:szCs w:val="22"/>
          <w:lang w:eastAsia="zh-CN"/>
        </w:rPr>
        <w:t>r</w:t>
      </w:r>
      <w:r>
        <w:rPr>
          <w:rFonts w:eastAsia="楷体" w:cs="Calibri"/>
          <w:kern w:val="2"/>
          <w:sz w:val="22"/>
          <w:szCs w:val="22"/>
          <w:lang w:eastAsia="zh-CN"/>
        </w:rPr>
        <w:t xml:space="preserve">ack-level </w:t>
      </w:r>
      <w:r>
        <w:rPr>
          <w:rFonts w:hint="eastAsia" w:eastAsia="楷体" w:cs="Calibri"/>
          <w:kern w:val="2"/>
          <w:sz w:val="22"/>
          <w:szCs w:val="22"/>
          <w:lang w:eastAsia="zh-CN"/>
        </w:rPr>
        <w:t>c</w:t>
      </w:r>
      <w:r>
        <w:rPr>
          <w:rFonts w:eastAsia="楷体" w:cs="Calibri"/>
          <w:kern w:val="2"/>
          <w:sz w:val="22"/>
          <w:szCs w:val="22"/>
          <w:lang w:eastAsia="zh-CN"/>
        </w:rPr>
        <w:t>ooling</w:t>
      </w:r>
      <w:r>
        <w:rPr>
          <w:rFonts w:hint="eastAsia" w:eastAsia="楷体" w:cs="Calibri"/>
          <w:kern w:val="2"/>
          <w:sz w:val="22"/>
          <w:szCs w:val="22"/>
          <w:lang w:eastAsia="zh-CN"/>
        </w:rPr>
        <w:t xml:space="preserve"> and even</w:t>
      </w:r>
      <w:r>
        <w:rPr>
          <w:rFonts w:eastAsia="楷体" w:cs="Calibri"/>
          <w:kern w:val="2"/>
          <w:sz w:val="22"/>
          <w:szCs w:val="22"/>
          <w:lang w:eastAsia="zh-CN"/>
        </w:rPr>
        <w:t xml:space="preserve"> liquid cooling options</w:t>
      </w:r>
      <w:r>
        <w:rPr>
          <w:rFonts w:hint="eastAsia" w:eastAsia="楷体" w:cs="Calibri"/>
          <w:kern w:val="2"/>
          <w:sz w:val="22"/>
          <w:szCs w:val="22"/>
          <w:lang w:eastAsia="zh-CN"/>
        </w:rPr>
        <w:t xml:space="preserve"> </w:t>
      </w:r>
      <w:r>
        <w:rPr>
          <w:rFonts w:eastAsia="楷体" w:cs="Calibri"/>
          <w:kern w:val="2"/>
          <w:sz w:val="22"/>
          <w:szCs w:val="22"/>
          <w:lang w:eastAsia="zh-CN"/>
        </w:rPr>
        <w:t>to ensure the reliability and sustainability of AI-driven infrastructure.</w:t>
      </w:r>
      <w:r>
        <w:rPr>
          <w:rFonts w:hint="eastAsia" w:eastAsia="楷体" w:cs="Calibri"/>
          <w:kern w:val="2"/>
          <w:sz w:val="22"/>
          <w:szCs w:val="22"/>
          <w:lang w:eastAsia="zh-CN"/>
        </w:rPr>
        <w:t xml:space="preserve"> Grand view research estimates that th</w:t>
      </w:r>
      <w:r>
        <w:rPr>
          <w:rFonts w:eastAsia="楷体" w:cs="Calibri"/>
          <w:kern w:val="2"/>
          <w:sz w:val="22"/>
          <w:szCs w:val="22"/>
          <w:lang w:eastAsia="zh-CN"/>
        </w:rPr>
        <w:t xml:space="preserve">e global data center liquid cooling market size was </w:t>
      </w:r>
      <w:r>
        <w:rPr>
          <w:rFonts w:hint="eastAsia" w:eastAsia="楷体" w:cs="Calibri"/>
          <w:kern w:val="2"/>
          <w:sz w:val="22"/>
          <w:szCs w:val="22"/>
          <w:lang w:eastAsia="zh-CN"/>
        </w:rPr>
        <w:t>$</w:t>
      </w:r>
      <w:r>
        <w:rPr>
          <w:rFonts w:eastAsia="楷体" w:cs="Calibri"/>
          <w:kern w:val="2"/>
          <w:sz w:val="22"/>
          <w:szCs w:val="22"/>
          <w:lang w:eastAsia="zh-CN"/>
        </w:rPr>
        <w:t>5.38 billion in 2024</w:t>
      </w:r>
      <w:r>
        <w:rPr>
          <w:rFonts w:hint="eastAsia" w:eastAsia="楷体" w:cs="Calibri"/>
          <w:kern w:val="2"/>
          <w:sz w:val="22"/>
          <w:szCs w:val="22"/>
          <w:lang w:eastAsia="zh-CN"/>
        </w:rPr>
        <w:t xml:space="preserve"> with </w:t>
      </w:r>
      <w:r>
        <w:rPr>
          <w:rFonts w:eastAsia="楷体" w:cs="Calibri"/>
          <w:kern w:val="2"/>
          <w:sz w:val="22"/>
          <w:szCs w:val="22"/>
          <w:lang w:eastAsia="zh-CN"/>
        </w:rPr>
        <w:t>North America</w:t>
      </w:r>
      <w:r>
        <w:rPr>
          <w:rFonts w:hint="eastAsia" w:eastAsia="楷体" w:cs="Calibri"/>
          <w:kern w:val="2"/>
          <w:sz w:val="22"/>
          <w:szCs w:val="22"/>
          <w:lang w:eastAsia="zh-CN"/>
        </w:rPr>
        <w:t xml:space="preserve"> being the</w:t>
      </w:r>
      <w:r>
        <w:rPr>
          <w:rFonts w:eastAsia="楷体" w:cs="Calibri"/>
          <w:kern w:val="2"/>
          <w:sz w:val="22"/>
          <w:szCs w:val="22"/>
          <w:lang w:eastAsia="zh-CN"/>
        </w:rPr>
        <w:t xml:space="preserve"> </w:t>
      </w:r>
      <w:r>
        <w:rPr>
          <w:rFonts w:hint="eastAsia" w:eastAsia="楷体" w:cs="Calibri"/>
          <w:kern w:val="2"/>
          <w:sz w:val="22"/>
          <w:szCs w:val="22"/>
          <w:lang w:eastAsia="zh-CN"/>
        </w:rPr>
        <w:t>l</w:t>
      </w:r>
      <w:r>
        <w:rPr>
          <w:rFonts w:eastAsia="楷体" w:cs="Calibri"/>
          <w:kern w:val="2"/>
          <w:sz w:val="22"/>
          <w:szCs w:val="22"/>
          <w:lang w:eastAsia="zh-CN"/>
        </w:rPr>
        <w:t>argest market and project</w:t>
      </w:r>
      <w:r>
        <w:rPr>
          <w:rFonts w:hint="eastAsia" w:eastAsia="楷体" w:cs="Calibri"/>
          <w:kern w:val="2"/>
          <w:sz w:val="22"/>
          <w:szCs w:val="22"/>
          <w:lang w:eastAsia="zh-CN"/>
        </w:rPr>
        <w:t xml:space="preserve">s it </w:t>
      </w:r>
      <w:r>
        <w:rPr>
          <w:rFonts w:eastAsia="楷体" w:cs="Calibri"/>
          <w:kern w:val="2"/>
          <w:sz w:val="22"/>
          <w:szCs w:val="22"/>
          <w:lang w:eastAsia="zh-CN"/>
        </w:rPr>
        <w:t xml:space="preserve">to reach </w:t>
      </w:r>
      <w:r>
        <w:rPr>
          <w:rFonts w:hint="eastAsia" w:eastAsia="楷体" w:cs="Calibri"/>
          <w:kern w:val="2"/>
          <w:sz w:val="22"/>
          <w:szCs w:val="22"/>
          <w:lang w:eastAsia="zh-CN"/>
        </w:rPr>
        <w:t>$</w:t>
      </w:r>
      <w:r>
        <w:rPr>
          <w:rFonts w:eastAsia="楷体" w:cs="Calibri"/>
          <w:kern w:val="2"/>
          <w:sz w:val="22"/>
          <w:szCs w:val="22"/>
          <w:lang w:eastAsia="zh-CN"/>
        </w:rPr>
        <w:t xml:space="preserve"> 17.77 billion by 2030, growing at a CAGR of 21.6% from 2025 to 2030</w:t>
      </w:r>
      <w:r>
        <w:rPr>
          <w:rFonts w:hint="eastAsia" w:eastAsia="楷体" w:cs="Calibri"/>
          <w:kern w:val="2"/>
          <w:sz w:val="22"/>
          <w:szCs w:val="22"/>
          <w:lang w:eastAsia="zh-CN"/>
        </w:rPr>
        <w:t>.</w:t>
      </w:r>
    </w:p>
    <w:tbl>
      <w:tblPr>
        <w:tblStyle w:val="15"/>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0FA2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291EE313">
            <w:pPr>
              <w:rPr>
                <w:rFonts w:eastAsia="楷体" w:cs="Calibri"/>
                <w:b/>
                <w:bCs/>
                <w:kern w:val="2"/>
                <w:sz w:val="22"/>
                <w:szCs w:val="22"/>
                <w:lang w:val="zh-CN" w:eastAsia="zh-CN"/>
              </w:rPr>
            </w:pPr>
            <w:r>
              <w:rPr>
                <w:rFonts w:eastAsia="楷体" w:cs="Calibri"/>
                <w:b/>
                <w:bCs/>
                <w:kern w:val="2"/>
                <w:sz w:val="22"/>
                <w:szCs w:val="22"/>
                <w:lang w:eastAsia="zh-CN"/>
              </w:rPr>
              <w:t>Figure: Liquid cooling versus air cooling</w:t>
            </w:r>
          </w:p>
        </w:tc>
      </w:tr>
      <w:tr w14:paraId="49BF7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nil"/>
              <w:bottom w:val="nil"/>
            </w:tcBorders>
            <w:tcMar>
              <w:top w:w="28" w:type="dxa"/>
              <w:bottom w:w="28" w:type="dxa"/>
            </w:tcMar>
            <w:vAlign w:val="center"/>
          </w:tcPr>
          <w:p w14:paraId="38344ECA">
            <w:pPr>
              <w:rPr>
                <w:rFonts w:eastAsia="楷体" w:cs="Calibri"/>
                <w:b/>
                <w:bCs/>
                <w:kern w:val="2"/>
                <w:sz w:val="22"/>
                <w:szCs w:val="22"/>
                <w:lang w:eastAsia="zh-CN"/>
              </w:rPr>
            </w:pPr>
            <w:r>
              <w:rPr>
                <w:rFonts w:eastAsia="楷体" w:cs="Calibri"/>
                <w:b/>
                <w:bCs/>
                <w:kern w:val="2"/>
                <w:sz w:val="22"/>
                <w:szCs w:val="22"/>
                <w:lang w:eastAsia="zh-CN"/>
              </w:rPr>
              <w:drawing>
                <wp:inline distT="0" distB="0" distL="0" distR="0">
                  <wp:extent cx="6343650" cy="3239135"/>
                  <wp:effectExtent l="0" t="0" r="11430" b="6985"/>
                  <wp:docPr id="147347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0246" name="Picture 1"/>
                          <pic:cNvPicPr>
                            <a:picLocks noChangeAspect="1"/>
                          </pic:cNvPicPr>
                        </pic:nvPicPr>
                        <pic:blipFill>
                          <a:blip r:embed="rId32"/>
                          <a:stretch>
                            <a:fillRect/>
                          </a:stretch>
                        </pic:blipFill>
                        <pic:spPr>
                          <a:xfrm>
                            <a:off x="0" y="0"/>
                            <a:ext cx="6343650" cy="3239135"/>
                          </a:xfrm>
                          <a:prstGeom prst="rect">
                            <a:avLst/>
                          </a:prstGeom>
                        </pic:spPr>
                      </pic:pic>
                    </a:graphicData>
                  </a:graphic>
                </wp:inline>
              </w:drawing>
            </w:r>
          </w:p>
        </w:tc>
      </w:tr>
      <w:tr w14:paraId="4881B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nil"/>
            </w:tcBorders>
          </w:tcPr>
          <w:p w14:paraId="525CADBB">
            <w:pPr>
              <w:rPr>
                <w:rFonts w:eastAsia="楷体" w:cs="Calibri"/>
                <w:b/>
                <w:bCs/>
                <w:kern w:val="2"/>
                <w:sz w:val="22"/>
                <w:szCs w:val="22"/>
                <w:lang w:eastAsia="zh-CN"/>
              </w:rPr>
            </w:pPr>
            <w:r>
              <w:rPr>
                <w:rFonts w:eastAsia="楷体" w:cs="Calibri"/>
                <w:kern w:val="2"/>
                <w:lang w:eastAsia="zh-CN"/>
              </w:rPr>
              <w:t>Source：Company, HFI</w:t>
            </w:r>
          </w:p>
        </w:tc>
      </w:tr>
    </w:tbl>
    <w:p w14:paraId="652A2792">
      <w:pPr>
        <w:pStyle w:val="30"/>
        <w:numPr>
          <w:ilvl w:val="0"/>
          <w:numId w:val="0"/>
        </w:numPr>
        <w:jc w:val="both"/>
        <w:rPr>
          <w:rFonts w:hint="eastAsia" w:eastAsia="楷体" w:cs="Calibri"/>
          <w:b/>
          <w:bCs/>
          <w:kern w:val="2"/>
          <w:sz w:val="22"/>
          <w:szCs w:val="22"/>
          <w:lang w:eastAsia="zh-CN"/>
        </w:rPr>
      </w:pPr>
    </w:p>
    <w:p w14:paraId="0494B9A2">
      <w:pPr>
        <w:pStyle w:val="30"/>
        <w:numPr>
          <w:ilvl w:val="0"/>
          <w:numId w:val="0"/>
        </w:numPr>
        <w:jc w:val="both"/>
        <w:rPr>
          <w:rFonts w:hint="eastAsia" w:eastAsia="楷体" w:cs="Calibri"/>
          <w:kern w:val="2"/>
          <w:sz w:val="22"/>
          <w:szCs w:val="22"/>
          <w:lang w:eastAsia="zh-CN"/>
        </w:rPr>
      </w:pPr>
      <w:r>
        <w:rPr>
          <w:rFonts w:hint="eastAsia" w:eastAsia="楷体" w:cs="Calibri"/>
          <w:b/>
          <w:bCs/>
          <w:kern w:val="2"/>
          <w:sz w:val="22"/>
          <w:szCs w:val="22"/>
          <w:lang w:eastAsia="zh-CN"/>
        </w:rPr>
        <w:t>Beyond its impressive efficiency, liquid cooling represents a fundamental shift in data center thermodynamics</w:t>
      </w:r>
      <w:r>
        <w:rPr>
          <w:rFonts w:hint="eastAsia" w:eastAsia="楷体" w:cs="Calibri"/>
          <w:kern w:val="2"/>
          <w:sz w:val="22"/>
          <w:szCs w:val="22"/>
          <w:lang w:eastAsia="zh-CN"/>
        </w:rPr>
        <w:t xml:space="preserve"> by leveraging fluids that are up to 3,000 times more effective at heat transfer than air. This superior thermal performance enables a dramatic reduction in energy consumption, allowing facilities to drive Power Usage Effectiveness (PUE) down to 1.1 or lower by eliminating the need for power-hungry fans and massive HVAC systems. Furthermore, the use of closed-loop systems promotes significant water conservation and optimizes the physical footprint of the data center, allowing for much higher compute density without the spatial constraints of traditional airflow. Ultimately, by maintaining a stable thermal environment and minimizing the hotspots that plague air-cooled aisles, liquid cooling enhances long-term hardware reliability by shielding delicate silicon from constant thermal stress.</w:t>
      </w:r>
    </w:p>
    <w:p w14:paraId="09F8CEB6">
      <w:pPr>
        <w:jc w:val="both"/>
        <w:rPr>
          <w:rFonts w:eastAsia="楷体" w:cs="Calibri"/>
          <w:b/>
          <w:bCs/>
          <w:kern w:val="2"/>
          <w:sz w:val="22"/>
          <w:szCs w:val="22"/>
          <w:lang w:eastAsia="zh-CN"/>
        </w:rPr>
      </w:pPr>
    </w:p>
    <w:p w14:paraId="7DD4380B">
      <w:pPr>
        <w:jc w:val="both"/>
        <w:rPr>
          <w:rFonts w:eastAsia="楷体" w:cs="Calibri"/>
          <w:b/>
          <w:bCs/>
          <w:kern w:val="2"/>
          <w:sz w:val="22"/>
          <w:szCs w:val="22"/>
          <w:lang w:eastAsia="zh-CN"/>
        </w:rPr>
      </w:pPr>
    </w:p>
    <w:p w14:paraId="4E4A70D7">
      <w:pPr>
        <w:jc w:val="both"/>
        <w:rPr>
          <w:rFonts w:eastAsia="楷体" w:cs="Calibri"/>
          <w:b/>
          <w:bCs/>
          <w:kern w:val="2"/>
          <w:sz w:val="22"/>
          <w:szCs w:val="22"/>
          <w:lang w:val="zh-CN" w:eastAsia="zh-CN"/>
        </w:rPr>
      </w:pPr>
      <w:r>
        <w:rPr>
          <w:rFonts w:eastAsia="楷体" w:cs="Calibri"/>
          <w:b/>
          <w:bCs/>
          <w:kern w:val="2"/>
          <w:sz w:val="22"/>
          <w:szCs w:val="22"/>
          <w:lang w:eastAsia="zh-CN"/>
        </w:rPr>
        <w:t xml:space="preserve">Data center operators are pursuing </w:t>
      </w:r>
      <w:r>
        <w:rPr>
          <w:rFonts w:hint="eastAsia" w:eastAsia="楷体" w:cs="Calibri"/>
          <w:b/>
          <w:bCs/>
          <w:kern w:val="2"/>
          <w:sz w:val="22"/>
          <w:szCs w:val="22"/>
          <w:lang w:eastAsia="zh-CN"/>
        </w:rPr>
        <w:t>some</w:t>
      </w:r>
      <w:r>
        <w:rPr>
          <w:rFonts w:eastAsia="楷体" w:cs="Calibri"/>
          <w:b/>
          <w:bCs/>
          <w:kern w:val="2"/>
          <w:sz w:val="22"/>
          <w:szCs w:val="22"/>
          <w:lang w:eastAsia="zh-CN"/>
        </w:rPr>
        <w:t xml:space="preserve"> of three paths with liquid cooling</w:t>
      </w:r>
      <w:r>
        <w:rPr>
          <w:rFonts w:hint="eastAsia" w:eastAsia="楷体" w:cs="Calibri"/>
          <w:b/>
          <w:bCs/>
          <w:kern w:val="2"/>
          <w:sz w:val="22"/>
          <w:szCs w:val="22"/>
          <w:lang w:val="en-US" w:eastAsia="zh-CN"/>
        </w:rPr>
        <w:t xml:space="preserve">. </w:t>
      </w:r>
      <w:r>
        <w:rPr>
          <w:rFonts w:hint="eastAsia" w:eastAsia="楷体" w:cs="Calibri"/>
          <w:b w:val="0"/>
          <w:bCs w:val="0"/>
          <w:kern w:val="2"/>
          <w:sz w:val="22"/>
          <w:szCs w:val="22"/>
          <w:lang w:val="en-US" w:eastAsia="zh-CN"/>
        </w:rPr>
        <w:t>The first path is the</w:t>
      </w:r>
      <w:r>
        <w:rPr>
          <w:rFonts w:hint="eastAsia" w:eastAsia="楷体" w:cs="Calibri"/>
          <w:b/>
          <w:bCs/>
          <w:kern w:val="2"/>
          <w:sz w:val="22"/>
          <w:szCs w:val="22"/>
          <w:lang w:val="en-US" w:eastAsia="zh-CN"/>
        </w:rPr>
        <w:t xml:space="preserve"> r</w:t>
      </w:r>
      <w:r>
        <w:rPr>
          <w:rFonts w:eastAsia="楷体" w:cs="Calibri"/>
          <w:b/>
          <w:bCs/>
          <w:kern w:val="2"/>
          <w:sz w:val="22"/>
          <w:szCs w:val="22"/>
          <w:lang w:val="zh-CN" w:eastAsia="zh-CN"/>
        </w:rPr>
        <w:t>ear-door heat exchangers</w:t>
      </w:r>
      <w:r>
        <w:rPr>
          <w:rFonts w:hint="eastAsia" w:eastAsia="楷体" w:cs="Calibri"/>
          <w:b/>
          <w:bCs/>
          <w:kern w:val="2"/>
          <w:sz w:val="22"/>
          <w:szCs w:val="22"/>
          <w:lang w:val="en-US" w:eastAsia="zh-CN"/>
        </w:rPr>
        <w:t xml:space="preserve">: </w:t>
      </w:r>
      <w:r>
        <w:rPr>
          <w:rFonts w:eastAsia="楷体" w:cs="Calibri"/>
          <w:kern w:val="2"/>
          <w:sz w:val="22"/>
          <w:szCs w:val="22"/>
          <w:lang w:val="zh-CN" w:eastAsia="zh-CN"/>
        </w:rPr>
        <w:t>Passive or active heat exchangers replace the rear door of the IT equipment rack with a liquid heat exchanger. These systems can be used in conjunction with air-cooling systems to cool environments with mixed rack densities.</w:t>
      </w:r>
      <w:r>
        <w:rPr>
          <w:rFonts w:hint="eastAsia" w:eastAsia="楷体" w:cs="Calibri"/>
          <w:kern w:val="2"/>
          <w:sz w:val="22"/>
          <w:szCs w:val="22"/>
          <w:lang w:val="en-US" w:eastAsia="zh-CN"/>
        </w:rPr>
        <w:t xml:space="preserve"> The second path is </w:t>
      </w:r>
      <w:r>
        <w:rPr>
          <w:rFonts w:eastAsia="楷体" w:cs="Calibri"/>
          <w:b/>
          <w:bCs/>
          <w:kern w:val="2"/>
          <w:sz w:val="22"/>
          <w:szCs w:val="22"/>
          <w:lang w:val="zh-CN" w:eastAsia="zh-CN"/>
        </w:rPr>
        <w:t>Direct-to-chip liquid cooling</w:t>
      </w:r>
      <w:r>
        <w:rPr>
          <w:rFonts w:hint="eastAsia" w:eastAsia="楷体" w:cs="Calibri"/>
          <w:b/>
          <w:bCs/>
          <w:kern w:val="2"/>
          <w:sz w:val="22"/>
          <w:szCs w:val="22"/>
          <w:lang w:val="zh-CN" w:eastAsia="zh-CN"/>
        </w:rPr>
        <w:t>:</w:t>
      </w:r>
      <w:r>
        <w:rPr>
          <w:rFonts w:eastAsia="楷体" w:cs="Calibri"/>
          <w:b/>
          <w:bCs/>
          <w:kern w:val="2"/>
          <w:sz w:val="22"/>
          <w:szCs w:val="22"/>
          <w:lang w:val="zh-CN" w:eastAsia="zh-CN"/>
        </w:rPr>
        <w:t xml:space="preserve"> </w:t>
      </w:r>
      <w:r>
        <w:rPr>
          <w:rFonts w:eastAsia="楷体" w:cs="Calibri"/>
          <w:kern w:val="2"/>
          <w:sz w:val="22"/>
          <w:szCs w:val="22"/>
          <w:lang w:val="zh-CN" w:eastAsia="zh-CN"/>
        </w:rPr>
        <w:t>Direct-to-chip cold plates sit atop the board’s heat-generating components to draw off heat through single-phase cold plates or two-phase evaporation units. These cooling technologies can remove about 70-75% of the heat generated by the equipment in the rack, leaving 25-30% that must be removed by air-cooling systems.</w:t>
      </w:r>
      <w:r>
        <w:rPr>
          <w:rFonts w:hint="eastAsia" w:eastAsia="楷体" w:cs="Calibri"/>
          <w:kern w:val="2"/>
          <w:sz w:val="22"/>
          <w:szCs w:val="22"/>
          <w:lang w:val="en-US" w:eastAsia="zh-CN"/>
        </w:rPr>
        <w:t xml:space="preserve"> The third and ultimate path is </w:t>
      </w:r>
      <w:r>
        <w:rPr>
          <w:rFonts w:eastAsia="楷体" w:cs="Calibri"/>
          <w:b/>
          <w:bCs/>
          <w:kern w:val="2"/>
          <w:sz w:val="22"/>
          <w:szCs w:val="22"/>
          <w:lang w:val="zh-CN" w:eastAsia="zh-CN"/>
        </w:rPr>
        <w:t>Immersion cooling</w:t>
      </w:r>
      <w:r>
        <w:rPr>
          <w:rFonts w:hint="eastAsia" w:eastAsia="楷体" w:cs="Calibri"/>
          <w:b/>
          <w:bCs/>
          <w:kern w:val="2"/>
          <w:sz w:val="22"/>
          <w:szCs w:val="22"/>
          <w:lang w:val="zh-CN" w:eastAsia="zh-CN"/>
        </w:rPr>
        <w:t xml:space="preserve">: </w:t>
      </w:r>
      <w:r>
        <w:rPr>
          <w:rFonts w:hint="eastAsia" w:eastAsia="楷体" w:cs="Calibri"/>
          <w:kern w:val="2"/>
          <w:sz w:val="22"/>
          <w:szCs w:val="22"/>
          <w:lang w:val="zh-CN" w:eastAsia="zh-CN"/>
        </w:rPr>
        <w:t>Si</w:t>
      </w:r>
      <w:r>
        <w:rPr>
          <w:rFonts w:eastAsia="楷体" w:cs="Calibri"/>
          <w:kern w:val="2"/>
          <w:sz w:val="22"/>
          <w:szCs w:val="22"/>
          <w:lang w:val="zh-CN" w:eastAsia="zh-CN"/>
        </w:rPr>
        <w:t>ngle-phase and two-phase immersion cooling systems submerge servers and other components in the rack in a thermally conductive dielectric liquid or fluid, eliminating the need for air cooling. This approach maximizes the thermal transfer properties of liquid and is the most energy-efficient form of liquid cooling on the market.</w:t>
      </w:r>
    </w:p>
    <w:p w14:paraId="2B882C70">
      <w:pPr>
        <w:jc w:val="both"/>
        <w:rPr>
          <w:rFonts w:eastAsia="楷体" w:cs="Calibri"/>
          <w:kern w:val="2"/>
          <w:sz w:val="22"/>
          <w:szCs w:val="22"/>
          <w:lang w:eastAsia="zh-CN"/>
        </w:rPr>
      </w:pPr>
    </w:p>
    <w:tbl>
      <w:tblPr>
        <w:tblStyle w:val="14"/>
        <w:tblW w:w="7470" w:type="dxa"/>
        <w:tblInd w:w="0" w:type="dxa"/>
        <w:tblLayout w:type="fixed"/>
        <w:tblCellMar>
          <w:top w:w="0" w:type="dxa"/>
          <w:left w:w="108" w:type="dxa"/>
          <w:bottom w:w="0" w:type="dxa"/>
          <w:right w:w="108" w:type="dxa"/>
        </w:tblCellMar>
      </w:tblPr>
      <w:tblGrid>
        <w:gridCol w:w="7470"/>
      </w:tblGrid>
      <w:tr w14:paraId="56C99A6B">
        <w:tblPrEx>
          <w:tblCellMar>
            <w:top w:w="0" w:type="dxa"/>
            <w:left w:w="108" w:type="dxa"/>
            <w:bottom w:w="0" w:type="dxa"/>
            <w:right w:w="108" w:type="dxa"/>
          </w:tblCellMar>
        </w:tblPrEx>
        <w:trPr>
          <w:trHeight w:val="302" w:hRule="atLeast"/>
        </w:trPr>
        <w:tc>
          <w:tcPr>
            <w:tcW w:w="7470" w:type="dxa"/>
            <w:tcBorders>
              <w:top w:val="nil"/>
              <w:left w:val="nil"/>
              <w:bottom w:val="nil"/>
              <w:right w:val="nil"/>
            </w:tcBorders>
            <w:tcMar>
              <w:left w:w="0" w:type="dxa"/>
              <w:right w:w="28" w:type="dxa"/>
            </w:tcMar>
          </w:tcPr>
          <w:p w14:paraId="0744003B">
            <w:pPr>
              <w:widowControl w:val="0"/>
              <w:jc w:val="both"/>
              <w:rPr>
                <w:rFonts w:eastAsia="楷体" w:cs="Calibri"/>
                <w:kern w:val="2"/>
                <w:sz w:val="20"/>
                <w:szCs w:val="20"/>
                <w:lang w:eastAsia="zh-CN"/>
              </w:rPr>
            </w:pPr>
            <w:r>
              <w:rPr>
                <w:rFonts w:eastAsia="楷体" w:cs="Calibri"/>
                <w:b/>
                <w:bCs/>
                <w:kern w:val="2"/>
                <w:sz w:val="20"/>
                <w:szCs w:val="20"/>
                <w:lang w:eastAsia="zh-CN"/>
              </w:rPr>
              <w:t>Table: Comparative analysis of liquid cooling paths</w:t>
            </w:r>
          </w:p>
        </w:tc>
      </w:tr>
      <w:tr w14:paraId="512C86F7">
        <w:tblPrEx>
          <w:tblCellMar>
            <w:top w:w="0" w:type="dxa"/>
            <w:left w:w="108" w:type="dxa"/>
            <w:bottom w:w="0" w:type="dxa"/>
            <w:right w:w="108" w:type="dxa"/>
          </w:tblCellMar>
        </w:tblPrEx>
        <w:trPr>
          <w:trHeight w:val="856" w:hRule="atLeast"/>
        </w:trPr>
        <w:tc>
          <w:tcPr>
            <w:tcW w:w="7470" w:type="dxa"/>
            <w:tcBorders>
              <w:top w:val="nil"/>
              <w:left w:val="nil"/>
              <w:bottom w:val="nil"/>
              <w:right w:val="nil"/>
            </w:tcBorders>
            <w:vAlign w:val="center"/>
          </w:tcPr>
          <w:tbl>
            <w:tblPr>
              <w:tblStyle w:val="14"/>
              <w:tblW w:w="7318" w:type="dxa"/>
              <w:tblInd w:w="0" w:type="dxa"/>
              <w:tblLayout w:type="fixed"/>
              <w:tblCellMar>
                <w:top w:w="0" w:type="dxa"/>
                <w:left w:w="108" w:type="dxa"/>
                <w:bottom w:w="0" w:type="dxa"/>
                <w:right w:w="108" w:type="dxa"/>
              </w:tblCellMar>
            </w:tblPr>
            <w:tblGrid>
              <w:gridCol w:w="1304"/>
              <w:gridCol w:w="1986"/>
              <w:gridCol w:w="1987"/>
              <w:gridCol w:w="2041"/>
            </w:tblGrid>
            <w:tr w14:paraId="2DEBF6C7">
              <w:tblPrEx>
                <w:tblCellMar>
                  <w:top w:w="0" w:type="dxa"/>
                  <w:left w:w="108" w:type="dxa"/>
                  <w:bottom w:w="0" w:type="dxa"/>
                  <w:right w:w="108" w:type="dxa"/>
                </w:tblCellMar>
              </w:tblPrEx>
              <w:trPr>
                <w:trHeight w:val="521" w:hRule="atLeast"/>
              </w:trPr>
              <w:tc>
                <w:tcPr>
                  <w:tcW w:w="1304" w:type="dxa"/>
                  <w:tcBorders>
                    <w:top w:val="single" w:color="000000" w:sz="8" w:space="0"/>
                    <w:left w:val="single" w:color="000000" w:sz="8" w:space="0"/>
                    <w:bottom w:val="single" w:color="000000" w:sz="8" w:space="0"/>
                    <w:right w:val="single" w:color="000000" w:sz="8" w:space="0"/>
                  </w:tcBorders>
                  <w:vAlign w:val="center"/>
                </w:tcPr>
                <w:p w14:paraId="18DCE725">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Metric</w:t>
                  </w:r>
                </w:p>
              </w:tc>
              <w:tc>
                <w:tcPr>
                  <w:tcW w:w="1986" w:type="dxa"/>
                  <w:tcBorders>
                    <w:top w:val="single" w:color="000000" w:sz="8" w:space="0"/>
                    <w:left w:val="nil"/>
                    <w:bottom w:val="single" w:color="000000" w:sz="8" w:space="0"/>
                    <w:right w:val="single" w:color="000000" w:sz="8" w:space="0"/>
                  </w:tcBorders>
                  <w:vAlign w:val="center"/>
                </w:tcPr>
                <w:p w14:paraId="6D9C3082">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Rear-Door Heat Exchanger (RDHX)</w:t>
                  </w:r>
                </w:p>
              </w:tc>
              <w:tc>
                <w:tcPr>
                  <w:tcW w:w="1987" w:type="dxa"/>
                  <w:tcBorders>
                    <w:top w:val="single" w:color="000000" w:sz="8" w:space="0"/>
                    <w:left w:val="nil"/>
                    <w:bottom w:val="single" w:color="000000" w:sz="8" w:space="0"/>
                    <w:right w:val="single" w:color="000000" w:sz="8" w:space="0"/>
                  </w:tcBorders>
                  <w:vAlign w:val="center"/>
                </w:tcPr>
                <w:p w14:paraId="1BFDE2AA">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Direct-to-Chip (DTC) / Cold Plate</w:t>
                  </w:r>
                </w:p>
              </w:tc>
              <w:tc>
                <w:tcPr>
                  <w:tcW w:w="2041" w:type="dxa"/>
                  <w:tcBorders>
                    <w:top w:val="single" w:color="000000" w:sz="8" w:space="0"/>
                    <w:left w:val="nil"/>
                    <w:bottom w:val="single" w:color="000000" w:sz="8" w:space="0"/>
                    <w:right w:val="single" w:color="000000" w:sz="8" w:space="0"/>
                  </w:tcBorders>
                  <w:vAlign w:val="center"/>
                </w:tcPr>
                <w:p w14:paraId="75ED5BE9">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Immersion Cooling (Single/Two-Phase)</w:t>
                  </w:r>
                </w:p>
              </w:tc>
            </w:tr>
            <w:tr w14:paraId="0BAC967A">
              <w:trPr>
                <w:trHeight w:val="975" w:hRule="atLeast"/>
              </w:trPr>
              <w:tc>
                <w:tcPr>
                  <w:tcW w:w="1304" w:type="dxa"/>
                  <w:tcBorders>
                    <w:top w:val="nil"/>
                    <w:left w:val="single" w:color="000000" w:sz="8" w:space="0"/>
                    <w:bottom w:val="single" w:color="000000" w:sz="8" w:space="0"/>
                    <w:right w:val="single" w:color="000000" w:sz="8" w:space="0"/>
                  </w:tcBorders>
                  <w:vAlign w:val="center"/>
                </w:tcPr>
                <w:p w14:paraId="5066F0F5">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Capital Investment</w:t>
                  </w:r>
                </w:p>
              </w:tc>
              <w:tc>
                <w:tcPr>
                  <w:tcW w:w="1986" w:type="dxa"/>
                  <w:tcBorders>
                    <w:top w:val="nil"/>
                    <w:left w:val="nil"/>
                    <w:bottom w:val="single" w:color="000000" w:sz="8" w:space="0"/>
                    <w:right w:val="single" w:color="000000" w:sz="8" w:space="0"/>
                  </w:tcBorders>
                  <w:vAlign w:val="center"/>
                </w:tcPr>
                <w:p w14:paraId="1836B77B">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Low to Moderate.</w:t>
                  </w:r>
                  <w:r>
                    <w:rPr>
                      <w:rFonts w:ascii="Arial" w:hAnsi="Arial" w:eastAsia="Times New Roman" w:cs="Arial"/>
                      <w:snapToGrid/>
                      <w:color w:val="1F1F1F"/>
                      <w:sz w:val="18"/>
                      <w:szCs w:val="18"/>
                      <w:lang w:val="zh-CN" w:eastAsia="zh-CN"/>
                    </w:rPr>
                    <w:t xml:space="preserve"> Uses standard racks; primary cost is the door and CDU.</w:t>
                  </w:r>
                </w:p>
              </w:tc>
              <w:tc>
                <w:tcPr>
                  <w:tcW w:w="1987" w:type="dxa"/>
                  <w:tcBorders>
                    <w:top w:val="nil"/>
                    <w:left w:val="nil"/>
                    <w:bottom w:val="single" w:color="000000" w:sz="8" w:space="0"/>
                    <w:right w:val="single" w:color="000000" w:sz="8" w:space="0"/>
                  </w:tcBorders>
                  <w:vAlign w:val="center"/>
                </w:tcPr>
                <w:p w14:paraId="0629A04F">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 to High.</w:t>
                  </w:r>
                  <w:r>
                    <w:rPr>
                      <w:rFonts w:ascii="Arial" w:hAnsi="Arial" w:eastAsia="Times New Roman" w:cs="Arial"/>
                      <w:snapToGrid/>
                      <w:color w:val="1F1F1F"/>
                      <w:sz w:val="18"/>
                      <w:szCs w:val="18"/>
                      <w:lang w:val="zh-CN" w:eastAsia="zh-CN"/>
                    </w:rPr>
                    <w:t xml:space="preserve"> Requires custom server manifolds and internal cold plates.</w:t>
                  </w:r>
                </w:p>
              </w:tc>
              <w:tc>
                <w:tcPr>
                  <w:tcW w:w="2041" w:type="dxa"/>
                  <w:tcBorders>
                    <w:top w:val="nil"/>
                    <w:left w:val="nil"/>
                    <w:bottom w:val="single" w:color="000000" w:sz="8" w:space="0"/>
                    <w:right w:val="single" w:color="000000" w:sz="8" w:space="0"/>
                  </w:tcBorders>
                  <w:vAlign w:val="center"/>
                </w:tcPr>
                <w:p w14:paraId="05F7BA23">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High.</w:t>
                  </w:r>
                  <w:r>
                    <w:rPr>
                      <w:rFonts w:ascii="Arial" w:hAnsi="Arial" w:eastAsia="Times New Roman" w:cs="Arial"/>
                      <w:snapToGrid/>
                      <w:color w:val="1F1F1F"/>
                      <w:sz w:val="18"/>
                      <w:szCs w:val="18"/>
                      <w:lang w:val="zh-CN" w:eastAsia="zh-CN"/>
                    </w:rPr>
                    <w:t xml:space="preserve"> Requires specialized tanks, dielectric fluid, and floor reinforcement.</w:t>
                  </w:r>
                </w:p>
              </w:tc>
            </w:tr>
            <w:tr w14:paraId="1732816F">
              <w:tblPrEx>
                <w:tblCellMar>
                  <w:top w:w="0" w:type="dxa"/>
                  <w:left w:w="108" w:type="dxa"/>
                  <w:bottom w:w="0" w:type="dxa"/>
                  <w:right w:w="108" w:type="dxa"/>
                </w:tblCellMar>
              </w:tblPrEx>
              <w:trPr>
                <w:trHeight w:val="901" w:hRule="atLeast"/>
              </w:trPr>
              <w:tc>
                <w:tcPr>
                  <w:tcW w:w="1304" w:type="dxa"/>
                  <w:tcBorders>
                    <w:top w:val="nil"/>
                    <w:left w:val="single" w:color="000000" w:sz="8" w:space="0"/>
                    <w:bottom w:val="single" w:color="000000" w:sz="8" w:space="0"/>
                    <w:right w:val="single" w:color="000000" w:sz="8" w:space="0"/>
                  </w:tcBorders>
                  <w:vAlign w:val="center"/>
                </w:tcPr>
                <w:p w14:paraId="77157DEA">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Space Taken</w:t>
                  </w:r>
                </w:p>
              </w:tc>
              <w:tc>
                <w:tcPr>
                  <w:tcW w:w="1986" w:type="dxa"/>
                  <w:tcBorders>
                    <w:top w:val="nil"/>
                    <w:left w:val="nil"/>
                    <w:bottom w:val="single" w:color="000000" w:sz="8" w:space="0"/>
                    <w:right w:val="single" w:color="000000" w:sz="8" w:space="0"/>
                  </w:tcBorders>
                  <w:vAlign w:val="center"/>
                </w:tcPr>
                <w:p w14:paraId="0E8C71AC">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Minimal.</w:t>
                  </w:r>
                  <w:r>
                    <w:rPr>
                      <w:rFonts w:ascii="Arial" w:hAnsi="Arial" w:eastAsia="Times New Roman" w:cs="Arial"/>
                      <w:snapToGrid/>
                      <w:color w:val="1F1F1F"/>
                      <w:sz w:val="18"/>
                      <w:szCs w:val="18"/>
                      <w:lang w:val="zh-CN" w:eastAsia="zh-CN"/>
                    </w:rPr>
                    <w:t xml:space="preserve"> Fits on existing rack footprints; adds only a few inches to depth.</w:t>
                  </w:r>
                </w:p>
              </w:tc>
              <w:tc>
                <w:tcPr>
                  <w:tcW w:w="1987" w:type="dxa"/>
                  <w:tcBorders>
                    <w:top w:val="nil"/>
                    <w:left w:val="nil"/>
                    <w:bottom w:val="single" w:color="000000" w:sz="8" w:space="0"/>
                    <w:right w:val="single" w:color="000000" w:sz="8" w:space="0"/>
                  </w:tcBorders>
                  <w:vAlign w:val="center"/>
                </w:tcPr>
                <w:p w14:paraId="3CF18A1C">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w:t>
                  </w:r>
                  <w:r>
                    <w:rPr>
                      <w:rFonts w:ascii="Arial" w:hAnsi="Arial" w:eastAsia="Times New Roman" w:cs="Arial"/>
                      <w:snapToGrid/>
                      <w:color w:val="1F1F1F"/>
                      <w:sz w:val="18"/>
                      <w:szCs w:val="18"/>
                      <w:lang w:val="zh-CN" w:eastAsia="zh-CN"/>
                    </w:rPr>
                    <w:t xml:space="preserve"> Requires room for Coolant Distribution Units (CDUs) and piping.</w:t>
                  </w:r>
                </w:p>
              </w:tc>
              <w:tc>
                <w:tcPr>
                  <w:tcW w:w="2041" w:type="dxa"/>
                  <w:tcBorders>
                    <w:top w:val="nil"/>
                    <w:left w:val="nil"/>
                    <w:bottom w:val="single" w:color="000000" w:sz="8" w:space="0"/>
                    <w:right w:val="single" w:color="000000" w:sz="8" w:space="0"/>
                  </w:tcBorders>
                  <w:vAlign w:val="center"/>
                </w:tcPr>
                <w:p w14:paraId="194C179C">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High.</w:t>
                  </w:r>
                  <w:r>
                    <w:rPr>
                      <w:rFonts w:ascii="Arial" w:hAnsi="Arial" w:eastAsia="Times New Roman" w:cs="Arial"/>
                      <w:snapToGrid/>
                      <w:color w:val="1F1F1F"/>
                      <w:sz w:val="18"/>
                      <w:szCs w:val="18"/>
                      <w:lang w:val="zh-CN" w:eastAsia="zh-CN"/>
                    </w:rPr>
                    <w:t xml:space="preserve"> Horizontal tanks take up more floor area than vertical racks.</w:t>
                  </w:r>
                </w:p>
              </w:tc>
            </w:tr>
            <w:tr w14:paraId="13F8885C">
              <w:tblPrEx>
                <w:tblCellMar>
                  <w:top w:w="0" w:type="dxa"/>
                  <w:left w:w="108" w:type="dxa"/>
                  <w:bottom w:w="0" w:type="dxa"/>
                  <w:right w:w="108" w:type="dxa"/>
                </w:tblCellMar>
              </w:tblPrEx>
              <w:trPr>
                <w:trHeight w:val="1048" w:hRule="atLeast"/>
              </w:trPr>
              <w:tc>
                <w:tcPr>
                  <w:tcW w:w="1304" w:type="dxa"/>
                  <w:tcBorders>
                    <w:top w:val="nil"/>
                    <w:left w:val="single" w:color="000000" w:sz="8" w:space="0"/>
                    <w:bottom w:val="single" w:color="000000" w:sz="8" w:space="0"/>
                    <w:right w:val="single" w:color="000000" w:sz="8" w:space="0"/>
                  </w:tcBorders>
                  <w:vAlign w:val="center"/>
                </w:tcPr>
                <w:p w14:paraId="079C36ED">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Ease of Retrofit</w:t>
                  </w:r>
                </w:p>
              </w:tc>
              <w:tc>
                <w:tcPr>
                  <w:tcW w:w="1986" w:type="dxa"/>
                  <w:tcBorders>
                    <w:top w:val="nil"/>
                    <w:left w:val="nil"/>
                    <w:bottom w:val="single" w:color="000000" w:sz="8" w:space="0"/>
                    <w:right w:val="single" w:color="000000" w:sz="8" w:space="0"/>
                  </w:tcBorders>
                  <w:vAlign w:val="center"/>
                </w:tcPr>
                <w:p w14:paraId="0EF3CD09">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Excellent.</w:t>
                  </w:r>
                  <w:r>
                    <w:rPr>
                      <w:rFonts w:ascii="Arial" w:hAnsi="Arial" w:eastAsia="Times New Roman" w:cs="Arial"/>
                      <w:snapToGrid/>
                      <w:color w:val="1F1F1F"/>
                      <w:sz w:val="18"/>
                      <w:szCs w:val="18"/>
                      <w:lang w:val="zh-CN" w:eastAsia="zh-CN"/>
                    </w:rPr>
                    <w:t xml:space="preserve"> Can be bolted onto almost any existing IT rack.</w:t>
                  </w:r>
                </w:p>
              </w:tc>
              <w:tc>
                <w:tcPr>
                  <w:tcW w:w="1987" w:type="dxa"/>
                  <w:tcBorders>
                    <w:top w:val="nil"/>
                    <w:left w:val="nil"/>
                    <w:bottom w:val="single" w:color="000000" w:sz="8" w:space="0"/>
                    <w:right w:val="single" w:color="000000" w:sz="8" w:space="0"/>
                  </w:tcBorders>
                  <w:vAlign w:val="center"/>
                </w:tcPr>
                <w:p w14:paraId="3A0D88D1">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w:t>
                  </w:r>
                  <w:r>
                    <w:rPr>
                      <w:rFonts w:ascii="Arial" w:hAnsi="Arial" w:eastAsia="Times New Roman" w:cs="Arial"/>
                      <w:snapToGrid/>
                      <w:color w:val="1F1F1F"/>
                      <w:sz w:val="18"/>
                      <w:szCs w:val="18"/>
                      <w:lang w:val="zh-CN" w:eastAsia="zh-CN"/>
                    </w:rPr>
                    <w:t xml:space="preserve"> Requires modifying server internals and adding rack plumbing.</w:t>
                  </w:r>
                </w:p>
              </w:tc>
              <w:tc>
                <w:tcPr>
                  <w:tcW w:w="2041" w:type="dxa"/>
                  <w:tcBorders>
                    <w:top w:val="nil"/>
                    <w:left w:val="nil"/>
                    <w:bottom w:val="single" w:color="000000" w:sz="8" w:space="0"/>
                    <w:right w:val="single" w:color="000000" w:sz="8" w:space="0"/>
                  </w:tcBorders>
                  <w:vAlign w:val="center"/>
                </w:tcPr>
                <w:p w14:paraId="34469CC2">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Difficult.</w:t>
                  </w:r>
                  <w:r>
                    <w:rPr>
                      <w:rFonts w:ascii="Arial" w:hAnsi="Arial" w:eastAsia="Times New Roman" w:cs="Arial"/>
                      <w:snapToGrid/>
                      <w:color w:val="1F1F1F"/>
                      <w:sz w:val="18"/>
                      <w:szCs w:val="18"/>
                      <w:lang w:val="zh-CN" w:eastAsia="zh-CN"/>
                    </w:rPr>
                    <w:t xml:space="preserve"> Requires a complete overhaul of the data center floor and hardware.</w:t>
                  </w:r>
                </w:p>
              </w:tc>
            </w:tr>
            <w:tr w14:paraId="4554C8EC">
              <w:tblPrEx>
                <w:tblCellMar>
                  <w:top w:w="0" w:type="dxa"/>
                  <w:left w:w="108" w:type="dxa"/>
                  <w:bottom w:w="0" w:type="dxa"/>
                  <w:right w:w="108" w:type="dxa"/>
                </w:tblCellMar>
              </w:tblPrEx>
              <w:trPr>
                <w:trHeight w:val="1036" w:hRule="atLeast"/>
              </w:trPr>
              <w:tc>
                <w:tcPr>
                  <w:tcW w:w="1304" w:type="dxa"/>
                  <w:tcBorders>
                    <w:top w:val="nil"/>
                    <w:left w:val="single" w:color="000000" w:sz="8" w:space="0"/>
                    <w:bottom w:val="single" w:color="000000" w:sz="8" w:space="0"/>
                    <w:right w:val="single" w:color="000000" w:sz="8" w:space="0"/>
                  </w:tcBorders>
                  <w:vAlign w:val="center"/>
                </w:tcPr>
                <w:p w14:paraId="4093E8A5">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Heat Removal Efficiency</w:t>
                  </w:r>
                </w:p>
              </w:tc>
              <w:tc>
                <w:tcPr>
                  <w:tcW w:w="1986" w:type="dxa"/>
                  <w:tcBorders>
                    <w:top w:val="nil"/>
                    <w:left w:val="nil"/>
                    <w:bottom w:val="single" w:color="000000" w:sz="8" w:space="0"/>
                    <w:right w:val="single" w:color="000000" w:sz="8" w:space="0"/>
                  </w:tcBorders>
                  <w:vAlign w:val="center"/>
                </w:tcPr>
                <w:p w14:paraId="0550D6C4">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Moderate.</w:t>
                  </w:r>
                  <w:r>
                    <w:rPr>
                      <w:rFonts w:ascii="Arial" w:hAnsi="Arial" w:eastAsia="Times New Roman" w:cs="Arial"/>
                      <w:snapToGrid/>
                      <w:color w:val="1F1F1F"/>
                      <w:sz w:val="18"/>
                      <w:szCs w:val="18"/>
                      <w:lang w:val="zh-CN" w:eastAsia="zh-CN"/>
                    </w:rPr>
                    <w:t xml:space="preserve"> Cools air before it exits the rack; still relies on air inside the server.</w:t>
                  </w:r>
                </w:p>
              </w:tc>
              <w:tc>
                <w:tcPr>
                  <w:tcW w:w="1987" w:type="dxa"/>
                  <w:tcBorders>
                    <w:top w:val="nil"/>
                    <w:left w:val="nil"/>
                    <w:bottom w:val="single" w:color="000000" w:sz="8" w:space="0"/>
                    <w:right w:val="single" w:color="000000" w:sz="8" w:space="0"/>
                  </w:tcBorders>
                  <w:vAlign w:val="center"/>
                </w:tcPr>
                <w:p w14:paraId="094BC1FF">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High.</w:t>
                  </w:r>
                  <w:r>
                    <w:rPr>
                      <w:rFonts w:ascii="Arial" w:hAnsi="Arial" w:eastAsia="Times New Roman" w:cs="Arial"/>
                      <w:snapToGrid/>
                      <w:color w:val="1F1F1F"/>
                      <w:sz w:val="18"/>
                      <w:szCs w:val="18"/>
                      <w:lang w:val="zh-CN" w:eastAsia="zh-CN"/>
                    </w:rPr>
                    <w:t xml:space="preserve"> Removes 70%–80% of heat directly from the hottest components.</w:t>
                  </w:r>
                </w:p>
              </w:tc>
              <w:tc>
                <w:tcPr>
                  <w:tcW w:w="2041" w:type="dxa"/>
                  <w:tcBorders>
                    <w:top w:val="nil"/>
                    <w:left w:val="nil"/>
                    <w:bottom w:val="single" w:color="000000" w:sz="8" w:space="0"/>
                    <w:right w:val="single" w:color="000000" w:sz="8" w:space="0"/>
                  </w:tcBorders>
                  <w:vAlign w:val="center"/>
                </w:tcPr>
                <w:p w14:paraId="3A5E0E3B">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Maximum.</w:t>
                  </w:r>
                  <w:r>
                    <w:rPr>
                      <w:rFonts w:ascii="Arial" w:hAnsi="Arial" w:eastAsia="Times New Roman" w:cs="Arial"/>
                      <w:snapToGrid/>
                      <w:color w:val="1F1F1F"/>
                      <w:sz w:val="18"/>
                      <w:szCs w:val="18"/>
                      <w:lang w:val="zh-CN" w:eastAsia="zh-CN"/>
                    </w:rPr>
                    <w:t xml:space="preserve"> Virtually 100% of heat is captured by the fluid.</w:t>
                  </w:r>
                </w:p>
              </w:tc>
            </w:tr>
            <w:tr w14:paraId="3F8D98C0">
              <w:tblPrEx>
                <w:tblCellMar>
                  <w:top w:w="0" w:type="dxa"/>
                  <w:left w:w="108" w:type="dxa"/>
                  <w:bottom w:w="0" w:type="dxa"/>
                  <w:right w:w="108" w:type="dxa"/>
                </w:tblCellMar>
              </w:tblPrEx>
              <w:trPr>
                <w:trHeight w:val="861" w:hRule="atLeast"/>
              </w:trPr>
              <w:tc>
                <w:tcPr>
                  <w:tcW w:w="1304" w:type="dxa"/>
                  <w:tcBorders>
                    <w:top w:val="nil"/>
                    <w:left w:val="single" w:color="000000" w:sz="8" w:space="0"/>
                    <w:bottom w:val="single" w:color="000000" w:sz="8" w:space="0"/>
                    <w:right w:val="single" w:color="000000" w:sz="8" w:space="0"/>
                  </w:tcBorders>
                  <w:vAlign w:val="center"/>
                </w:tcPr>
                <w:p w14:paraId="60ACD741">
                  <w:pPr>
                    <w:jc w:val="cente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PUE (Relative)</w:t>
                  </w:r>
                </w:p>
              </w:tc>
              <w:tc>
                <w:tcPr>
                  <w:tcW w:w="1986" w:type="dxa"/>
                  <w:tcBorders>
                    <w:top w:val="nil"/>
                    <w:left w:val="nil"/>
                    <w:bottom w:val="single" w:color="000000" w:sz="8" w:space="0"/>
                    <w:right w:val="single" w:color="000000" w:sz="8" w:space="0"/>
                  </w:tcBorders>
                  <w:vAlign w:val="center"/>
                </w:tcPr>
                <w:p w14:paraId="61CACA6D">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1.2 – 1.4.</w:t>
                  </w:r>
                  <w:r>
                    <w:rPr>
                      <w:rFonts w:ascii="Arial" w:hAnsi="Arial" w:eastAsia="Times New Roman" w:cs="Arial"/>
                      <w:snapToGrid/>
                      <w:color w:val="1F1F1F"/>
                      <w:sz w:val="18"/>
                      <w:szCs w:val="18"/>
                      <w:lang w:val="zh-CN" w:eastAsia="zh-CN"/>
                    </w:rPr>
                    <w:t xml:space="preserve"> Better than traditional air but still utilizes server fans.</w:t>
                  </w:r>
                </w:p>
              </w:tc>
              <w:tc>
                <w:tcPr>
                  <w:tcW w:w="1987" w:type="dxa"/>
                  <w:tcBorders>
                    <w:top w:val="nil"/>
                    <w:left w:val="nil"/>
                    <w:bottom w:val="single" w:color="000000" w:sz="8" w:space="0"/>
                    <w:right w:val="single" w:color="000000" w:sz="8" w:space="0"/>
                  </w:tcBorders>
                  <w:vAlign w:val="center"/>
                </w:tcPr>
                <w:p w14:paraId="3BC4B46E">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1.1 – 1.2.</w:t>
                  </w:r>
                  <w:r>
                    <w:rPr>
                      <w:rFonts w:ascii="Arial" w:hAnsi="Arial" w:eastAsia="Times New Roman" w:cs="Arial"/>
                      <w:snapToGrid/>
                      <w:color w:val="1F1F1F"/>
                      <w:sz w:val="18"/>
                      <w:szCs w:val="18"/>
                      <w:lang w:val="zh-CN" w:eastAsia="zh-CN"/>
                    </w:rPr>
                    <w:t xml:space="preserve"> Significant energy savings by reducing or removing server fans.</w:t>
                  </w:r>
                </w:p>
              </w:tc>
              <w:tc>
                <w:tcPr>
                  <w:tcW w:w="2041" w:type="dxa"/>
                  <w:tcBorders>
                    <w:top w:val="nil"/>
                    <w:left w:val="nil"/>
                    <w:bottom w:val="single" w:color="000000" w:sz="8" w:space="0"/>
                    <w:right w:val="single" w:color="000000" w:sz="8" w:space="0"/>
                  </w:tcBorders>
                  <w:vAlign w:val="center"/>
                </w:tcPr>
                <w:p w14:paraId="044AAAF8">
                  <w:pPr>
                    <w:rPr>
                      <w:rFonts w:ascii="Arial" w:hAnsi="Arial" w:eastAsia="Times New Roman" w:cs="Arial"/>
                      <w:b/>
                      <w:bCs/>
                      <w:snapToGrid/>
                      <w:color w:val="1F1F1F"/>
                      <w:sz w:val="18"/>
                      <w:szCs w:val="18"/>
                      <w:lang w:val="zh-CN" w:eastAsia="zh-CN"/>
                    </w:rPr>
                  </w:pPr>
                  <w:r>
                    <w:rPr>
                      <w:rFonts w:ascii="Arial" w:hAnsi="Arial" w:eastAsia="Times New Roman" w:cs="Arial"/>
                      <w:b/>
                      <w:bCs/>
                      <w:snapToGrid/>
                      <w:color w:val="1F1F1F"/>
                      <w:sz w:val="18"/>
                      <w:szCs w:val="18"/>
                      <w:lang w:val="zh-CN" w:eastAsia="zh-CN"/>
                    </w:rPr>
                    <w:t>1.02 – 1.05.</w:t>
                  </w:r>
                  <w:r>
                    <w:rPr>
                      <w:rFonts w:ascii="Arial" w:hAnsi="Arial" w:eastAsia="Times New Roman" w:cs="Arial"/>
                      <w:snapToGrid/>
                      <w:color w:val="1F1F1F"/>
                      <w:sz w:val="18"/>
                      <w:szCs w:val="18"/>
                      <w:lang w:val="zh-CN" w:eastAsia="zh-CN"/>
                    </w:rPr>
                    <w:t xml:space="preserve"> The gold standard for efficiency; eliminates fans and room AC entirely.</w:t>
                  </w:r>
                </w:p>
              </w:tc>
            </w:tr>
          </w:tbl>
          <w:p w14:paraId="4E41E64A">
            <w:pPr>
              <w:widowControl w:val="0"/>
              <w:jc w:val="both"/>
              <w:rPr>
                <w:rFonts w:eastAsia="楷体" w:cs="Calibri"/>
                <w:kern w:val="2"/>
                <w:sz w:val="20"/>
                <w:szCs w:val="20"/>
                <w:lang w:val="zh-CN" w:eastAsia="zh-CN"/>
              </w:rPr>
            </w:pPr>
          </w:p>
        </w:tc>
      </w:tr>
      <w:tr w14:paraId="769B2119">
        <w:tblPrEx>
          <w:tblCellMar>
            <w:top w:w="0" w:type="dxa"/>
            <w:left w:w="108" w:type="dxa"/>
            <w:bottom w:w="0" w:type="dxa"/>
            <w:right w:w="108" w:type="dxa"/>
          </w:tblCellMar>
        </w:tblPrEx>
        <w:trPr>
          <w:trHeight w:val="64" w:hRule="atLeast"/>
        </w:trPr>
        <w:tc>
          <w:tcPr>
            <w:tcW w:w="7470" w:type="dxa"/>
            <w:tcBorders>
              <w:top w:val="nil"/>
              <w:left w:val="nil"/>
              <w:bottom w:val="nil"/>
              <w:right w:val="nil"/>
            </w:tcBorders>
            <w:tcMar>
              <w:left w:w="0" w:type="dxa"/>
              <w:right w:w="28" w:type="dxa"/>
            </w:tcMar>
            <w:vAlign w:val="center"/>
          </w:tcPr>
          <w:p w14:paraId="344282A7">
            <w:pPr>
              <w:widowControl w:val="0"/>
              <w:jc w:val="both"/>
              <w:rPr>
                <w:rFonts w:eastAsia="楷体" w:cs="Calibri"/>
                <w:kern w:val="2"/>
                <w:sz w:val="20"/>
                <w:szCs w:val="20"/>
                <w:lang w:eastAsia="zh-CN"/>
              </w:rPr>
            </w:pPr>
            <w:r>
              <w:rPr>
                <w:rFonts w:eastAsia="楷体" w:cs="Calibri"/>
                <w:kern w:val="2"/>
                <w:lang w:eastAsia="zh-CN"/>
              </w:rPr>
              <w:t>Source: Bloomberg, HFI</w:t>
            </w:r>
          </w:p>
        </w:tc>
      </w:tr>
    </w:tbl>
    <w:p w14:paraId="019560F1">
      <w:pPr>
        <w:jc w:val="both"/>
        <w:rPr>
          <w:rFonts w:eastAsia="楷体" w:cs="Calibri"/>
          <w:kern w:val="2"/>
          <w:sz w:val="22"/>
          <w:szCs w:val="22"/>
          <w:lang w:eastAsia="zh-CN"/>
        </w:rPr>
      </w:pPr>
    </w:p>
    <w:p w14:paraId="6B0765C3">
      <w:pPr>
        <w:jc w:val="both"/>
        <w:rPr>
          <w:rFonts w:hint="eastAsia" w:eastAsia="楷体" w:cs="Calibri"/>
          <w:kern w:val="2"/>
          <w:sz w:val="22"/>
          <w:szCs w:val="22"/>
          <w:lang w:val="en-US" w:eastAsia="zh-CN"/>
        </w:rPr>
      </w:pPr>
      <w:r>
        <w:rPr>
          <w:rFonts w:hint="eastAsia" w:eastAsia="楷体" w:cs="Calibri"/>
          <w:kern w:val="2"/>
          <w:sz w:val="22"/>
          <w:szCs w:val="22"/>
          <w:lang w:val="en-US" w:eastAsia="zh-CN"/>
        </w:rPr>
        <w:t>In a typical AIDC using liquid cooling as its thermal management, the system operation starts at the Liquid Cooled Racks where specialized manifolds deliver coolant directly to high-density hardware. The heart of this operation is the Coolant Distribution Unit (CDU), which regulates pressure and separates the internal server chemistry from the facility's Indoor Chilled Water supply. For the most demanding compute loads, Immersion Tanks bypass traditional heat sinks entirely by submerging components in dielectric fluid to maximize compaction. Finally, all that captured energy is routed to the Heat Rejection units, namely the outdoor chillers and fluid coolers, where the thermal load is exhausted into the atmosphere, allowing the cooled liquid to cycle back and begin the process again.</w:t>
      </w:r>
    </w:p>
    <w:p w14:paraId="226C4F4B">
      <w:pPr>
        <w:jc w:val="both"/>
        <w:rPr>
          <w:rFonts w:hint="eastAsia" w:eastAsia="楷体" w:cs="Calibri"/>
          <w:kern w:val="2"/>
          <w:sz w:val="22"/>
          <w:szCs w:val="22"/>
          <w:lang w:val="en-US" w:eastAsia="zh-CN"/>
        </w:rPr>
      </w:pPr>
    </w:p>
    <w:p w14:paraId="0E8CD717">
      <w:pPr>
        <w:jc w:val="both"/>
        <w:rPr>
          <w:rFonts w:hint="default" w:eastAsia="楷体" w:cs="Calibri"/>
          <w:kern w:val="2"/>
          <w:sz w:val="22"/>
          <w:szCs w:val="22"/>
          <w:lang w:val="en-US"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0CAA7CAC">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14B2065B">
            <w:pPr>
              <w:rPr>
                <w:rFonts w:eastAsia="楷体" w:cs="Calibri"/>
                <w:kern w:val="2"/>
                <w:sz w:val="22"/>
                <w:szCs w:val="22"/>
                <w:lang w:eastAsia="zh-CN"/>
              </w:rPr>
            </w:pPr>
            <w:r>
              <w:rPr>
                <w:rFonts w:eastAsia="楷体" w:cs="Calibri"/>
                <w:b/>
                <w:bCs/>
                <w:kern w:val="2"/>
                <w:sz w:val="22"/>
                <w:szCs w:val="22"/>
                <w:lang w:eastAsia="zh-CN"/>
              </w:rPr>
              <w:t>Figure: Core components of a liquid cooling system</w:t>
            </w:r>
          </w:p>
        </w:tc>
      </w:tr>
      <w:tr w14:paraId="7FE552EB">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037D7B06">
            <w:pPr>
              <w:rPr>
                <w:rFonts w:eastAsia="楷体" w:cs="Calibri"/>
                <w:kern w:val="2"/>
                <w:sz w:val="22"/>
                <w:szCs w:val="22"/>
                <w:lang w:eastAsia="zh-CN"/>
              </w:rPr>
            </w:pPr>
            <w:r>
              <w:rPr>
                <w:rFonts w:eastAsia="楷体" w:cs="Calibri"/>
                <w:kern w:val="2"/>
                <w:sz w:val="22"/>
                <w:szCs w:val="22"/>
                <w:lang w:eastAsia="zh-CN"/>
              </w:rPr>
              <w:drawing>
                <wp:inline distT="0" distB="0" distL="0" distR="0">
                  <wp:extent cx="4603750" cy="2607310"/>
                  <wp:effectExtent l="0" t="0" r="6350" b="2540"/>
                  <wp:docPr id="44184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41639" name="Picture 1"/>
                          <pic:cNvPicPr>
                            <a:picLocks noChangeAspect="1"/>
                          </pic:cNvPicPr>
                        </pic:nvPicPr>
                        <pic:blipFill>
                          <a:blip r:embed="rId33"/>
                          <a:stretch>
                            <a:fillRect/>
                          </a:stretch>
                        </pic:blipFill>
                        <pic:spPr>
                          <a:xfrm>
                            <a:off x="0" y="0"/>
                            <a:ext cx="4603750" cy="2607310"/>
                          </a:xfrm>
                          <a:prstGeom prst="rect">
                            <a:avLst/>
                          </a:prstGeom>
                        </pic:spPr>
                      </pic:pic>
                    </a:graphicData>
                  </a:graphic>
                </wp:inline>
              </w:drawing>
            </w:r>
          </w:p>
        </w:tc>
      </w:tr>
      <w:tr w14:paraId="08854BE1">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1BAAF4FD">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Company</w:t>
            </w:r>
            <w:r>
              <w:rPr>
                <w:rFonts w:eastAsia="楷体" w:cs="Calibri"/>
                <w:kern w:val="2"/>
                <w:lang w:eastAsia="zh-CN"/>
              </w:rPr>
              <w:t>, HFI</w:t>
            </w:r>
          </w:p>
        </w:tc>
      </w:tr>
    </w:tbl>
    <w:p w14:paraId="2402D7D8">
      <w:pPr>
        <w:jc w:val="both"/>
        <w:rPr>
          <w:rFonts w:eastAsia="楷体" w:cs="Calibri"/>
          <w:kern w:val="2"/>
          <w:sz w:val="22"/>
          <w:szCs w:val="22"/>
          <w:lang w:eastAsia="zh-CN"/>
        </w:rPr>
      </w:pPr>
    </w:p>
    <w:p w14:paraId="66D9E0E2">
      <w:pPr>
        <w:jc w:val="both"/>
        <w:rPr>
          <w:rFonts w:eastAsia="楷体" w:cs="Calibri"/>
          <w:kern w:val="2"/>
          <w:sz w:val="22"/>
          <w:szCs w:val="22"/>
          <w:lang w:eastAsia="zh-CN"/>
        </w:rPr>
      </w:pPr>
      <w:r>
        <w:rPr>
          <w:rFonts w:eastAsia="楷体" w:cs="Calibri"/>
          <w:kern w:val="2"/>
          <w:sz w:val="22"/>
          <w:szCs w:val="22"/>
          <w:lang w:eastAsia="zh-CN"/>
        </w:rPr>
        <w:t>As operators navigate the transition from rear-door cooling to direct-to-chip and immersion solutions, the complexity of the "gray space" and "white space" integration increases exponentially. This shift necessitates a partner who can manage the entire thermal chain—from the heat generated at the processor to the ultimate rejection of that heat outside the building—rather than a provider of siloed components.</w:t>
      </w:r>
    </w:p>
    <w:p w14:paraId="0ED6D745">
      <w:pPr>
        <w:jc w:val="both"/>
        <w:rPr>
          <w:rFonts w:eastAsia="楷体" w:cs="Calibri"/>
          <w:kern w:val="2"/>
          <w:sz w:val="22"/>
          <w:szCs w:val="22"/>
          <w:lang w:eastAsia="zh-CN"/>
        </w:rPr>
      </w:pPr>
    </w:p>
    <w:p w14:paraId="0A860528">
      <w:pPr>
        <w:jc w:val="both"/>
        <w:rPr>
          <w:rFonts w:eastAsia="楷体" w:cs="Calibri"/>
          <w:kern w:val="2"/>
          <w:sz w:val="22"/>
          <w:szCs w:val="22"/>
          <w:lang w:eastAsia="zh-CN"/>
        </w:rPr>
      </w:pPr>
      <w:r>
        <w:rPr>
          <w:rFonts w:eastAsia="楷体" w:cs="Calibri"/>
          <w:kern w:val="2"/>
          <w:sz w:val="22"/>
          <w:szCs w:val="22"/>
          <w:lang w:eastAsia="zh-CN"/>
        </w:rPr>
        <w:t>Vertiv distinguishes itself in this evolving landscape through its unmatched ability to provide comprehensive, end-to-end thermal management ecosystems that bridge the gap between air and liquid cooling. Unlike niche players, Vertiv offers a "coolant-agnostic" portfolio that allows data center operators to implement hybrid environments, seamlessly integrating Coolant Distribution Units (CDUs) and secondary fluid loops with existing infrastructure. Vertiv’s unique advantage lies in its global manufacturing scale and specialized engineering services, which enable the rapid deployment of high-capacity liquid cooling solutions that are rigorously tested for leak-free reliability and precision control. By mastering the intricate balance of flow rates, pressure management, and thermal stability, Vertiv ensures that the world’s most advanced AI clusters can reach their full performance potential without being throttled by thermal constraints.</w:t>
      </w:r>
    </w:p>
    <w:p w14:paraId="2E9E0D5C">
      <w:pPr>
        <w:jc w:val="both"/>
        <w:rPr>
          <w:rFonts w:eastAsia="楷体" w:cs="Calibri"/>
          <w:kern w:val="2"/>
          <w:sz w:val="22"/>
          <w:szCs w:val="22"/>
          <w:lang w:eastAsia="zh-CN"/>
        </w:rPr>
      </w:pPr>
    </w:p>
    <w:p w14:paraId="3A5E7F72">
      <w:pPr>
        <w:jc w:val="both"/>
        <w:rPr>
          <w:rFonts w:eastAsia="楷体" w:cs="Calibri"/>
          <w:kern w:val="2"/>
          <w:sz w:val="22"/>
          <w:szCs w:val="22"/>
          <w:lang w:eastAsia="zh-CN"/>
        </w:rPr>
      </w:pPr>
    </w:p>
    <w:p w14:paraId="6056D985">
      <w:pPr>
        <w:jc w:val="both"/>
        <w:rPr>
          <w:rFonts w:eastAsia="楷体" w:cs="Calibri"/>
          <w:kern w:val="2"/>
          <w:sz w:val="22"/>
          <w:szCs w:val="22"/>
          <w:lang w:eastAsia="zh-CN"/>
        </w:rPr>
      </w:pPr>
    </w:p>
    <w:p w14:paraId="37E26BF0">
      <w:pPr>
        <w:jc w:val="both"/>
        <w:rPr>
          <w:rFonts w:eastAsia="楷体" w:cs="Calibri"/>
          <w:kern w:val="2"/>
          <w:sz w:val="22"/>
          <w:szCs w:val="22"/>
          <w:lang w:eastAsia="zh-CN"/>
        </w:rPr>
      </w:pPr>
    </w:p>
    <w:p w14:paraId="4880186F">
      <w:pPr>
        <w:jc w:val="both"/>
        <w:rPr>
          <w:rFonts w:eastAsia="楷体" w:cs="Calibri"/>
          <w:kern w:val="2"/>
          <w:sz w:val="22"/>
          <w:szCs w:val="22"/>
          <w:lang w:eastAsia="zh-CN"/>
        </w:rPr>
      </w:pPr>
    </w:p>
    <w:p w14:paraId="093449C3">
      <w:pPr>
        <w:jc w:val="both"/>
        <w:rPr>
          <w:rFonts w:eastAsia="楷体" w:cs="Calibri"/>
          <w:kern w:val="2"/>
          <w:sz w:val="22"/>
          <w:szCs w:val="22"/>
          <w:lang w:eastAsia="zh-CN"/>
        </w:rPr>
      </w:pPr>
    </w:p>
    <w:p w14:paraId="174667AB">
      <w:pPr>
        <w:jc w:val="both"/>
        <w:rPr>
          <w:rFonts w:eastAsia="楷体" w:cs="Calibri"/>
          <w:kern w:val="2"/>
          <w:sz w:val="22"/>
          <w:szCs w:val="22"/>
          <w:lang w:eastAsia="zh-CN"/>
        </w:rPr>
      </w:pPr>
    </w:p>
    <w:p w14:paraId="22E161CA">
      <w:pPr>
        <w:jc w:val="both"/>
        <w:rPr>
          <w:rFonts w:eastAsia="楷体" w:cs="Calibri"/>
          <w:kern w:val="2"/>
          <w:sz w:val="22"/>
          <w:szCs w:val="22"/>
          <w:lang w:eastAsia="zh-CN"/>
        </w:rPr>
      </w:pPr>
    </w:p>
    <w:p w14:paraId="37C77AF5">
      <w:pPr>
        <w:pStyle w:val="2"/>
        <w:spacing w:beforeLines="100" w:after="240" w:afterLines="100"/>
        <w:jc w:val="both"/>
        <w:rPr>
          <w:rFonts w:eastAsia="楷体_GB2312" w:cs="Calibri"/>
          <w:color w:val="23558C"/>
          <w:sz w:val="28"/>
          <w:szCs w:val="28"/>
        </w:rPr>
      </w:pPr>
      <w:bookmarkStart w:id="8" w:name="_Toc3581"/>
      <w:r>
        <w:rPr>
          <w:rFonts w:eastAsia="楷体" w:cs="Calibri"/>
          <w:color w:val="23558C"/>
          <w:sz w:val="28"/>
          <w:szCs w:val="28"/>
          <w:lang w:eastAsia="zh-CN"/>
        </w:rPr>
        <w:t>3</w:t>
      </w:r>
      <w:r>
        <w:rPr>
          <w:rFonts w:hint="eastAsia" w:eastAsia="楷体" w:cs="Calibri"/>
          <w:color w:val="23558C"/>
          <w:sz w:val="28"/>
          <w:szCs w:val="28"/>
          <w:lang w:eastAsia="zh-CN"/>
        </w:rPr>
        <w:t>.</w:t>
      </w:r>
      <w:r>
        <w:rPr>
          <w:rFonts w:eastAsia="楷体" w:cs="Calibri"/>
          <w:color w:val="23558C"/>
          <w:sz w:val="28"/>
          <w:szCs w:val="28"/>
          <w:lang w:eastAsia="zh-CN"/>
        </w:rPr>
        <w:t xml:space="preserve"> </w:t>
      </w:r>
      <w:r>
        <w:rPr>
          <w:rFonts w:hint="eastAsia" w:eastAsia="楷体" w:cs="Calibri"/>
          <w:color w:val="23558C"/>
          <w:sz w:val="28"/>
          <w:szCs w:val="28"/>
          <w:lang w:eastAsia="zh-CN"/>
        </w:rPr>
        <w:t xml:space="preserve">Vertiv </w:t>
      </w:r>
      <w:r>
        <w:rPr>
          <w:rFonts w:hint="eastAsia" w:eastAsia="楷体" w:cs="Calibri"/>
          <w:color w:val="23558C"/>
          <w:sz w:val="28"/>
          <w:szCs w:val="28"/>
          <w:lang w:val="en-US" w:eastAsia="zh-CN"/>
        </w:rPr>
        <w:t xml:space="preserve">differentiates </w:t>
      </w:r>
      <w:r>
        <w:rPr>
          <w:rFonts w:hint="eastAsia" w:eastAsia="楷体" w:cs="Calibri"/>
          <w:color w:val="23558C"/>
          <w:sz w:val="28"/>
          <w:szCs w:val="28"/>
          <w:lang w:eastAsia="zh-CN"/>
        </w:rPr>
        <w:t>through its full</w:t>
      </w:r>
      <w:r>
        <w:rPr>
          <w:rFonts w:hint="eastAsia" w:eastAsia="楷体" w:cs="Calibri"/>
          <w:color w:val="23558C"/>
          <w:sz w:val="28"/>
          <w:szCs w:val="28"/>
          <w:lang w:val="en-US" w:eastAsia="zh-CN"/>
        </w:rPr>
        <w:t xml:space="preserve"> </w:t>
      </w:r>
      <w:r>
        <w:rPr>
          <w:rFonts w:eastAsia="楷体" w:cs="Calibri"/>
          <w:color w:val="23558C"/>
          <w:sz w:val="28"/>
          <w:szCs w:val="28"/>
          <w:lang w:eastAsia="zh-CN"/>
        </w:rPr>
        <w:t>expertise</w:t>
      </w:r>
      <w:r>
        <w:rPr>
          <w:rFonts w:hint="eastAsia" w:eastAsia="楷体" w:cs="Calibri"/>
          <w:color w:val="23558C"/>
          <w:sz w:val="28"/>
          <w:szCs w:val="28"/>
          <w:lang w:val="en-US" w:eastAsia="zh-CN"/>
        </w:rPr>
        <w:t xml:space="preserve"> in powering and cooling</w:t>
      </w:r>
      <w:r>
        <w:rPr>
          <w:rFonts w:hint="eastAsia" w:eastAsia="楷体" w:cs="Calibri"/>
          <w:color w:val="23558C"/>
          <w:sz w:val="28"/>
          <w:szCs w:val="28"/>
          <w:lang w:eastAsia="zh-CN"/>
        </w:rPr>
        <w:t xml:space="preserve"> and strategic </w:t>
      </w:r>
      <w:r>
        <w:rPr>
          <w:rFonts w:eastAsia="楷体" w:cs="Calibri"/>
          <w:color w:val="23558C"/>
          <w:sz w:val="28"/>
          <w:szCs w:val="28"/>
          <w:lang w:eastAsia="zh-CN"/>
        </w:rPr>
        <w:t>partnership</w:t>
      </w:r>
      <w:r>
        <w:rPr>
          <w:rFonts w:hint="eastAsia" w:eastAsia="楷体" w:cs="Calibri"/>
          <w:color w:val="23558C"/>
          <w:sz w:val="28"/>
          <w:szCs w:val="28"/>
          <w:lang w:eastAsia="zh-CN"/>
        </w:rPr>
        <w:t xml:space="preserve"> </w:t>
      </w:r>
      <w:r>
        <w:rPr>
          <w:rFonts w:hint="eastAsia" w:eastAsia="楷体" w:cs="Calibri"/>
          <w:color w:val="23558C"/>
          <w:sz w:val="28"/>
          <w:szCs w:val="28"/>
          <w:lang w:val="en-US" w:eastAsia="zh-CN"/>
        </w:rPr>
        <w:t>with NVIDIA</w:t>
      </w:r>
      <w:bookmarkEnd w:id="8"/>
      <w:r>
        <w:rPr>
          <w:rFonts w:eastAsia="楷体" w:cs="Calibri"/>
          <w:color w:val="23558C"/>
          <w:sz w:val="28"/>
          <w:szCs w:val="28"/>
          <w:lang w:eastAsia="zh-CN"/>
        </w:rPr>
        <w:t xml:space="preserve"> </w:t>
      </w:r>
    </w:p>
    <w:p w14:paraId="4C458456">
      <w:pPr>
        <w:jc w:val="both"/>
        <w:outlineLvl w:val="1"/>
        <w:rPr>
          <w:rFonts w:eastAsia="楷体" w:cs="Calibri"/>
          <w:b/>
          <w:bCs/>
          <w:color w:val="23558C"/>
          <w:kern w:val="2"/>
          <w:sz w:val="24"/>
          <w:szCs w:val="24"/>
        </w:rPr>
      </w:pPr>
      <w:bookmarkStart w:id="9" w:name="_Toc19759"/>
      <w:r>
        <w:rPr>
          <w:rFonts w:eastAsia="楷体" w:cs="Calibri"/>
          <w:b/>
          <w:bCs/>
          <w:color w:val="23558C"/>
          <w:kern w:val="2"/>
          <w:sz w:val="24"/>
          <w:szCs w:val="24"/>
        </w:rPr>
        <w:t>3.1</w:t>
      </w:r>
      <w:r>
        <w:rPr>
          <w:rFonts w:hint="eastAsia" w:eastAsia="楷体" w:cs="Calibri"/>
          <w:b/>
          <w:bCs/>
          <w:color w:val="23558C"/>
          <w:kern w:val="2"/>
          <w:sz w:val="24"/>
          <w:szCs w:val="24"/>
          <w:lang w:val="en-US" w:eastAsia="zh-CN"/>
        </w:rPr>
        <w:t xml:space="preserve"> Vertiv</w:t>
      </w:r>
      <w:r>
        <w:rPr>
          <w:rFonts w:hint="default" w:eastAsia="楷体" w:cs="Calibri"/>
          <w:b/>
          <w:bCs/>
          <w:color w:val="23558C"/>
          <w:kern w:val="2"/>
          <w:sz w:val="24"/>
          <w:szCs w:val="24"/>
          <w:lang w:val="en-US" w:eastAsia="zh-CN"/>
        </w:rPr>
        <w:t>’</w:t>
      </w:r>
      <w:r>
        <w:rPr>
          <w:rFonts w:hint="eastAsia" w:eastAsia="楷体" w:cs="Calibri"/>
          <w:b/>
          <w:bCs/>
          <w:color w:val="23558C"/>
          <w:kern w:val="2"/>
          <w:sz w:val="24"/>
          <w:szCs w:val="24"/>
          <w:lang w:val="en-US" w:eastAsia="zh-CN"/>
        </w:rPr>
        <w:t>s</w:t>
      </w:r>
      <w:r>
        <w:rPr>
          <w:rFonts w:eastAsia="楷体" w:cs="Calibri"/>
          <w:b/>
          <w:bCs/>
          <w:color w:val="23558C"/>
          <w:kern w:val="2"/>
          <w:sz w:val="24"/>
          <w:szCs w:val="24"/>
        </w:rPr>
        <w:t xml:space="preserve"> </w:t>
      </w:r>
      <w:r>
        <w:rPr>
          <w:rFonts w:hint="eastAsia" w:eastAsia="楷体" w:cs="Calibri"/>
          <w:b/>
          <w:bCs/>
          <w:color w:val="23558C"/>
          <w:kern w:val="2"/>
          <w:sz w:val="24"/>
          <w:szCs w:val="24"/>
          <w:lang w:val="en-US" w:eastAsia="zh-CN"/>
        </w:rPr>
        <w:t>d</w:t>
      </w:r>
      <w:r>
        <w:rPr>
          <w:rFonts w:eastAsia="楷体" w:cs="Calibri"/>
          <w:b/>
          <w:bCs/>
          <w:color w:val="23558C"/>
          <w:kern w:val="2"/>
          <w:sz w:val="24"/>
          <w:szCs w:val="24"/>
        </w:rPr>
        <w:t xml:space="preserve">ominance in data center power </w:t>
      </w:r>
      <w:r>
        <w:rPr>
          <w:rFonts w:eastAsia="楷体" w:cs="Calibri"/>
          <w:b/>
          <w:bCs/>
          <w:color w:val="23558C"/>
          <w:kern w:val="2"/>
          <w:sz w:val="24"/>
          <w:szCs w:val="24"/>
          <w:lang w:eastAsia="zh-CN"/>
        </w:rPr>
        <w:t xml:space="preserve">and cooling </w:t>
      </w:r>
      <w:r>
        <w:rPr>
          <w:rFonts w:eastAsia="楷体" w:cs="Calibri"/>
          <w:b/>
          <w:bCs/>
          <w:color w:val="23558C"/>
          <w:kern w:val="2"/>
          <w:sz w:val="24"/>
          <w:szCs w:val="24"/>
        </w:rPr>
        <w:t>infrastructure</w:t>
      </w:r>
      <w:r>
        <w:rPr>
          <w:rFonts w:eastAsia="楷体" w:cs="Calibri"/>
          <w:b/>
          <w:bCs/>
          <w:color w:val="23558C"/>
          <w:kern w:val="2"/>
          <w:sz w:val="24"/>
          <w:szCs w:val="24"/>
          <w:lang w:eastAsia="zh-CN"/>
        </w:rPr>
        <w:t xml:space="preserve"> with </w:t>
      </w:r>
      <w:r>
        <w:rPr>
          <w:rFonts w:hint="eastAsia" w:eastAsia="楷体" w:cs="Calibri"/>
          <w:b/>
          <w:bCs/>
          <w:color w:val="23558C"/>
          <w:kern w:val="2"/>
          <w:sz w:val="24"/>
          <w:szCs w:val="24"/>
          <w:lang w:eastAsia="zh-CN"/>
        </w:rPr>
        <w:t>e</w:t>
      </w:r>
      <w:r>
        <w:rPr>
          <w:rFonts w:eastAsia="楷体" w:cs="Calibri"/>
          <w:b/>
          <w:bCs/>
          <w:color w:val="23558C"/>
          <w:kern w:val="2"/>
          <w:sz w:val="24"/>
          <w:szCs w:val="24"/>
        </w:rPr>
        <w:t>nd-to-end systems and services expertise</w:t>
      </w:r>
      <w:bookmarkEnd w:id="9"/>
      <w:r>
        <w:rPr>
          <w:rFonts w:eastAsia="楷体" w:cs="Calibri"/>
          <w:b/>
          <w:bCs/>
          <w:color w:val="23558C"/>
          <w:kern w:val="2"/>
          <w:sz w:val="24"/>
          <w:szCs w:val="24"/>
        </w:rPr>
        <w:t xml:space="preserve"> </w:t>
      </w:r>
    </w:p>
    <w:p w14:paraId="4390A90A">
      <w:pPr>
        <w:bidi w:val="0"/>
      </w:pPr>
    </w:p>
    <w:p w14:paraId="71A8B952">
      <w:pPr>
        <w:jc w:val="both"/>
        <w:rPr>
          <w:rFonts w:eastAsia="楷体" w:cs="Calibri"/>
          <w:kern w:val="2"/>
          <w:sz w:val="22"/>
          <w:szCs w:val="22"/>
          <w:lang w:eastAsia="zh-CN"/>
        </w:rPr>
      </w:pPr>
      <w:r>
        <w:rPr>
          <w:rFonts w:eastAsia="楷体" w:cs="Calibri"/>
          <w:b/>
          <w:bCs/>
          <w:kern w:val="2"/>
          <w:sz w:val="22"/>
          <w:szCs w:val="22"/>
          <w:lang w:eastAsia="zh-CN"/>
        </w:rPr>
        <w:t>Vertiv possesses unique end-to-end systems and services expertise to tackle the increasingly difficult power and cooling challenges in the AI industry</w:t>
      </w:r>
      <w:r>
        <w:rPr>
          <w:rFonts w:eastAsia="楷体" w:cs="Calibri"/>
          <w:kern w:val="2"/>
          <w:sz w:val="22"/>
          <w:szCs w:val="22"/>
          <w:lang w:eastAsia="zh-CN"/>
        </w:rPr>
        <w:t xml:space="preserve"> by offering a comprehensive</w:t>
      </w:r>
      <w:r>
        <w:rPr>
          <w:rFonts w:hint="eastAsia" w:eastAsia="楷体" w:cs="Calibri"/>
          <w:kern w:val="2"/>
          <w:sz w:val="22"/>
          <w:szCs w:val="22"/>
          <w:lang w:val="en-US" w:eastAsia="zh-CN"/>
        </w:rPr>
        <w:t xml:space="preserve"> and</w:t>
      </w:r>
      <w:r>
        <w:rPr>
          <w:rFonts w:eastAsia="楷体" w:cs="Calibri"/>
          <w:kern w:val="2"/>
          <w:sz w:val="22"/>
          <w:szCs w:val="22"/>
          <w:lang w:eastAsia="zh-CN"/>
        </w:rPr>
        <w:t xml:space="preserve"> integrated portfolio</w:t>
      </w:r>
      <w:r>
        <w:rPr>
          <w:rFonts w:hint="eastAsia" w:eastAsia="楷体" w:cs="Calibri"/>
          <w:kern w:val="2"/>
          <w:sz w:val="22"/>
          <w:szCs w:val="22"/>
          <w:lang w:val="en-US" w:eastAsia="zh-CN"/>
        </w:rPr>
        <w:t>, while many competitors specialize in either power or cooling</w:t>
      </w:r>
      <w:r>
        <w:rPr>
          <w:rFonts w:hint="eastAsia" w:eastAsia="楷体" w:cs="Calibri"/>
          <w:kern w:val="2"/>
          <w:sz w:val="22"/>
          <w:szCs w:val="22"/>
          <w:lang w:eastAsia="zh-CN"/>
        </w:rPr>
        <w:t xml:space="preserve">. </w:t>
      </w:r>
      <w:r>
        <w:rPr>
          <w:rFonts w:hint="eastAsia" w:eastAsia="楷体" w:cs="Calibri"/>
          <w:kern w:val="2"/>
          <w:sz w:val="22"/>
          <w:szCs w:val="22"/>
          <w:lang w:val="en-US" w:eastAsia="zh-CN"/>
        </w:rPr>
        <w:t xml:space="preserve">Building on such leading competitive edge, Vertiv Infrastructure Solutions, consisting of Vertiv OneCore nad Vertiv SmartRun delivers speed to token with end-to-end, pre-engineered, and pre-fabricated systems to enable growth. </w:t>
      </w:r>
    </w:p>
    <w:p w14:paraId="6AD90ACD">
      <w:pPr>
        <w:jc w:val="both"/>
        <w:rPr>
          <w:rFonts w:eastAsia="楷体" w:cs="Calibri"/>
          <w:b/>
          <w:bCs/>
          <w:kern w:val="2"/>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3F2DFF8C">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2FA745D0">
            <w:pPr>
              <w:rPr>
                <w:rFonts w:hint="eastAsia" w:eastAsia="楷体" w:cs="Calibri"/>
                <w:kern w:val="2"/>
                <w:sz w:val="22"/>
                <w:szCs w:val="22"/>
                <w:lang w:eastAsia="zh-CN"/>
              </w:rPr>
            </w:pPr>
            <w:r>
              <w:rPr>
                <w:rFonts w:eastAsia="楷体" w:cs="Calibri"/>
                <w:b/>
                <w:bCs/>
                <w:kern w:val="2"/>
                <w:sz w:val="22"/>
                <w:szCs w:val="22"/>
                <w:lang w:eastAsia="zh-CN"/>
              </w:rPr>
              <w:t xml:space="preserve">Figure: </w:t>
            </w:r>
            <w:r>
              <w:rPr>
                <w:rFonts w:hint="eastAsia" w:eastAsia="楷体" w:cs="Calibri"/>
                <w:b/>
                <w:bCs/>
                <w:kern w:val="2"/>
                <w:sz w:val="22"/>
                <w:szCs w:val="22"/>
                <w:lang w:eastAsia="zh-CN"/>
              </w:rPr>
              <w:t>E</w:t>
            </w:r>
            <w:r>
              <w:rPr>
                <w:rFonts w:eastAsia="楷体" w:cs="Calibri"/>
                <w:b/>
                <w:bCs/>
                <w:kern w:val="2"/>
                <w:sz w:val="22"/>
                <w:szCs w:val="22"/>
                <w:lang w:eastAsia="zh-CN"/>
              </w:rPr>
              <w:t xml:space="preserve">nd-to-end systems and services expertise architecture for </w:t>
            </w:r>
            <w:r>
              <w:rPr>
                <w:rFonts w:hint="eastAsia" w:eastAsia="楷体" w:cs="Calibri"/>
                <w:b/>
                <w:bCs/>
                <w:kern w:val="2"/>
                <w:sz w:val="22"/>
                <w:szCs w:val="22"/>
                <w:lang w:eastAsia="zh-CN"/>
              </w:rPr>
              <w:t>DCs</w:t>
            </w:r>
          </w:p>
        </w:tc>
      </w:tr>
      <w:tr w14:paraId="4F830618">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62B18688">
            <w:pPr>
              <w:rPr>
                <w:rFonts w:eastAsia="楷体" w:cs="Calibri"/>
                <w:kern w:val="2"/>
                <w:sz w:val="22"/>
                <w:szCs w:val="22"/>
                <w:lang w:eastAsia="zh-CN"/>
              </w:rPr>
            </w:pPr>
            <w:r>
              <w:rPr>
                <w:rFonts w:eastAsia="楷体" w:cs="Calibri"/>
                <w:kern w:val="2"/>
                <w:sz w:val="22"/>
                <w:szCs w:val="22"/>
                <w:lang w:eastAsia="zh-CN"/>
              </w:rPr>
              <w:drawing>
                <wp:inline distT="0" distB="0" distL="0" distR="0">
                  <wp:extent cx="4603750" cy="1849755"/>
                  <wp:effectExtent l="0" t="0" r="6350" b="0"/>
                  <wp:docPr id="174370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5956" name="Picture 1"/>
                          <pic:cNvPicPr>
                            <a:picLocks noChangeAspect="1"/>
                          </pic:cNvPicPr>
                        </pic:nvPicPr>
                        <pic:blipFill>
                          <a:blip r:embed="rId34"/>
                          <a:stretch>
                            <a:fillRect/>
                          </a:stretch>
                        </pic:blipFill>
                        <pic:spPr>
                          <a:xfrm>
                            <a:off x="0" y="0"/>
                            <a:ext cx="4603750" cy="1849755"/>
                          </a:xfrm>
                          <a:prstGeom prst="rect">
                            <a:avLst/>
                          </a:prstGeom>
                        </pic:spPr>
                      </pic:pic>
                    </a:graphicData>
                  </a:graphic>
                </wp:inline>
              </w:drawing>
            </w:r>
          </w:p>
          <w:p w14:paraId="5AAD8A89">
            <w:pPr>
              <w:rPr>
                <w:rFonts w:eastAsia="楷体" w:cs="Calibri"/>
                <w:kern w:val="2"/>
                <w:sz w:val="22"/>
                <w:szCs w:val="22"/>
                <w:lang w:eastAsia="zh-CN"/>
              </w:rPr>
            </w:pPr>
          </w:p>
        </w:tc>
      </w:tr>
      <w:tr w14:paraId="02B77240">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708D95C4">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Company</w:t>
            </w:r>
            <w:r>
              <w:rPr>
                <w:rFonts w:eastAsia="楷体" w:cs="Calibri"/>
                <w:kern w:val="2"/>
                <w:lang w:eastAsia="zh-CN"/>
              </w:rPr>
              <w:t>, HFI</w:t>
            </w:r>
          </w:p>
        </w:tc>
      </w:tr>
    </w:tbl>
    <w:p w14:paraId="38C7E0AD">
      <w:pPr>
        <w:jc w:val="both"/>
        <w:rPr>
          <w:rFonts w:eastAsia="楷体" w:cs="Calibri"/>
          <w:b/>
          <w:bCs/>
          <w:kern w:val="2"/>
          <w:sz w:val="22"/>
          <w:szCs w:val="22"/>
          <w:lang w:eastAsia="zh-CN"/>
        </w:rPr>
      </w:pPr>
    </w:p>
    <w:p w14:paraId="1D2A4287">
      <w:pPr>
        <w:jc w:val="both"/>
        <w:rPr>
          <w:rFonts w:hint="eastAsia" w:eastAsia="楷体" w:cs="Calibri"/>
          <w:b w:val="0"/>
          <w:bCs w:val="0"/>
          <w:kern w:val="2"/>
          <w:sz w:val="22"/>
          <w:szCs w:val="22"/>
          <w:lang w:eastAsia="zh-CN"/>
        </w:rPr>
      </w:pPr>
      <w:r>
        <w:rPr>
          <w:rFonts w:hint="eastAsia" w:eastAsia="楷体" w:cs="Calibri"/>
          <w:b/>
          <w:bCs/>
          <w:kern w:val="2"/>
          <w:sz w:val="22"/>
          <w:szCs w:val="22"/>
          <w:lang w:eastAsia="zh-CN"/>
        </w:rPr>
        <w:t>Vertiv OneCore</w:t>
      </w:r>
      <w:r>
        <w:rPr>
          <w:rFonts w:hint="eastAsia" w:eastAsia="楷体" w:cs="Calibri"/>
          <w:b w:val="0"/>
          <w:bCs w:val="0"/>
          <w:kern w:val="2"/>
          <w:sz w:val="22"/>
          <w:szCs w:val="22"/>
          <w:lang w:eastAsia="zh-CN"/>
        </w:rPr>
        <w:t xml:space="preserve"> is an end-to-end, "slab-up" prefabricated data center solution designed to rapidly deploy high-density capacity for AI, High-Performance Computing (HPC), and colocation environments. It provides a complete turnkey infrastructure by integrating Vertiv</w:t>
      </w:r>
      <w:r>
        <w:rPr>
          <w:rFonts w:hint="default" w:eastAsia="楷体" w:cs="Calibri"/>
          <w:b w:val="0"/>
          <w:bCs w:val="0"/>
          <w:kern w:val="2"/>
          <w:sz w:val="22"/>
          <w:szCs w:val="22"/>
          <w:lang w:val="en-US" w:eastAsia="zh-CN"/>
        </w:rPr>
        <w:t>’</w:t>
      </w:r>
      <w:r>
        <w:rPr>
          <w:rFonts w:hint="eastAsia" w:eastAsia="楷体" w:cs="Calibri"/>
          <w:b w:val="0"/>
          <w:bCs w:val="0"/>
          <w:kern w:val="2"/>
          <w:sz w:val="22"/>
          <w:szCs w:val="22"/>
          <w:lang w:eastAsia="zh-CN"/>
        </w:rPr>
        <w:t>s power, cooling, and management technologies into factory-assembled building blocks—such as power skids and thermal modules—all housed within a Vertiv-supplied steel building shell. Designed for facilities ranging from 5MW to over 50MW, OneCore eliminates the complexity of managing multiple vendors and significantly compresses construction timelines through parallel manufacturing and simplified on-site assembly</w:t>
      </w:r>
      <w:r>
        <w:rPr>
          <w:rFonts w:hint="eastAsia" w:eastAsia="楷体" w:cs="Calibri"/>
          <w:b w:val="0"/>
          <w:bCs w:val="0"/>
          <w:kern w:val="2"/>
          <w:sz w:val="22"/>
          <w:szCs w:val="22"/>
          <w:lang w:val="en-US" w:eastAsia="zh-CN"/>
        </w:rPr>
        <w:t>, reducing on-site deployment time from 18–24 months to less than 6 months.</w:t>
      </w:r>
      <w:r>
        <w:rPr>
          <w:rFonts w:hint="eastAsia" w:eastAsia="楷体" w:cs="Calibri"/>
          <w:b w:val="0"/>
          <w:bCs w:val="0"/>
          <w:kern w:val="2"/>
          <w:sz w:val="22"/>
          <w:szCs w:val="22"/>
          <w:lang w:eastAsia="zh-CN"/>
        </w:rPr>
        <w:t>.</w:t>
      </w:r>
    </w:p>
    <w:p w14:paraId="19D062E8">
      <w:pPr>
        <w:jc w:val="both"/>
        <w:rPr>
          <w:rFonts w:hint="eastAsia" w:eastAsia="楷体" w:cs="Calibri"/>
          <w:b w:val="0"/>
          <w:bCs w:val="0"/>
          <w:kern w:val="2"/>
          <w:sz w:val="22"/>
          <w:szCs w:val="22"/>
          <w:lang w:eastAsia="zh-CN"/>
        </w:rPr>
      </w:pPr>
    </w:p>
    <w:p w14:paraId="657C4579">
      <w:pPr>
        <w:jc w:val="both"/>
        <w:rPr>
          <w:rFonts w:hint="eastAsia" w:eastAsia="楷体" w:cs="Calibri"/>
          <w:b w:val="0"/>
          <w:bCs w:val="0"/>
          <w:kern w:val="2"/>
          <w:sz w:val="22"/>
          <w:szCs w:val="22"/>
          <w:lang w:eastAsia="zh-CN"/>
        </w:rPr>
      </w:pPr>
      <w:r>
        <w:rPr>
          <w:rFonts w:hint="eastAsia" w:eastAsia="楷体" w:cs="Calibri"/>
          <w:b/>
          <w:bCs/>
          <w:kern w:val="2"/>
          <w:sz w:val="22"/>
          <w:szCs w:val="22"/>
          <w:lang w:eastAsia="zh-CN"/>
        </w:rPr>
        <w:t xml:space="preserve">Vertiv SmartRun </w:t>
      </w:r>
      <w:r>
        <w:rPr>
          <w:rFonts w:hint="eastAsia" w:eastAsia="楷体" w:cs="Calibri"/>
          <w:b w:val="0"/>
          <w:bCs w:val="0"/>
          <w:kern w:val="2"/>
          <w:sz w:val="22"/>
          <w:szCs w:val="22"/>
          <w:lang w:eastAsia="zh-CN"/>
        </w:rPr>
        <w:t>is a modular, prefabricated overhead infrastructure system specifically engineered to speed up the fit-out of the data center "white space". It consolidates critical components—including high-density power distribution busways, liquid cooling piping, network cabling, and hot-aisle containment—into a single, integrated platform. By utilizing a "one-lift" installation model, SmartRun can be deployed up to 85% faster than traditional stick-build methods, enabling a single crew to install over 1MW of capacity per day. Its compact, modular design allows it to fit through standard doors, making it ideal for both new builds and retrofitting existing facilities to handle high-density AI workloads.</w:t>
      </w:r>
    </w:p>
    <w:p w14:paraId="3A820723">
      <w:pPr>
        <w:jc w:val="both"/>
        <w:rPr>
          <w:rFonts w:eastAsia="楷体" w:cs="Calibri"/>
          <w:color w:val="23558C"/>
          <w:kern w:val="2"/>
          <w:sz w:val="22"/>
          <w:szCs w:val="22"/>
        </w:rPr>
      </w:pPr>
    </w:p>
    <w:tbl>
      <w:tblPr>
        <w:tblStyle w:val="15"/>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7F6E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nil"/>
            </w:tcBorders>
          </w:tcPr>
          <w:p w14:paraId="0B9444F7">
            <w:pPr>
              <w:rPr>
                <w:rFonts w:hint="eastAsia" w:eastAsia="楷体" w:cs="Calibri"/>
                <w:b/>
                <w:bCs/>
                <w:kern w:val="2"/>
                <w:sz w:val="22"/>
                <w:szCs w:val="22"/>
                <w:lang w:val="zh-CN" w:eastAsia="zh-CN"/>
              </w:rPr>
            </w:pPr>
            <w:r>
              <w:rPr>
                <w:rFonts w:hint="eastAsia" w:eastAsia="楷体" w:cs="Calibri"/>
                <w:b/>
                <w:bCs/>
                <w:kern w:val="2"/>
                <w:sz w:val="22"/>
                <w:szCs w:val="22"/>
                <w:lang w:val="en-US" w:eastAsia="zh-CN"/>
              </w:rPr>
              <w:t>Figure: Vertiv OneCore and Vertiv Smartrun</w:t>
            </w:r>
          </w:p>
        </w:tc>
      </w:tr>
      <w:tr w14:paraId="024AC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5" w:hRule="atLeast"/>
        </w:trPr>
        <w:tc>
          <w:tcPr>
            <w:tcW w:w="10206" w:type="dxa"/>
            <w:tcBorders>
              <w:top w:val="nil"/>
              <w:bottom w:val="nil"/>
            </w:tcBorders>
            <w:tcMar>
              <w:top w:w="28" w:type="dxa"/>
              <w:bottom w:w="28" w:type="dxa"/>
            </w:tcMar>
            <w:vAlign w:val="center"/>
          </w:tcPr>
          <w:p w14:paraId="4BFE9B5A">
            <w:pPr>
              <w:rPr>
                <w:rFonts w:hint="eastAsia" w:eastAsia="楷体" w:cs="Calibri"/>
                <w:b/>
                <w:bCs/>
                <w:kern w:val="2"/>
                <w:sz w:val="22"/>
                <w:szCs w:val="22"/>
                <w:lang w:val="en-US" w:eastAsia="zh-CN"/>
              </w:rPr>
            </w:pPr>
            <w:r>
              <w:rPr>
                <w:rFonts w:hint="eastAsia" w:eastAsia="楷体" w:cs="Calibri"/>
                <w:b/>
                <w:bCs/>
                <w:kern w:val="2"/>
                <w:sz w:val="22"/>
                <w:szCs w:val="22"/>
                <w:lang w:val="en-US" w:eastAsia="zh-CN"/>
              </w:rPr>
              <w:drawing>
                <wp:inline distT="0" distB="0" distL="114300" distR="114300">
                  <wp:extent cx="6435090" cy="1992630"/>
                  <wp:effectExtent l="0" t="0" r="1143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5"/>
                          <a:stretch>
                            <a:fillRect/>
                          </a:stretch>
                        </pic:blipFill>
                        <pic:spPr>
                          <a:xfrm>
                            <a:off x="0" y="0"/>
                            <a:ext cx="6435090" cy="1992630"/>
                          </a:xfrm>
                          <a:prstGeom prst="rect">
                            <a:avLst/>
                          </a:prstGeom>
                          <a:noFill/>
                          <a:ln>
                            <a:noFill/>
                          </a:ln>
                        </pic:spPr>
                      </pic:pic>
                    </a:graphicData>
                  </a:graphic>
                </wp:inline>
              </w:drawing>
            </w:r>
          </w:p>
        </w:tc>
      </w:tr>
      <w:tr w14:paraId="771AC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10206" w:type="dxa"/>
            <w:tcBorders>
              <w:top w:val="nil"/>
            </w:tcBorders>
          </w:tcPr>
          <w:p w14:paraId="579644D9">
            <w:pPr>
              <w:rPr>
                <w:rFonts w:hint="eastAsia" w:eastAsia="楷体" w:cs="Calibri"/>
                <w:b/>
                <w:bCs/>
                <w:kern w:val="2"/>
                <w:sz w:val="22"/>
                <w:szCs w:val="22"/>
                <w:lang w:val="en-US" w:eastAsia="zh-CN"/>
              </w:rPr>
            </w:pPr>
            <w:r>
              <w:rPr>
                <w:rFonts w:hint="eastAsia" w:eastAsia="楷体" w:cs="Calibri"/>
                <w:kern w:val="2"/>
                <w:lang w:val="en-US" w:eastAsia="zh-CN"/>
              </w:rPr>
              <w:t>Source: Company, HFI</w:t>
            </w:r>
          </w:p>
        </w:tc>
      </w:tr>
    </w:tbl>
    <w:p w14:paraId="645B29E8">
      <w:pPr>
        <w:rPr>
          <w:rFonts w:hint="eastAsia" w:eastAsia="楷体" w:cs="Calibri"/>
          <w:b w:val="0"/>
          <w:bCs w:val="0"/>
          <w:kern w:val="2"/>
          <w:sz w:val="22"/>
          <w:szCs w:val="22"/>
          <w:lang w:val="en-US" w:eastAsia="zh-CN"/>
        </w:rPr>
      </w:pPr>
    </w:p>
    <w:p w14:paraId="15EC241C">
      <w:pPr>
        <w:jc w:val="both"/>
        <w:rPr>
          <w:rFonts w:hint="default" w:eastAsia="楷体" w:cs="Calibri"/>
          <w:b w:val="0"/>
          <w:bCs w:val="0"/>
          <w:kern w:val="2"/>
          <w:sz w:val="22"/>
          <w:szCs w:val="22"/>
          <w:lang w:val="en-US" w:eastAsia="zh-CN"/>
        </w:rPr>
      </w:pPr>
      <w:r>
        <w:rPr>
          <w:rFonts w:hint="eastAsia" w:eastAsia="楷体" w:cs="Calibri"/>
          <w:b/>
          <w:bCs/>
          <w:kern w:val="2"/>
          <w:sz w:val="22"/>
          <w:szCs w:val="22"/>
          <w:lang w:val="en-US" w:eastAsia="zh-CN"/>
        </w:rPr>
        <w:t>By integrating the macro-scale efficiency of the OneCore architecture with the micro-scale modularity of the SmartRun ecosystem, Vertiv provides a uniquely unified and holistic portfolio that addresses the bifurcated demands of the modern data center.</w:t>
      </w:r>
      <w:r>
        <w:rPr>
          <w:rFonts w:hint="eastAsia" w:eastAsia="楷体" w:cs="Calibri"/>
          <w:b w:val="0"/>
          <w:bCs w:val="0"/>
          <w:kern w:val="2"/>
          <w:sz w:val="22"/>
          <w:szCs w:val="22"/>
          <w:lang w:val="en-US" w:eastAsia="zh-CN"/>
        </w:rPr>
        <w:t xml:space="preserve"> Compared to the electrical peers (ABB, Siemens and Legrand), Vertiv (and Schneider &amp; Eaton) has a comprehensive portfolio in data centre cooling solutions, allowing operators to bridge the gap between massive, centralized power requirements and the granular, high-density cooling needs of the rack level, enabling customers to deploy large-scale AI capacity with significantly reduced lead times and lower operational complexity. In addition, Vertiv leads in the equipment that supports current liquid cooling technologies, such as Cooling Distribution Unit (CDU) which is used to distribute and control coolant used for liquid cooling. </w:t>
      </w:r>
    </w:p>
    <w:p w14:paraId="605B7A83">
      <w:pPr>
        <w:rPr>
          <w:rFonts w:hint="eastAsia" w:eastAsia="楷体" w:cs="Calibri"/>
          <w:b w:val="0"/>
          <w:bCs w:val="0"/>
          <w:kern w:val="2"/>
          <w:sz w:val="22"/>
          <w:szCs w:val="22"/>
          <w:lang w:val="en-US"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604E8D4C">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777B4D28">
            <w:pPr>
              <w:rPr>
                <w:rFonts w:hint="eastAsia" w:eastAsia="楷体" w:cs="Calibri"/>
                <w:b w:val="0"/>
                <w:bCs w:val="0"/>
                <w:kern w:val="2"/>
                <w:sz w:val="22"/>
                <w:szCs w:val="22"/>
                <w:lang w:val="en-US" w:eastAsia="zh-CN"/>
              </w:rPr>
            </w:pPr>
            <w:r>
              <w:rPr>
                <w:rFonts w:hint="eastAsia" w:eastAsia="楷体" w:cs="Calibri"/>
                <w:b/>
                <w:bCs/>
                <w:kern w:val="2"/>
                <w:sz w:val="22"/>
                <w:szCs w:val="22"/>
                <w:lang w:val="en-US" w:eastAsia="zh-CN"/>
              </w:rPr>
              <w:t>Table: Product Portfolio of Vertiv and competitors</w:t>
            </w:r>
          </w:p>
        </w:tc>
      </w:tr>
      <w:tr w14:paraId="7C102DE9">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3FA8E1F0">
            <w:pPr>
              <w:rPr>
                <w:rFonts w:hint="eastAsia" w:eastAsia="楷体" w:cs="Calibri"/>
                <w:b w:val="0"/>
                <w:bCs w:val="0"/>
                <w:kern w:val="2"/>
                <w:sz w:val="22"/>
                <w:szCs w:val="22"/>
                <w:lang w:val="en-US" w:eastAsia="zh-CN"/>
              </w:rPr>
            </w:pPr>
            <w:r>
              <w:rPr>
                <w:rFonts w:hint="eastAsia" w:eastAsia="楷体" w:cs="Calibri"/>
                <w:b w:val="0"/>
                <w:bCs w:val="0"/>
                <w:kern w:val="2"/>
                <w:sz w:val="22"/>
                <w:szCs w:val="22"/>
                <w:lang w:val="en-US" w:eastAsia="zh-CN"/>
              </w:rPr>
              <w:drawing>
                <wp:inline distT="0" distB="0" distL="114300" distR="114300">
                  <wp:extent cx="4646930" cy="2555875"/>
                  <wp:effectExtent l="0" t="0" r="1270" b="4445"/>
                  <wp:docPr id="8" name="图片 8" descr="baf69e34803743e2874c41f059e17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af69e34803743e2874c41f059e174a2"/>
                          <pic:cNvPicPr>
                            <a:picLocks noChangeAspect="1"/>
                          </pic:cNvPicPr>
                        </pic:nvPicPr>
                        <pic:blipFill>
                          <a:blip r:embed="rId36"/>
                          <a:stretch>
                            <a:fillRect/>
                          </a:stretch>
                        </pic:blipFill>
                        <pic:spPr>
                          <a:xfrm>
                            <a:off x="0" y="0"/>
                            <a:ext cx="4646930" cy="2555875"/>
                          </a:xfrm>
                          <a:prstGeom prst="rect">
                            <a:avLst/>
                          </a:prstGeom>
                        </pic:spPr>
                      </pic:pic>
                    </a:graphicData>
                  </a:graphic>
                </wp:inline>
              </w:drawing>
            </w:r>
          </w:p>
        </w:tc>
      </w:tr>
      <w:tr w14:paraId="76820789">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3F7772BA">
            <w:pPr>
              <w:rPr>
                <w:rFonts w:hint="eastAsia" w:eastAsia="楷体" w:cs="Calibri"/>
                <w:b w:val="0"/>
                <w:bCs w:val="0"/>
                <w:kern w:val="2"/>
                <w:sz w:val="22"/>
                <w:szCs w:val="22"/>
                <w:lang w:val="en-US" w:eastAsia="zh-CN"/>
              </w:rPr>
            </w:pPr>
            <w:r>
              <w:rPr>
                <w:rFonts w:hint="eastAsia" w:eastAsia="楷体" w:cs="Calibri"/>
                <w:b w:val="0"/>
                <w:bCs w:val="0"/>
                <w:kern w:val="2"/>
                <w:sz w:val="16"/>
                <w:szCs w:val="16"/>
                <w:lang w:val="en-US" w:eastAsia="zh-CN"/>
              </w:rPr>
              <w:t>Source: HFI</w:t>
            </w:r>
          </w:p>
        </w:tc>
      </w:tr>
    </w:tbl>
    <w:p w14:paraId="2627B5C2">
      <w:pPr>
        <w:rPr>
          <w:rFonts w:hint="eastAsia" w:eastAsia="楷体" w:cs="Calibri"/>
          <w:b w:val="0"/>
          <w:bCs w:val="0"/>
          <w:kern w:val="2"/>
          <w:sz w:val="22"/>
          <w:szCs w:val="22"/>
          <w:lang w:val="en-US" w:eastAsia="zh-CN"/>
        </w:rPr>
      </w:pPr>
    </w:p>
    <w:p w14:paraId="1342E90E">
      <w:pPr>
        <w:rPr>
          <w:rFonts w:hint="eastAsia" w:eastAsia="楷体" w:cs="Calibri"/>
          <w:b w:val="0"/>
          <w:bCs w:val="0"/>
          <w:kern w:val="2"/>
          <w:sz w:val="22"/>
          <w:szCs w:val="22"/>
          <w:lang w:val="en-US" w:eastAsia="zh-CN"/>
        </w:rPr>
      </w:pPr>
    </w:p>
    <w:p w14:paraId="613EB7F4">
      <w:pPr>
        <w:jc w:val="both"/>
        <w:rPr>
          <w:rFonts w:hint="eastAsia" w:eastAsia="楷体" w:cs="Calibri"/>
          <w:b w:val="0"/>
          <w:bCs w:val="0"/>
          <w:kern w:val="2"/>
          <w:sz w:val="22"/>
          <w:szCs w:val="22"/>
          <w:lang w:val="en-US" w:eastAsia="zh-CN"/>
        </w:rPr>
      </w:pPr>
      <w:r>
        <w:rPr>
          <w:rFonts w:hint="eastAsia" w:eastAsia="楷体" w:cs="Calibri"/>
          <w:b/>
          <w:bCs/>
          <w:kern w:val="2"/>
          <w:sz w:val="22"/>
          <w:szCs w:val="22"/>
          <w:lang w:val="en-US" w:eastAsia="zh-CN"/>
        </w:rPr>
        <w:t xml:space="preserve">Furthermore, we believe Vertiv represents a premier "pure-play" investment vehicle within the critical infrastructure space. </w:t>
      </w:r>
      <w:r>
        <w:rPr>
          <w:rFonts w:hint="eastAsia" w:eastAsia="楷体" w:cs="Calibri"/>
          <w:b w:val="0"/>
          <w:bCs w:val="0"/>
          <w:kern w:val="2"/>
          <w:sz w:val="22"/>
          <w:szCs w:val="22"/>
          <w:lang w:val="en-US" w:eastAsia="zh-CN"/>
        </w:rPr>
        <w:t>Unlike diversified conglomerates, like Schneider and Eaton, Vertiv</w:t>
      </w:r>
      <w:r>
        <w:rPr>
          <w:rFonts w:hint="default" w:eastAsia="楷体" w:cs="Calibri"/>
          <w:b w:val="0"/>
          <w:bCs w:val="0"/>
          <w:kern w:val="2"/>
          <w:sz w:val="22"/>
          <w:szCs w:val="22"/>
          <w:lang w:val="en-US" w:eastAsia="zh-CN"/>
        </w:rPr>
        <w:t>’</w:t>
      </w:r>
      <w:r>
        <w:rPr>
          <w:rFonts w:hint="eastAsia" w:eastAsia="楷体" w:cs="Calibri"/>
          <w:b w:val="0"/>
          <w:bCs w:val="0"/>
          <w:kern w:val="2"/>
          <w:sz w:val="22"/>
          <w:szCs w:val="22"/>
          <w:lang w:val="en-US" w:eastAsia="zh-CN"/>
        </w:rPr>
        <w:t>s singular focus on the data center environment with 80% revenue from DC customers allows for rapid R&amp;D iteration and deep technical alignment with the cooling and power demands of next-generation silicon. As a result, the company is exceptionally well-positioned to capture outsized value during the current AI supercycle, acting as a fundamental enabler for the global build-out of accelerated computing clusters where reliability and thermal management are the primary bottlenecks to growth.</w:t>
      </w:r>
    </w:p>
    <w:p w14:paraId="52E078F9">
      <w:pPr>
        <w:rPr>
          <w:rFonts w:hint="eastAsia" w:eastAsia="楷体" w:cs="Calibri"/>
          <w:b w:val="0"/>
          <w:bCs w:val="0"/>
          <w:kern w:val="2"/>
          <w:sz w:val="22"/>
          <w:szCs w:val="22"/>
          <w:lang w:val="en-US" w:eastAsia="zh-CN"/>
        </w:rPr>
      </w:pPr>
    </w:p>
    <w:p w14:paraId="56060DDF">
      <w:pPr>
        <w:jc w:val="both"/>
        <w:rPr>
          <w:rFonts w:hint="eastAsia" w:eastAsia="楷体" w:cs="Calibri"/>
          <w:b w:val="0"/>
          <w:bCs w:val="0"/>
          <w:kern w:val="2"/>
          <w:sz w:val="22"/>
          <w:szCs w:val="22"/>
          <w:lang w:val="en-US" w:eastAsia="zh-CN"/>
        </w:rPr>
      </w:pPr>
      <w:r>
        <w:rPr>
          <w:rFonts w:hint="eastAsia" w:eastAsia="楷体" w:cs="Calibri"/>
          <w:b/>
          <w:bCs/>
          <w:kern w:val="2"/>
          <w:sz w:val="22"/>
          <w:szCs w:val="22"/>
          <w:lang w:val="en-US" w:eastAsia="zh-CN"/>
        </w:rPr>
        <w:t>Lastly, global service network is also another moat of Vertiv against competition from new entrants.</w:t>
      </w:r>
      <w:r>
        <w:rPr>
          <w:rFonts w:hint="eastAsia" w:eastAsia="楷体" w:cs="Calibri"/>
          <w:b w:val="0"/>
          <w:bCs w:val="0"/>
          <w:kern w:val="2"/>
          <w:sz w:val="22"/>
          <w:szCs w:val="22"/>
          <w:lang w:val="en-US" w:eastAsia="zh-CN"/>
        </w:rPr>
        <w:t xml:space="preserve"> As data centers transition to high-stakes liquid cooling and high-density power architectures, the operational risk of a leak or a power failure scales exponentially; in this environment, a service contract is not just maintenance, but an insurance policy against catastrophic downtime. Vertiv maintains the world’s largest dedicated service force for data center infrastructure with 4000+ field engineers. This capital-intensive service infrastructure, built over decades of boots-on-the-ground experience, creates a significant barrier to entry. </w:t>
      </w:r>
    </w:p>
    <w:p w14:paraId="351D684F">
      <w:pPr>
        <w:jc w:val="both"/>
        <w:rPr>
          <w:rFonts w:eastAsia="楷体" w:cs="Calibri"/>
          <w:color w:val="23558C"/>
          <w:kern w:val="2"/>
          <w:sz w:val="22"/>
          <w:szCs w:val="22"/>
        </w:rPr>
      </w:pPr>
    </w:p>
    <w:p w14:paraId="02ECCC32">
      <w:pPr>
        <w:jc w:val="both"/>
        <w:outlineLvl w:val="1"/>
        <w:rPr>
          <w:rFonts w:eastAsia="楷体" w:cs="Calibri"/>
          <w:b/>
          <w:bCs/>
          <w:color w:val="23558C"/>
          <w:kern w:val="2"/>
          <w:sz w:val="24"/>
          <w:szCs w:val="24"/>
          <w:lang w:eastAsia="zh-CN"/>
        </w:rPr>
      </w:pPr>
      <w:bookmarkStart w:id="10" w:name="_Toc23048"/>
      <w:r>
        <w:rPr>
          <w:rFonts w:eastAsia="楷体" w:cs="Calibri"/>
          <w:b/>
          <w:bCs/>
          <w:color w:val="23558C"/>
          <w:kern w:val="2"/>
          <w:sz w:val="24"/>
          <w:szCs w:val="24"/>
        </w:rPr>
        <w:t>3.</w:t>
      </w:r>
      <w:r>
        <w:rPr>
          <w:rFonts w:eastAsia="楷体" w:cs="Calibri"/>
          <w:b/>
          <w:bCs/>
          <w:color w:val="23558C"/>
          <w:kern w:val="2"/>
          <w:sz w:val="24"/>
          <w:szCs w:val="24"/>
          <w:lang w:eastAsia="zh-CN"/>
        </w:rPr>
        <w:t xml:space="preserve">2 </w:t>
      </w:r>
      <w:r>
        <w:rPr>
          <w:rFonts w:hint="eastAsia" w:eastAsia="楷体" w:cs="Calibri"/>
          <w:b/>
          <w:bCs/>
          <w:color w:val="23558C"/>
          <w:kern w:val="2"/>
          <w:sz w:val="24"/>
          <w:szCs w:val="24"/>
          <w:lang w:eastAsia="zh-CN"/>
        </w:rPr>
        <w:t>Partnership</w:t>
      </w:r>
      <w:r>
        <w:rPr>
          <w:rFonts w:eastAsia="楷体" w:cs="Calibri"/>
          <w:b/>
          <w:bCs/>
          <w:color w:val="23558C"/>
          <w:kern w:val="2"/>
          <w:sz w:val="24"/>
          <w:szCs w:val="24"/>
          <w:lang w:eastAsia="zh-CN"/>
        </w:rPr>
        <w:t xml:space="preserve"> with key industry leaders to build the future of AI infrastructure</w:t>
      </w:r>
      <w:bookmarkEnd w:id="10"/>
    </w:p>
    <w:p w14:paraId="51623A15">
      <w:pPr>
        <w:jc w:val="both"/>
        <w:rPr>
          <w:rFonts w:eastAsia="楷体" w:cs="Calibri"/>
          <w:kern w:val="2"/>
          <w:sz w:val="22"/>
          <w:szCs w:val="22"/>
          <w:lang w:eastAsia="zh-CN"/>
        </w:rPr>
      </w:pPr>
    </w:p>
    <w:p w14:paraId="405B2002">
      <w:pPr>
        <w:jc w:val="both"/>
        <w:rPr>
          <w:rFonts w:eastAsia="楷体" w:cs="Calibri"/>
          <w:kern w:val="2"/>
          <w:sz w:val="22"/>
          <w:szCs w:val="22"/>
          <w:lang w:eastAsia="zh-CN"/>
        </w:rPr>
      </w:pPr>
      <w:r>
        <w:rPr>
          <w:rFonts w:hint="eastAsia" w:eastAsia="楷体" w:cs="Calibri"/>
          <w:b/>
          <w:bCs/>
          <w:kern w:val="2"/>
          <w:sz w:val="22"/>
          <w:szCs w:val="22"/>
          <w:lang w:val="en-US" w:eastAsia="zh-CN"/>
        </w:rPr>
        <w:t>Building on the current technology and product, w</w:t>
      </w:r>
      <w:r>
        <w:rPr>
          <w:rFonts w:hint="eastAsia" w:eastAsia="楷体" w:cs="Calibri"/>
          <w:b/>
          <w:bCs/>
          <w:kern w:val="2"/>
          <w:sz w:val="22"/>
          <w:szCs w:val="22"/>
          <w:lang w:eastAsia="zh-CN"/>
        </w:rPr>
        <w:t>e believe</w:t>
      </w:r>
      <w:r>
        <w:rPr>
          <w:rFonts w:hint="eastAsia" w:eastAsia="楷体" w:cs="Calibri"/>
          <w:b/>
          <w:bCs/>
          <w:kern w:val="2"/>
          <w:sz w:val="22"/>
          <w:szCs w:val="22"/>
          <w:lang w:val="en-US" w:eastAsia="zh-CN"/>
        </w:rPr>
        <w:t xml:space="preserve"> </w:t>
      </w:r>
      <w:r>
        <w:rPr>
          <w:rFonts w:eastAsia="楷体" w:cs="Calibri"/>
          <w:b/>
          <w:bCs/>
          <w:kern w:val="2"/>
          <w:sz w:val="22"/>
          <w:szCs w:val="22"/>
          <w:lang w:eastAsia="zh-CN"/>
        </w:rPr>
        <w:t xml:space="preserve">Vertiv’s strategic collaborations are key to shaping the future of digital infrastructure. </w:t>
      </w:r>
      <w:r>
        <w:rPr>
          <w:rFonts w:eastAsia="楷体" w:cs="Calibri"/>
          <w:kern w:val="2"/>
          <w:sz w:val="22"/>
          <w:szCs w:val="22"/>
          <w:lang w:eastAsia="zh-CN"/>
        </w:rPr>
        <w:t xml:space="preserve">By working alongside the most influential technology providers, </w:t>
      </w:r>
      <w:r>
        <w:rPr>
          <w:rFonts w:hint="eastAsia" w:eastAsia="楷体" w:cs="Calibri"/>
          <w:kern w:val="2"/>
          <w:sz w:val="22"/>
          <w:szCs w:val="22"/>
          <w:lang w:eastAsia="zh-CN"/>
        </w:rPr>
        <w:t>the company</w:t>
      </w:r>
      <w:r>
        <w:rPr>
          <w:rFonts w:eastAsia="楷体" w:cs="Calibri"/>
          <w:kern w:val="2"/>
          <w:sz w:val="22"/>
          <w:szCs w:val="22"/>
          <w:lang w:eastAsia="zh-CN"/>
        </w:rPr>
        <w:t xml:space="preserve"> accelerates innovation, simplifies complexity, and guide</w:t>
      </w:r>
      <w:r>
        <w:rPr>
          <w:rFonts w:hint="eastAsia" w:eastAsia="楷体" w:cs="Calibri"/>
          <w:kern w:val="2"/>
          <w:sz w:val="22"/>
          <w:szCs w:val="22"/>
          <w:lang w:eastAsia="zh-CN"/>
        </w:rPr>
        <w:t>s</w:t>
      </w:r>
      <w:r>
        <w:rPr>
          <w:rFonts w:eastAsia="楷体" w:cs="Calibri"/>
          <w:kern w:val="2"/>
          <w:sz w:val="22"/>
          <w:szCs w:val="22"/>
          <w:lang w:eastAsia="zh-CN"/>
        </w:rPr>
        <w:t xml:space="preserve"> customers through the infrastructure transformation demanded by AI.</w:t>
      </w:r>
    </w:p>
    <w:p w14:paraId="41DBB495">
      <w:pPr>
        <w:jc w:val="both"/>
        <w:rPr>
          <w:rFonts w:eastAsia="楷体" w:cs="Calibri"/>
          <w:kern w:val="2"/>
          <w:sz w:val="22"/>
          <w:szCs w:val="22"/>
          <w:lang w:eastAsia="zh-CN"/>
        </w:rPr>
      </w:pPr>
    </w:p>
    <w:p w14:paraId="1697E044">
      <w:pPr>
        <w:jc w:val="both"/>
        <w:rPr>
          <w:rFonts w:eastAsia="楷体" w:cs="Calibri"/>
          <w:kern w:val="2"/>
          <w:sz w:val="22"/>
          <w:szCs w:val="22"/>
          <w:lang w:val="zh-CN" w:eastAsia="zh-CN"/>
        </w:rPr>
      </w:pPr>
      <w:r>
        <w:rPr>
          <w:rFonts w:hint="eastAsia" w:eastAsia="楷体" w:cs="Calibri"/>
          <w:b/>
          <w:bCs/>
          <w:kern w:val="2"/>
          <w:sz w:val="22"/>
          <w:szCs w:val="22"/>
          <w:lang w:val="zh-CN" w:eastAsia="zh-CN"/>
        </w:rPr>
        <w:t>I</w:t>
      </w:r>
      <w:r>
        <w:rPr>
          <w:rFonts w:eastAsia="楷体" w:cs="Calibri"/>
          <w:b/>
          <w:bCs/>
          <w:kern w:val="2"/>
          <w:sz w:val="22"/>
          <w:szCs w:val="22"/>
          <w:lang w:val="zh-CN" w:eastAsia="zh-CN"/>
        </w:rPr>
        <w:t>n March 2024, Vertiv formally joined the NVIDIA Partner Network (NPN) as a Solution Advisor.</w:t>
      </w:r>
      <w:r>
        <w:rPr>
          <w:rFonts w:hint="eastAsia" w:eastAsia="楷体" w:cs="Calibri"/>
          <w:kern w:val="2"/>
          <w:sz w:val="22"/>
          <w:szCs w:val="22"/>
          <w:lang w:val="zh-CN" w:eastAsia="zh-CN"/>
        </w:rPr>
        <w:t xml:space="preserve"> </w:t>
      </w:r>
      <w:r>
        <w:rPr>
          <w:rFonts w:eastAsia="楷体" w:cs="Calibri"/>
          <w:kern w:val="2"/>
          <w:sz w:val="22"/>
          <w:szCs w:val="22"/>
          <w:lang w:val="zh-CN" w:eastAsia="zh-CN"/>
        </w:rPr>
        <w:t>Vertiv is among a select few physical infrastructure providers within this network capable of offering comprehensive power and cooling design recommendations for NVIDIA GPU clusters. Vertiv’s liquid cooling manifolds and power shelves are often designed 12–18 months in advance of new GPU launches (like the Blackwell and upcoming Rubin architectures), ensuring that the infrastructure</w:t>
      </w:r>
      <w:r>
        <w:rPr>
          <w:rFonts w:hint="eastAsia" w:eastAsia="楷体" w:cs="Calibri"/>
          <w:kern w:val="2"/>
          <w:sz w:val="22"/>
          <w:szCs w:val="22"/>
          <w:lang w:val="zh-CN" w:eastAsia="zh-CN"/>
        </w:rPr>
        <w:t xml:space="preserve">, especially </w:t>
      </w:r>
      <w:r>
        <w:rPr>
          <w:rFonts w:eastAsia="楷体" w:cs="Calibri"/>
          <w:kern w:val="2"/>
          <w:sz w:val="22"/>
          <w:szCs w:val="22"/>
          <w:lang w:val="zh-CN" w:eastAsia="zh-CN"/>
        </w:rPr>
        <w:t>cooling and power</w:t>
      </w:r>
      <w:r>
        <w:rPr>
          <w:rFonts w:hint="eastAsia" w:eastAsia="楷体" w:cs="Calibri"/>
          <w:kern w:val="2"/>
          <w:sz w:val="22"/>
          <w:szCs w:val="22"/>
          <w:lang w:val="zh-CN" w:eastAsia="zh-CN"/>
        </w:rPr>
        <w:t xml:space="preserve"> </w:t>
      </w:r>
      <w:r>
        <w:rPr>
          <w:rFonts w:eastAsia="楷体" w:cs="Calibri"/>
          <w:kern w:val="2"/>
          <w:sz w:val="22"/>
          <w:szCs w:val="22"/>
          <w:lang w:val="zh-CN" w:eastAsia="zh-CN"/>
        </w:rPr>
        <w:t xml:space="preserve">is perfectly </w:t>
      </w:r>
      <w:r>
        <w:rPr>
          <w:rFonts w:hint="eastAsia" w:eastAsia="楷体" w:cs="Calibri"/>
          <w:kern w:val="2"/>
          <w:sz w:val="22"/>
          <w:szCs w:val="22"/>
          <w:lang w:val="zh-CN" w:eastAsia="zh-CN"/>
        </w:rPr>
        <w:t>matched</w:t>
      </w:r>
      <w:r>
        <w:rPr>
          <w:rFonts w:eastAsia="楷体" w:cs="Calibri"/>
          <w:kern w:val="2"/>
          <w:sz w:val="22"/>
          <w:szCs w:val="22"/>
          <w:lang w:val="zh-CN" w:eastAsia="zh-CN"/>
        </w:rPr>
        <w:t xml:space="preserve"> with chip performance.</w:t>
      </w:r>
      <w:r>
        <w:rPr>
          <w:rFonts w:hint="eastAsia" w:eastAsia="楷体" w:cs="Calibri"/>
          <w:kern w:val="2"/>
          <w:sz w:val="22"/>
          <w:szCs w:val="22"/>
          <w:lang w:val="zh-CN" w:eastAsia="zh-CN"/>
        </w:rPr>
        <w:t xml:space="preserve"> </w:t>
      </w:r>
    </w:p>
    <w:p w14:paraId="569C01B8">
      <w:pPr>
        <w:rPr>
          <w:rFonts w:eastAsia="楷体" w:cs="Calibri"/>
          <w:kern w:val="2"/>
          <w:sz w:val="22"/>
          <w:szCs w:val="22"/>
          <w:lang w:val="zh-CN" w:eastAsia="zh-CN"/>
        </w:rPr>
      </w:pPr>
    </w:p>
    <w:p w14:paraId="54581A1E">
      <w:pPr>
        <w:jc w:val="both"/>
        <w:rPr>
          <w:rFonts w:eastAsia="楷体" w:cs="Calibri"/>
          <w:kern w:val="2"/>
          <w:sz w:val="22"/>
          <w:szCs w:val="22"/>
          <w:lang w:val="zh-CN" w:eastAsia="zh-CN"/>
        </w:rPr>
      </w:pPr>
      <w:r>
        <w:rPr>
          <w:rFonts w:eastAsia="楷体" w:cs="Calibri"/>
          <w:kern w:val="2"/>
          <w:sz w:val="22"/>
          <w:szCs w:val="22"/>
          <w:lang w:val="zh-CN" w:eastAsia="zh-CN"/>
        </w:rPr>
        <w:t>The most significant achievement of this partnership is the joint development of a 7MW reference architecture for the NVIDIA Blackwell GB200 NVL72 platform. Within this architecture, Vertiv and NVIDIA co-designed a liquid cooling-based solution. The framework covers a complete end-to-end configuration, ranging from CDUs</w:t>
      </w:r>
      <w:r>
        <w:rPr>
          <w:rFonts w:hint="eastAsia" w:eastAsia="楷体" w:cs="Calibri"/>
          <w:kern w:val="2"/>
          <w:sz w:val="22"/>
          <w:szCs w:val="22"/>
          <w:lang w:val="zh-CN" w:eastAsia="zh-CN"/>
        </w:rPr>
        <w:t xml:space="preserve"> </w:t>
      </w:r>
      <w:r>
        <w:rPr>
          <w:rFonts w:eastAsia="楷体" w:cs="Calibri"/>
          <w:kern w:val="2"/>
          <w:sz w:val="22"/>
          <w:szCs w:val="22"/>
          <w:lang w:val="zh-CN" w:eastAsia="zh-CN"/>
        </w:rPr>
        <w:t>and Manifolds to precision cooling and UPS power systems.</w:t>
      </w:r>
    </w:p>
    <w:p w14:paraId="232E9DCE">
      <w:pPr>
        <w:jc w:val="both"/>
        <w:rPr>
          <w:rFonts w:eastAsia="楷体" w:cs="Calibri"/>
          <w:kern w:val="2"/>
          <w:sz w:val="22"/>
          <w:szCs w:val="22"/>
          <w:lang w:val="zh-CN" w:eastAsia="zh-CN"/>
        </w:rPr>
      </w:pPr>
    </w:p>
    <w:p w14:paraId="146825C8">
      <w:pPr>
        <w:jc w:val="both"/>
        <w:rPr>
          <w:rFonts w:eastAsia="楷体" w:cs="Calibri"/>
          <w:kern w:val="2"/>
          <w:sz w:val="22"/>
          <w:szCs w:val="22"/>
          <w:lang w:eastAsia="zh-CN"/>
        </w:rPr>
      </w:pPr>
      <w:r>
        <w:rPr>
          <w:rFonts w:eastAsia="楷体" w:cs="Calibri"/>
          <w:b/>
          <w:bCs/>
          <w:kern w:val="2"/>
          <w:sz w:val="22"/>
          <w:szCs w:val="22"/>
          <w:lang w:val="zh-CN" w:eastAsia="zh-CN"/>
        </w:rPr>
        <w:t>Additionally, Vertiv and NVIDIA are collaborating on the design and engineering readiness of an 800V DC power architecture.</w:t>
      </w:r>
      <w:r>
        <w:rPr>
          <w:rFonts w:eastAsia="楷体" w:cs="Calibri"/>
          <w:kern w:val="2"/>
          <w:sz w:val="22"/>
          <w:szCs w:val="22"/>
          <w:lang w:val="zh-CN" w:eastAsia="zh-CN"/>
        </w:rPr>
        <w:t xml:space="preserve"> This initiative aims to meet the demands for higher power density and efficiency of future NVIDIA platforms, such as the Rubin Ultra platform scheduled for release in 2027.</w:t>
      </w:r>
      <w:r>
        <w:rPr>
          <w:rFonts w:hint="eastAsia" w:eastAsia="楷体" w:cs="Calibri"/>
          <w:kern w:val="2"/>
          <w:sz w:val="22"/>
          <w:szCs w:val="22"/>
          <w:lang w:val="zh-CN" w:eastAsia="zh-CN"/>
        </w:rPr>
        <w:t xml:space="preserve"> </w:t>
      </w:r>
      <w:r>
        <w:rPr>
          <w:rFonts w:eastAsia="楷体" w:cs="Calibri"/>
          <w:kern w:val="2"/>
          <w:sz w:val="22"/>
          <w:szCs w:val="22"/>
          <w:lang w:eastAsia="zh-CN"/>
        </w:rPr>
        <w:t xml:space="preserve">HVDC architecture is a competing AIDC power supply solution of UPS-based architecture. Compared with UPS-based solution, HVDC removes the </w:t>
      </w:r>
      <w:r>
        <w:rPr>
          <w:rFonts w:hint="eastAsia" w:eastAsia="楷体" w:cs="Calibri"/>
          <w:kern w:val="2"/>
          <w:sz w:val="22"/>
          <w:szCs w:val="22"/>
          <w:lang w:eastAsia="zh-CN"/>
        </w:rPr>
        <w:t>AC/</w:t>
      </w:r>
      <w:r>
        <w:rPr>
          <w:rFonts w:eastAsia="楷体" w:cs="Calibri"/>
          <w:kern w:val="2"/>
          <w:sz w:val="22"/>
          <w:szCs w:val="22"/>
          <w:lang w:eastAsia="zh-CN"/>
        </w:rPr>
        <w:t>DC/AC conversion at UPS and the AC/DC conversion at PSU. It directly supplies power to servers after converting AC to DC with a rectification module and charges the battery modules at the same time. As such, it can achieve higher energy efficiency (&gt;95%, vs. ~92% for UPS</w:t>
      </w:r>
      <w:r>
        <w:rPr>
          <w:rFonts w:hint="eastAsia" w:eastAsia="楷体" w:cs="Calibri"/>
          <w:kern w:val="2"/>
          <w:sz w:val="22"/>
          <w:szCs w:val="22"/>
          <w:lang w:eastAsia="zh-CN"/>
        </w:rPr>
        <w:t>-</w:t>
      </w:r>
      <w:r>
        <w:rPr>
          <w:rFonts w:eastAsia="楷体" w:cs="Calibri"/>
          <w:kern w:val="2"/>
          <w:sz w:val="22"/>
          <w:szCs w:val="22"/>
          <w:lang w:eastAsia="zh-CN"/>
        </w:rPr>
        <w:t>based) thanks to less power conversion. It also improves power supply reliability, saves space (up to 30%), and construction costs (up to 20%), and has higher compatibility to renewable power.</w:t>
      </w:r>
      <w:r>
        <w:rPr>
          <w:rFonts w:hint="eastAsia" w:eastAsia="楷体" w:cs="Calibri"/>
          <w:kern w:val="2"/>
          <w:sz w:val="22"/>
          <w:szCs w:val="22"/>
          <w:lang w:eastAsia="zh-CN"/>
        </w:rPr>
        <w:t xml:space="preserve"> </w:t>
      </w:r>
    </w:p>
    <w:p w14:paraId="01C816B8">
      <w:pPr>
        <w:rPr>
          <w:rFonts w:eastAsia="楷体" w:cs="Calibri"/>
          <w:kern w:val="2"/>
          <w:sz w:val="22"/>
          <w:szCs w:val="22"/>
          <w:lang w:eastAsia="zh-CN"/>
        </w:rPr>
      </w:pPr>
    </w:p>
    <w:tbl>
      <w:tblPr>
        <w:tblStyle w:val="14"/>
        <w:tblW w:w="7466" w:type="dxa"/>
        <w:tblInd w:w="0" w:type="dxa"/>
        <w:tblLayout w:type="fixed"/>
        <w:tblCellMar>
          <w:top w:w="0" w:type="dxa"/>
          <w:left w:w="108" w:type="dxa"/>
          <w:bottom w:w="0" w:type="dxa"/>
          <w:right w:w="108" w:type="dxa"/>
        </w:tblCellMar>
      </w:tblPr>
      <w:tblGrid>
        <w:gridCol w:w="7466"/>
      </w:tblGrid>
      <w:tr w14:paraId="6D7D5EE7">
        <w:tblPrEx>
          <w:tblCellMar>
            <w:top w:w="0" w:type="dxa"/>
            <w:left w:w="108" w:type="dxa"/>
            <w:bottom w:w="0" w:type="dxa"/>
            <w:right w:w="108" w:type="dxa"/>
          </w:tblCellMar>
        </w:tblPrEx>
        <w:trPr>
          <w:trHeight w:val="302" w:hRule="atLeast"/>
        </w:trPr>
        <w:tc>
          <w:tcPr>
            <w:tcW w:w="7466" w:type="dxa"/>
            <w:tcBorders>
              <w:top w:val="nil"/>
              <w:left w:val="nil"/>
              <w:bottom w:val="nil"/>
              <w:right w:val="nil"/>
            </w:tcBorders>
            <w:tcMar>
              <w:left w:w="0" w:type="dxa"/>
              <w:right w:w="28" w:type="dxa"/>
            </w:tcMar>
          </w:tcPr>
          <w:p w14:paraId="1D3DF8C5">
            <w:pPr>
              <w:tabs>
                <w:tab w:val="left" w:pos="2560"/>
              </w:tabs>
              <w:rPr>
                <w:rFonts w:hint="eastAsia" w:eastAsia="楷体" w:cs="Calibri"/>
                <w:kern w:val="2"/>
                <w:sz w:val="22"/>
                <w:szCs w:val="22"/>
                <w:lang w:eastAsia="zh-CN"/>
              </w:rPr>
            </w:pPr>
            <w:r>
              <w:rPr>
                <w:rFonts w:eastAsia="楷体" w:cs="Calibri"/>
                <w:b/>
                <w:bCs/>
                <w:kern w:val="2"/>
                <w:sz w:val="22"/>
                <w:szCs w:val="22"/>
                <w:lang w:eastAsia="zh-CN"/>
              </w:rPr>
              <w:t>Figure: Datacenter arch</w:t>
            </w:r>
            <w:bookmarkStart w:id="14" w:name="_GoBack"/>
            <w:bookmarkEnd w:id="14"/>
            <w:r>
              <w:rPr>
                <w:rFonts w:eastAsia="楷体" w:cs="Calibri"/>
                <w:b/>
                <w:bCs/>
                <w:kern w:val="2"/>
                <w:sz w:val="22"/>
                <w:szCs w:val="22"/>
                <w:lang w:eastAsia="zh-CN"/>
              </w:rPr>
              <w:t>itecture over time</w:t>
            </w:r>
          </w:p>
        </w:tc>
      </w:tr>
      <w:tr w14:paraId="3125D35C">
        <w:tblPrEx>
          <w:tblCellMar>
            <w:top w:w="0" w:type="dxa"/>
            <w:left w:w="108" w:type="dxa"/>
            <w:bottom w:w="0" w:type="dxa"/>
            <w:right w:w="108" w:type="dxa"/>
          </w:tblCellMar>
        </w:tblPrEx>
        <w:trPr>
          <w:trHeight w:val="708" w:hRule="atLeast"/>
        </w:trPr>
        <w:tc>
          <w:tcPr>
            <w:tcW w:w="7466" w:type="dxa"/>
            <w:tcBorders>
              <w:top w:val="nil"/>
              <w:left w:val="nil"/>
              <w:bottom w:val="nil"/>
              <w:right w:val="nil"/>
            </w:tcBorders>
            <w:vAlign w:val="center"/>
          </w:tcPr>
          <w:p w14:paraId="7DAEACBD">
            <w:pPr>
              <w:rPr>
                <w:rFonts w:eastAsia="楷体" w:cs="Calibri"/>
                <w:kern w:val="2"/>
                <w:sz w:val="22"/>
                <w:szCs w:val="22"/>
                <w:lang w:eastAsia="zh-CN"/>
              </w:rPr>
            </w:pPr>
            <w:r>
              <w:rPr>
                <w:rFonts w:eastAsia="楷体" w:cs="Calibri"/>
                <w:kern w:val="2"/>
                <w:sz w:val="22"/>
                <w:szCs w:val="22"/>
                <w:lang w:eastAsia="zh-CN"/>
              </w:rPr>
              <w:drawing>
                <wp:inline distT="0" distB="0" distL="0" distR="0">
                  <wp:extent cx="4603750" cy="2495550"/>
                  <wp:effectExtent l="0" t="0" r="6350" b="0"/>
                  <wp:docPr id="39244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46791" name="Picture 1"/>
                          <pic:cNvPicPr>
                            <a:picLocks noChangeAspect="1"/>
                          </pic:cNvPicPr>
                        </pic:nvPicPr>
                        <pic:blipFill>
                          <a:blip r:embed="rId37"/>
                          <a:stretch>
                            <a:fillRect/>
                          </a:stretch>
                        </pic:blipFill>
                        <pic:spPr>
                          <a:xfrm>
                            <a:off x="0" y="0"/>
                            <a:ext cx="4603750" cy="2495550"/>
                          </a:xfrm>
                          <a:prstGeom prst="rect">
                            <a:avLst/>
                          </a:prstGeom>
                        </pic:spPr>
                      </pic:pic>
                    </a:graphicData>
                  </a:graphic>
                </wp:inline>
              </w:drawing>
            </w:r>
          </w:p>
        </w:tc>
      </w:tr>
      <w:tr w14:paraId="56A3D2B4">
        <w:tblPrEx>
          <w:tblCellMar>
            <w:top w:w="0" w:type="dxa"/>
            <w:left w:w="108" w:type="dxa"/>
            <w:bottom w:w="0" w:type="dxa"/>
            <w:right w:w="108" w:type="dxa"/>
          </w:tblCellMar>
        </w:tblPrEx>
        <w:trPr>
          <w:trHeight w:val="64" w:hRule="atLeast"/>
        </w:trPr>
        <w:tc>
          <w:tcPr>
            <w:tcW w:w="7466" w:type="dxa"/>
            <w:tcBorders>
              <w:top w:val="nil"/>
              <w:left w:val="nil"/>
              <w:bottom w:val="nil"/>
              <w:right w:val="nil"/>
            </w:tcBorders>
            <w:tcMar>
              <w:left w:w="0" w:type="dxa"/>
              <w:right w:w="28" w:type="dxa"/>
            </w:tcMar>
            <w:vAlign w:val="center"/>
          </w:tcPr>
          <w:p w14:paraId="132A3E47">
            <w:pPr>
              <w:rPr>
                <w:rFonts w:eastAsia="楷体" w:cs="Calibri"/>
                <w:kern w:val="2"/>
                <w:lang w:eastAsia="zh-CN"/>
              </w:rPr>
            </w:pPr>
            <w:r>
              <w:rPr>
                <w:rFonts w:eastAsia="楷体" w:cs="Calibri"/>
                <w:kern w:val="2"/>
                <w:lang w:eastAsia="zh-CN"/>
              </w:rPr>
              <w:t xml:space="preserve">Source: </w:t>
            </w:r>
            <w:r>
              <w:rPr>
                <w:rFonts w:hint="eastAsia" w:eastAsia="楷体" w:cs="Calibri"/>
                <w:kern w:val="2"/>
                <w:lang w:eastAsia="zh-CN"/>
              </w:rPr>
              <w:t>Nvdia</w:t>
            </w:r>
            <w:r>
              <w:rPr>
                <w:rFonts w:eastAsia="楷体" w:cs="Calibri"/>
                <w:kern w:val="2"/>
                <w:lang w:eastAsia="zh-CN"/>
              </w:rPr>
              <w:t>, HFI</w:t>
            </w:r>
          </w:p>
        </w:tc>
      </w:tr>
    </w:tbl>
    <w:p w14:paraId="7A3614BE">
      <w:pPr>
        <w:rPr>
          <w:rFonts w:eastAsia="楷体" w:cs="Calibri"/>
          <w:kern w:val="2"/>
          <w:sz w:val="22"/>
          <w:szCs w:val="22"/>
          <w:lang w:eastAsia="zh-CN"/>
        </w:rPr>
      </w:pPr>
    </w:p>
    <w:p w14:paraId="3D9CB177">
      <w:pPr>
        <w:jc w:val="both"/>
        <w:rPr>
          <w:rFonts w:hint="eastAsia" w:eastAsia="楷体" w:cs="Calibri"/>
          <w:kern w:val="2"/>
          <w:sz w:val="22"/>
          <w:szCs w:val="22"/>
          <w:lang w:val="zh-CN" w:eastAsia="zh-CN"/>
        </w:rPr>
      </w:pPr>
      <w:r>
        <w:rPr>
          <w:rFonts w:eastAsia="楷体" w:cs="Calibri"/>
          <w:kern w:val="2"/>
          <w:sz w:val="22"/>
          <w:szCs w:val="22"/>
          <w:lang w:eastAsia="zh-CN"/>
        </w:rPr>
        <w:t>Vertiv is uniquely positioned with systems-level expertise in AC- and DC-based power architectures, thermal chain and service expertise</w:t>
      </w:r>
      <w:r>
        <w:rPr>
          <w:rFonts w:hint="eastAsia" w:eastAsia="楷体" w:cs="Calibri"/>
          <w:kern w:val="2"/>
          <w:sz w:val="22"/>
          <w:szCs w:val="22"/>
          <w:lang w:eastAsia="zh-CN"/>
        </w:rPr>
        <w:t>.</w:t>
      </w:r>
      <w:r>
        <w:rPr>
          <w:rFonts w:eastAsia="楷体" w:cs="Calibri"/>
          <w:kern w:val="2"/>
          <w:sz w:val="22"/>
          <w:szCs w:val="22"/>
          <w:lang w:eastAsia="zh-CN"/>
        </w:rPr>
        <w:t xml:space="preserve"> We believe that as AI infrastructure </w:t>
      </w:r>
      <w:r>
        <w:rPr>
          <w:rFonts w:hint="eastAsia" w:eastAsia="楷体" w:cs="Calibri"/>
          <w:kern w:val="2"/>
          <w:sz w:val="22"/>
          <w:szCs w:val="22"/>
          <w:lang w:val="en-US" w:eastAsia="zh-CN"/>
        </w:rPr>
        <w:t xml:space="preserve">construction </w:t>
      </w:r>
      <w:r>
        <w:rPr>
          <w:rFonts w:eastAsia="楷体" w:cs="Calibri"/>
          <w:kern w:val="2"/>
          <w:sz w:val="22"/>
          <w:szCs w:val="22"/>
          <w:lang w:eastAsia="zh-CN"/>
        </w:rPr>
        <w:t xml:space="preserve">surges, </w:t>
      </w:r>
      <w:r>
        <w:rPr>
          <w:rFonts w:hint="eastAsia" w:eastAsia="楷体" w:cs="Calibri"/>
          <w:kern w:val="2"/>
          <w:sz w:val="22"/>
          <w:szCs w:val="22"/>
          <w:lang w:val="en-US" w:eastAsia="zh-CN"/>
        </w:rPr>
        <w:t>t</w:t>
      </w:r>
      <w:r>
        <w:rPr>
          <w:rFonts w:eastAsia="楷体" w:cs="Calibri"/>
          <w:kern w:val="2"/>
          <w:sz w:val="22"/>
          <w:szCs w:val="22"/>
          <w:lang w:eastAsia="zh-CN"/>
        </w:rPr>
        <w:t>his ecosystem lock-in</w:t>
      </w:r>
      <w:r>
        <w:rPr>
          <w:rFonts w:hint="eastAsia" w:eastAsia="楷体" w:cs="Calibri"/>
          <w:kern w:val="2"/>
          <w:sz w:val="22"/>
          <w:szCs w:val="22"/>
          <w:lang w:val="en-US" w:eastAsia="zh-CN"/>
        </w:rPr>
        <w:t xml:space="preserve"> with key partners</w:t>
      </w:r>
      <w:r>
        <w:rPr>
          <w:rFonts w:eastAsia="楷体" w:cs="Calibri"/>
          <w:kern w:val="2"/>
          <w:sz w:val="22"/>
          <w:szCs w:val="22"/>
          <w:lang w:eastAsia="zh-CN"/>
        </w:rPr>
        <w:t xml:space="preserve"> will allow Vertiv to capture a leading share of the hyperscale data center market.</w:t>
      </w:r>
    </w:p>
    <w:p w14:paraId="590DDB84">
      <w:pPr>
        <w:rPr>
          <w:rFonts w:eastAsia="楷体_GB2312" w:cs="Calibri"/>
          <w:b/>
          <w:bCs/>
          <w:color w:val="23558C"/>
          <w:sz w:val="30"/>
          <w:lang w:eastAsia="zh-CN"/>
        </w:rPr>
      </w:pPr>
    </w:p>
    <w:p w14:paraId="5F645040">
      <w:pPr>
        <w:rPr>
          <w:rFonts w:eastAsia="楷体_GB2312" w:cs="Calibri"/>
          <w:b/>
          <w:bCs/>
          <w:color w:val="23558C"/>
          <w:sz w:val="30"/>
          <w:lang w:eastAsia="zh-CN"/>
        </w:rPr>
      </w:pPr>
    </w:p>
    <w:p w14:paraId="6F932CB4">
      <w:pPr>
        <w:rPr>
          <w:rFonts w:eastAsia="楷体_GB2312" w:cs="Calibri"/>
          <w:b/>
          <w:bCs/>
          <w:color w:val="23558C"/>
          <w:sz w:val="30"/>
          <w:lang w:eastAsia="zh-CN"/>
        </w:rPr>
      </w:pPr>
    </w:p>
    <w:p w14:paraId="7C4FA97B">
      <w:pPr>
        <w:rPr>
          <w:rFonts w:eastAsia="楷体_GB2312" w:cs="Calibri"/>
          <w:b/>
          <w:bCs/>
          <w:color w:val="23558C"/>
          <w:sz w:val="30"/>
          <w:lang w:eastAsia="zh-CN"/>
        </w:rPr>
      </w:pPr>
    </w:p>
    <w:p w14:paraId="00E9E93B">
      <w:pPr>
        <w:rPr>
          <w:rFonts w:eastAsia="楷体_GB2312" w:cs="Calibri"/>
          <w:b/>
          <w:bCs/>
          <w:color w:val="23558C"/>
          <w:sz w:val="30"/>
          <w:lang w:eastAsia="zh-CN"/>
        </w:rPr>
      </w:pPr>
    </w:p>
    <w:p w14:paraId="1811FBCA">
      <w:pPr>
        <w:rPr>
          <w:rFonts w:eastAsia="楷体_GB2312" w:cs="Calibri"/>
          <w:b/>
          <w:bCs/>
          <w:color w:val="23558C"/>
          <w:sz w:val="30"/>
          <w:lang w:eastAsia="zh-CN"/>
        </w:rPr>
      </w:pPr>
    </w:p>
    <w:p w14:paraId="4208A237">
      <w:pPr>
        <w:rPr>
          <w:rFonts w:eastAsia="楷体_GB2312" w:cs="Calibri"/>
          <w:b/>
          <w:bCs/>
          <w:color w:val="23558C"/>
          <w:sz w:val="30"/>
          <w:lang w:eastAsia="zh-CN"/>
        </w:rPr>
      </w:pPr>
    </w:p>
    <w:p w14:paraId="4E1A7E4B">
      <w:pPr>
        <w:rPr>
          <w:rFonts w:eastAsia="楷体_GB2312" w:cs="Calibri"/>
          <w:b/>
          <w:bCs/>
          <w:color w:val="23558C"/>
          <w:sz w:val="30"/>
          <w:lang w:eastAsia="zh-CN"/>
        </w:rPr>
      </w:pPr>
    </w:p>
    <w:p w14:paraId="45215FD9">
      <w:pPr>
        <w:rPr>
          <w:rFonts w:eastAsia="楷体_GB2312" w:cs="Calibri"/>
          <w:b/>
          <w:bCs/>
          <w:color w:val="23558C"/>
          <w:sz w:val="30"/>
          <w:lang w:eastAsia="zh-CN"/>
        </w:rPr>
      </w:pPr>
    </w:p>
    <w:p w14:paraId="72527AEF">
      <w:pPr>
        <w:rPr>
          <w:rFonts w:eastAsia="楷体_GB2312" w:cs="Calibri"/>
          <w:b/>
          <w:bCs/>
          <w:color w:val="23558C"/>
          <w:sz w:val="30"/>
          <w:lang w:eastAsia="zh-CN"/>
        </w:rPr>
      </w:pPr>
    </w:p>
    <w:p w14:paraId="173158D1">
      <w:pPr>
        <w:rPr>
          <w:rFonts w:eastAsia="楷体_GB2312" w:cs="Calibri"/>
          <w:b/>
          <w:bCs/>
          <w:color w:val="23558C"/>
          <w:sz w:val="30"/>
          <w:lang w:eastAsia="zh-CN"/>
        </w:rPr>
      </w:pPr>
    </w:p>
    <w:p w14:paraId="4181E945">
      <w:pPr>
        <w:rPr>
          <w:rFonts w:eastAsia="楷体_GB2312" w:cs="Calibri"/>
          <w:b/>
          <w:bCs/>
          <w:color w:val="23558C"/>
          <w:sz w:val="30"/>
          <w:lang w:eastAsia="zh-CN"/>
        </w:rPr>
      </w:pPr>
    </w:p>
    <w:p w14:paraId="1C01328D">
      <w:pPr>
        <w:rPr>
          <w:rFonts w:eastAsia="楷体_GB2312" w:cs="Calibri"/>
          <w:b/>
          <w:bCs/>
          <w:color w:val="23558C"/>
          <w:sz w:val="30"/>
          <w:lang w:eastAsia="zh-CN"/>
        </w:rPr>
      </w:pPr>
    </w:p>
    <w:p w14:paraId="3B35D0E2">
      <w:pPr>
        <w:rPr>
          <w:rFonts w:eastAsia="楷体_GB2312" w:cs="Calibri"/>
          <w:b/>
          <w:bCs/>
          <w:color w:val="23558C"/>
          <w:sz w:val="30"/>
          <w:lang w:eastAsia="zh-CN"/>
        </w:rPr>
      </w:pPr>
    </w:p>
    <w:p w14:paraId="1C6FACFB">
      <w:pPr>
        <w:rPr>
          <w:rFonts w:eastAsia="楷体_GB2312" w:cs="Calibri"/>
          <w:b/>
          <w:bCs/>
          <w:color w:val="23558C"/>
          <w:sz w:val="30"/>
          <w:lang w:eastAsia="zh-CN"/>
        </w:rPr>
      </w:pPr>
    </w:p>
    <w:p w14:paraId="0199A810">
      <w:pPr>
        <w:rPr>
          <w:rFonts w:eastAsia="楷体_GB2312" w:cs="Calibri"/>
          <w:b/>
          <w:bCs/>
          <w:color w:val="23558C"/>
          <w:sz w:val="30"/>
          <w:lang w:eastAsia="zh-CN"/>
        </w:rPr>
      </w:pPr>
    </w:p>
    <w:p w14:paraId="7DE2B387">
      <w:pPr>
        <w:pStyle w:val="2"/>
        <w:spacing w:beforeLines="100" w:after="240" w:afterLines="100"/>
        <w:jc w:val="both"/>
        <w:rPr>
          <w:rFonts w:eastAsia="楷体" w:cs="Calibri"/>
          <w:sz w:val="22"/>
          <w:szCs w:val="22"/>
          <w:lang w:eastAsia="zh-CN"/>
        </w:rPr>
      </w:pPr>
      <w:bookmarkStart w:id="11" w:name="_Toc7782"/>
      <w:r>
        <w:rPr>
          <w:rFonts w:eastAsia="楷体" w:cs="Calibri"/>
          <w:color w:val="23558C"/>
          <w:sz w:val="28"/>
          <w:szCs w:val="28"/>
          <w:lang w:eastAsia="zh-CN"/>
        </w:rPr>
        <w:t>4. Valuation&amp; recommendation</w:t>
      </w:r>
      <w:bookmarkEnd w:id="11"/>
    </w:p>
    <w:p w14:paraId="09CF3145">
      <w:pPr>
        <w:jc w:val="both"/>
        <w:rPr>
          <w:rFonts w:eastAsia="楷体" w:cs="Calibri"/>
          <w:sz w:val="22"/>
          <w:szCs w:val="22"/>
          <w:lang w:eastAsia="zh-CN"/>
        </w:rPr>
      </w:pPr>
      <w:r>
        <w:rPr>
          <w:rFonts w:eastAsia="楷体" w:cs="Calibri"/>
          <w:sz w:val="22"/>
          <w:szCs w:val="22"/>
          <w:lang w:val="en-US" w:eastAsia="zh-CN"/>
        </w:rPr>
        <w:t xml:space="preserve">We estimate that revenue of </w:t>
      </w:r>
      <w:r>
        <w:rPr>
          <w:rFonts w:hint="eastAsia" w:eastAsia="楷体" w:cs="Calibri"/>
          <w:sz w:val="22"/>
          <w:szCs w:val="22"/>
          <w:lang w:val="en-US" w:eastAsia="zh-CN"/>
        </w:rPr>
        <w:t xml:space="preserve">Vertiv </w:t>
      </w:r>
      <w:r>
        <w:rPr>
          <w:rFonts w:eastAsia="楷体" w:cs="Calibri"/>
          <w:sz w:val="22"/>
          <w:szCs w:val="22"/>
          <w:lang w:val="en-US" w:eastAsia="zh-CN"/>
        </w:rPr>
        <w:t>from year 202</w:t>
      </w:r>
      <w:r>
        <w:rPr>
          <w:rFonts w:hint="eastAsia" w:eastAsia="楷体" w:cs="Calibri"/>
          <w:sz w:val="22"/>
          <w:szCs w:val="22"/>
          <w:lang w:val="en-US" w:eastAsia="zh-CN"/>
        </w:rPr>
        <w:t>6</w:t>
      </w:r>
      <w:r>
        <w:rPr>
          <w:rFonts w:eastAsia="楷体" w:cs="Calibri"/>
          <w:sz w:val="22"/>
          <w:szCs w:val="22"/>
          <w:lang w:val="en-US" w:eastAsia="zh-CN"/>
        </w:rPr>
        <w:t xml:space="preserve"> to 2028 will be $</w:t>
      </w:r>
      <w:r>
        <w:rPr>
          <w:rFonts w:hint="eastAsia" w:eastAsia="楷体" w:cs="Calibri"/>
          <w:sz w:val="22"/>
          <w:szCs w:val="22"/>
          <w:lang w:val="en-US" w:eastAsia="zh-CN"/>
        </w:rPr>
        <w:t>13</w:t>
      </w:r>
      <w:r>
        <w:rPr>
          <w:rFonts w:hint="default" w:eastAsia="楷体" w:cs="Calibri"/>
          <w:sz w:val="22"/>
          <w:szCs w:val="22"/>
          <w:lang w:val="en-US" w:eastAsia="zh-CN"/>
        </w:rPr>
        <w:t>,5</w:t>
      </w:r>
      <w:r>
        <w:rPr>
          <w:rFonts w:hint="eastAsia" w:eastAsia="楷体" w:cs="Calibri"/>
          <w:sz w:val="22"/>
          <w:szCs w:val="22"/>
          <w:lang w:val="en-US" w:eastAsia="zh-CN"/>
        </w:rPr>
        <w:t>40</w:t>
      </w:r>
      <w:r>
        <w:rPr>
          <w:rFonts w:hint="default" w:eastAsia="楷体" w:cs="Calibri"/>
          <w:sz w:val="22"/>
          <w:szCs w:val="22"/>
          <w:lang w:val="en-US" w:eastAsia="zh-CN"/>
        </w:rPr>
        <w:t xml:space="preserve"> / </w:t>
      </w:r>
      <w:r>
        <w:rPr>
          <w:rFonts w:hint="eastAsia" w:eastAsia="楷体" w:cs="Calibri"/>
          <w:sz w:val="22"/>
          <w:szCs w:val="22"/>
          <w:lang w:val="en-US" w:eastAsia="zh-CN"/>
        </w:rPr>
        <w:t>18,375</w:t>
      </w:r>
      <w:r>
        <w:rPr>
          <w:rFonts w:hint="default" w:eastAsia="楷体" w:cs="Calibri"/>
          <w:sz w:val="22"/>
          <w:szCs w:val="22"/>
          <w:lang w:val="en-US" w:eastAsia="zh-CN"/>
        </w:rPr>
        <w:t>/</w:t>
      </w:r>
      <w:r>
        <w:rPr>
          <w:rFonts w:hint="eastAsia" w:eastAsia="楷体" w:cs="Calibri"/>
          <w:sz w:val="22"/>
          <w:szCs w:val="22"/>
          <w:lang w:val="en-US" w:eastAsia="zh-CN"/>
        </w:rPr>
        <w:t xml:space="preserve"> 21,813 m</w:t>
      </w:r>
      <w:r>
        <w:rPr>
          <w:rFonts w:hint="default" w:eastAsia="楷体" w:cs="Calibri"/>
          <w:sz w:val="22"/>
          <w:szCs w:val="22"/>
          <w:lang w:val="en-US" w:eastAsia="zh-CN"/>
        </w:rPr>
        <w:t xml:space="preserve">illion, with the net profit of $ </w:t>
      </w:r>
      <w:r>
        <w:rPr>
          <w:rFonts w:hint="eastAsia" w:eastAsia="楷体" w:cs="Calibri"/>
          <w:sz w:val="22"/>
          <w:szCs w:val="22"/>
          <w:lang w:val="en-US" w:eastAsia="zh-CN"/>
        </w:rPr>
        <w:t>2</w:t>
      </w:r>
      <w:r>
        <w:rPr>
          <w:rFonts w:hint="default" w:eastAsia="楷体" w:cs="Calibri"/>
          <w:sz w:val="22"/>
          <w:szCs w:val="22"/>
          <w:lang w:val="en-US" w:eastAsia="zh-CN"/>
        </w:rPr>
        <w:t>,</w:t>
      </w:r>
      <w:r>
        <w:rPr>
          <w:rFonts w:hint="eastAsia" w:eastAsia="楷体" w:cs="Calibri"/>
          <w:sz w:val="22"/>
          <w:szCs w:val="22"/>
          <w:lang w:val="en-US" w:eastAsia="zh-CN"/>
        </w:rPr>
        <w:t>380</w:t>
      </w:r>
      <w:r>
        <w:rPr>
          <w:rFonts w:hint="default" w:eastAsia="楷体" w:cs="Calibri"/>
          <w:sz w:val="22"/>
          <w:szCs w:val="22"/>
          <w:lang w:val="en-US" w:eastAsia="zh-CN"/>
        </w:rPr>
        <w:t xml:space="preserve">/ </w:t>
      </w:r>
      <w:r>
        <w:rPr>
          <w:rFonts w:hint="eastAsia" w:eastAsia="楷体" w:cs="Calibri"/>
          <w:sz w:val="22"/>
          <w:szCs w:val="22"/>
          <w:lang w:val="en-US" w:eastAsia="zh-CN"/>
        </w:rPr>
        <w:t>3</w:t>
      </w:r>
      <w:r>
        <w:rPr>
          <w:rFonts w:hint="default" w:eastAsia="楷体" w:cs="Calibri"/>
          <w:sz w:val="22"/>
          <w:szCs w:val="22"/>
          <w:lang w:val="en-US" w:eastAsia="zh-CN"/>
        </w:rPr>
        <w:t>,</w:t>
      </w:r>
      <w:r>
        <w:rPr>
          <w:rFonts w:hint="eastAsia" w:eastAsia="楷体" w:cs="Calibri"/>
          <w:sz w:val="22"/>
          <w:szCs w:val="22"/>
          <w:lang w:val="en-US" w:eastAsia="zh-CN"/>
        </w:rPr>
        <w:t>57</w:t>
      </w:r>
      <w:r>
        <w:rPr>
          <w:rFonts w:hint="default" w:eastAsia="楷体" w:cs="Calibri"/>
          <w:sz w:val="22"/>
          <w:szCs w:val="22"/>
          <w:lang w:val="en-US" w:eastAsia="zh-CN"/>
        </w:rPr>
        <w:t xml:space="preserve">0/ </w:t>
      </w:r>
      <w:r>
        <w:rPr>
          <w:rFonts w:hint="eastAsia" w:eastAsia="楷体" w:cs="Calibri"/>
          <w:sz w:val="22"/>
          <w:szCs w:val="22"/>
          <w:lang w:val="en-US" w:eastAsia="zh-CN"/>
        </w:rPr>
        <w:t>4</w:t>
      </w:r>
      <w:r>
        <w:rPr>
          <w:rFonts w:hint="default" w:eastAsia="楷体" w:cs="Calibri"/>
          <w:sz w:val="22"/>
          <w:szCs w:val="22"/>
          <w:lang w:val="en-US" w:eastAsia="zh-CN"/>
        </w:rPr>
        <w:t>,</w:t>
      </w:r>
      <w:r>
        <w:rPr>
          <w:rFonts w:hint="eastAsia" w:eastAsia="楷体" w:cs="Calibri"/>
          <w:sz w:val="22"/>
          <w:szCs w:val="22"/>
          <w:lang w:val="en-US" w:eastAsia="zh-CN"/>
        </w:rPr>
        <w:t xml:space="preserve">208 </w:t>
      </w:r>
      <w:r>
        <w:rPr>
          <w:rFonts w:hint="default" w:eastAsia="楷体" w:cs="Calibri"/>
          <w:sz w:val="22"/>
          <w:szCs w:val="22"/>
          <w:lang w:val="en-US" w:eastAsia="zh-CN"/>
        </w:rPr>
        <w:t xml:space="preserve">million. Based on the DCF valuation model, our target price of </w:t>
      </w:r>
      <w:r>
        <w:rPr>
          <w:rFonts w:hint="eastAsia" w:eastAsia="楷体" w:cs="Calibri"/>
          <w:sz w:val="22"/>
          <w:szCs w:val="22"/>
          <w:lang w:val="en-US" w:eastAsia="zh-CN"/>
        </w:rPr>
        <w:t>Vertiv</w:t>
      </w:r>
      <w:r>
        <w:rPr>
          <w:rFonts w:hint="default" w:eastAsia="楷体" w:cs="Calibri"/>
          <w:sz w:val="22"/>
          <w:szCs w:val="22"/>
          <w:lang w:val="en-US" w:eastAsia="zh-CN"/>
        </w:rPr>
        <w:t xml:space="preserve"> is $ </w:t>
      </w:r>
      <w:r>
        <w:rPr>
          <w:rFonts w:hint="eastAsia" w:eastAsia="楷体" w:cs="Calibri"/>
          <w:sz w:val="22"/>
          <w:szCs w:val="22"/>
          <w:lang w:val="en-US" w:eastAsia="zh-CN"/>
        </w:rPr>
        <w:t>279.97</w:t>
      </w:r>
      <w:r>
        <w:rPr>
          <w:rFonts w:hint="default" w:eastAsia="楷体" w:cs="Calibri"/>
          <w:sz w:val="22"/>
          <w:szCs w:val="22"/>
          <w:lang w:val="en-US" w:eastAsia="zh-CN"/>
        </w:rPr>
        <w:t>, we initiate coverage on the stock with “Outperform”.</w:t>
      </w:r>
    </w:p>
    <w:p w14:paraId="2389A53E">
      <w:pPr>
        <w:jc w:val="both"/>
        <w:rPr>
          <w:rFonts w:eastAsia="楷体" w:cs="Calibri"/>
          <w:sz w:val="22"/>
          <w:szCs w:val="22"/>
          <w:lang w:eastAsia="zh-CN"/>
        </w:rPr>
      </w:pPr>
      <w:r>
        <w:rPr>
          <w:rFonts w:eastAsia="楷体" w:cs="Calibri"/>
          <w:sz w:val="22"/>
          <w:szCs w:val="22"/>
          <w:lang w:eastAsia="zh-CN"/>
        </w:rPr>
        <w:t xml:space="preserve"> </w:t>
      </w:r>
    </w:p>
    <w:tbl>
      <w:tblPr>
        <w:tblStyle w:val="15"/>
        <w:tblW w:w="7480"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80"/>
      </w:tblGrid>
      <w:tr w14:paraId="5BD1A8E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05" w:hRule="atLeast"/>
        </w:trPr>
        <w:tc>
          <w:tcPr>
            <w:tcW w:w="7480" w:type="dxa"/>
          </w:tcPr>
          <w:p w14:paraId="7295119D">
            <w:pPr>
              <w:jc w:val="both"/>
              <w:rPr>
                <w:rFonts w:eastAsia="楷体_GB2312" w:cs="Calibri"/>
                <w:b/>
                <w:sz w:val="20"/>
                <w:szCs w:val="20"/>
              </w:rPr>
            </w:pPr>
            <w:r>
              <w:rPr>
                <w:rFonts w:eastAsia="楷体_GB2312" w:cs="Calibri"/>
                <w:b/>
                <w:sz w:val="20"/>
                <w:szCs w:val="20"/>
              </w:rPr>
              <w:t xml:space="preserve">Table: </w:t>
            </w:r>
            <w:r>
              <w:rPr>
                <w:rFonts w:hint="eastAsia" w:eastAsia="楷体_GB2312" w:cs="Calibri"/>
                <w:b/>
                <w:sz w:val="20"/>
                <w:szCs w:val="20"/>
                <w:lang w:val="en-US" w:eastAsia="zh-CN"/>
              </w:rPr>
              <w:t xml:space="preserve">DCF </w:t>
            </w:r>
            <w:r>
              <w:rPr>
                <w:rFonts w:eastAsia="楷体_GB2312" w:cs="Calibri"/>
                <w:b/>
                <w:sz w:val="20"/>
                <w:szCs w:val="20"/>
              </w:rPr>
              <w:t>Model</w:t>
            </w:r>
          </w:p>
        </w:tc>
      </w:tr>
      <w:tr w14:paraId="63F995F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6225" w:hRule="atLeast"/>
        </w:trPr>
        <w:tc>
          <w:tcPr>
            <w:tcW w:w="7480" w:type="dxa"/>
          </w:tcPr>
          <w:p w14:paraId="25B9CCFC">
            <w:pPr>
              <w:jc w:val="both"/>
            </w:pPr>
            <w:r>
              <w:drawing>
                <wp:inline distT="0" distB="0" distL="114300" distR="114300">
                  <wp:extent cx="4067175" cy="2705100"/>
                  <wp:effectExtent l="0" t="0" r="190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8"/>
                          <a:stretch>
                            <a:fillRect/>
                          </a:stretch>
                        </pic:blipFill>
                        <pic:spPr>
                          <a:xfrm>
                            <a:off x="0" y="0"/>
                            <a:ext cx="4067175" cy="2705100"/>
                          </a:xfrm>
                          <a:prstGeom prst="rect">
                            <a:avLst/>
                          </a:prstGeom>
                          <a:noFill/>
                          <a:ln>
                            <a:noFill/>
                          </a:ln>
                        </pic:spPr>
                      </pic:pic>
                    </a:graphicData>
                  </a:graphic>
                </wp:inline>
              </w:drawing>
            </w:r>
          </w:p>
          <w:p w14:paraId="1372B81F">
            <w:pPr>
              <w:jc w:val="both"/>
              <w:rPr>
                <w:lang w:eastAsia="zh-CN"/>
              </w:rPr>
            </w:pPr>
            <w:r>
              <w:drawing>
                <wp:inline distT="0" distB="0" distL="114300" distR="114300">
                  <wp:extent cx="3441065" cy="1859915"/>
                  <wp:effectExtent l="0" t="0" r="3175"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9"/>
                          <a:stretch>
                            <a:fillRect/>
                          </a:stretch>
                        </pic:blipFill>
                        <pic:spPr>
                          <a:xfrm>
                            <a:off x="0" y="0"/>
                            <a:ext cx="3441065" cy="1859915"/>
                          </a:xfrm>
                          <a:prstGeom prst="rect">
                            <a:avLst/>
                          </a:prstGeom>
                          <a:noFill/>
                          <a:ln>
                            <a:noFill/>
                          </a:ln>
                        </pic:spPr>
                      </pic:pic>
                    </a:graphicData>
                  </a:graphic>
                </wp:inline>
              </w:drawing>
            </w:r>
          </w:p>
        </w:tc>
      </w:tr>
      <w:tr w14:paraId="32888C5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00" w:hRule="atLeast"/>
        </w:trPr>
        <w:tc>
          <w:tcPr>
            <w:tcW w:w="7480" w:type="dxa"/>
          </w:tcPr>
          <w:p w14:paraId="78FA39CE">
            <w:pPr>
              <w:spacing w:line="240" w:lineRule="atLeast"/>
              <w:jc w:val="both"/>
              <w:textAlignment w:val="center"/>
              <w:rPr>
                <w:rFonts w:cs="Calibri"/>
              </w:rPr>
            </w:pPr>
            <w:r>
              <w:rPr>
                <w:rFonts w:eastAsia="楷体_GB2312" w:cs="Calibri"/>
              </w:rPr>
              <w:t>Source: Company, HTI</w:t>
            </w:r>
            <w:r>
              <w:rPr>
                <w:rFonts w:cs="Calibri"/>
              </w:rPr>
              <w:t xml:space="preserve"> </w:t>
            </w:r>
          </w:p>
        </w:tc>
      </w:tr>
    </w:tbl>
    <w:p w14:paraId="3B7C02A0">
      <w:pPr>
        <w:jc w:val="both"/>
        <w:rPr>
          <w:rFonts w:eastAsia="楷体_GB2312" w:cs="Calibri"/>
          <w:b/>
          <w:sz w:val="17"/>
        </w:rPr>
      </w:pPr>
    </w:p>
    <w:p w14:paraId="09171B95">
      <w:pPr>
        <w:jc w:val="both"/>
        <w:rPr>
          <w:rFonts w:eastAsia="楷体_GB2312" w:cs="Calibri"/>
          <w:b/>
          <w:sz w:val="20"/>
          <w:szCs w:val="20"/>
          <w:lang w:eastAsia="zh-CN"/>
        </w:rPr>
      </w:pPr>
    </w:p>
    <w:p w14:paraId="0D15DDBD">
      <w:pPr>
        <w:jc w:val="both"/>
        <w:rPr>
          <w:rFonts w:eastAsia="楷体_GB2312" w:cs="Calibri"/>
          <w:b/>
          <w:sz w:val="20"/>
          <w:szCs w:val="20"/>
          <w:lang w:eastAsia="zh-CN"/>
        </w:rPr>
      </w:pPr>
    </w:p>
    <w:p w14:paraId="7D8ED8CB">
      <w:pPr>
        <w:jc w:val="both"/>
        <w:rPr>
          <w:rFonts w:eastAsia="楷体_GB2312" w:cs="Calibri"/>
          <w:b/>
          <w:sz w:val="20"/>
          <w:szCs w:val="20"/>
          <w:lang w:eastAsia="zh-CN"/>
        </w:rPr>
      </w:pPr>
    </w:p>
    <w:p w14:paraId="47AB9CB8">
      <w:pPr>
        <w:jc w:val="both"/>
        <w:rPr>
          <w:rFonts w:eastAsia="楷体_GB2312" w:cs="Calibri"/>
          <w:b/>
          <w:sz w:val="20"/>
          <w:szCs w:val="20"/>
          <w:lang w:eastAsia="zh-CN"/>
        </w:rPr>
      </w:pPr>
    </w:p>
    <w:p w14:paraId="2782D5CD">
      <w:pPr>
        <w:jc w:val="both"/>
        <w:rPr>
          <w:rFonts w:eastAsia="楷体_GB2312" w:cs="Calibri"/>
          <w:b/>
          <w:sz w:val="20"/>
          <w:szCs w:val="20"/>
          <w:lang w:eastAsia="zh-CN"/>
        </w:rPr>
      </w:pPr>
    </w:p>
    <w:p w14:paraId="1C7F80D1">
      <w:pPr>
        <w:jc w:val="both"/>
        <w:rPr>
          <w:rFonts w:eastAsia="楷体_GB2312" w:cs="Calibri"/>
          <w:b/>
          <w:sz w:val="20"/>
          <w:szCs w:val="20"/>
          <w:lang w:eastAsia="zh-CN"/>
        </w:rPr>
      </w:pPr>
    </w:p>
    <w:p w14:paraId="156C764F">
      <w:pPr>
        <w:jc w:val="both"/>
        <w:rPr>
          <w:rFonts w:eastAsia="楷体_GB2312" w:cs="Calibri"/>
          <w:b/>
          <w:sz w:val="20"/>
          <w:szCs w:val="20"/>
          <w:lang w:eastAsia="zh-CN"/>
        </w:rPr>
      </w:pPr>
    </w:p>
    <w:p w14:paraId="2039A6D3">
      <w:pPr>
        <w:jc w:val="both"/>
        <w:rPr>
          <w:rFonts w:eastAsia="楷体_GB2312" w:cs="Calibri"/>
          <w:b/>
          <w:sz w:val="20"/>
          <w:szCs w:val="20"/>
          <w:lang w:eastAsia="zh-CN"/>
        </w:rPr>
      </w:pPr>
    </w:p>
    <w:p w14:paraId="35E975C7">
      <w:pPr>
        <w:jc w:val="both"/>
        <w:rPr>
          <w:rFonts w:eastAsia="楷体_GB2312" w:cs="Calibri"/>
          <w:b/>
          <w:sz w:val="20"/>
          <w:szCs w:val="20"/>
          <w:lang w:eastAsia="zh-CN"/>
        </w:rPr>
      </w:pPr>
    </w:p>
    <w:p w14:paraId="06B1FF39">
      <w:pPr>
        <w:jc w:val="both"/>
        <w:rPr>
          <w:rFonts w:eastAsia="楷体_GB2312" w:cs="Calibri"/>
          <w:b/>
          <w:sz w:val="20"/>
          <w:szCs w:val="20"/>
          <w:lang w:eastAsia="zh-CN"/>
        </w:rPr>
      </w:pPr>
    </w:p>
    <w:p w14:paraId="3DD3FE7B">
      <w:pPr>
        <w:jc w:val="both"/>
        <w:rPr>
          <w:rFonts w:eastAsia="楷体_GB2312" w:cs="Calibri"/>
          <w:b/>
          <w:sz w:val="20"/>
          <w:szCs w:val="20"/>
          <w:lang w:eastAsia="zh-CN"/>
        </w:rPr>
      </w:pPr>
    </w:p>
    <w:p w14:paraId="1C7A5A38">
      <w:pPr>
        <w:jc w:val="both"/>
        <w:rPr>
          <w:rFonts w:eastAsia="楷体_GB2312" w:cs="Calibri"/>
          <w:b/>
          <w:sz w:val="20"/>
          <w:szCs w:val="20"/>
          <w:lang w:eastAsia="zh-CN"/>
        </w:rPr>
      </w:pPr>
    </w:p>
    <w:p w14:paraId="73642D1A">
      <w:pPr>
        <w:jc w:val="both"/>
        <w:rPr>
          <w:rFonts w:eastAsia="楷体_GB2312" w:cs="Calibri"/>
          <w:b/>
          <w:sz w:val="20"/>
          <w:szCs w:val="20"/>
          <w:lang w:eastAsia="zh-CN"/>
        </w:rPr>
      </w:pPr>
    </w:p>
    <w:p w14:paraId="5712DC0C">
      <w:pPr>
        <w:jc w:val="both"/>
        <w:rPr>
          <w:rFonts w:eastAsia="楷体_GB2312" w:cs="Calibri"/>
          <w:b/>
          <w:sz w:val="20"/>
          <w:szCs w:val="20"/>
          <w:lang w:eastAsia="zh-CN"/>
        </w:rPr>
      </w:pPr>
    </w:p>
    <w:p w14:paraId="1F7D8FFD">
      <w:pPr>
        <w:jc w:val="both"/>
        <w:rPr>
          <w:rFonts w:eastAsia="楷体_GB2312" w:cs="Calibri"/>
          <w:b/>
          <w:sz w:val="20"/>
          <w:szCs w:val="20"/>
        </w:rPr>
      </w:pPr>
      <w:r>
        <w:rPr>
          <w:rFonts w:eastAsia="楷体_GB2312" w:cs="Calibri"/>
          <w:b/>
          <w:sz w:val="20"/>
          <w:szCs w:val="20"/>
          <w:lang w:eastAsia="zh-CN"/>
        </w:rPr>
        <w:t>Ta</w:t>
      </w:r>
      <w:r>
        <w:rPr>
          <w:rFonts w:eastAsia="楷体_GB2312" w:cs="Calibri"/>
          <w:b/>
          <w:sz w:val="20"/>
          <w:szCs w:val="20"/>
        </w:rPr>
        <w:t>ble: Financial Summary</w:t>
      </w:r>
    </w:p>
    <w:p w14:paraId="2F09AAE9">
      <w:pPr>
        <w:jc w:val="both"/>
        <w:rPr>
          <w:rFonts w:eastAsia="楷体_GB2312" w:cs="Calibri"/>
          <w:b/>
          <w:bCs/>
          <w:color w:val="23558C"/>
          <w:kern w:val="28"/>
          <w:sz w:val="22"/>
          <w:szCs w:val="22"/>
          <w:lang w:eastAsia="zh-CN"/>
        </w:rPr>
      </w:pPr>
      <w:r>
        <w:drawing>
          <wp:inline distT="0" distB="0" distL="114300" distR="114300">
            <wp:extent cx="4735195" cy="6535420"/>
            <wp:effectExtent l="0" t="0" r="4445"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0"/>
                    <a:stretch>
                      <a:fillRect/>
                    </a:stretch>
                  </pic:blipFill>
                  <pic:spPr>
                    <a:xfrm>
                      <a:off x="0" y="0"/>
                      <a:ext cx="4735195" cy="6535420"/>
                    </a:xfrm>
                    <a:prstGeom prst="rect">
                      <a:avLst/>
                    </a:prstGeom>
                    <a:noFill/>
                    <a:ln>
                      <a:noFill/>
                    </a:ln>
                  </pic:spPr>
                </pic:pic>
              </a:graphicData>
            </a:graphic>
          </wp:inline>
        </w:drawing>
      </w:r>
    </w:p>
    <w:p w14:paraId="20EE89DC">
      <w:pPr>
        <w:spacing w:line="240" w:lineRule="atLeast"/>
        <w:jc w:val="both"/>
        <w:textAlignment w:val="center"/>
        <w:rPr>
          <w:rFonts w:cs="Calibri"/>
        </w:rPr>
      </w:pPr>
      <w:r>
        <w:rPr>
          <w:rFonts w:eastAsia="楷体_GB2312" w:cs="Calibri"/>
        </w:rPr>
        <w:t>Source: Company, HTI</w:t>
      </w:r>
      <w:r>
        <w:rPr>
          <w:rFonts w:cs="Calibri"/>
        </w:rPr>
        <w:t xml:space="preserve"> </w:t>
      </w:r>
    </w:p>
    <w:p w14:paraId="7A2B6EE5">
      <w:pPr>
        <w:pStyle w:val="92"/>
        <w:jc w:val="both"/>
        <w:rPr>
          <w:rFonts w:eastAsia="楷体_GB2312" w:cs="Calibri"/>
          <w:b/>
          <w:bCs/>
          <w:color w:val="23558C"/>
          <w:kern w:val="28"/>
          <w:sz w:val="22"/>
          <w:szCs w:val="22"/>
          <w:lang w:eastAsia="zh-CN"/>
        </w:rPr>
      </w:pPr>
    </w:p>
    <w:p w14:paraId="6F4A4D4F">
      <w:pPr>
        <w:rPr>
          <w:rFonts w:eastAsia="宋体"/>
          <w:lang w:eastAsia="zh-CN"/>
        </w:rPr>
      </w:pPr>
      <w:r>
        <w:rPr>
          <w:rFonts w:eastAsia="宋体"/>
          <w:lang w:eastAsia="zh-CN"/>
        </w:rPr>
        <w:br w:type="page"/>
      </w:r>
    </w:p>
    <w:p w14:paraId="1084D54D">
      <w:pPr>
        <w:pStyle w:val="2"/>
        <w:spacing w:beforeLines="100" w:after="240" w:afterLines="100"/>
        <w:jc w:val="both"/>
        <w:rPr>
          <w:rFonts w:eastAsia="楷体_GB2312" w:cs="Calibri"/>
          <w:color w:val="23558C"/>
          <w:sz w:val="30"/>
          <w:lang w:eastAsia="zh-CN"/>
        </w:rPr>
      </w:pPr>
      <w:bookmarkStart w:id="12" w:name="_Toc186105501"/>
      <w:bookmarkStart w:id="13" w:name="_Toc29182"/>
      <w:r>
        <w:rPr>
          <w:rFonts w:eastAsia="楷体_GB2312" w:cs="Calibri"/>
          <w:color w:val="23558C"/>
          <w:sz w:val="30"/>
        </w:rPr>
        <w:t xml:space="preserve">5. </w:t>
      </w:r>
      <w:bookmarkEnd w:id="12"/>
      <w:r>
        <w:rPr>
          <w:rFonts w:eastAsia="楷体_GB2312" w:cs="Calibri"/>
          <w:color w:val="23558C"/>
          <w:sz w:val="30"/>
          <w:lang w:eastAsia="zh-CN"/>
        </w:rPr>
        <w:t>Risks</w:t>
      </w:r>
      <w:bookmarkEnd w:id="13"/>
    </w:p>
    <w:p w14:paraId="2A91494B">
      <w:pPr>
        <w:pStyle w:val="23"/>
        <w:jc w:val="both"/>
        <w:rPr>
          <w:rFonts w:hint="default" w:ascii="Calibri" w:hAnsi="Calibri" w:eastAsia="楷体" w:cs="Calibri"/>
          <w:snapToGrid w:val="0"/>
          <w:sz w:val="22"/>
          <w:szCs w:val="22"/>
          <w:lang w:val="en-US" w:eastAsia="zh-CN" w:bidi="ar-SA"/>
        </w:rPr>
      </w:pPr>
      <w:r>
        <w:rPr>
          <w:rFonts w:hint="eastAsia" w:eastAsia="楷体" w:cs="Calibri"/>
          <w:snapToGrid w:val="0"/>
          <w:sz w:val="22"/>
          <w:szCs w:val="22"/>
          <w:lang w:val="en-US" w:eastAsia="zh-CN" w:bidi="ar-SA"/>
        </w:rPr>
        <w:t>S</w:t>
      </w:r>
      <w:r>
        <w:rPr>
          <w:rFonts w:ascii="Calibri" w:hAnsi="Calibri" w:eastAsia="楷体" w:cs="Calibri"/>
          <w:snapToGrid w:val="0"/>
          <w:sz w:val="22"/>
          <w:szCs w:val="22"/>
          <w:lang w:val="en-US" w:eastAsia="zh-CN" w:bidi="ar-SA"/>
        </w:rPr>
        <w:t xml:space="preserve">lowing growth and </w:t>
      </w:r>
      <w:r>
        <w:rPr>
          <w:rFonts w:hint="default" w:ascii="Calibri" w:hAnsi="Calibri" w:eastAsia="楷体" w:cs="Calibri"/>
          <w:snapToGrid w:val="0"/>
          <w:sz w:val="22"/>
          <w:szCs w:val="22"/>
          <w:lang w:val="en-US" w:eastAsia="zh-CN" w:bidi="ar-SA"/>
        </w:rPr>
        <w:t>misexecution</w:t>
      </w:r>
      <w:r>
        <w:rPr>
          <w:rFonts w:hint="eastAsia" w:ascii="Calibri" w:hAnsi="Calibri" w:eastAsia="楷体" w:cs="Calibri"/>
          <w:snapToGrid w:val="0"/>
          <w:sz w:val="22"/>
          <w:szCs w:val="22"/>
          <w:lang w:val="en-US" w:eastAsia="zh-CN" w:bidi="ar-SA"/>
        </w:rPr>
        <w:t>;</w:t>
      </w:r>
      <w:r>
        <w:rPr>
          <w:rFonts w:hint="default" w:ascii="Calibri" w:hAnsi="Calibri" w:eastAsia="楷体" w:cs="Calibri"/>
          <w:snapToGrid w:val="0"/>
          <w:sz w:val="22"/>
          <w:szCs w:val="22"/>
          <w:lang w:val="en-US" w:eastAsia="zh-CN" w:bidi="ar-SA"/>
        </w:rPr>
        <w:t xml:space="preserve"> </w:t>
      </w:r>
      <w:r>
        <w:rPr>
          <w:rFonts w:hint="eastAsia" w:eastAsia="楷体" w:cs="Calibri"/>
          <w:snapToGrid w:val="0"/>
          <w:sz w:val="22"/>
          <w:szCs w:val="22"/>
          <w:lang w:val="en-US" w:eastAsia="zh-CN" w:bidi="ar-SA"/>
        </w:rPr>
        <w:t>S</w:t>
      </w:r>
      <w:r>
        <w:rPr>
          <w:rFonts w:hint="default" w:ascii="Calibri" w:hAnsi="Calibri" w:eastAsia="楷体" w:cs="Calibri"/>
          <w:snapToGrid w:val="0"/>
          <w:sz w:val="22"/>
          <w:szCs w:val="22"/>
          <w:lang w:val="en-US" w:eastAsia="zh-CN" w:bidi="ar-SA"/>
        </w:rPr>
        <w:t>lowing demand activity in data center</w:t>
      </w:r>
      <w:r>
        <w:rPr>
          <w:rFonts w:hint="eastAsia" w:eastAsia="楷体" w:cs="Calibri"/>
          <w:snapToGrid w:val="0"/>
          <w:sz w:val="22"/>
          <w:szCs w:val="22"/>
          <w:lang w:val="en-US" w:eastAsia="zh-CN" w:bidi="ar-SA"/>
        </w:rPr>
        <w:t>; Continued trade tensions and shifting U.S. tariff policies; Technological Obsolescence.</w:t>
      </w:r>
    </w:p>
    <w:p w14:paraId="1D3F9D98">
      <w:pPr>
        <w:pStyle w:val="23"/>
        <w:rPr>
          <w:rFonts w:ascii="Calibri" w:hAnsi="Calibri" w:eastAsia="楷体" w:cs="Calibri"/>
          <w:snapToGrid w:val="0"/>
          <w:sz w:val="22"/>
          <w:szCs w:val="22"/>
          <w:lang w:val="en-US" w:eastAsia="zh-CN" w:bidi="ar-SA"/>
        </w:rPr>
      </w:pPr>
    </w:p>
    <w:p w14:paraId="2C8DA111">
      <w:pPr>
        <w:pStyle w:val="23"/>
        <w:rPr>
          <w:rFonts w:eastAsia="宋体"/>
          <w:lang w:eastAsia="zh-CN"/>
        </w:rPr>
      </w:pPr>
    </w:p>
    <w:p w14:paraId="5068E2A4">
      <w:pPr>
        <w:pStyle w:val="23"/>
        <w:rPr>
          <w:rFonts w:eastAsia="宋体"/>
          <w:lang w:eastAsia="zh-CN"/>
        </w:rPr>
      </w:pPr>
    </w:p>
    <w:p w14:paraId="62CB82C5">
      <w:pPr>
        <w:pStyle w:val="23"/>
        <w:rPr>
          <w:rFonts w:eastAsia="宋体"/>
          <w:lang w:eastAsia="zh-CN"/>
        </w:rPr>
      </w:pPr>
    </w:p>
    <w:p w14:paraId="3464AD90">
      <w:pPr>
        <w:pStyle w:val="23"/>
        <w:rPr>
          <w:rFonts w:eastAsia="宋体"/>
          <w:sz w:val="4"/>
          <w:szCs w:val="4"/>
          <w:lang w:eastAsia="zh-CN"/>
        </w:rPr>
      </w:pPr>
    </w:p>
    <w:p w14:paraId="156339AB">
      <w:pPr>
        <w:pStyle w:val="23"/>
        <w:rPr>
          <w:rFonts w:eastAsia="宋体"/>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tbl>
      <w:tblPr>
        <w:tblStyle w:val="15"/>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gridCol w:w="21"/>
      </w:tblGrid>
      <w:tr w14:paraId="3BE5C1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gridSpan w:val="2"/>
          </w:tcPr>
          <w:p w14:paraId="1AA80C1F">
            <w:pPr>
              <w:rPr>
                <w:rFonts w:eastAsia="宋体"/>
                <w:lang w:eastAsia="zh-CN"/>
              </w:rPr>
            </w:pPr>
            <w:r>
              <w:rPr>
                <w:rFonts w:hint="eastAsia" w:eastAsia="宋体"/>
                <w:lang w:eastAsia="zh-CN"/>
              </w:rPr>
              <w:t>[</w:t>
            </w:r>
            <w:r>
              <w:rPr>
                <w:rFonts w:eastAsia="宋体"/>
                <w:lang w:eastAsia="zh-CN"/>
              </w:rPr>
              <w:t>Table_APPENDIX]</w:t>
            </w:r>
          </w:p>
        </w:tc>
      </w:tr>
      <w:tr w14:paraId="45BD31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5"/>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F4AA81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830B2DC">
                  <w:pPr>
                    <w:pStyle w:val="29"/>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6B56726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6E206D06">
                  <w:pPr>
                    <w:pStyle w:val="29"/>
                    <w:spacing w:after="60"/>
                    <w:rPr>
                      <w:rFonts w:eastAsia="楷体_GB2312" w:cs="Calibri"/>
                      <w:b/>
                      <w:bCs/>
                      <w:w w:val="70"/>
                      <w:sz w:val="22"/>
                      <w:szCs w:val="22"/>
                      <w:lang w:eastAsia="zh-CN"/>
                    </w:rPr>
                  </w:pPr>
                  <w:r>
                    <w:rPr>
                      <w:rFonts w:eastAsia="楷体_GB2312" w:cs="Calibri"/>
                      <w:b/>
                      <w:bCs/>
                      <w:w w:val="70"/>
                      <w:sz w:val="22"/>
                      <w:szCs w:val="22"/>
                    </w:rPr>
                    <w:t>APPENDIX</w:t>
                  </w:r>
                </w:p>
                <w:p w14:paraId="6D036F32">
                  <w:pPr>
                    <w:pStyle w:val="29"/>
                    <w:rPr>
                      <w:rFonts w:eastAsia="楷体_GB2312" w:cs="Calibri"/>
                      <w:b/>
                      <w:bCs/>
                      <w:w w:val="70"/>
                      <w:sz w:val="20"/>
                      <w:szCs w:val="20"/>
                    </w:rPr>
                  </w:pPr>
                  <w:r>
                    <w:rPr>
                      <w:rFonts w:eastAsia="楷体_GB2312" w:cs="Calibri"/>
                      <w:b/>
                      <w:bCs/>
                      <w:w w:val="70"/>
                      <w:sz w:val="20"/>
                      <w:szCs w:val="20"/>
                    </w:rPr>
                    <w:t>IMPORTANT DISCLOSURES</w:t>
                  </w:r>
                </w:p>
                <w:p w14:paraId="37CDC049">
                  <w:pPr>
                    <w:pStyle w:val="29"/>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2F8CBE3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E6EE67A">
                  <w:pPr>
                    <w:pStyle w:val="29"/>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40A8C56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456B4E54">
                  <w:pPr>
                    <w:jc w:val="both"/>
                    <w:rPr>
                      <w:rFonts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p w14:paraId="11E288F9">
                  <w:r>
                    <w:rPr>
                      <w:rFonts w:ascii="Calibri" w:eastAsia="楷体_GB2312"/>
                      <w:b w:val="0"/>
                      <w:i w:val="0"/>
                      <w:color w:val="000000"/>
                      <w:w w:val="70"/>
                      <w:sz w:val="20"/>
                    </w:rPr>
                    <w:t>I, Yida Deng,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601B18B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25A9046A">
                  <w:pPr>
                    <w:pStyle w:val="29"/>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7CA1EC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0A9120BF">
                  <w:pPr>
                    <w:pStyle w:val="29"/>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EB195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AEF0577">
                  <w:pPr>
                    <w:pStyle w:val="29"/>
                    <w:rPr>
                      <w:rFonts w:eastAsia="楷体_GB2312" w:cs="Calibri"/>
                      <w:w w:val="70"/>
                      <w:sz w:val="20"/>
                      <w:szCs w:val="20"/>
                    </w:rPr>
                  </w:pPr>
                </w:p>
              </w:tc>
            </w:tr>
            <w:tr w14:paraId="20770FD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2DB59FD1">
                  <w:pPr>
                    <w:pStyle w:val="29"/>
                    <w:rPr>
                      <w:rFonts w:eastAsia="楷体_GB2312" w:cs="Calibri"/>
                      <w:w w:val="79"/>
                      <w:sz w:val="20"/>
                      <w:szCs w:val="20"/>
                    </w:rPr>
                  </w:pPr>
                  <w:r>
                    <w:rPr>
                      <w:rFonts w:eastAsia="楷体_GB2312" w:cs="Calibri"/>
                      <w:b/>
                      <w:w w:val="79"/>
                      <w:sz w:val="20"/>
                      <w:szCs w:val="20"/>
                    </w:rPr>
                    <w:t xml:space="preserve">Ratings Definitions (from 1 Jul 2020): </w:t>
                  </w:r>
                </w:p>
                <w:p w14:paraId="2BC0EA1F">
                  <w:pPr>
                    <w:pStyle w:val="29"/>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22E26EE5">
                  <w:pPr>
                    <w:pStyle w:val="29"/>
                    <w:rPr>
                      <w:rFonts w:eastAsia="楷体_GB2312" w:cs="Calibri"/>
                      <w:b/>
                      <w:w w:val="79"/>
                      <w:sz w:val="20"/>
                      <w:szCs w:val="20"/>
                    </w:rPr>
                  </w:pPr>
                  <w:r>
                    <w:rPr>
                      <w:rFonts w:eastAsia="楷体_GB2312" w:cs="Calibri"/>
                      <w:b/>
                      <w:w w:val="79"/>
                      <w:sz w:val="20"/>
                      <w:szCs w:val="20"/>
                    </w:rPr>
                    <w:t>Analyst Stock Ratings</w:t>
                  </w:r>
                </w:p>
                <w:p w14:paraId="63C5138B">
                  <w:pPr>
                    <w:pStyle w:val="29"/>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1A8B98DC">
                  <w:pPr>
                    <w:pStyle w:val="29"/>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7873EFD5">
                  <w:pPr>
                    <w:pStyle w:val="29"/>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12C4BC43">
                  <w:pPr>
                    <w:pStyle w:val="29"/>
                    <w:rPr>
                      <w:rFonts w:eastAsia="楷体_GB2312" w:cs="Calibri"/>
                      <w:w w:val="70"/>
                      <w:sz w:val="20"/>
                      <w:szCs w:val="20"/>
                      <w:lang w:eastAsia="zh-CN"/>
                    </w:rPr>
                  </w:pPr>
                </w:p>
              </w:tc>
            </w:tr>
            <w:tr w14:paraId="137AA63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2A65E41">
                  <w:pPr>
                    <w:pStyle w:val="29"/>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5359B6D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347C4E7">
                  <w:pPr>
                    <w:pStyle w:val="29"/>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2B7DDA0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33C87002">
                  <w:pPr>
                    <w:pStyle w:val="29"/>
                    <w:rPr>
                      <w:rFonts w:eastAsia="楷体_GB2312" w:cs="Calibri"/>
                      <w:w w:val="70"/>
                      <w:sz w:val="20"/>
                      <w:szCs w:val="20"/>
                    </w:rPr>
                  </w:pPr>
                </w:p>
              </w:tc>
            </w:tr>
            <w:tr w14:paraId="3ECA98C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6218467">
                  <w:pPr>
                    <w:pStyle w:val="29"/>
                    <w:spacing w:after="40"/>
                    <w:rPr>
                      <w:rFonts w:eastAsia="楷体_GB2312" w:cs="Calibri"/>
                      <w:b/>
                      <w:bCs/>
                      <w:w w:val="70"/>
                      <w:sz w:val="20"/>
                      <w:szCs w:val="20"/>
                    </w:rPr>
                  </w:pPr>
                  <w:r>
                    <w:rPr>
                      <w:rFonts w:eastAsia="楷体_GB2312" w:cs="Calibri"/>
                      <w:b/>
                      <w:bCs/>
                      <w:w w:val="70"/>
                      <w:sz w:val="20"/>
                      <w:szCs w:val="20"/>
                    </w:rPr>
                    <w:t>IMPORTANT DISCLAIMER</w:t>
                  </w:r>
                </w:p>
                <w:p w14:paraId="1EE118B2">
                  <w:pPr>
                    <w:pStyle w:val="29"/>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3C7D1DC3">
                  <w:pPr>
                    <w:pStyle w:val="29"/>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26EB850D">
                  <w:pPr>
                    <w:pStyle w:val="29"/>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345C1AF1">
                  <w:pPr>
                    <w:pStyle w:val="29"/>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"http://www.equities.htisec.com" </w:instrText>
                  </w:r>
                  <w:r>
                    <w:fldChar w:fldCharType="separate"/>
                  </w:r>
                  <w:r>
                    <w:rPr>
                      <w:rStyle w:val="19"/>
                      <w:rFonts w:eastAsia="楷体_GB2312" w:cs="Calibri"/>
                      <w:w w:val="70"/>
                      <w:sz w:val="20"/>
                      <w:szCs w:val="20"/>
                    </w:rPr>
                    <w:t>www.</w:t>
                  </w:r>
                  <w:r>
                    <w:rPr>
                      <w:rStyle w:val="19"/>
                      <w:rFonts w:hint="eastAsia" w:eastAsia="楷体_GB2312" w:cs="Calibri"/>
                      <w:w w:val="70"/>
                      <w:sz w:val="20"/>
                      <w:szCs w:val="20"/>
                      <w:lang w:eastAsia="zh-CN"/>
                    </w:rPr>
                    <w:t>hfisec</w:t>
                  </w:r>
                  <w:r>
                    <w:rPr>
                      <w:rStyle w:val="19"/>
                      <w:rFonts w:eastAsia="楷体_GB2312" w:cs="Calibri"/>
                      <w:w w:val="70"/>
                      <w:sz w:val="20"/>
                      <w:szCs w:val="20"/>
                    </w:rPr>
                    <w:t>.com</w:t>
                  </w:r>
                  <w:r>
                    <w:rPr>
                      <w:rStyle w:val="19"/>
                      <w:rFonts w:eastAsia="楷体_GB2312" w:cs="Calibri"/>
                      <w:w w:val="70"/>
                      <w:sz w:val="20"/>
                      <w:szCs w:val="20"/>
                    </w:rPr>
                    <w:fldChar w:fldCharType="end"/>
                  </w:r>
                  <w:r>
                    <w:rPr>
                      <w:rStyle w:val="19"/>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4C825383">
                  <w:pPr>
                    <w:pStyle w:val="29"/>
                    <w:spacing w:after="60"/>
                    <w:rPr>
                      <w:rFonts w:eastAsia="楷体_GB2312" w:cs="Calibri"/>
                      <w:b/>
                      <w:w w:val="70"/>
                      <w:sz w:val="20"/>
                      <w:szCs w:val="20"/>
                    </w:rPr>
                  </w:pPr>
                </w:p>
              </w:tc>
            </w:tr>
            <w:tr w14:paraId="2779716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D535850">
                  <w:pPr>
                    <w:pStyle w:val="29"/>
                    <w:spacing w:after="40"/>
                    <w:rPr>
                      <w:rFonts w:eastAsia="楷体_GB2312" w:cs="Calibri"/>
                      <w:b/>
                      <w:bCs/>
                      <w:w w:val="70"/>
                      <w:sz w:val="20"/>
                      <w:szCs w:val="20"/>
                    </w:rPr>
                  </w:pPr>
                  <w:r>
                    <w:rPr>
                      <w:rFonts w:eastAsia="楷体_GB2312" w:cs="Calibri"/>
                      <w:b/>
                      <w:bCs/>
                      <w:w w:val="70"/>
                      <w:sz w:val="20"/>
                      <w:szCs w:val="20"/>
                    </w:rPr>
                    <w:t>DISTRIBUTION AND REGIONAL NOTICES</w:t>
                  </w:r>
                </w:p>
                <w:p w14:paraId="016FEF5A">
                  <w:pPr>
                    <w:pStyle w:val="29"/>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3E3DED98">
                  <w:pPr>
                    <w:pStyle w:val="29"/>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68D0A5E7">
                  <w:pPr>
                    <w:pStyle w:val="29"/>
                    <w:spacing w:after="60"/>
                    <w:rPr>
                      <w:rFonts w:eastAsia="楷体_GB2312" w:cs="Calibri"/>
                      <w:b/>
                      <w:w w:val="70"/>
                      <w:sz w:val="20"/>
                      <w:szCs w:val="20"/>
                    </w:rPr>
                  </w:pPr>
                </w:p>
              </w:tc>
            </w:tr>
            <w:tr w14:paraId="5719A29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8FF3D46">
                  <w:pPr>
                    <w:pStyle w:val="29"/>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72DE989E">
                  <w:pPr>
                    <w:pStyle w:val="29"/>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6091DEB5">
                  <w:pPr>
                    <w:pStyle w:val="29"/>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692E9ED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D7F56B9">
                  <w:pPr>
                    <w:pStyle w:val="29"/>
                    <w:spacing w:after="60"/>
                    <w:rPr>
                      <w:rFonts w:eastAsia="楷体_GB2312" w:cs="Calibri"/>
                      <w:b/>
                      <w:w w:val="70"/>
                      <w:sz w:val="20"/>
                      <w:szCs w:val="20"/>
                    </w:rPr>
                  </w:pPr>
                </w:p>
              </w:tc>
            </w:tr>
            <w:tr w14:paraId="1397688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C90A1AE">
                  <w:pPr>
                    <w:pStyle w:val="29"/>
                    <w:spacing w:after="60"/>
                    <w:rPr>
                      <w:rFonts w:eastAsia="楷体_GB2312" w:cs="Calibri"/>
                      <w:b/>
                      <w:w w:val="70"/>
                      <w:sz w:val="20"/>
                      <w:szCs w:val="20"/>
                      <w:lang w:eastAsia="zh-CN"/>
                    </w:rPr>
                  </w:pPr>
                </w:p>
              </w:tc>
            </w:tr>
          </w:tbl>
          <w:p w14:paraId="3292C8FB">
            <w:pPr>
              <w:pStyle w:val="75"/>
              <w:rPr>
                <w:rFonts w:eastAsia="宋体"/>
                <w:sz w:val="16"/>
              </w:rPr>
            </w:pPr>
          </w:p>
          <w:p w14:paraId="44352445">
            <w:pPr>
              <w:rPr>
                <w:sz w:val="20"/>
                <w:szCs w:val="20"/>
              </w:rPr>
            </w:pPr>
          </w:p>
        </w:tc>
      </w:tr>
      <w:tr w14:paraId="1F62F7D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062C4AEF">
            <w:pPr>
              <w:pStyle w:val="29"/>
              <w:rPr>
                <w:rFonts w:eastAsia="楷体_GB2312"/>
                <w:b/>
                <w:w w:val="70"/>
                <w:sz w:val="20"/>
                <w:szCs w:val="20"/>
              </w:rPr>
            </w:pPr>
          </w:p>
          <w:tbl>
            <w:tblPr>
              <w:tblStyle w:val="15"/>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8"/>
            </w:tblGrid>
            <w:tr w14:paraId="72E8F06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6C4374E9">
                  <w:pPr>
                    <w:pStyle w:val="29"/>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0C055A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6D5C6115">
                  <w:pPr>
                    <w:pStyle w:val="29"/>
                    <w:rPr>
                      <w:rFonts w:eastAsia="楷体_GB2312"/>
                      <w:b/>
                      <w:w w:val="70"/>
                      <w:sz w:val="20"/>
                      <w:szCs w:val="20"/>
                    </w:rPr>
                  </w:pPr>
                  <w:r>
                    <w:rPr>
                      <w:rFonts w:ascii="Calibri" w:eastAsia="楷体_GB2312"/>
                    </w:rPr>
                    <w:drawing>
                      <wp:inline distT="0" distB="0" distL="0" distR="0">
                        <wp:extent cx="6350000" cy="3810000"/>
                        <wp:effectExtent l="0" t="0" r="5080" b="0"/>
                        <wp:docPr id="39" name="Drawing 39" descr="/data/deploy/attachments/file/temp/202602/1771757221154_MzJ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9" descr="/data/deploy/attachments/file/temp/202602/1771757221154_MzJPM.png"/>
                                <pic:cNvPicPr>
                                  <a:picLocks noChangeAspect="1"/>
                                </pic:cNvPicPr>
                              </pic:nvPicPr>
                              <pic:blipFill>
                                <a:blip r:embed="rId41"/>
                                <a:stretch>
                                  <a:fillRect/>
                                </a:stretch>
                              </pic:blipFill>
                              <pic:spPr>
                                <a:xfrm>
                                  <a:off x="0" y="0"/>
                                  <a:ext cx="6350000" cy="3810000"/>
                                </a:xfrm>
                                <a:prstGeom prst="rect">
                                  <a:avLst/>
                                </a:prstGeom>
                              </pic:spPr>
                            </pic:pic>
                          </a:graphicData>
                        </a:graphic>
                      </wp:inline>
                    </w:drawing>
                  </w:r>
                </w:p>
              </w:tc>
            </w:tr>
            <w:tr w14:paraId="43B2C7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4471255A">
                  <w:pPr>
                    <w:pStyle w:val="29"/>
                    <w:rPr>
                      <w:rFonts w:eastAsia="楷体_GB2312"/>
                      <w:b/>
                      <w:w w:val="70"/>
                      <w:sz w:val="20"/>
                      <w:szCs w:val="20"/>
                    </w:rPr>
                  </w:pPr>
                  <w:r>
                    <w:rPr>
                      <w:rFonts w:ascii="Calibri" w:eastAsia="楷体_GB2312"/>
                      <w:b w:val="0"/>
                      <w:i/>
                      <w:color w:val="000000"/>
                      <w:sz w:val="12"/>
                    </w:rPr>
                    <w:t>Source: Company data Bloomberg, HFI estimates</w:t>
                  </w:r>
                </w:p>
              </w:tc>
            </w:tr>
          </w:tbl>
          <w:p w14:paraId="3C898559">
            <w:pPr>
              <w:pStyle w:val="75"/>
              <w:rPr>
                <w:rFonts w:eastAsia="宋体"/>
                <w:w w:val="70"/>
                <w:sz w:val="20"/>
                <w:szCs w:val="20"/>
              </w:rPr>
            </w:pPr>
          </w:p>
          <w:p w14:paraId="02CD7736">
            <w:pPr>
              <w:pStyle w:val="75"/>
              <w:rPr>
                <w:rFonts w:eastAsia="楷体_GB2312"/>
              </w:rPr>
            </w:pPr>
          </w:p>
        </w:tc>
      </w:tr>
    </w:tbl>
    <w:p w14:paraId="32CB70F7">
      <w:pPr>
        <w:pStyle w:val="75"/>
        <w:rPr>
          <w:rFonts w:eastAsia="宋体"/>
          <w:sz w:val="20"/>
          <w:szCs w:val="20"/>
        </w:rPr>
      </w:pPr>
    </w:p>
    <w:sectPr>
      <w:headerReference r:id="rId12" w:type="first"/>
      <w:footerReference r:id="rId14" w:type="first"/>
      <w:headerReference r:id="rId11" w:type="default"/>
      <w:footerReference r:id="rId13"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0000010" w:usb3="00000000" w:csb0="4002009F" w:csb1="DFD7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DAB94">
    <w:pPr>
      <w:pStyle w:val="25"/>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278E821A">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278E821A">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5"/>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69908C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2A99CE6A">
                                <w:pPr>
                                  <w:pStyle w:val="14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FB5F7B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69795B71">
                                <w:pPr>
                                  <w:pStyle w:val="146"/>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EDC08A">
                          <w:pPr>
                            <w:pStyle w:val="146"/>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5"/>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69908C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2A99CE6A">
                          <w:pPr>
                            <w:pStyle w:val="146"/>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FB5F7B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69795B71">
                          <w:pPr>
                            <w:pStyle w:val="146"/>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EDC08A">
                    <w:pPr>
                      <w:pStyle w:val="146"/>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9C23">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9A41">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4C81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C51E316">
          <w:pPr>
            <w:pStyle w:val="34"/>
            <w:framePr w:wrap="auto" w:vAnchor="margin" w:hAnchor="text" w:xAlign="left" w:yAlign="inline"/>
          </w:pPr>
          <w:r>
            <w:fldChar w:fldCharType="begin"/>
          </w:r>
          <w:r>
            <w:instrText xml:space="preserve"> DATE  \@ "d MMM yyyy"  \* MERGEFORMAT </w:instrText>
          </w:r>
          <w:r>
            <w:fldChar w:fldCharType="separate"/>
          </w:r>
          <w:r>
            <w:t>22 Feb 2026</w:t>
          </w:r>
          <w:r>
            <w:fldChar w:fldCharType="end"/>
          </w:r>
          <w:r>
            <w:tab/>
          </w:r>
          <w:r>
            <w:fldChar w:fldCharType="begin"/>
          </w:r>
          <w:r>
            <w:instrText xml:space="preserve"> PAGE </w:instrText>
          </w:r>
          <w:r>
            <w:fldChar w:fldCharType="separate"/>
          </w:r>
          <w:r>
            <w:t>2</w:t>
          </w:r>
          <w:r>
            <w:fldChar w:fldCharType="end"/>
          </w:r>
        </w:p>
      </w:tc>
    </w:tr>
  </w:tbl>
  <w:p w14:paraId="24C35989">
    <w:pPr>
      <w:pStyle w:val="2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56D0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C4B7B94">
          <w:pPr>
            <w:pStyle w:val="34"/>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247DB5FE">
    <w:pPr>
      <w:pStyle w:val="2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DE6E4">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8E1AC">
    <w:pPr>
      <w:pStyle w:val="25"/>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5"/>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038855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1D132BE9">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C5834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038566C">
                                <w:pPr>
                                  <w:rPr>
                                    <w:color w:val="23558C"/>
                                    <w:sz w:val="20"/>
                                    <w:szCs w:val="20"/>
                                  </w:rPr>
                                </w:pPr>
                                <w:r>
                                  <w:rPr>
                                    <w:rFonts w:hint="eastAsia" w:eastAsia="楷体_GB2312"/>
                                    <w:color w:val="23558C"/>
                                    <w:sz w:val="20"/>
                                    <w:szCs w:val="20"/>
                                    <w:lang w:eastAsia="zh-CN"/>
                                  </w:rPr>
                                  <w:t>Investment Focus</w:t>
                                </w:r>
                              </w:p>
                            </w:tc>
                          </w:tr>
                        </w:tbl>
                        <w:p w14:paraId="4ED4364B">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5"/>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0388552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3312" w:type="dxa"/>
                        </w:tcPr>
                        <w:p w14:paraId="1D132BE9">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C5834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038566C">
                          <w:pPr>
                            <w:rPr>
                              <w:color w:val="23558C"/>
                              <w:sz w:val="20"/>
                              <w:szCs w:val="20"/>
                            </w:rPr>
                          </w:pPr>
                          <w:r>
                            <w:rPr>
                              <w:rFonts w:hint="eastAsia" w:eastAsia="楷体_GB2312"/>
                              <w:color w:val="23558C"/>
                              <w:sz w:val="20"/>
                              <w:szCs w:val="20"/>
                              <w:lang w:eastAsia="zh-CN"/>
                            </w:rPr>
                            <w:t>Investment Focus</w:t>
                          </w:r>
                        </w:p>
                      </w:tc>
                    </w:tr>
                  </w:tbl>
                  <w:p w14:paraId="4ED4364B">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61AB33AB">
                          <w:pPr>
                            <w:pStyle w:val="25"/>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7FEA21DA"/>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61AB33AB">
                    <w:pPr>
                      <w:pStyle w:val="25"/>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7FEA21DA"/>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31B55">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1502">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728D0E9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58D2E70E">
          <w:pPr>
            <w:pStyle w:val="25"/>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2DF6DD1B">
          <w:pPr>
            <w:pStyle w:val="25"/>
            <w:jc w:val="right"/>
            <w:rPr>
              <w:rStyle w:val="67"/>
              <w:rFonts w:eastAsia="楷体_GB2312"/>
              <w:color w:val="005BAC"/>
              <w:sz w:val="24"/>
              <w:lang w:eastAsia="zh-CN"/>
            </w:rPr>
          </w:pPr>
        </w:p>
      </w:tc>
    </w:tr>
    <w:tr w14:paraId="16A27DC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28751F54">
          <w:pPr>
            <w:pStyle w:val="25"/>
            <w:rPr>
              <w:rFonts w:eastAsia="楷体_GB2312" w:cs="Calibri"/>
              <w:color w:val="005BAC"/>
              <w:sz w:val="24"/>
              <w:szCs w:val="24"/>
              <w:lang w:eastAsia="zh-CN"/>
            </w:rPr>
          </w:pPr>
          <w:r>
            <w:rPr>
              <w:rFonts w:ascii="Calibri" w:eastAsia="楷体_GB2312"/>
              <w:b/>
              <w:i w:val="0"/>
              <w:color w:val="215E99"/>
              <w:sz w:val="24"/>
            </w:rPr>
            <w:t>Vertiv(VRT US)</w:t>
          </w:r>
        </w:p>
      </w:tc>
      <w:tc>
        <w:tcPr>
          <w:tcW w:w="4308" w:type="dxa"/>
          <w:tcBorders>
            <w:top w:val="nil"/>
          </w:tcBorders>
          <w:vAlign w:val="center"/>
        </w:tcPr>
        <w:p w14:paraId="303FB228">
          <w:pPr>
            <w:pStyle w:val="25"/>
            <w:wordWrap w:val="0"/>
            <w:jc w:val="right"/>
            <w:rPr>
              <w:rStyle w:val="67"/>
              <w:rFonts w:eastAsia="楷体_GB2312" w:cs="Calibri"/>
              <w:color w:val="005BAC"/>
              <w:sz w:val="24"/>
              <w:lang w:eastAsia="zh-CN"/>
            </w:rPr>
          </w:pPr>
          <w:r>
            <w:rPr>
              <w:rFonts w:ascii="Calibri" w:eastAsia="楷体_GB2312"/>
              <w:b/>
              <w:i w:val="0"/>
              <w:color w:val="215E99"/>
              <w:sz w:val="24"/>
            </w:rPr>
            <w:t>Initiate with OUTPERFORM</w:t>
          </w:r>
        </w:p>
      </w:tc>
    </w:tr>
  </w:tbl>
  <w:p w14:paraId="72C0F012">
    <w:pPr>
      <w:pStyle w:val="2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04C17">
    <w:pPr>
      <w:pStyle w:val="25"/>
      <w:spacing w:line="360" w:lineRule="auto"/>
    </w:pPr>
  </w:p>
  <w:p w14:paraId="54C3FFDF">
    <w:pPr>
      <w:pStyle w:val="2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0D625">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78E425"/>
    <w:multiLevelType w:val="singleLevel"/>
    <w:tmpl w:val="A178E425"/>
    <w:lvl w:ilvl="0" w:tentative="0">
      <w:start w:val="1"/>
      <w:numFmt w:val="bullet"/>
      <w:lvlText w:val=""/>
      <w:lvlJc w:val="left"/>
      <w:pPr>
        <w:ind w:left="420" w:hanging="420"/>
      </w:pPr>
      <w:rPr>
        <w:rFonts w:hint="default" w:ascii="Wingdings" w:hAnsi="Wingdings"/>
      </w:rPr>
    </w:lvl>
  </w:abstractNum>
  <w:abstractNum w:abstractNumId="1">
    <w:nsid w:val="D76BD934"/>
    <w:multiLevelType w:val="singleLevel"/>
    <w:tmpl w:val="D76BD934"/>
    <w:lvl w:ilvl="0" w:tentative="0">
      <w:start w:val="1"/>
      <w:numFmt w:val="decimal"/>
      <w:suff w:val="space"/>
      <w:lvlText w:val="%1."/>
      <w:lvlJc w:val="left"/>
    </w:lvl>
  </w:abstractNum>
  <w:abstractNum w:abstractNumId="2">
    <w:nsid w:val="007D5C2B"/>
    <w:multiLevelType w:val="multilevel"/>
    <w:tmpl w:val="007D5C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3935DA5"/>
    <w:multiLevelType w:val="multilevel"/>
    <w:tmpl w:val="03935DA5"/>
    <w:lvl w:ilvl="0" w:tentative="0">
      <w:start w:val="1"/>
      <w:numFmt w:val="bullet"/>
      <w:pStyle w:val="31"/>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DDC2DF9"/>
    <w:multiLevelType w:val="multilevel"/>
    <w:tmpl w:val="1DDC2D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C0B6102"/>
    <w:multiLevelType w:val="multilevel"/>
    <w:tmpl w:val="2C0B6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31A2D25"/>
    <w:multiLevelType w:val="multilevel"/>
    <w:tmpl w:val="331A2D25"/>
    <w:lvl w:ilvl="0" w:tentative="0">
      <w:start w:val="1"/>
      <w:numFmt w:val="bullet"/>
      <w:pStyle w:val="60"/>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BBF48C1"/>
    <w:multiLevelType w:val="multilevel"/>
    <w:tmpl w:val="3BBF48C1"/>
    <w:lvl w:ilvl="0" w:tentative="0">
      <w:start w:val="1"/>
      <w:numFmt w:val="bullet"/>
      <w:pStyle w:val="106"/>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41772804"/>
    <w:multiLevelType w:val="multilevel"/>
    <w:tmpl w:val="41772804"/>
    <w:lvl w:ilvl="0" w:tentative="0">
      <w:start w:val="1"/>
      <w:numFmt w:val="bullet"/>
      <w:pStyle w:val="59"/>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79321DC"/>
    <w:multiLevelType w:val="multilevel"/>
    <w:tmpl w:val="479321DC"/>
    <w:lvl w:ilvl="0" w:tentative="0">
      <w:start w:val="1"/>
      <w:numFmt w:val="bullet"/>
      <w:pStyle w:val="22"/>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4CF43BB"/>
    <w:multiLevelType w:val="multilevel"/>
    <w:tmpl w:val="54CF43BB"/>
    <w:lvl w:ilvl="0" w:tentative="0">
      <w:start w:val="1"/>
      <w:numFmt w:val="decimal"/>
      <w:pStyle w:val="152"/>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
    <w:nsid w:val="662B5102"/>
    <w:multiLevelType w:val="multilevel"/>
    <w:tmpl w:val="662B5102"/>
    <w:lvl w:ilvl="0" w:tentative="0">
      <w:start w:val="1"/>
      <w:numFmt w:val="bullet"/>
      <w:pStyle w:val="91"/>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2">
    <w:nsid w:val="6C4E34EC"/>
    <w:multiLevelType w:val="multilevel"/>
    <w:tmpl w:val="6C4E34EC"/>
    <w:lvl w:ilvl="0" w:tentative="0">
      <w:start w:val="1"/>
      <w:numFmt w:val="bullet"/>
      <w:pStyle w:val="58"/>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3"/>
  </w:num>
  <w:num w:numId="3">
    <w:abstractNumId w:val="12"/>
  </w:num>
  <w:num w:numId="4">
    <w:abstractNumId w:val="8"/>
  </w:num>
  <w:num w:numId="5">
    <w:abstractNumId w:val="6"/>
  </w:num>
  <w:num w:numId="6">
    <w:abstractNumId w:val="11"/>
  </w:num>
  <w:num w:numId="7">
    <w:abstractNumId w:val="7"/>
  </w:num>
  <w:num w:numId="8">
    <w:abstractNumId w:val="10"/>
  </w:num>
  <w:num w:numId="9">
    <w:abstractNumId w:val="1"/>
  </w:num>
  <w:num w:numId="10">
    <w:abstractNumId w:val="0"/>
  </w:num>
  <w:num w:numId="11">
    <w:abstractNumId w:val="2"/>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17A48"/>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4F9"/>
    <w:rsid w:val="00066838"/>
    <w:rsid w:val="00067C6F"/>
    <w:rsid w:val="000700E0"/>
    <w:rsid w:val="00070B53"/>
    <w:rsid w:val="0007309A"/>
    <w:rsid w:val="000739F0"/>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114"/>
    <w:rsid w:val="00170455"/>
    <w:rsid w:val="00170631"/>
    <w:rsid w:val="00170DCB"/>
    <w:rsid w:val="00171BCA"/>
    <w:rsid w:val="001721EC"/>
    <w:rsid w:val="00175F0D"/>
    <w:rsid w:val="001763B0"/>
    <w:rsid w:val="0017673B"/>
    <w:rsid w:val="0017675F"/>
    <w:rsid w:val="00176CC4"/>
    <w:rsid w:val="001771D0"/>
    <w:rsid w:val="00177FA4"/>
    <w:rsid w:val="00180D04"/>
    <w:rsid w:val="00181893"/>
    <w:rsid w:val="001849DC"/>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928"/>
    <w:rsid w:val="00286C1A"/>
    <w:rsid w:val="00286C20"/>
    <w:rsid w:val="00286E37"/>
    <w:rsid w:val="0029111D"/>
    <w:rsid w:val="00293C73"/>
    <w:rsid w:val="00293E45"/>
    <w:rsid w:val="0029503A"/>
    <w:rsid w:val="00295407"/>
    <w:rsid w:val="002969CE"/>
    <w:rsid w:val="00297FB7"/>
    <w:rsid w:val="002A002B"/>
    <w:rsid w:val="002A0452"/>
    <w:rsid w:val="002A0FF7"/>
    <w:rsid w:val="002A12FB"/>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5D8"/>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96F"/>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5E7B"/>
    <w:rsid w:val="00336395"/>
    <w:rsid w:val="003366F9"/>
    <w:rsid w:val="0033757D"/>
    <w:rsid w:val="00337CD7"/>
    <w:rsid w:val="003404EB"/>
    <w:rsid w:val="003408AF"/>
    <w:rsid w:val="00340B1A"/>
    <w:rsid w:val="003418D2"/>
    <w:rsid w:val="0034216B"/>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37D"/>
    <w:rsid w:val="00385A0D"/>
    <w:rsid w:val="0038635C"/>
    <w:rsid w:val="00387071"/>
    <w:rsid w:val="00387C20"/>
    <w:rsid w:val="00387F76"/>
    <w:rsid w:val="003902FB"/>
    <w:rsid w:val="003919AC"/>
    <w:rsid w:val="00392785"/>
    <w:rsid w:val="00392793"/>
    <w:rsid w:val="003936F7"/>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070"/>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574"/>
    <w:rsid w:val="004128B0"/>
    <w:rsid w:val="004133EF"/>
    <w:rsid w:val="0041342D"/>
    <w:rsid w:val="00413DA3"/>
    <w:rsid w:val="00413FAA"/>
    <w:rsid w:val="0041576C"/>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4DF"/>
    <w:rsid w:val="004419D5"/>
    <w:rsid w:val="00441A02"/>
    <w:rsid w:val="004427CF"/>
    <w:rsid w:val="0044308E"/>
    <w:rsid w:val="0044473E"/>
    <w:rsid w:val="004447AB"/>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142"/>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6EF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3B04"/>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77F38"/>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139"/>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3DC"/>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09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4CD"/>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3887"/>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21A"/>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5C0A"/>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3CB4"/>
    <w:rsid w:val="008442F5"/>
    <w:rsid w:val="00844992"/>
    <w:rsid w:val="008452D7"/>
    <w:rsid w:val="0084555C"/>
    <w:rsid w:val="008472D0"/>
    <w:rsid w:val="0085010E"/>
    <w:rsid w:val="00850BF8"/>
    <w:rsid w:val="00851C99"/>
    <w:rsid w:val="00851EE1"/>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5B64"/>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616B"/>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3D5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68DB"/>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5D7"/>
    <w:rsid w:val="00B13DF4"/>
    <w:rsid w:val="00B15A48"/>
    <w:rsid w:val="00B17430"/>
    <w:rsid w:val="00B17B0D"/>
    <w:rsid w:val="00B20715"/>
    <w:rsid w:val="00B213E2"/>
    <w:rsid w:val="00B21427"/>
    <w:rsid w:val="00B21775"/>
    <w:rsid w:val="00B229F1"/>
    <w:rsid w:val="00B22E62"/>
    <w:rsid w:val="00B24A34"/>
    <w:rsid w:val="00B24BBD"/>
    <w:rsid w:val="00B256DC"/>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39C7"/>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6B3"/>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696"/>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48F9"/>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7E9"/>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0E83"/>
    <w:rsid w:val="00D5265A"/>
    <w:rsid w:val="00D52894"/>
    <w:rsid w:val="00D53298"/>
    <w:rsid w:val="00D54681"/>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368F"/>
    <w:rsid w:val="00DE5966"/>
    <w:rsid w:val="00DE678F"/>
    <w:rsid w:val="00DF053D"/>
    <w:rsid w:val="00DF1E1E"/>
    <w:rsid w:val="00DF1F4D"/>
    <w:rsid w:val="00DF2C80"/>
    <w:rsid w:val="00DF2CB6"/>
    <w:rsid w:val="00DF2D73"/>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3FEB"/>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675CF"/>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3D71"/>
    <w:rsid w:val="00E9516E"/>
    <w:rsid w:val="00E96EB7"/>
    <w:rsid w:val="00E973F0"/>
    <w:rsid w:val="00E97851"/>
    <w:rsid w:val="00EA0627"/>
    <w:rsid w:val="00EA1175"/>
    <w:rsid w:val="00EA1C8E"/>
    <w:rsid w:val="00EA2CD4"/>
    <w:rsid w:val="00EA30F0"/>
    <w:rsid w:val="00EA45A0"/>
    <w:rsid w:val="00EA5E5E"/>
    <w:rsid w:val="00EA6802"/>
    <w:rsid w:val="00EA6C77"/>
    <w:rsid w:val="00EA7DB0"/>
    <w:rsid w:val="00EB00E6"/>
    <w:rsid w:val="00EB02B4"/>
    <w:rsid w:val="00EB12CA"/>
    <w:rsid w:val="00EB22F0"/>
    <w:rsid w:val="00EB259D"/>
    <w:rsid w:val="00EB2B2D"/>
    <w:rsid w:val="00EB2E83"/>
    <w:rsid w:val="00EB2F9C"/>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0CF"/>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921"/>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1057174"/>
    <w:rsid w:val="028B36A9"/>
    <w:rsid w:val="02AF7F28"/>
    <w:rsid w:val="03A85C19"/>
    <w:rsid w:val="06253E14"/>
    <w:rsid w:val="078D5D91"/>
    <w:rsid w:val="08597DA5"/>
    <w:rsid w:val="0A0F2E11"/>
    <w:rsid w:val="0BD02747"/>
    <w:rsid w:val="0C2A7A8F"/>
    <w:rsid w:val="0C7E602C"/>
    <w:rsid w:val="0C805690"/>
    <w:rsid w:val="0CE72D76"/>
    <w:rsid w:val="0D046532"/>
    <w:rsid w:val="0DB937C0"/>
    <w:rsid w:val="0E742554"/>
    <w:rsid w:val="0F6E05DA"/>
    <w:rsid w:val="10F13271"/>
    <w:rsid w:val="12333D66"/>
    <w:rsid w:val="131D78F4"/>
    <w:rsid w:val="13F56E49"/>
    <w:rsid w:val="15582E72"/>
    <w:rsid w:val="16555C03"/>
    <w:rsid w:val="168406E3"/>
    <w:rsid w:val="169E79F7"/>
    <w:rsid w:val="17F751E7"/>
    <w:rsid w:val="185A794E"/>
    <w:rsid w:val="185B701E"/>
    <w:rsid w:val="188B4D90"/>
    <w:rsid w:val="188C2744"/>
    <w:rsid w:val="188D23C8"/>
    <w:rsid w:val="18900302"/>
    <w:rsid w:val="18D771F0"/>
    <w:rsid w:val="19110F20"/>
    <w:rsid w:val="19671414"/>
    <w:rsid w:val="19F32B3B"/>
    <w:rsid w:val="1B6040C1"/>
    <w:rsid w:val="1B6F3710"/>
    <w:rsid w:val="1B9F335B"/>
    <w:rsid w:val="1BFE2430"/>
    <w:rsid w:val="1DEA6A77"/>
    <w:rsid w:val="1F3C7DAD"/>
    <w:rsid w:val="1F7F0F08"/>
    <w:rsid w:val="20F85F56"/>
    <w:rsid w:val="211C6F9B"/>
    <w:rsid w:val="21723F5A"/>
    <w:rsid w:val="2173107A"/>
    <w:rsid w:val="22552002"/>
    <w:rsid w:val="22E24F49"/>
    <w:rsid w:val="23973402"/>
    <w:rsid w:val="23D04F68"/>
    <w:rsid w:val="24084702"/>
    <w:rsid w:val="241B0378"/>
    <w:rsid w:val="2488389B"/>
    <w:rsid w:val="25286362"/>
    <w:rsid w:val="255B4D05"/>
    <w:rsid w:val="257B5038"/>
    <w:rsid w:val="275265E5"/>
    <w:rsid w:val="27F97E04"/>
    <w:rsid w:val="285919D0"/>
    <w:rsid w:val="29051210"/>
    <w:rsid w:val="295B6A21"/>
    <w:rsid w:val="2AF4778E"/>
    <w:rsid w:val="2B035C23"/>
    <w:rsid w:val="2B251410"/>
    <w:rsid w:val="2B82123D"/>
    <w:rsid w:val="2B8C3E6A"/>
    <w:rsid w:val="2B950702"/>
    <w:rsid w:val="2BDA4BD6"/>
    <w:rsid w:val="2C4063B0"/>
    <w:rsid w:val="2D2B1461"/>
    <w:rsid w:val="2D4139B1"/>
    <w:rsid w:val="2D9E60D7"/>
    <w:rsid w:val="2EC90F31"/>
    <w:rsid w:val="2EE57FCC"/>
    <w:rsid w:val="2FD21875"/>
    <w:rsid w:val="30C20DE2"/>
    <w:rsid w:val="30D342E9"/>
    <w:rsid w:val="3337290D"/>
    <w:rsid w:val="33E31724"/>
    <w:rsid w:val="341D0D44"/>
    <w:rsid w:val="35F03248"/>
    <w:rsid w:val="366B1DBC"/>
    <w:rsid w:val="370A75A2"/>
    <w:rsid w:val="37384EA6"/>
    <w:rsid w:val="37655BC9"/>
    <w:rsid w:val="38DF4AC4"/>
    <w:rsid w:val="392C0A3B"/>
    <w:rsid w:val="39343F49"/>
    <w:rsid w:val="39E56F94"/>
    <w:rsid w:val="3A3B7187"/>
    <w:rsid w:val="3A657D08"/>
    <w:rsid w:val="3ADD21BD"/>
    <w:rsid w:val="3BA47891"/>
    <w:rsid w:val="3C582239"/>
    <w:rsid w:val="3D7B0385"/>
    <w:rsid w:val="3DA04291"/>
    <w:rsid w:val="3E285C74"/>
    <w:rsid w:val="40990BC2"/>
    <w:rsid w:val="411F0C42"/>
    <w:rsid w:val="428E62C2"/>
    <w:rsid w:val="43FE25CB"/>
    <w:rsid w:val="44FC0291"/>
    <w:rsid w:val="452D591E"/>
    <w:rsid w:val="4585575A"/>
    <w:rsid w:val="45C27478"/>
    <w:rsid w:val="46476549"/>
    <w:rsid w:val="46C10A14"/>
    <w:rsid w:val="46C2619D"/>
    <w:rsid w:val="47805659"/>
    <w:rsid w:val="47A45C40"/>
    <w:rsid w:val="47D70B2D"/>
    <w:rsid w:val="48705FC9"/>
    <w:rsid w:val="48E43758"/>
    <w:rsid w:val="4920162F"/>
    <w:rsid w:val="49635DB3"/>
    <w:rsid w:val="499F6FC5"/>
    <w:rsid w:val="4B2C6678"/>
    <w:rsid w:val="4C997D3D"/>
    <w:rsid w:val="4CA95044"/>
    <w:rsid w:val="4CF17B79"/>
    <w:rsid w:val="4D355CB8"/>
    <w:rsid w:val="4FC357FD"/>
    <w:rsid w:val="50916CBC"/>
    <w:rsid w:val="515836E8"/>
    <w:rsid w:val="52043EAB"/>
    <w:rsid w:val="520E4D2A"/>
    <w:rsid w:val="526078BE"/>
    <w:rsid w:val="52CD6993"/>
    <w:rsid w:val="564570ED"/>
    <w:rsid w:val="565B6431"/>
    <w:rsid w:val="565D4CC4"/>
    <w:rsid w:val="56F81C40"/>
    <w:rsid w:val="578B263C"/>
    <w:rsid w:val="5818312E"/>
    <w:rsid w:val="5920718F"/>
    <w:rsid w:val="59CD6AE8"/>
    <w:rsid w:val="5AFF16B3"/>
    <w:rsid w:val="5E231B5D"/>
    <w:rsid w:val="5F263CD5"/>
    <w:rsid w:val="5F5B0F67"/>
    <w:rsid w:val="61880654"/>
    <w:rsid w:val="61A11716"/>
    <w:rsid w:val="61F00752"/>
    <w:rsid w:val="62E95123"/>
    <w:rsid w:val="62F64D0E"/>
    <w:rsid w:val="63D47B81"/>
    <w:rsid w:val="64821589"/>
    <w:rsid w:val="64C5396E"/>
    <w:rsid w:val="652561BA"/>
    <w:rsid w:val="66E14363"/>
    <w:rsid w:val="67245F12"/>
    <w:rsid w:val="673D3C8F"/>
    <w:rsid w:val="674E19F8"/>
    <w:rsid w:val="689A3EB1"/>
    <w:rsid w:val="69894F6A"/>
    <w:rsid w:val="6B06502A"/>
    <w:rsid w:val="6B070A12"/>
    <w:rsid w:val="6BCC3834"/>
    <w:rsid w:val="6C1520EE"/>
    <w:rsid w:val="6C2C0569"/>
    <w:rsid w:val="6CE32AA4"/>
    <w:rsid w:val="6DF17585"/>
    <w:rsid w:val="6F190B3E"/>
    <w:rsid w:val="6F20011E"/>
    <w:rsid w:val="6F331C81"/>
    <w:rsid w:val="6F6F4C02"/>
    <w:rsid w:val="6FEC4E25"/>
    <w:rsid w:val="70231548"/>
    <w:rsid w:val="7040034C"/>
    <w:rsid w:val="70446137"/>
    <w:rsid w:val="714D0FAB"/>
    <w:rsid w:val="717D7FF5"/>
    <w:rsid w:val="71835E4A"/>
    <w:rsid w:val="71E74F23"/>
    <w:rsid w:val="73541EA7"/>
    <w:rsid w:val="74933140"/>
    <w:rsid w:val="7521699E"/>
    <w:rsid w:val="753366D1"/>
    <w:rsid w:val="7544268D"/>
    <w:rsid w:val="75F77786"/>
    <w:rsid w:val="75FC2F67"/>
    <w:rsid w:val="76FA653C"/>
    <w:rsid w:val="774634C8"/>
    <w:rsid w:val="787B0173"/>
    <w:rsid w:val="79660E24"/>
    <w:rsid w:val="7B340AAD"/>
    <w:rsid w:val="7BE3661D"/>
    <w:rsid w:val="7CE16A13"/>
    <w:rsid w:val="7D4E22FA"/>
    <w:rsid w:val="7F724B08"/>
    <w:rsid w:val="7F9D13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paragraph" w:styleId="5">
    <w:name w:val="heading 5"/>
    <w:basedOn w:val="1"/>
    <w:next w:val="1"/>
    <w:semiHidden/>
    <w:unhideWhenUsed/>
    <w:qFormat/>
    <w:uiPriority w:val="0"/>
    <w:pPr>
      <w:spacing w:beforeAutospacing="1" w:afterAutospacing="1"/>
      <w:outlineLvl w:val="4"/>
    </w:pPr>
    <w:rPr>
      <w:rFonts w:hint="eastAsia" w:ascii="宋体" w:hAnsi="宋体" w:eastAsia="宋体"/>
      <w:b/>
      <w:bCs/>
      <w:sz w:val="20"/>
      <w:szCs w:val="20"/>
      <w:lang w:eastAsia="zh-CN"/>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8">
    <w:name w:val="Balloon Text"/>
    <w:basedOn w:val="1"/>
    <w:link w:val="20"/>
    <w:qFormat/>
    <w:uiPriority w:val="0"/>
    <w:rPr>
      <w:rFonts w:ascii="Tahoma" w:hAnsi="Tahoma" w:cs="Tahoma"/>
    </w:rPr>
  </w:style>
  <w:style w:type="paragraph" w:styleId="9">
    <w:name w:val="footer"/>
    <w:basedOn w:val="1"/>
    <w:qFormat/>
    <w:uiPriority w:val="0"/>
    <w:pPr>
      <w:tabs>
        <w:tab w:val="center" w:pos="4419"/>
        <w:tab w:val="right" w:pos="8838"/>
      </w:tabs>
    </w:pPr>
  </w:style>
  <w:style w:type="paragraph" w:styleId="10">
    <w:name w:val="header"/>
    <w:basedOn w:val="1"/>
    <w:qFormat/>
    <w:uiPriority w:val="0"/>
    <w:pPr>
      <w:tabs>
        <w:tab w:val="center" w:pos="4419"/>
        <w:tab w:val="right" w:pos="8838"/>
      </w:tabs>
    </w:pPr>
  </w:style>
  <w:style w:type="paragraph" w:styleId="11">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2">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3">
    <w:name w:val="Normal (Web)"/>
    <w:basedOn w:val="1"/>
    <w:semiHidden/>
    <w:unhideWhenUsed/>
    <w:qFormat/>
    <w:uiPriority w:val="0"/>
    <w:pPr>
      <w:spacing w:beforeAutospacing="1" w:afterAutospacing="1"/>
    </w:pPr>
    <w:rPr>
      <w:sz w:val="24"/>
      <w:lang w:eastAsia="zh-CN"/>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Hyperlink"/>
    <w:basedOn w:val="16"/>
    <w:qFormat/>
    <w:uiPriority w:val="99"/>
    <w:rPr>
      <w:color w:val="0000FF"/>
      <w:u w:val="single"/>
    </w:rPr>
  </w:style>
  <w:style w:type="character" w:customStyle="1" w:styleId="20">
    <w:name w:val="Balloon Text Char"/>
    <w:basedOn w:val="16"/>
    <w:link w:val="8"/>
    <w:qFormat/>
    <w:uiPriority w:val="0"/>
    <w:rPr>
      <w:rFonts w:ascii="Tahoma" w:hAnsi="Tahoma" w:cs="Tahoma"/>
      <w:lang w:eastAsia="ja-JP"/>
    </w:rPr>
  </w:style>
  <w:style w:type="paragraph" w:customStyle="1" w:styleId="21">
    <w:name w:val="EFAFPReportType"/>
    <w:link w:val="8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22">
    <w:name w:val="EFABullet"/>
    <w:basedOn w:val="23"/>
    <w:qFormat/>
    <w:uiPriority w:val="99"/>
    <w:pPr>
      <w:numPr>
        <w:ilvl w:val="0"/>
        <w:numId w:val="1"/>
      </w:numPr>
      <w:tabs>
        <w:tab w:val="left" w:pos="480"/>
      </w:tabs>
      <w:ind w:left="192" w:firstLine="0"/>
    </w:pPr>
    <w:rPr>
      <w:szCs w:val="22"/>
    </w:rPr>
  </w:style>
  <w:style w:type="paragraph" w:customStyle="1" w:styleId="23">
    <w:name w:val="EFABodyText"/>
    <w:link w:val="41"/>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4">
    <w:name w:val="EFAButton"/>
    <w:basedOn w:val="25"/>
    <w:qFormat/>
    <w:uiPriority w:val="0"/>
    <w:rPr>
      <w:b/>
    </w:rPr>
  </w:style>
  <w:style w:type="paragraph" w:customStyle="1" w:styleId="25">
    <w:name w:val="EFANormal"/>
    <w:link w:val="40"/>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6">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7">
    <w:name w:val="EFAFPFrameText_11.5pt_Right"/>
    <w:basedOn w:val="28"/>
    <w:link w:val="116"/>
    <w:qFormat/>
    <w:uiPriority w:val="0"/>
    <w:pPr>
      <w:framePr w:wrap="around" w:xAlign="right" w:y="1"/>
      <w:suppressOverlap/>
      <w:jc w:val="right"/>
    </w:pPr>
    <w:rPr>
      <w:bCs/>
      <w:szCs w:val="32"/>
    </w:rPr>
  </w:style>
  <w:style w:type="paragraph" w:customStyle="1" w:styleId="28">
    <w:name w:val="EFAFPFrameText_11.5pt"/>
    <w:link w:val="114"/>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9">
    <w:name w:val="EFADisclaimerText"/>
    <w:basedOn w:val="25"/>
    <w:link w:val="144"/>
    <w:qFormat/>
    <w:uiPriority w:val="99"/>
    <w:pPr>
      <w:jc w:val="both"/>
    </w:pPr>
  </w:style>
  <w:style w:type="paragraph" w:styleId="30">
    <w:name w:val="List Paragraph"/>
    <w:basedOn w:val="1"/>
    <w:qFormat/>
    <w:uiPriority w:val="34"/>
    <w:pPr>
      <w:ind w:left="720"/>
      <w:contextualSpacing/>
    </w:pPr>
  </w:style>
  <w:style w:type="paragraph" w:customStyle="1" w:styleId="31">
    <w:name w:val="EFABullet_Red"/>
    <w:basedOn w:val="32"/>
    <w:qFormat/>
    <w:uiPriority w:val="99"/>
    <w:pPr>
      <w:numPr>
        <w:ilvl w:val="0"/>
        <w:numId w:val="2"/>
      </w:numPr>
      <w:tabs>
        <w:tab w:val="left" w:pos="481"/>
      </w:tabs>
      <w:ind w:left="0" w:firstLine="0"/>
    </w:pPr>
  </w:style>
  <w:style w:type="paragraph" w:customStyle="1" w:styleId="32">
    <w:name w:val="EFAFP_BodyText"/>
    <w:link w:val="42"/>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33">
    <w:name w:val="EFA2ndPageHeader"/>
    <w:basedOn w:val="25"/>
    <w:qFormat/>
    <w:uiPriority w:val="0"/>
    <w:pPr>
      <w:spacing w:before="40" w:after="40"/>
      <w:jc w:val="right"/>
    </w:pPr>
    <w:rPr>
      <w:color w:val="FF0000"/>
      <w:sz w:val="24"/>
    </w:rPr>
  </w:style>
  <w:style w:type="paragraph" w:customStyle="1" w:styleId="34">
    <w:name w:val="EFAPageFooter"/>
    <w:basedOn w:val="25"/>
    <w:qFormat/>
    <w:uiPriority w:val="0"/>
    <w:pPr>
      <w:framePr w:wrap="around" w:vAnchor="page" w:hAnchor="page" w:x="347" w:y="15481"/>
      <w:suppressOverlap/>
      <w:tabs>
        <w:tab w:val="center" w:pos="5165"/>
      </w:tabs>
    </w:pPr>
    <w:rPr>
      <w:b/>
      <w:sz w:val="20"/>
      <w:szCs w:val="20"/>
    </w:rPr>
  </w:style>
  <w:style w:type="paragraph" w:customStyle="1" w:styleId="35">
    <w:name w:val="EFAPageHeader"/>
    <w:basedOn w:val="25"/>
    <w:qFormat/>
    <w:uiPriority w:val="0"/>
    <w:pPr>
      <w:tabs>
        <w:tab w:val="right" w:pos="10692"/>
      </w:tabs>
      <w:spacing w:before="40" w:after="40"/>
    </w:pPr>
    <w:rPr>
      <w:color w:val="005BAC"/>
      <w:sz w:val="24"/>
    </w:rPr>
  </w:style>
  <w:style w:type="paragraph" w:customStyle="1" w:styleId="36">
    <w:name w:val="EFAHiddenBookmark"/>
    <w:basedOn w:val="1"/>
    <w:link w:val="37"/>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7">
    <w:name w:val="EFAHiddenBookmark Char"/>
    <w:link w:val="36"/>
    <w:qFormat/>
    <w:uiPriority w:val="99"/>
    <w:rPr>
      <w:rFonts w:ascii="Arial" w:hAnsi="Arial" w:eastAsia="Times New Roman"/>
      <w:vanish/>
      <w:kern w:val="2"/>
      <w:sz w:val="14"/>
      <w:szCs w:val="19"/>
      <w:lang w:val="en-GB" w:eastAsia="en-US"/>
    </w:rPr>
  </w:style>
  <w:style w:type="paragraph" w:customStyle="1" w:styleId="38">
    <w:name w:val="EFAPoweredByEFA"/>
    <w:link w:val="39"/>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9">
    <w:name w:val="EFAPoweredByEFA Char"/>
    <w:link w:val="38"/>
    <w:qFormat/>
    <w:uiPriority w:val="0"/>
    <w:rPr>
      <w:rFonts w:ascii="Arial" w:hAnsi="Arial" w:eastAsia="PMingLiU"/>
      <w:color w:val="5A5A5A"/>
      <w:sz w:val="9"/>
      <w:szCs w:val="9"/>
      <w:lang w:eastAsia="zh-TW"/>
    </w:rPr>
  </w:style>
  <w:style w:type="character" w:customStyle="1" w:styleId="40">
    <w:name w:val="EFANormal Char"/>
    <w:basedOn w:val="16"/>
    <w:link w:val="25"/>
    <w:qFormat/>
    <w:uiPriority w:val="0"/>
    <w:rPr>
      <w:lang w:eastAsia="ja-JP"/>
    </w:rPr>
  </w:style>
  <w:style w:type="character" w:customStyle="1" w:styleId="41">
    <w:name w:val="EFABodyText Char"/>
    <w:basedOn w:val="16"/>
    <w:link w:val="23"/>
    <w:qFormat/>
    <w:uiPriority w:val="0"/>
    <w:rPr>
      <w:sz w:val="20"/>
      <w:lang w:eastAsia="ja-JP"/>
    </w:rPr>
  </w:style>
  <w:style w:type="character" w:customStyle="1" w:styleId="42">
    <w:name w:val="EFAFP_BodyText Char"/>
    <w:basedOn w:val="16"/>
    <w:link w:val="32"/>
    <w:qFormat/>
    <w:uiPriority w:val="0"/>
    <w:rPr>
      <w:sz w:val="20"/>
      <w:lang w:eastAsia="ja-JP"/>
    </w:rPr>
  </w:style>
  <w:style w:type="paragraph" w:customStyle="1" w:styleId="43">
    <w:name w:val="EFAFPTag"/>
    <w:basedOn w:val="25"/>
    <w:qFormat/>
    <w:uiPriority w:val="0"/>
    <w:pPr>
      <w:jc w:val="center"/>
    </w:pPr>
    <w:rPr>
      <w:b/>
    </w:rPr>
  </w:style>
  <w:style w:type="paragraph" w:customStyle="1" w:styleId="44">
    <w:name w:val="EFAFPFooter2"/>
    <w:link w:val="130"/>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5">
    <w:name w:val="EFACharGrey"/>
    <w:qFormat/>
    <w:uiPriority w:val="1"/>
    <w:rPr>
      <w:color w:val="808080"/>
    </w:rPr>
  </w:style>
  <w:style w:type="paragraph" w:customStyle="1" w:styleId="46">
    <w:name w:val="EFAFPTitle"/>
    <w:link w:val="115"/>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7">
    <w:name w:val="EFAFPColFrameText"/>
    <w:link w:val="49"/>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8">
    <w:name w:val="EFAFPColFrameText_Right"/>
    <w:basedOn w:val="47"/>
    <w:qFormat/>
    <w:uiPriority w:val="0"/>
    <w:pPr>
      <w:framePr w:wrap="around"/>
      <w:jc w:val="right"/>
    </w:pPr>
  </w:style>
  <w:style w:type="character" w:customStyle="1" w:styleId="49">
    <w:name w:val="EFAFPColFrameText Char"/>
    <w:basedOn w:val="16"/>
    <w:link w:val="47"/>
    <w:qFormat/>
    <w:uiPriority w:val="0"/>
    <w:rPr>
      <w:sz w:val="14"/>
      <w:szCs w:val="14"/>
    </w:rPr>
  </w:style>
  <w:style w:type="paragraph" w:customStyle="1" w:styleId="50">
    <w:name w:val="EFAFPColFrameHeading"/>
    <w:basedOn w:val="47"/>
    <w:qFormat/>
    <w:uiPriority w:val="0"/>
    <w:pPr>
      <w:framePr w:wrap="around"/>
    </w:pPr>
    <w:rPr>
      <w:b/>
      <w:color w:val="23558C"/>
      <w:sz w:val="16"/>
    </w:rPr>
  </w:style>
  <w:style w:type="paragraph" w:customStyle="1" w:styleId="51">
    <w:name w:val="EFAFPColFrameText_Left"/>
    <w:basedOn w:val="47"/>
    <w:link w:val="73"/>
    <w:qFormat/>
    <w:uiPriority w:val="0"/>
    <w:pPr>
      <w:framePr w:wrap="around"/>
    </w:pPr>
  </w:style>
  <w:style w:type="paragraph" w:customStyle="1" w:styleId="52">
    <w:name w:val="EFAFPColFrame_Source"/>
    <w:basedOn w:val="51"/>
    <w:qFormat/>
    <w:uiPriority w:val="0"/>
    <w:pPr>
      <w:framePr w:wrap="around"/>
    </w:pPr>
    <w:rPr>
      <w:sz w:val="12"/>
      <w:szCs w:val="12"/>
    </w:rPr>
  </w:style>
  <w:style w:type="character" w:customStyle="1" w:styleId="53">
    <w:name w:val="EFACharBold"/>
    <w:basedOn w:val="16"/>
    <w:qFormat/>
    <w:uiPriority w:val="1"/>
    <w:rPr>
      <w:b/>
    </w:rPr>
  </w:style>
  <w:style w:type="paragraph" w:customStyle="1" w:styleId="54">
    <w:name w:val="EFAFPColFrame_AnalystName"/>
    <w:basedOn w:val="51"/>
    <w:qFormat/>
    <w:uiPriority w:val="0"/>
    <w:pPr>
      <w:framePr w:wrap="around"/>
    </w:pPr>
    <w:rPr>
      <w:b/>
      <w:sz w:val="16"/>
    </w:rPr>
  </w:style>
  <w:style w:type="paragraph" w:customStyle="1" w:styleId="55">
    <w:name w:val="EFAFPColFrameText_8pt"/>
    <w:basedOn w:val="51"/>
    <w:qFormat/>
    <w:uiPriority w:val="0"/>
    <w:pPr>
      <w:framePr w:wrap="around"/>
    </w:pPr>
    <w:rPr>
      <w:sz w:val="16"/>
    </w:rPr>
  </w:style>
  <w:style w:type="paragraph" w:customStyle="1" w:styleId="56">
    <w:name w:val="EFAFP_Source"/>
    <w:basedOn w:val="25"/>
    <w:qFormat/>
    <w:uiPriority w:val="0"/>
    <w:rPr>
      <w:sz w:val="12"/>
      <w:szCs w:val="12"/>
    </w:rPr>
  </w:style>
  <w:style w:type="paragraph" w:customStyle="1" w:styleId="57">
    <w:name w:val="EFAFP_Abstract"/>
    <w:qFormat/>
    <w:uiPriority w:val="0"/>
    <w:rPr>
      <w:rFonts w:ascii="Calibri" w:hAnsi="Calibri" w:eastAsia="MS Mincho" w:cs="Times New Roman"/>
      <w:snapToGrid w:val="0"/>
      <w:sz w:val="18"/>
      <w:szCs w:val="16"/>
      <w:lang w:val="en-US" w:eastAsia="ja-JP" w:bidi="ar-SA"/>
    </w:rPr>
  </w:style>
  <w:style w:type="paragraph" w:customStyle="1" w:styleId="58">
    <w:name w:val="EFABullet_Green"/>
    <w:basedOn w:val="32"/>
    <w:qFormat/>
    <w:uiPriority w:val="0"/>
    <w:pPr>
      <w:numPr>
        <w:ilvl w:val="0"/>
        <w:numId w:val="3"/>
      </w:numPr>
      <w:tabs>
        <w:tab w:val="left" w:pos="468"/>
      </w:tabs>
      <w:ind w:left="0" w:firstLine="0"/>
    </w:pPr>
  </w:style>
  <w:style w:type="paragraph" w:customStyle="1" w:styleId="59">
    <w:name w:val="EFABullet_Blue"/>
    <w:basedOn w:val="32"/>
    <w:qFormat/>
    <w:uiPriority w:val="0"/>
    <w:pPr>
      <w:numPr>
        <w:ilvl w:val="0"/>
        <w:numId w:val="4"/>
      </w:numPr>
      <w:tabs>
        <w:tab w:val="left" w:pos="468"/>
      </w:tabs>
      <w:ind w:left="0" w:firstLine="0"/>
    </w:pPr>
  </w:style>
  <w:style w:type="paragraph" w:customStyle="1" w:styleId="60">
    <w:name w:val="EFABullet_Yellow"/>
    <w:basedOn w:val="32"/>
    <w:qFormat/>
    <w:uiPriority w:val="0"/>
    <w:pPr>
      <w:numPr>
        <w:ilvl w:val="0"/>
        <w:numId w:val="5"/>
      </w:numPr>
      <w:tabs>
        <w:tab w:val="left" w:pos="468"/>
      </w:tabs>
      <w:ind w:left="0" w:firstLine="0"/>
    </w:pPr>
  </w:style>
  <w:style w:type="paragraph" w:customStyle="1" w:styleId="61">
    <w:name w:val="EFASource"/>
    <w:basedOn w:val="23"/>
    <w:qFormat/>
    <w:uiPriority w:val="0"/>
    <w:rPr>
      <w:sz w:val="12"/>
      <w:szCs w:val="14"/>
    </w:rPr>
  </w:style>
  <w:style w:type="paragraph" w:customStyle="1" w:styleId="62">
    <w:name w:val="EFASubHeader"/>
    <w:basedOn w:val="23"/>
    <w:next w:val="23"/>
    <w:link w:val="113"/>
    <w:qFormat/>
    <w:uiPriority w:val="0"/>
    <w:rPr>
      <w:b/>
      <w:bCs/>
    </w:rPr>
  </w:style>
  <w:style w:type="paragraph" w:customStyle="1" w:styleId="63">
    <w:name w:val="EFADisclaimerHeading"/>
    <w:basedOn w:val="29"/>
    <w:next w:val="29"/>
    <w:qFormat/>
    <w:uiPriority w:val="99"/>
    <w:rPr>
      <w:b/>
    </w:rPr>
  </w:style>
  <w:style w:type="paragraph" w:customStyle="1" w:styleId="64">
    <w:name w:val="EFADisclaimerHeading2"/>
    <w:basedOn w:val="29"/>
    <w:next w:val="29"/>
    <w:qFormat/>
    <w:uiPriority w:val="0"/>
    <w:rPr>
      <w:b/>
      <w:sz w:val="20"/>
      <w:szCs w:val="20"/>
    </w:rPr>
  </w:style>
  <w:style w:type="paragraph" w:customStyle="1" w:styleId="65">
    <w:name w:val="EFADisclaimerHeading3"/>
    <w:basedOn w:val="29"/>
    <w:qFormat/>
    <w:uiPriority w:val="0"/>
    <w:rPr>
      <w:b/>
      <w:sz w:val="18"/>
      <w:szCs w:val="18"/>
    </w:rPr>
  </w:style>
  <w:style w:type="paragraph" w:customStyle="1" w:styleId="66">
    <w:name w:val="EFASideComment"/>
    <w:basedOn w:val="23"/>
    <w:qFormat/>
    <w:uiPriority w:val="0"/>
    <w:pPr>
      <w:framePr w:w="2980" w:hSpace="180" w:wrap="around" w:vAnchor="text" w:hAnchor="text" w:x="-3250" w:y="160"/>
    </w:pPr>
  </w:style>
  <w:style w:type="character" w:customStyle="1" w:styleId="67">
    <w:name w:val="EFACharBold_and_AllCap"/>
    <w:qFormat/>
    <w:uiPriority w:val="1"/>
    <w:rPr>
      <w:b/>
      <w:caps/>
    </w:rPr>
  </w:style>
  <w:style w:type="paragraph" w:customStyle="1" w:styleId="68">
    <w:name w:val="__Table_Normal"/>
    <w:basedOn w:val="1"/>
    <w:link w:val="69"/>
    <w:qFormat/>
    <w:uiPriority w:val="0"/>
    <w:rPr>
      <w:snapToGrid/>
      <w:color w:val="000000"/>
      <w:kern w:val="28"/>
    </w:rPr>
  </w:style>
  <w:style w:type="character" w:customStyle="1" w:styleId="69">
    <w:name w:val="__Table_Normal Char"/>
    <w:basedOn w:val="16"/>
    <w:link w:val="68"/>
    <w:qFormat/>
    <w:uiPriority w:val="0"/>
    <w:rPr>
      <w:snapToGrid/>
      <w:color w:val="000000"/>
      <w:kern w:val="28"/>
      <w:lang w:eastAsia="ja-JP"/>
    </w:rPr>
  </w:style>
  <w:style w:type="paragraph" w:customStyle="1" w:styleId="70">
    <w:name w:val="Front pg Tbl left just 7 pt"/>
    <w:basedOn w:val="1"/>
    <w:link w:val="71"/>
    <w:qFormat/>
    <w:uiPriority w:val="0"/>
    <w:rPr>
      <w:snapToGrid/>
      <w:sz w:val="14"/>
      <w:szCs w:val="24"/>
    </w:rPr>
  </w:style>
  <w:style w:type="character" w:customStyle="1" w:styleId="71">
    <w:name w:val="Front pg Tbl left just 7 pt Char Char"/>
    <w:basedOn w:val="16"/>
    <w:link w:val="70"/>
    <w:qFormat/>
    <w:uiPriority w:val="0"/>
    <w:rPr>
      <w:snapToGrid/>
      <w:sz w:val="14"/>
      <w:szCs w:val="24"/>
      <w:lang w:eastAsia="ja-JP"/>
    </w:rPr>
  </w:style>
  <w:style w:type="paragraph" w:customStyle="1" w:styleId="72">
    <w:name w:val="EFAFPColFrameText_Center"/>
    <w:basedOn w:val="51"/>
    <w:link w:val="74"/>
    <w:qFormat/>
    <w:uiPriority w:val="0"/>
    <w:pPr>
      <w:framePr w:wrap="around"/>
    </w:pPr>
  </w:style>
  <w:style w:type="character" w:customStyle="1" w:styleId="73">
    <w:name w:val="EFAFPColFrameText_Left Char"/>
    <w:basedOn w:val="49"/>
    <w:link w:val="51"/>
    <w:qFormat/>
    <w:uiPriority w:val="0"/>
    <w:rPr>
      <w:sz w:val="14"/>
      <w:szCs w:val="14"/>
    </w:rPr>
  </w:style>
  <w:style w:type="character" w:customStyle="1" w:styleId="74">
    <w:name w:val="EFAFPColFrameText_Center Char"/>
    <w:basedOn w:val="73"/>
    <w:link w:val="72"/>
    <w:qFormat/>
    <w:uiPriority w:val="0"/>
    <w:rPr>
      <w:sz w:val="14"/>
      <w:szCs w:val="14"/>
    </w:rPr>
  </w:style>
  <w:style w:type="paragraph" w:customStyle="1" w:styleId="75">
    <w:name w:val="EFAAnchor"/>
    <w:basedOn w:val="25"/>
    <w:qFormat/>
    <w:uiPriority w:val="0"/>
    <w:rPr>
      <w:sz w:val="4"/>
      <w:lang w:eastAsia="zh-CN"/>
    </w:rPr>
  </w:style>
  <w:style w:type="paragraph" w:customStyle="1" w:styleId="76">
    <w:name w:val="EFAFPColFrameAnchor"/>
    <w:basedOn w:val="47"/>
    <w:qFormat/>
    <w:uiPriority w:val="0"/>
    <w:pPr>
      <w:framePr w:wrap="around"/>
    </w:pPr>
    <w:rPr>
      <w:sz w:val="4"/>
      <w:szCs w:val="4"/>
    </w:rPr>
  </w:style>
  <w:style w:type="paragraph" w:customStyle="1" w:styleId="77">
    <w:name w:val="EFAFigureTitle_SC"/>
    <w:basedOn w:val="23"/>
    <w:next w:val="23"/>
    <w:link w:val="79"/>
    <w:qFormat/>
    <w:uiPriority w:val="0"/>
    <w:pPr>
      <w:spacing w:before="40" w:after="40"/>
    </w:pPr>
    <w:rPr>
      <w:rFonts w:cs="Calibri"/>
      <w:b/>
      <w:sz w:val="17"/>
    </w:rPr>
  </w:style>
  <w:style w:type="paragraph" w:customStyle="1" w:styleId="78">
    <w:name w:val="EFASource_SC"/>
    <w:basedOn w:val="23"/>
    <w:next w:val="23"/>
    <w:qFormat/>
    <w:uiPriority w:val="0"/>
    <w:rPr>
      <w:sz w:val="12"/>
    </w:rPr>
  </w:style>
  <w:style w:type="character" w:customStyle="1" w:styleId="79">
    <w:name w:val="EFAFigureTitle_SC Char"/>
    <w:basedOn w:val="41"/>
    <w:link w:val="77"/>
    <w:qFormat/>
    <w:uiPriority w:val="0"/>
    <w:rPr>
      <w:rFonts w:cs="Calibri"/>
      <w:b/>
      <w:sz w:val="17"/>
      <w:lang w:eastAsia="ja-JP"/>
    </w:rPr>
  </w:style>
  <w:style w:type="paragraph" w:customStyle="1" w:styleId="80">
    <w:name w:val="EFAFPCol_Hdr2"/>
    <w:basedOn w:val="47"/>
    <w:link w:val="82"/>
    <w:qFormat/>
    <w:uiPriority w:val="0"/>
    <w:pPr>
      <w:framePr w:wrap="around"/>
      <w:jc w:val="both"/>
    </w:pPr>
    <w:rPr>
      <w:b/>
      <w:color w:val="808080"/>
      <w:sz w:val="24"/>
      <w:szCs w:val="24"/>
    </w:rPr>
  </w:style>
  <w:style w:type="paragraph" w:customStyle="1" w:styleId="81">
    <w:name w:val="EFAFP_CustomRec"/>
    <w:link w:val="84"/>
    <w:qFormat/>
    <w:uiPriority w:val="0"/>
    <w:rPr>
      <w:rFonts w:ascii="Calibri" w:hAnsi="Calibri" w:eastAsia="MS Mincho" w:cs="Times New Roman"/>
      <w:b/>
      <w:bCs/>
      <w:snapToGrid w:val="0"/>
      <w:color w:val="23558C"/>
      <w:sz w:val="40"/>
      <w:szCs w:val="24"/>
      <w:lang w:val="en-US" w:eastAsia="zh-CN" w:bidi="ar-SA"/>
    </w:rPr>
  </w:style>
  <w:style w:type="character" w:customStyle="1" w:styleId="82">
    <w:name w:val="EFAFPCol_Hdr2 Char"/>
    <w:basedOn w:val="49"/>
    <w:link w:val="80"/>
    <w:qFormat/>
    <w:uiPriority w:val="0"/>
    <w:rPr>
      <w:b/>
      <w:color w:val="808080"/>
      <w:sz w:val="24"/>
      <w:szCs w:val="24"/>
    </w:rPr>
  </w:style>
  <w:style w:type="paragraph" w:customStyle="1" w:styleId="83">
    <w:name w:val="EFAFP_Rec"/>
    <w:basedOn w:val="47"/>
    <w:link w:val="86"/>
    <w:qFormat/>
    <w:uiPriority w:val="0"/>
    <w:pPr>
      <w:framePr w:wrap="around"/>
    </w:pPr>
    <w:rPr>
      <w:b/>
      <w:bCs/>
      <w:color w:val="23558C"/>
      <w:sz w:val="36"/>
    </w:rPr>
  </w:style>
  <w:style w:type="character" w:customStyle="1" w:styleId="84">
    <w:name w:val="EFAFP_CustomRec Char"/>
    <w:basedOn w:val="16"/>
    <w:link w:val="81"/>
    <w:qFormat/>
    <w:uiPriority w:val="0"/>
    <w:rPr>
      <w:b/>
      <w:bCs/>
      <w:color w:val="23558C"/>
      <w:sz w:val="40"/>
      <w:szCs w:val="24"/>
    </w:rPr>
  </w:style>
  <w:style w:type="character" w:customStyle="1" w:styleId="85">
    <w:name w:val="EFAFPReportType Char"/>
    <w:basedOn w:val="16"/>
    <w:link w:val="21"/>
    <w:qFormat/>
    <w:uiPriority w:val="0"/>
    <w:rPr>
      <w:color w:val="23558C"/>
      <w:sz w:val="44"/>
      <w:szCs w:val="44"/>
      <w:lang w:eastAsia="ja-JP"/>
    </w:rPr>
  </w:style>
  <w:style w:type="character" w:customStyle="1" w:styleId="86">
    <w:name w:val="EFAFP_Rec Char"/>
    <w:basedOn w:val="82"/>
    <w:link w:val="83"/>
    <w:qFormat/>
    <w:uiPriority w:val="0"/>
    <w:rPr>
      <w:bCs/>
      <w:color w:val="23558C"/>
      <w:sz w:val="36"/>
      <w:szCs w:val="14"/>
    </w:rPr>
  </w:style>
  <w:style w:type="paragraph" w:customStyle="1" w:styleId="87">
    <w:name w:val="EFAFPHdrInfo"/>
    <w:link w:val="88"/>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8">
    <w:name w:val="EFAFPHdrInfo Char"/>
    <w:basedOn w:val="85"/>
    <w:link w:val="87"/>
    <w:qFormat/>
    <w:uiPriority w:val="0"/>
    <w:rPr>
      <w:b/>
      <w:bCs/>
      <w:color w:val="000000"/>
      <w:sz w:val="32"/>
      <w:szCs w:val="32"/>
      <w:lang w:eastAsia="ja-JP"/>
    </w:rPr>
  </w:style>
  <w:style w:type="paragraph" w:customStyle="1" w:styleId="89">
    <w:name w:val="Style EFAFP_BodyText + After:  6 pt"/>
    <w:basedOn w:val="32"/>
    <w:qFormat/>
    <w:uiPriority w:val="0"/>
    <w:pPr>
      <w:spacing w:after="120"/>
    </w:pPr>
    <w:rPr>
      <w:rFonts w:eastAsia="Times New Roman"/>
      <w:snapToGrid/>
      <w:sz w:val="22"/>
      <w:szCs w:val="20"/>
    </w:rPr>
  </w:style>
  <w:style w:type="paragraph" w:customStyle="1" w:styleId="90">
    <w:name w:val="Style EFAFP_BodyText + 12 pt Bold Black After:  6 pt Kern at 14..."/>
    <w:basedOn w:val="32"/>
    <w:qFormat/>
    <w:uiPriority w:val="0"/>
    <w:pPr>
      <w:spacing w:after="120"/>
    </w:pPr>
    <w:rPr>
      <w:rFonts w:eastAsia="Times New Roman"/>
      <w:b/>
      <w:bCs/>
      <w:snapToGrid/>
      <w:color w:val="000000"/>
      <w:kern w:val="28"/>
      <w:sz w:val="26"/>
      <w:szCs w:val="20"/>
    </w:rPr>
  </w:style>
  <w:style w:type="paragraph" w:customStyle="1" w:styleId="91">
    <w:name w:val="EFAFP_Headline"/>
    <w:next w:val="92"/>
    <w:link w:val="93"/>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2">
    <w:name w:val="EFAFP_BodyText2"/>
    <w:link w:val="95"/>
    <w:qFormat/>
    <w:uiPriority w:val="0"/>
    <w:pPr>
      <w:adjustRightInd w:val="0"/>
      <w:snapToGrid w:val="0"/>
      <w:spacing w:after="120"/>
    </w:pPr>
    <w:rPr>
      <w:rFonts w:ascii="Calibri" w:hAnsi="Calibri" w:eastAsia="Times New Roman" w:cs="PMingLiU"/>
      <w:lang w:val="en-US" w:eastAsia="ja-JP" w:bidi="ar-SA"/>
    </w:rPr>
  </w:style>
  <w:style w:type="character" w:customStyle="1" w:styleId="93">
    <w:name w:val="EFAFP_Headline Char"/>
    <w:basedOn w:val="16"/>
    <w:link w:val="91"/>
    <w:qFormat/>
    <w:uiPriority w:val="0"/>
    <w:rPr>
      <w:rFonts w:eastAsia="Times New Roman"/>
      <w:b/>
      <w:bCs/>
      <w:snapToGrid/>
      <w:color w:val="23558C"/>
      <w:kern w:val="28"/>
      <w:sz w:val="28"/>
      <w:szCs w:val="20"/>
      <w:lang w:eastAsia="ja-JP"/>
    </w:rPr>
  </w:style>
  <w:style w:type="character" w:customStyle="1" w:styleId="94">
    <w:name w:val="EFABlueChar"/>
    <w:qFormat/>
    <w:uiPriority w:val="1"/>
    <w:rPr>
      <w:b/>
      <w:color w:val="23508C"/>
    </w:rPr>
  </w:style>
  <w:style w:type="character" w:customStyle="1" w:styleId="95">
    <w:name w:val="EFAFP_BodyText2 Char"/>
    <w:basedOn w:val="16"/>
    <w:link w:val="92"/>
    <w:qFormat/>
    <w:uiPriority w:val="0"/>
    <w:rPr>
      <w:rFonts w:eastAsia="Times New Roman" w:cs="PMingLiU"/>
      <w:snapToGrid/>
      <w:sz w:val="20"/>
      <w:szCs w:val="20"/>
      <w:lang w:eastAsia="ja-JP"/>
    </w:rPr>
  </w:style>
  <w:style w:type="paragraph" w:customStyle="1" w:styleId="96">
    <w:name w:val="EFAHeading2"/>
    <w:basedOn w:val="1"/>
    <w:link w:val="98"/>
    <w:qFormat/>
    <w:uiPriority w:val="0"/>
    <w:pPr>
      <w:widowControl w:val="0"/>
      <w:adjustRightInd w:val="0"/>
      <w:snapToGrid w:val="0"/>
      <w:spacing w:before="160"/>
    </w:pPr>
    <w:rPr>
      <w:color w:val="23558C"/>
      <w:kern w:val="28"/>
      <w:sz w:val="28"/>
    </w:rPr>
  </w:style>
  <w:style w:type="paragraph" w:customStyle="1" w:styleId="97">
    <w:name w:val="EFABodyText2"/>
    <w:basedOn w:val="23"/>
    <w:link w:val="100"/>
    <w:qFormat/>
    <w:uiPriority w:val="0"/>
    <w:rPr>
      <w:szCs w:val="22"/>
    </w:rPr>
  </w:style>
  <w:style w:type="character" w:customStyle="1" w:styleId="98">
    <w:name w:val="EFAHeading2 Char"/>
    <w:basedOn w:val="16"/>
    <w:link w:val="96"/>
    <w:qFormat/>
    <w:uiPriority w:val="0"/>
    <w:rPr>
      <w:color w:val="23558C"/>
      <w:kern w:val="28"/>
      <w:sz w:val="28"/>
      <w:lang w:eastAsia="ja-JP"/>
    </w:rPr>
  </w:style>
  <w:style w:type="paragraph" w:customStyle="1" w:styleId="99">
    <w:name w:val="EFAHeading_with_bullet"/>
    <w:basedOn w:val="1"/>
    <w:next w:val="97"/>
    <w:link w:val="101"/>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100">
    <w:name w:val="EFABodyText2 Char"/>
    <w:basedOn w:val="41"/>
    <w:link w:val="97"/>
    <w:qFormat/>
    <w:uiPriority w:val="0"/>
    <w:rPr>
      <w:sz w:val="20"/>
      <w:szCs w:val="22"/>
      <w:lang w:eastAsia="ja-JP"/>
    </w:rPr>
  </w:style>
  <w:style w:type="character" w:customStyle="1" w:styleId="101">
    <w:name w:val="EFAHeading_with_bullet Char"/>
    <w:basedOn w:val="16"/>
    <w:link w:val="99"/>
    <w:qFormat/>
    <w:uiPriority w:val="0"/>
    <w:rPr>
      <w:b/>
      <w:color w:val="23558C"/>
      <w:kern w:val="28"/>
      <w:sz w:val="28"/>
      <w:lang w:eastAsia="ja-JP"/>
    </w:rPr>
  </w:style>
  <w:style w:type="paragraph" w:customStyle="1" w:styleId="102">
    <w:name w:val="EFARiskText"/>
    <w:link w:val="104"/>
    <w:qFormat/>
    <w:uiPriority w:val="0"/>
    <w:pPr>
      <w:jc w:val="center"/>
    </w:pPr>
    <w:rPr>
      <w:rFonts w:ascii="Calibri" w:hAnsi="Calibri" w:eastAsia="MS Mincho" w:cs="Times New Roman"/>
      <w:color w:val="23508C"/>
      <w:sz w:val="16"/>
      <w:szCs w:val="16"/>
      <w:lang w:val="en-US" w:eastAsia="ja-JP" w:bidi="ar-SA"/>
    </w:rPr>
  </w:style>
  <w:style w:type="paragraph" w:customStyle="1" w:styleId="103">
    <w:name w:val="EFARiskText_Inv"/>
    <w:basedOn w:val="102"/>
    <w:link w:val="105"/>
    <w:qFormat/>
    <w:uiPriority w:val="0"/>
    <w:rPr>
      <w:b/>
      <w:color w:val="FFFFFF"/>
    </w:rPr>
  </w:style>
  <w:style w:type="character" w:customStyle="1" w:styleId="104">
    <w:name w:val="EFARiskText Char"/>
    <w:basedOn w:val="16"/>
    <w:link w:val="102"/>
    <w:qFormat/>
    <w:uiPriority w:val="0"/>
    <w:rPr>
      <w:snapToGrid/>
      <w:color w:val="23508C"/>
      <w:lang w:eastAsia="ja-JP"/>
    </w:rPr>
  </w:style>
  <w:style w:type="character" w:customStyle="1" w:styleId="105">
    <w:name w:val="EFARiskText_Inv Char"/>
    <w:basedOn w:val="104"/>
    <w:link w:val="103"/>
    <w:qFormat/>
    <w:uiPriority w:val="0"/>
    <w:rPr>
      <w:b/>
      <w:snapToGrid/>
      <w:color w:val="FFFFFF"/>
      <w:lang w:eastAsia="ja-JP"/>
    </w:rPr>
  </w:style>
  <w:style w:type="paragraph" w:customStyle="1" w:styleId="106">
    <w:name w:val="EFAHeading3"/>
    <w:basedOn w:val="1"/>
    <w:link w:val="111"/>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7">
    <w:name w:val="EFATextInBullet"/>
    <w:link w:val="109"/>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8">
    <w:name w:val="EFATextInBullet_Inv"/>
    <w:basedOn w:val="107"/>
    <w:qFormat/>
    <w:uiPriority w:val="0"/>
    <w:rPr>
      <w:color w:val="FFFFFF" w:themeColor="background1"/>
      <w14:textFill>
        <w14:solidFill>
          <w14:schemeClr w14:val="bg1"/>
        </w14:solidFill>
      </w14:textFill>
    </w:rPr>
  </w:style>
  <w:style w:type="character" w:customStyle="1" w:styleId="109">
    <w:name w:val="EFATextInBullet Char"/>
    <w:basedOn w:val="16"/>
    <w:link w:val="107"/>
    <w:qFormat/>
    <w:uiPriority w:val="0"/>
    <w:rPr>
      <w:b/>
      <w:bCs/>
      <w:lang w:eastAsia="ja-JP"/>
    </w:rPr>
  </w:style>
  <w:style w:type="paragraph" w:customStyle="1" w:styleId="110">
    <w:name w:val="EFAHeading"/>
    <w:link w:val="112"/>
    <w:qFormat/>
    <w:uiPriority w:val="0"/>
    <w:rPr>
      <w:rFonts w:ascii="Calibri" w:hAnsi="Calibri" w:eastAsia="MS Mincho" w:cs="Times New Roman"/>
      <w:b/>
      <w:snapToGrid w:val="0"/>
      <w:color w:val="000000"/>
      <w:kern w:val="28"/>
      <w:sz w:val="24"/>
      <w:szCs w:val="14"/>
      <w:lang w:val="en-US" w:eastAsia="ja-JP" w:bidi="ar-SA"/>
    </w:rPr>
  </w:style>
  <w:style w:type="character" w:customStyle="1" w:styleId="111">
    <w:name w:val="EFAHeading3 Char"/>
    <w:basedOn w:val="16"/>
    <w:link w:val="106"/>
    <w:qFormat/>
    <w:uiPriority w:val="0"/>
    <w:rPr>
      <w:b/>
      <w:color w:val="23558C"/>
      <w:kern w:val="28"/>
      <w:sz w:val="28"/>
      <w:lang w:eastAsia="ja-JP"/>
    </w:rPr>
  </w:style>
  <w:style w:type="character" w:customStyle="1" w:styleId="112">
    <w:name w:val="EFAHeading Char"/>
    <w:basedOn w:val="16"/>
    <w:link w:val="110"/>
    <w:qFormat/>
    <w:uiPriority w:val="0"/>
    <w:rPr>
      <w:b/>
      <w:color w:val="000000"/>
      <w:kern w:val="28"/>
      <w:sz w:val="24"/>
      <w:szCs w:val="14"/>
      <w:lang w:eastAsia="ja-JP"/>
    </w:rPr>
  </w:style>
  <w:style w:type="character" w:customStyle="1" w:styleId="113">
    <w:name w:val="EFASubHeader Char"/>
    <w:basedOn w:val="41"/>
    <w:link w:val="62"/>
    <w:qFormat/>
    <w:uiPriority w:val="0"/>
    <w:rPr>
      <w:b/>
      <w:bCs/>
      <w:sz w:val="20"/>
      <w:lang w:eastAsia="ja-JP"/>
    </w:rPr>
  </w:style>
  <w:style w:type="character" w:customStyle="1" w:styleId="114">
    <w:name w:val="EFAFPFrameText_11.5pt Char"/>
    <w:basedOn w:val="16"/>
    <w:link w:val="28"/>
    <w:qFormat/>
    <w:uiPriority w:val="0"/>
    <w:rPr>
      <w:b/>
      <w:color w:val="23558C"/>
      <w:sz w:val="24"/>
      <w:lang w:eastAsia="ja-JP"/>
    </w:rPr>
  </w:style>
  <w:style w:type="character" w:customStyle="1" w:styleId="115">
    <w:name w:val="EFAFPTitle Char"/>
    <w:basedOn w:val="16"/>
    <w:link w:val="46"/>
    <w:qFormat/>
    <w:uiPriority w:val="0"/>
    <w:rPr>
      <w:b/>
      <w:color w:val="FFFFFF"/>
      <w:sz w:val="32"/>
      <w:szCs w:val="32"/>
      <w:lang w:eastAsia="ja-JP"/>
    </w:rPr>
  </w:style>
  <w:style w:type="character" w:customStyle="1" w:styleId="116">
    <w:name w:val="EFAFPFrameText_11.5pt_Right Char"/>
    <w:basedOn w:val="114"/>
    <w:link w:val="27"/>
    <w:qFormat/>
    <w:uiPriority w:val="0"/>
    <w:rPr>
      <w:bCs/>
      <w:color w:val="23558C"/>
      <w:sz w:val="24"/>
      <w:szCs w:val="32"/>
      <w:lang w:eastAsia="ja-JP"/>
    </w:rPr>
  </w:style>
  <w:style w:type="paragraph" w:customStyle="1" w:styleId="117">
    <w:name w:val="EFADisclaimerHiddenText"/>
    <w:link w:val="118"/>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8">
    <w:name w:val="EFADisclaimerHiddenText Char"/>
    <w:basedOn w:val="16"/>
    <w:link w:val="117"/>
    <w:qFormat/>
    <w:uiPriority w:val="0"/>
    <w:rPr>
      <w:vanish/>
      <w:color w:val="FFFFFF"/>
      <w:sz w:val="2"/>
      <w:lang w:eastAsia="ja-JP"/>
    </w:rPr>
  </w:style>
  <w:style w:type="paragraph" w:customStyle="1" w:styleId="119">
    <w:name w:val="EFATagging"/>
    <w:link w:val="120"/>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20">
    <w:name w:val="EFATagging Char"/>
    <w:basedOn w:val="16"/>
    <w:link w:val="119"/>
    <w:qFormat/>
    <w:uiPriority w:val="0"/>
    <w:rPr>
      <w:bCs/>
      <w:color w:val="0066CC" w:themeColor="accent1" w:themeShade="80"/>
      <w:lang w:eastAsia="ja-JP"/>
    </w:rPr>
  </w:style>
  <w:style w:type="paragraph" w:customStyle="1" w:styleId="121">
    <w:name w:val="EFAFP_Tagging"/>
    <w:link w:val="122"/>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22">
    <w:name w:val="EFAFP_Tagging Char"/>
    <w:basedOn w:val="16"/>
    <w:link w:val="121"/>
    <w:qFormat/>
    <w:uiPriority w:val="0"/>
    <w:rPr>
      <w:color w:val="0066CC" w:themeColor="accent1" w:themeShade="80"/>
      <w:szCs w:val="20"/>
      <w:lang w:eastAsia="ja-JP"/>
    </w:rPr>
  </w:style>
  <w:style w:type="paragraph" w:customStyle="1" w:styleId="123">
    <w:name w:val="EFAFPHdrInfo3"/>
    <w:link w:val="124"/>
    <w:qFormat/>
    <w:uiPriority w:val="0"/>
    <w:rPr>
      <w:rFonts w:ascii="Calibri" w:hAnsi="Calibri" w:eastAsia="MS Mincho" w:cs="Times New Roman"/>
      <w:b/>
      <w:bCs/>
      <w:snapToGrid w:val="0"/>
      <w:color w:val="000000"/>
      <w:sz w:val="32"/>
      <w:lang w:val="en-US" w:eastAsia="ja-JP" w:bidi="ar-SA"/>
    </w:rPr>
  </w:style>
  <w:style w:type="character" w:customStyle="1" w:styleId="124">
    <w:name w:val="EFAFPHdrInfo3 Char"/>
    <w:basedOn w:val="16"/>
    <w:link w:val="123"/>
    <w:qFormat/>
    <w:uiPriority w:val="0"/>
    <w:rPr>
      <w:b/>
      <w:bCs/>
      <w:color w:val="000000"/>
      <w:sz w:val="32"/>
      <w:szCs w:val="20"/>
      <w:lang w:eastAsia="ja-JP"/>
    </w:rPr>
  </w:style>
  <w:style w:type="paragraph" w:customStyle="1" w:styleId="125">
    <w:name w:val="EFAFP_HTI_Link"/>
    <w:basedOn w:val="47"/>
    <w:qFormat/>
    <w:uiPriority w:val="0"/>
    <w:pPr>
      <w:framePr w:wrap="around"/>
      <w:jc w:val="center"/>
    </w:pPr>
    <w:rPr>
      <w:sz w:val="20"/>
      <w:szCs w:val="20"/>
    </w:rPr>
  </w:style>
  <w:style w:type="paragraph" w:customStyle="1" w:styleId="126">
    <w:name w:val="EFAFPTitle6"/>
    <w:link w:val="127"/>
    <w:qFormat/>
    <w:uiPriority w:val="0"/>
    <w:rPr>
      <w:rFonts w:ascii="Calibri" w:hAnsi="Calibri" w:eastAsia="MS Mincho" w:cs="Times New Roman"/>
      <w:b/>
      <w:bCs/>
      <w:snapToGrid w:val="0"/>
      <w:color w:val="FFFFFF"/>
      <w:sz w:val="32"/>
      <w:lang w:val="en-US" w:eastAsia="ja-JP" w:bidi="ar-SA"/>
    </w:rPr>
  </w:style>
  <w:style w:type="character" w:customStyle="1" w:styleId="127">
    <w:name w:val="EFAFPTitle6 Char"/>
    <w:basedOn w:val="16"/>
    <w:link w:val="126"/>
    <w:qFormat/>
    <w:uiPriority w:val="0"/>
    <w:rPr>
      <w:b/>
      <w:bCs/>
      <w:color w:val="FFFFFF"/>
      <w:sz w:val="32"/>
      <w:szCs w:val="20"/>
      <w:lang w:eastAsia="ja-JP"/>
    </w:rPr>
  </w:style>
  <w:style w:type="paragraph" w:customStyle="1" w:styleId="128">
    <w:name w:val="EFAHiddenText"/>
    <w:link w:val="129"/>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9">
    <w:name w:val="EFAHiddenText Char"/>
    <w:basedOn w:val="16"/>
    <w:link w:val="128"/>
    <w:qFormat/>
    <w:uiPriority w:val="0"/>
    <w:rPr>
      <w:vanish/>
      <w:sz w:val="2"/>
      <w:lang w:eastAsia="ja-JP"/>
    </w:rPr>
  </w:style>
  <w:style w:type="character" w:customStyle="1" w:styleId="130">
    <w:name w:val="EFAFPFooter2 Char"/>
    <w:basedOn w:val="16"/>
    <w:link w:val="44"/>
    <w:qFormat/>
    <w:uiPriority w:val="0"/>
    <w:rPr>
      <w:rFonts w:cs="Arial"/>
      <w:sz w:val="21"/>
      <w:lang w:eastAsia="ja-JP"/>
    </w:rPr>
  </w:style>
  <w:style w:type="table" w:customStyle="1" w:styleId="131">
    <w:name w:val="Table Grid1"/>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2">
    <w:name w:val="EFAFP_HTI_Link2"/>
    <w:link w:val="133"/>
    <w:qFormat/>
    <w:uiPriority w:val="0"/>
    <w:rPr>
      <w:rFonts w:ascii="Calibri" w:hAnsi="Calibri" w:eastAsia="MS Mincho" w:cs="Times New Roman"/>
      <w:snapToGrid w:val="0"/>
      <w:sz w:val="16"/>
      <w:szCs w:val="16"/>
      <w:lang w:val="en-US" w:eastAsia="zh-CN" w:bidi="ar-SA"/>
    </w:rPr>
  </w:style>
  <w:style w:type="character" w:customStyle="1" w:styleId="133">
    <w:name w:val="EFAFP_HTI_Link2 Char"/>
    <w:basedOn w:val="16"/>
    <w:link w:val="132"/>
    <w:qFormat/>
    <w:uiPriority w:val="0"/>
  </w:style>
  <w:style w:type="paragraph" w:customStyle="1" w:styleId="134">
    <w:name w:val="EFAFP_HeadLine_SE"/>
    <w:link w:val="136"/>
    <w:qFormat/>
    <w:uiPriority w:val="0"/>
    <w:rPr>
      <w:rFonts w:ascii="Calibri" w:hAnsi="Calibri" w:eastAsia="Times New Roman" w:cs="Times New Roman"/>
      <w:b/>
      <w:bCs/>
      <w:color w:val="23558C"/>
      <w:kern w:val="28"/>
      <w:sz w:val="22"/>
      <w:lang w:val="en-US" w:eastAsia="ja-JP" w:bidi="ar-SA"/>
    </w:rPr>
  </w:style>
  <w:style w:type="paragraph" w:customStyle="1" w:styleId="135">
    <w:name w:val="EFAFPBodyText_SE"/>
    <w:link w:val="137"/>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6">
    <w:name w:val="EFAFP_HeadLine_SE Char"/>
    <w:basedOn w:val="16"/>
    <w:link w:val="134"/>
    <w:qFormat/>
    <w:uiPriority w:val="0"/>
    <w:rPr>
      <w:rFonts w:eastAsia="Times New Roman"/>
      <w:b/>
      <w:bCs/>
      <w:snapToGrid/>
      <w:color w:val="23558C"/>
      <w:kern w:val="28"/>
      <w:sz w:val="22"/>
      <w:szCs w:val="20"/>
      <w:lang w:eastAsia="ja-JP"/>
    </w:rPr>
  </w:style>
  <w:style w:type="character" w:customStyle="1" w:styleId="137">
    <w:name w:val="EFAFPBodyText_SE Char"/>
    <w:basedOn w:val="16"/>
    <w:link w:val="135"/>
    <w:qFormat/>
    <w:uiPriority w:val="0"/>
    <w:rPr>
      <w:rFonts w:eastAsia="Times New Roman" w:cs="PMingLiU"/>
      <w:snapToGrid/>
      <w:sz w:val="20"/>
      <w:szCs w:val="20"/>
      <w:lang w:eastAsia="ja-JP"/>
    </w:rPr>
  </w:style>
  <w:style w:type="paragraph" w:customStyle="1" w:styleId="138">
    <w:name w:val="EFAHeader_SE"/>
    <w:link w:val="140"/>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9">
    <w:name w:val="EFABodyText_SE"/>
    <w:link w:val="142"/>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40">
    <w:name w:val="EFAHeader_SE Char"/>
    <w:basedOn w:val="16"/>
    <w:link w:val="138"/>
    <w:qFormat/>
    <w:uiPriority w:val="0"/>
    <w:rPr>
      <w:b/>
      <w:bCs/>
      <w:snapToGrid/>
      <w:color w:val="23558C"/>
      <w:kern w:val="28"/>
      <w:sz w:val="22"/>
      <w:lang w:eastAsia="ja-JP"/>
    </w:rPr>
  </w:style>
  <w:style w:type="paragraph" w:customStyle="1" w:styleId="141">
    <w:name w:val="EFABodyText_SE2"/>
    <w:link w:val="143"/>
    <w:qFormat/>
    <w:uiPriority w:val="0"/>
    <w:rPr>
      <w:rFonts w:ascii="Calibri" w:hAnsi="Calibri" w:eastAsia="Times New Roman" w:cs="PMingLiU"/>
      <w:lang w:val="en-US" w:eastAsia="ja-JP" w:bidi="ar-SA"/>
    </w:rPr>
  </w:style>
  <w:style w:type="character" w:customStyle="1" w:styleId="142">
    <w:name w:val="EFABodyText_SE Char"/>
    <w:basedOn w:val="16"/>
    <w:link w:val="139"/>
    <w:qFormat/>
    <w:uiPriority w:val="0"/>
    <w:rPr>
      <w:rFonts w:eastAsia="Times New Roman" w:cs="PMingLiU"/>
      <w:snapToGrid/>
      <w:sz w:val="20"/>
      <w:szCs w:val="20"/>
      <w:lang w:eastAsia="ja-JP"/>
    </w:rPr>
  </w:style>
  <w:style w:type="character" w:customStyle="1" w:styleId="143">
    <w:name w:val="EFABodyText_SE2 Char"/>
    <w:basedOn w:val="16"/>
    <w:link w:val="141"/>
    <w:qFormat/>
    <w:uiPriority w:val="0"/>
    <w:rPr>
      <w:rFonts w:eastAsia="Times New Roman" w:cs="PMingLiU"/>
      <w:snapToGrid/>
      <w:sz w:val="20"/>
      <w:szCs w:val="20"/>
      <w:lang w:eastAsia="ja-JP"/>
    </w:rPr>
  </w:style>
  <w:style w:type="character" w:customStyle="1" w:styleId="144">
    <w:name w:val="EFADisclaimerText Char"/>
    <w:basedOn w:val="16"/>
    <w:link w:val="29"/>
    <w:qFormat/>
    <w:locked/>
    <w:uiPriority w:val="99"/>
    <w:rPr>
      <w:lang w:eastAsia="ja-JP"/>
    </w:rPr>
  </w:style>
  <w:style w:type="paragraph" w:customStyle="1" w:styleId="145">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6">
    <w:name w:val="EFAFPFooter"/>
    <w:basedOn w:val="25"/>
    <w:qFormat/>
    <w:uiPriority w:val="0"/>
    <w:pPr>
      <w:tabs>
        <w:tab w:val="right" w:pos="10679"/>
      </w:tabs>
      <w:autoSpaceDE w:val="0"/>
      <w:autoSpaceDN w:val="0"/>
      <w:jc w:val="both"/>
    </w:pPr>
    <w:rPr>
      <w:rFonts w:eastAsia="宋体" w:cs="Arial"/>
      <w:b/>
    </w:rPr>
  </w:style>
  <w:style w:type="paragraph" w:customStyle="1" w:styleId="147">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8">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9">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50">
    <w:name w:val="Common"/>
    <w:basedOn w:val="15"/>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51">
    <w:name w:val="样式 标题 2 + 段前: 1 行 段后: 1 行"/>
    <w:basedOn w:val="3"/>
    <w:qFormat/>
    <w:uiPriority w:val="0"/>
    <w:pPr>
      <w:spacing w:before="240" w:after="240"/>
    </w:pPr>
    <w:rPr>
      <w:rFonts w:ascii="宋体" w:hAnsi="宋体" w:eastAsia="宋体" w:cs="宋体"/>
      <w:snapToGrid/>
      <w:szCs w:val="20"/>
      <w:lang w:eastAsia="zh-CN"/>
    </w:rPr>
  </w:style>
  <w:style w:type="paragraph" w:customStyle="1" w:styleId="152">
    <w:name w:val="【正文】图表标题"/>
    <w:basedOn w:val="153"/>
    <w:qFormat/>
    <w:uiPriority w:val="6"/>
    <w:pPr>
      <w:numPr>
        <w:ilvl w:val="0"/>
        <w:numId w:val="8"/>
      </w:numPr>
      <w:jc w:val="left"/>
    </w:pPr>
    <w:rPr>
      <w:b/>
      <w:bCs/>
    </w:rPr>
  </w:style>
  <w:style w:type="paragraph" w:customStyle="1" w:styleId="153">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154">
    <w:name w:val="【资料来源】"/>
    <w:basedOn w:val="153"/>
    <w:qFormat/>
    <w:uiPriority w:val="7"/>
    <w:rPr>
      <w:sz w:val="15"/>
      <w:szCs w:val="15"/>
    </w:rPr>
  </w:style>
  <w:style w:type="character" w:customStyle="1" w:styleId="155">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chart" Target="charts/chart2.xml"/><Relationship Id="rId26" Type="http://schemas.openxmlformats.org/officeDocument/2006/relationships/chart" Target="charts/chart1.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35745;&#31639;&#26426;\Downloads\AI&#33021;&#32791;Model-2026.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35745;&#31639;&#26426;\Downloads\B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49864498645"/>
          <c:y val="0.0629110666285388"/>
          <c:w val="0.835691056910569"/>
          <c:h val="0.754761223906205"/>
        </c:manualLayout>
      </c:layout>
      <c:barChart>
        <c:barDir val="col"/>
        <c:grouping val="stacked"/>
        <c:varyColors val="0"/>
        <c:ser>
          <c:idx val="0"/>
          <c:order val="0"/>
          <c:tx>
            <c:strRef>
              <c:f>'[AI能耗Model-2026.xlsx]CSP CAPEX'!$C$6</c:f>
              <c:strCache>
                <c:ptCount val="1"/>
                <c:pt idx="0">
                  <c:v>META</c:v>
                </c:pt>
              </c:strCache>
            </c:strRef>
          </c:tx>
          <c:spPr>
            <a:solidFill>
              <a:schemeClr val="accent1"/>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CAPEX'!$F$6:$L$6</c:f>
              <c:numCache>
                <c:formatCode>###,###,##0</c:formatCode>
                <c:ptCount val="7"/>
                <c:pt idx="0">
                  <c:v>116072.166666667</c:v>
                </c:pt>
                <c:pt idx="1">
                  <c:v>133656.05</c:v>
                </c:pt>
                <c:pt idx="2">
                  <c:v>163055.253521127</c:v>
                </c:pt>
                <c:pt idx="3">
                  <c:v>199385.463768116</c:v>
                </c:pt>
                <c:pt idx="4">
                  <c:v>235723.701492537</c:v>
                </c:pt>
                <c:pt idx="5">
                  <c:v>273069.886792453</c:v>
                </c:pt>
                <c:pt idx="6">
                  <c:v>310126.52</c:v>
                </c:pt>
              </c:numCache>
            </c:numRef>
          </c:val>
        </c:ser>
        <c:ser>
          <c:idx val="1"/>
          <c:order val="1"/>
          <c:tx>
            <c:strRef>
              <c:f>'[AI能耗Model-2026.xlsx]CSP CAPEX'!$C$7</c:f>
              <c:strCache>
                <c:ptCount val="1"/>
                <c:pt idx="0">
                  <c:v>MICROSOFT</c:v>
                </c:pt>
              </c:strCache>
            </c:strRef>
          </c:tx>
          <c:spPr>
            <a:solidFill>
              <a:schemeClr val="accent2"/>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CAPEX'!$F$7:$L$7</c:f>
              <c:numCache>
                <c:formatCode>###,###,##0</c:formatCode>
                <c:ptCount val="7"/>
                <c:pt idx="0">
                  <c:v>198886.815789474</c:v>
                </c:pt>
                <c:pt idx="1">
                  <c:v>211313.963636364</c:v>
                </c:pt>
                <c:pt idx="2">
                  <c:v>244965.673076923</c:v>
                </c:pt>
                <c:pt idx="3">
                  <c:v>279004.861538462</c:v>
                </c:pt>
                <c:pt idx="4">
                  <c:v>326415.237288136</c:v>
                </c:pt>
                <c:pt idx="5">
                  <c:v>375397.086206897</c:v>
                </c:pt>
                <c:pt idx="6">
                  <c:v>434373.75</c:v>
                </c:pt>
              </c:numCache>
            </c:numRef>
          </c:val>
        </c:ser>
        <c:ser>
          <c:idx val="2"/>
          <c:order val="2"/>
          <c:tx>
            <c:strRef>
              <c:f>'[AI能耗Model-2026.xlsx]CSP CAPEX'!$C$8</c:f>
              <c:strCache>
                <c:ptCount val="1"/>
                <c:pt idx="0">
                  <c:v>AMAZON</c:v>
                </c:pt>
              </c:strCache>
            </c:strRef>
          </c:tx>
          <c:spPr>
            <a:solidFill>
              <a:schemeClr val="accent3"/>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CAPEX'!$F$8:$L$8</c:f>
              <c:numCache>
                <c:formatCode>###,###,##0</c:formatCode>
                <c:ptCount val="7"/>
                <c:pt idx="0">
                  <c:v>512444.215686275</c:v>
                </c:pt>
                <c:pt idx="1">
                  <c:v>570828.566666667</c:v>
                </c:pt>
                <c:pt idx="2">
                  <c:v>637832.479452055</c:v>
                </c:pt>
                <c:pt idx="3">
                  <c:v>714786.746268657</c:v>
                </c:pt>
                <c:pt idx="4">
                  <c:v>796466.940298507</c:v>
                </c:pt>
                <c:pt idx="5">
                  <c:v>886489.725490196</c:v>
                </c:pt>
                <c:pt idx="6">
                  <c:v>979300.217391304</c:v>
                </c:pt>
              </c:numCache>
            </c:numRef>
          </c:val>
        </c:ser>
        <c:ser>
          <c:idx val="3"/>
          <c:order val="3"/>
          <c:tx>
            <c:strRef>
              <c:f>'[AI能耗Model-2026.xlsx]CSP CAPEX'!$C$9</c:f>
              <c:strCache>
                <c:ptCount val="1"/>
                <c:pt idx="0">
                  <c:v>GOOGLE</c:v>
                </c:pt>
              </c:strCache>
            </c:strRef>
          </c:tx>
          <c:spPr>
            <a:solidFill>
              <a:schemeClr val="accent4"/>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CAPEX'!$F$9:$L$9</c:f>
              <c:numCache>
                <c:formatCode>###,###,##0</c:formatCode>
                <c:ptCount val="7"/>
                <c:pt idx="0">
                  <c:v>233795.782608696</c:v>
                </c:pt>
                <c:pt idx="1">
                  <c:v>255083.409090909</c:v>
                </c:pt>
                <c:pt idx="2">
                  <c:v>298454.78125</c:v>
                </c:pt>
                <c:pt idx="3">
                  <c:v>340828.28125</c:v>
                </c:pt>
                <c:pt idx="4">
                  <c:v>392024.193548387</c:v>
                </c:pt>
                <c:pt idx="5">
                  <c:v>448011.75</c:v>
                </c:pt>
                <c:pt idx="6">
                  <c:v>510260.666666667</c:v>
                </c:pt>
              </c:numCache>
            </c:numRef>
          </c:val>
        </c:ser>
        <c:ser>
          <c:idx val="4"/>
          <c:order val="4"/>
          <c:tx>
            <c:strRef>
              <c:f>'[AI能耗Model-2026.xlsx]CSP CAPEX'!$C$10</c:f>
              <c:strCache>
                <c:ptCount val="1"/>
                <c:pt idx="0">
                  <c:v>ORACLE</c:v>
                </c:pt>
              </c:strCache>
            </c:strRef>
          </c:tx>
          <c:spPr>
            <a:solidFill>
              <a:schemeClr val="accent5"/>
            </a:solidFill>
            <a:ln>
              <a:noFill/>
            </a:ln>
            <a:effectLst/>
          </c:spPr>
          <c:invertIfNegative val="0"/>
          <c:dLbls>
            <c:delete val="1"/>
          </c:dLbls>
          <c:cat>
            <c:strRef>
              <c:f>'[AI能耗Model-2026.xlsx]CSP CAPEX'!$F$5:$L$5</c:f>
              <c:strCache>
                <c:ptCount val="7"/>
                <c:pt idx="0">
                  <c:v>2022</c:v>
                </c:pt>
                <c:pt idx="1">
                  <c:v>2023</c:v>
                </c:pt>
                <c:pt idx="2">
                  <c:v>2024</c:v>
                </c:pt>
                <c:pt idx="3">
                  <c:v>2025E</c:v>
                </c:pt>
                <c:pt idx="4">
                  <c:v>2026E</c:v>
                </c:pt>
                <c:pt idx="5">
                  <c:v>2027E</c:v>
                </c:pt>
                <c:pt idx="6">
                  <c:v>2028E</c:v>
                </c:pt>
              </c:strCache>
            </c:strRef>
          </c:cat>
          <c:val>
            <c:numRef>
              <c:f>'[AI能耗Model-2026.xlsx]CSP CAPEX'!$F$10:$L$10</c:f>
              <c:numCache>
                <c:formatCode>###,###,##0</c:formatCode>
                <c:ptCount val="7"/>
                <c:pt idx="0">
                  <c:v>42240.0434782609</c:v>
                </c:pt>
                <c:pt idx="1">
                  <c:v>49853.5862068966</c:v>
                </c:pt>
                <c:pt idx="2">
                  <c:v>53251.78125</c:v>
                </c:pt>
                <c:pt idx="3">
                  <c:v>57099.1</c:v>
                </c:pt>
                <c:pt idx="4">
                  <c:v>66920.1463414634</c:v>
                </c:pt>
                <c:pt idx="5">
                  <c:v>86309.6153846154</c:v>
                </c:pt>
                <c:pt idx="6">
                  <c:v>128415.6875</c:v>
                </c:pt>
              </c:numCache>
            </c:numRef>
          </c:val>
        </c:ser>
        <c:dLbls>
          <c:showLegendKey val="0"/>
          <c:showVal val="0"/>
          <c:showCatName val="0"/>
          <c:showSerName val="0"/>
          <c:showPercent val="0"/>
          <c:showBubbleSize val="0"/>
        </c:dLbls>
        <c:gapWidth val="150"/>
        <c:overlap val="100"/>
        <c:axId val="1890644127"/>
        <c:axId val="1890647487"/>
      </c:barChart>
      <c:catAx>
        <c:axId val="1890644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90647487"/>
        <c:crosses val="autoZero"/>
        <c:auto val="1"/>
        <c:lblAlgn val="ctr"/>
        <c:lblOffset val="100"/>
        <c:noMultiLvlLbl val="0"/>
      </c:catAx>
      <c:valAx>
        <c:axId val="1890647487"/>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90644127"/>
        <c:crosses val="autoZero"/>
        <c:crossBetween val="between"/>
      </c:valAx>
      <c:spPr>
        <a:noFill/>
        <a:ln>
          <a:noFill/>
        </a:ln>
        <a:effectLst/>
      </c:spPr>
    </c:plotArea>
    <c:legend>
      <c:legendPos val="b"/>
      <c:layout>
        <c:manualLayout>
          <c:xMode val="edge"/>
          <c:yMode val="edge"/>
          <c:x val="0.198848238482385"/>
          <c:y val="0.895624821275379"/>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d07936-a138-4fa6-b3fd-a2d9c72cc19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'[BE.xlsx]Hyperscaler CAPEX'!$B$16</c:f>
              <c:strCache>
                <c:ptCount val="1"/>
                <c:pt idx="0">
                  <c:v>1Q25</c:v>
                </c:pt>
              </c:strCache>
            </c:strRef>
          </c:tx>
          <c:spPr>
            <a:solidFill>
              <a:schemeClr val="accent1">
                <a:lumMod val="20000"/>
                <a:lumOff val="8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CAPEX'!$C$16:$E$16</c:f>
              <c:numCache>
                <c:formatCode>General</c:formatCode>
                <c:ptCount val="3"/>
                <c:pt idx="0">
                  <c:v>104</c:v>
                </c:pt>
                <c:pt idx="1">
                  <c:v>75</c:v>
                </c:pt>
                <c:pt idx="2">
                  <c:v>64</c:v>
                </c:pt>
              </c:numCache>
            </c:numRef>
          </c:val>
        </c:ser>
        <c:ser>
          <c:idx val="1"/>
          <c:order val="1"/>
          <c:tx>
            <c:strRef>
              <c:f>'[BE.xlsx]Hyperscaler CAPEX'!$B$17</c:f>
              <c:strCache>
                <c:ptCount val="1"/>
                <c:pt idx="0">
                  <c:v>2Q25</c:v>
                </c:pt>
              </c:strCache>
            </c:strRef>
          </c:tx>
          <c:spPr>
            <a:solidFill>
              <a:schemeClr val="accent1">
                <a:lumMod val="40000"/>
                <a:lumOff val="6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CAPEX'!$C$17:$E$17</c:f>
              <c:numCache>
                <c:formatCode>General</c:formatCode>
                <c:ptCount val="3"/>
                <c:pt idx="0">
                  <c:v>118</c:v>
                </c:pt>
                <c:pt idx="1">
                  <c:v>80</c:v>
                </c:pt>
                <c:pt idx="2">
                  <c:v>69</c:v>
                </c:pt>
              </c:numCache>
            </c:numRef>
          </c:val>
        </c:ser>
        <c:ser>
          <c:idx val="2"/>
          <c:order val="2"/>
          <c:tx>
            <c:strRef>
              <c:f>'[BE.xlsx]Hyperscaler CAPEX'!$B$18</c:f>
              <c:strCache>
                <c:ptCount val="1"/>
                <c:pt idx="0">
                  <c:v>3Q25</c:v>
                </c:pt>
              </c:strCache>
            </c:strRef>
          </c:tx>
          <c:spPr>
            <a:solidFill>
              <a:schemeClr val="accent1">
                <a:lumMod val="60000"/>
                <a:lumOff val="4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CAPEX'!$C$18:$E$18</c:f>
              <c:numCache>
                <c:formatCode>General</c:formatCode>
                <c:ptCount val="3"/>
                <c:pt idx="0">
                  <c:v>125</c:v>
                </c:pt>
                <c:pt idx="1">
                  <c:v>92</c:v>
                </c:pt>
                <c:pt idx="2">
                  <c:v>71</c:v>
                </c:pt>
              </c:numCache>
            </c:numRef>
          </c:val>
        </c:ser>
        <c:ser>
          <c:idx val="3"/>
          <c:order val="3"/>
          <c:tx>
            <c:strRef>
              <c:f>'[BE.xlsx]Hyperscaler CAPEX'!$B$19</c:f>
              <c:strCache>
                <c:ptCount val="1"/>
                <c:pt idx="0">
                  <c:v>4Q25</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CAPEX'!$C$19:$E$19</c:f>
              <c:numCache>
                <c:formatCode>General</c:formatCode>
                <c:ptCount val="3"/>
                <c:pt idx="0">
                  <c:v>125</c:v>
                </c:pt>
                <c:pt idx="1">
                  <c:v>92</c:v>
                </c:pt>
                <c:pt idx="2">
                  <c:v>72</c:v>
                </c:pt>
              </c:numCache>
            </c:numRef>
          </c:val>
        </c:ser>
        <c:ser>
          <c:idx val="4"/>
          <c:order val="4"/>
          <c:tx>
            <c:strRef>
              <c:f>'[BE.xlsx]Hyperscaler CAPEX'!$B$20</c:f>
              <c:strCache>
                <c:ptCount val="1"/>
                <c:pt idx="0">
                  <c:v>2026E</c:v>
                </c:pt>
              </c:strCache>
            </c:strRef>
          </c:tx>
          <c:spPr>
            <a:solidFill>
              <a:schemeClr val="accent5"/>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'[BE.xlsx]Hyperscaler CAPEX'!$C$14:$E$14</c:f>
              <c:strCache>
                <c:ptCount val="3"/>
                <c:pt idx="0">
                  <c:v>Amazon </c:v>
                </c:pt>
                <c:pt idx="1">
                  <c:v>Google</c:v>
                </c:pt>
                <c:pt idx="2">
                  <c:v>Meta Platforms</c:v>
                </c:pt>
              </c:strCache>
            </c:strRef>
          </c:cat>
          <c:val>
            <c:numRef>
              <c:f>'[BE.xlsx]Hyperscaler CAPEX'!$C$20:$E$20</c:f>
              <c:numCache>
                <c:formatCode>General</c:formatCode>
                <c:ptCount val="3"/>
                <c:pt idx="0">
                  <c:v>200</c:v>
                </c:pt>
                <c:pt idx="1">
                  <c:v>185</c:v>
                </c:pt>
                <c:pt idx="2">
                  <c:v>135</c:v>
                </c:pt>
              </c:numCache>
            </c:numRef>
          </c:val>
        </c:ser>
        <c:dLbls>
          <c:showLegendKey val="0"/>
          <c:showVal val="1"/>
          <c:showCatName val="0"/>
          <c:showSerName val="0"/>
          <c:showPercent val="0"/>
          <c:showBubbleSize val="0"/>
        </c:dLbls>
        <c:gapWidth val="246"/>
        <c:overlap val="-28"/>
        <c:axId val="393624643"/>
        <c:axId val="617170468"/>
      </c:barChart>
      <c:catAx>
        <c:axId val="39362464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7170468"/>
        <c:crosses val="autoZero"/>
        <c:auto val="1"/>
        <c:lblAlgn val="ctr"/>
        <c:lblOffset val="100"/>
        <c:noMultiLvlLbl val="0"/>
      </c:catAx>
      <c:valAx>
        <c:axId val="617170468"/>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362464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13021fa-08ac-4be2-bad1-7274c4a014a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28</Pages>
  <Words>7846</Words>
  <Characters>45757</Characters>
  <Lines>1043</Lines>
  <Paragraphs>453</Paragraphs>
  <TotalTime>9</TotalTime>
  <ScaleCrop>false</ScaleCrop>
  <LinksUpToDate>false</LinksUpToDate>
  <CharactersWithSpaces>53325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2026-02-22T11:18:28Z</dcterms:modified>
  <dc:title>Corp note</dc:title>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A5423DEF98724F4786EA4C2DAF2642EF_13</vt:lpwstr>
  </property>
</Properties>
</file>