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bottomFromText="360" w:tblpXSpec="right" w:tblpY="-239"/>
        <w:tblOverlap w:val="never"/>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4A0" w:firstRow="1" w:lastRow="0" w:firstColumn="1" w:lastColumn="0" w:noHBand="0" w:noVBand="1"/>
        <w:tblCaption w:val="[Table_Title]"/>
        <w:tblDescription w:val="表格隐藏唯一标识（请勿删除或修改）"/>
      </w:tblPr>
      <w:tblGrid>
        <w:gridCol w:w="7643"/>
        <w:gridCol w:w="2733"/>
      </w:tblGrid>
      <w:tr w:rsidR="00C413AA" w14:paraId="1AF0C1BC" w14:textId="77777777">
        <w:trPr>
          <w:trHeight w:hRule="exact" w:val="23"/>
        </w:trPr>
        <w:tc>
          <w:tcPr>
            <w:tcW w:w="10376" w:type="dxa"/>
            <w:gridSpan w:val="2"/>
          </w:tcPr>
          <w:p w14:paraId="1660CEF8" w14:textId="77777777" w:rsidR="00C413AA" w:rsidRDefault="00000000">
            <w:pPr>
              <w:pStyle w:val="EFAFPFrameText115pt"/>
              <w:framePr w:w="0" w:hRule="auto" w:wrap="auto" w:vAnchor="margin" w:hAnchor="text" w:xAlign="left" w:yAlign="inline" w:anchorLock="0"/>
            </w:pPr>
            <w:r>
              <w:rPr>
                <w:rFonts w:eastAsia="宋体" w:hint="eastAsia"/>
                <w:b w:val="0"/>
                <w:color w:val="FFFFFF" w:themeColor="background1"/>
                <w:sz w:val="16"/>
                <w:lang w:eastAsia="zh-CN"/>
              </w:rPr>
              <w:t>[</w:t>
            </w:r>
            <w:r>
              <w:rPr>
                <w:rFonts w:eastAsia="宋体"/>
                <w:b w:val="0"/>
                <w:color w:val="FFFFFF" w:themeColor="background1"/>
                <w:sz w:val="16"/>
                <w:lang w:eastAsia="zh-CN"/>
              </w:rPr>
              <w:t>Table_Title]</w:t>
            </w:r>
          </w:p>
        </w:tc>
      </w:tr>
      <w:tr w:rsidR="00C413AA" w14:paraId="31D803C7" w14:textId="77777777">
        <w:trPr>
          <w:trHeight w:hRule="exact" w:val="318"/>
        </w:trPr>
        <w:tc>
          <w:tcPr>
            <w:tcW w:w="7643" w:type="dxa"/>
            <w:vAlign w:val="center"/>
          </w:tcPr>
          <w:p w14:paraId="21450145" w14:textId="77777777" w:rsidR="00C413AA" w:rsidRDefault="00000000">
            <w:pPr>
              <w:pStyle w:val="EFAFPFrameText115pt"/>
              <w:framePr w:w="0" w:hRule="auto" w:wrap="auto" w:vAnchor="margin" w:hAnchor="text" w:xAlign="left" w:yAlign="inline" w:anchorLock="0"/>
              <w:rPr>
                <w:rFonts w:eastAsia="楷体_GB2312"/>
                <w:b w:val="0"/>
                <w:sz w:val="16"/>
                <w:lang w:eastAsia="zh-CN"/>
              </w:rPr>
            </w:pPr>
            <w:r>
              <w:rPr>
                <w:rFonts w:eastAsia="楷体_GB2312" w:hint="eastAsia"/>
                <w:b w:val="0"/>
                <w:sz w:val="16"/>
                <w:lang w:eastAsia="zh-CN"/>
              </w:rPr>
              <w:t>研究报告</w:t>
            </w:r>
            <w:r>
              <w:rPr>
                <w:rFonts w:eastAsia="楷体_GB2312" w:hint="eastAsia"/>
                <w:b w:val="0"/>
                <w:sz w:val="16"/>
                <w:lang w:eastAsia="zh-CN"/>
              </w:rPr>
              <w:t>Research Report</w:t>
            </w:r>
          </w:p>
        </w:tc>
        <w:tc>
          <w:tcPr>
            <w:tcW w:w="2733" w:type="dxa"/>
            <w:vAlign w:val="center"/>
          </w:tcPr>
          <w:p w14:paraId="6F4E81D7" w14:textId="77777777" w:rsidR="00C413AA" w:rsidRDefault="00C413AA">
            <w:pPr>
              <w:pStyle w:val="EFAFPFrameText115pt"/>
              <w:framePr w:w="0" w:hRule="auto" w:wrap="auto" w:vAnchor="margin" w:hAnchor="text" w:xAlign="left" w:yAlign="inline" w:anchorLock="0"/>
            </w:pPr>
          </w:p>
        </w:tc>
      </w:tr>
      <w:tr w:rsidR="00C413AA" w14:paraId="4EAD7896" w14:textId="77777777">
        <w:trPr>
          <w:trHeight w:val="320"/>
        </w:trPr>
        <w:tc>
          <w:tcPr>
            <w:tcW w:w="7643" w:type="dxa"/>
            <w:vAlign w:val="center"/>
          </w:tcPr>
          <w:p w14:paraId="4715A7B5" w14:textId="77777777" w:rsidR="00C413AA" w:rsidRDefault="00000000">
            <w:pPr>
              <w:pStyle w:val="EFAFPFrameText115pt"/>
              <w:framePr w:w="0" w:hRule="auto" w:wrap="auto" w:vAnchor="margin" w:hAnchor="text" w:xAlign="left" w:yAlign="inline" w:anchorLock="0"/>
              <w:rPr>
                <w:rFonts w:eastAsia="宋体"/>
                <w:b w:val="0"/>
                <w:sz w:val="20"/>
                <w:szCs w:val="20"/>
                <w:lang w:eastAsia="zh-CN"/>
              </w:rPr>
            </w:pPr>
            <w:r>
              <w:rPr>
                <w:rFonts w:eastAsia="宋体" w:hint="eastAsia"/>
                <w:b w:val="0"/>
                <w:sz w:val="20"/>
                <w:szCs w:val="20"/>
                <w:lang w:eastAsia="zh-CN"/>
              </w:rPr>
              <w:t>07</w:t>
            </w:r>
            <w:r>
              <w:rPr>
                <w:b w:val="0"/>
                <w:sz w:val="20"/>
                <w:szCs w:val="20"/>
              </w:rPr>
              <w:t xml:space="preserve"> </w:t>
            </w:r>
            <w:r>
              <w:rPr>
                <w:rFonts w:eastAsia="宋体" w:hint="eastAsia"/>
                <w:b w:val="0"/>
                <w:sz w:val="20"/>
                <w:szCs w:val="20"/>
                <w:lang w:eastAsia="zh-CN"/>
              </w:rPr>
              <w:t>Feb</w:t>
            </w:r>
            <w:r>
              <w:rPr>
                <w:b w:val="0"/>
                <w:sz w:val="20"/>
                <w:szCs w:val="20"/>
              </w:rPr>
              <w:t xml:space="preserve"> 202</w:t>
            </w:r>
            <w:r>
              <w:rPr>
                <w:rFonts w:eastAsia="宋体" w:hint="eastAsia"/>
                <w:b w:val="0"/>
                <w:sz w:val="20"/>
                <w:szCs w:val="20"/>
                <w:lang w:eastAsia="zh-CN"/>
              </w:rPr>
              <w:t>6</w:t>
            </w:r>
          </w:p>
        </w:tc>
        <w:tc>
          <w:tcPr>
            <w:tcW w:w="2733" w:type="dxa"/>
            <w:vAlign w:val="center"/>
          </w:tcPr>
          <w:p w14:paraId="24CFB05C" w14:textId="77777777" w:rsidR="00C413AA" w:rsidRDefault="00C413AA">
            <w:pPr>
              <w:pStyle w:val="EFAFPFrameText115pt"/>
              <w:framePr w:w="0" w:hRule="auto" w:wrap="auto" w:vAnchor="margin" w:hAnchor="text" w:xAlign="left" w:yAlign="inline" w:anchorLock="0"/>
              <w:wordWrap w:val="0"/>
              <w:jc w:val="right"/>
              <w:rPr>
                <w:rFonts w:eastAsia="楷体_GB2312"/>
                <w:lang w:eastAsia="zh-CN"/>
              </w:rPr>
            </w:pPr>
          </w:p>
        </w:tc>
      </w:tr>
      <w:tr w:rsidR="00C413AA" w14:paraId="68B6EBCC" w14:textId="77777777">
        <w:trPr>
          <w:trHeight w:hRule="exact" w:val="147"/>
        </w:trPr>
        <w:tc>
          <w:tcPr>
            <w:tcW w:w="7643" w:type="dxa"/>
          </w:tcPr>
          <w:p w14:paraId="6FF7F10D" w14:textId="77777777" w:rsidR="00C413AA" w:rsidRDefault="00C413AA">
            <w:pPr>
              <w:pStyle w:val="EFAFPReportType"/>
              <w:framePr w:w="0" w:hRule="auto" w:wrap="auto" w:vAnchor="margin" w:hAnchor="text" w:xAlign="left" w:yAlign="inline" w:anchorLock="0"/>
              <w:rPr>
                <w:rFonts w:eastAsia="宋体"/>
                <w:sz w:val="16"/>
                <w:szCs w:val="16"/>
                <w:lang w:val="en-GB" w:eastAsia="zh-CN"/>
              </w:rPr>
            </w:pPr>
          </w:p>
        </w:tc>
        <w:tc>
          <w:tcPr>
            <w:tcW w:w="2733" w:type="dxa"/>
            <w:vAlign w:val="center"/>
          </w:tcPr>
          <w:p w14:paraId="15E76268" w14:textId="77777777" w:rsidR="00C413AA" w:rsidRDefault="00C413AA">
            <w:pPr>
              <w:pStyle w:val="EFAFPFrameText115pt"/>
              <w:framePr w:w="0" w:hRule="auto" w:wrap="auto" w:vAnchor="margin" w:hAnchor="text" w:xAlign="left" w:yAlign="inline" w:anchorLock="0"/>
              <w:jc w:val="right"/>
            </w:pPr>
          </w:p>
        </w:tc>
      </w:tr>
      <w:tr w:rsidR="00C413AA" w14:paraId="06CDDD3C" w14:textId="77777777">
        <w:trPr>
          <w:trHeight w:hRule="exact" w:val="583"/>
        </w:trPr>
        <w:tc>
          <w:tcPr>
            <w:tcW w:w="10376" w:type="dxa"/>
            <w:gridSpan w:val="2"/>
          </w:tcPr>
          <w:p w14:paraId="4C80DDE8" w14:textId="77777777" w:rsidR="00C413AA" w:rsidRDefault="00000000">
            <w:pPr>
              <w:pStyle w:val="EFAFPFrameText115pt"/>
              <w:framePr w:w="0" w:hRule="auto" w:wrap="auto" w:vAnchor="margin" w:hAnchor="text" w:xAlign="left" w:yAlign="inline" w:anchorLock="0"/>
              <w:rPr>
                <w:rFonts w:eastAsia="楷体_GB2312" w:cs="Calibri"/>
                <w:sz w:val="30"/>
              </w:rPr>
            </w:pPr>
            <w:r>
              <w:rPr>
                <w:rFonts w:eastAsia="楷体_GB2312" w:cs="Calibri" w:hint="eastAsia"/>
                <w:sz w:val="30"/>
                <w:lang w:eastAsia="zh-CN"/>
              </w:rPr>
              <w:t>全球先进制造与能源</w:t>
            </w:r>
            <w:r>
              <w:rPr>
                <w:rFonts w:eastAsia="楷体_GB2312" w:cs="Calibri"/>
                <w:sz w:val="30"/>
              </w:rPr>
              <w:t>Global Advanced Manufacturing and Energy</w:t>
            </w:r>
          </w:p>
        </w:tc>
      </w:tr>
      <w:tr w:rsidR="00C413AA" w14:paraId="5FF34DA5" w14:textId="77777777">
        <w:trPr>
          <w:trHeight w:hRule="exact" w:val="828"/>
        </w:trPr>
        <w:tc>
          <w:tcPr>
            <w:tcW w:w="10376" w:type="dxa"/>
            <w:gridSpan w:val="2"/>
            <w:vAlign w:val="center"/>
          </w:tcPr>
          <w:p w14:paraId="22ACF302" w14:textId="553433EB" w:rsidR="00C413AA" w:rsidRDefault="00000000">
            <w:pPr>
              <w:pStyle w:val="EFAFPTitle"/>
              <w:framePr w:wrap="auto" w:xAlign="left" w:yAlign="inline"/>
              <w:spacing w:line="360" w:lineRule="exact"/>
              <w:ind w:left="0" w:right="0"/>
              <w:suppressOverlap w:val="0"/>
              <w:rPr>
                <w:rFonts w:eastAsia="宋体"/>
                <w:lang w:val="en-GB" w:eastAsia="zh-CN"/>
              </w:rPr>
            </w:pPr>
            <w:r>
              <w:rPr>
                <w:rFonts w:eastAsia="楷体_GB2312" w:hint="eastAsia"/>
                <w:b w:val="0"/>
                <w:bCs/>
                <w:color w:val="23558C"/>
                <w:sz w:val="36"/>
                <w:szCs w:val="36"/>
                <w:lang w:eastAsia="zh-CN"/>
              </w:rPr>
              <w:t>美国输电规划与发展结构性阵痛下电网扩容、智能化电网调节与综合电力方案</w:t>
            </w:r>
            <w:r w:rsidR="006577E6">
              <w:rPr>
                <w:rFonts w:eastAsia="楷体_GB2312" w:hint="eastAsia"/>
                <w:b w:val="0"/>
                <w:bCs/>
                <w:color w:val="23558C"/>
                <w:sz w:val="36"/>
                <w:szCs w:val="36"/>
                <w:lang w:eastAsia="zh-CN"/>
              </w:rPr>
              <w:t>迎来</w:t>
            </w:r>
            <w:r>
              <w:rPr>
                <w:rFonts w:eastAsia="楷体_GB2312" w:hint="eastAsia"/>
                <w:b w:val="0"/>
                <w:bCs/>
                <w:color w:val="23558C"/>
                <w:sz w:val="36"/>
                <w:szCs w:val="36"/>
                <w:lang w:eastAsia="zh-CN"/>
              </w:rPr>
              <w:t>机遇</w:t>
            </w:r>
          </w:p>
        </w:tc>
      </w:tr>
      <w:tr w:rsidR="00C413AA" w14:paraId="76DC6B4C" w14:textId="77777777">
        <w:trPr>
          <w:trHeight w:hRule="exact" w:val="318"/>
        </w:trPr>
        <w:tc>
          <w:tcPr>
            <w:tcW w:w="10376" w:type="dxa"/>
            <w:gridSpan w:val="2"/>
            <w:vAlign w:val="center"/>
          </w:tcPr>
          <w:p w14:paraId="13F69C72" w14:textId="77777777" w:rsidR="00C413AA" w:rsidRPr="00437777" w:rsidRDefault="00C413AA">
            <w:pPr>
              <w:pStyle w:val="EFAFPTitle6"/>
              <w:spacing w:line="360" w:lineRule="exact"/>
              <w:rPr>
                <w:rFonts w:eastAsia="宋体"/>
                <w:lang w:val="en-GB" w:eastAsia="zh-CN"/>
              </w:rPr>
            </w:pPr>
          </w:p>
        </w:tc>
      </w:tr>
      <w:tr w:rsidR="00C413AA" w14:paraId="14D75B34" w14:textId="77777777">
        <w:trPr>
          <w:trHeight w:val="620"/>
        </w:trPr>
        <w:tc>
          <w:tcPr>
            <w:tcW w:w="10376"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C413AA" w14:paraId="7975748B" w14:textId="77777777">
              <w:trPr>
                <w:cantSplit/>
                <w:trHeight w:hRule="exact" w:val="23"/>
              </w:trPr>
              <w:tc>
                <w:tcPr>
                  <w:tcW w:w="2694" w:type="dxa"/>
                  <w:tcMar>
                    <w:right w:w="60" w:type="dxa"/>
                  </w:tcMar>
                </w:tcPr>
                <w:p w14:paraId="010D310F" w14:textId="77777777" w:rsidR="00C413AA" w:rsidRDefault="00000000">
                  <w:pPr>
                    <w:pStyle w:val="EFAFPColFrameText8pt"/>
                    <w:framePr w:w="0" w:hRule="auto" w:hSpace="0" w:wrap="around" w:vAnchor="margin" w:hAnchor="text" w:xAlign="right" w:y="-239" w:anchorLock="0"/>
                    <w:suppressOverlap/>
                    <w:rPr>
                      <w:rFonts w:eastAsia="宋体"/>
                      <w:color w:val="FFFFFF" w:themeColor="background1"/>
                    </w:rPr>
                  </w:pPr>
                  <w:r>
                    <w:rPr>
                      <w:rFonts w:eastAsia="宋体" w:hint="eastAsia"/>
                      <w:color w:val="FFFFFF" w:themeColor="background1"/>
                    </w:rPr>
                    <w:t>[</w:t>
                  </w:r>
                  <w:r>
                    <w:rPr>
                      <w:rFonts w:eastAsia="宋体"/>
                      <w:color w:val="FFFFFF" w:themeColor="background1"/>
                    </w:rPr>
                    <w:t>Table_Author]</w:t>
                  </w:r>
                </w:p>
              </w:tc>
              <w:tc>
                <w:tcPr>
                  <w:tcW w:w="2551" w:type="dxa"/>
                </w:tcPr>
                <w:p w14:paraId="721FB608" w14:textId="77777777" w:rsidR="00C413AA" w:rsidRDefault="00C413AA">
                  <w:pPr>
                    <w:pStyle w:val="EFAFPColFrameText8pt"/>
                    <w:framePr w:w="0" w:hRule="auto" w:hSpace="0" w:wrap="around" w:vAnchor="margin" w:hAnchor="text" w:xAlign="right" w:y="-239" w:anchorLock="0"/>
                    <w:suppressOverlap/>
                    <w:rPr>
                      <w:rFonts w:eastAsia="MS Gothic"/>
                      <w:color w:val="FFFFFF" w:themeColor="background1"/>
                    </w:rPr>
                  </w:pPr>
                </w:p>
              </w:tc>
              <w:tc>
                <w:tcPr>
                  <w:tcW w:w="2693" w:type="dxa"/>
                </w:tcPr>
                <w:p w14:paraId="459749D7" w14:textId="77777777" w:rsidR="00C413AA" w:rsidRDefault="00C413AA">
                  <w:pPr>
                    <w:pStyle w:val="EFAFPColFrameText8pt"/>
                    <w:framePr w:w="0" w:hRule="auto" w:hSpace="0" w:wrap="around" w:vAnchor="margin" w:hAnchor="text" w:xAlign="right" w:y="-239" w:anchorLock="0"/>
                    <w:suppressOverlap/>
                    <w:rPr>
                      <w:rFonts w:eastAsia="MS Gothic"/>
                      <w:color w:val="FFFFFF" w:themeColor="background1"/>
                    </w:rPr>
                  </w:pPr>
                </w:p>
              </w:tc>
              <w:tc>
                <w:tcPr>
                  <w:tcW w:w="2694" w:type="dxa"/>
                </w:tcPr>
                <w:p w14:paraId="57F8A8ED" w14:textId="77777777" w:rsidR="00C413AA" w:rsidRDefault="00C413AA">
                  <w:pPr>
                    <w:pStyle w:val="EFAFPColFrameText8pt"/>
                    <w:framePr w:w="0" w:hRule="auto" w:hSpace="0" w:wrap="around" w:vAnchor="margin" w:hAnchor="text" w:xAlign="right" w:y="-239" w:anchorLock="0"/>
                    <w:suppressOverlap/>
                    <w:rPr>
                      <w:rFonts w:eastAsia="MS Gothic"/>
                      <w:color w:val="FFFFFF" w:themeColor="background1"/>
                    </w:rPr>
                  </w:pPr>
                </w:p>
              </w:tc>
            </w:tr>
            <w:tr w:rsidR="00C413AA" w14:paraId="6838DB26" w14:textId="77777777">
              <w:trPr>
                <w:cantSplit/>
                <w:trHeight w:val="119"/>
              </w:trPr>
              <w:tc>
                <w:tcPr>
                  <w:tcW w:w="2694" w:type="dxa"/>
                </w:tcPr>
                <w:p w14:paraId="2A0500A4" w14:textId="77777777" w:rsidR="00C413AA" w:rsidRDefault="00000000">
                  <w:pPr>
                    <w:pStyle w:val="EFAFPColFrameAnalystName"/>
                    <w:framePr w:w="0" w:hRule="auto" w:hSpace="0" w:wrap="around" w:vAnchor="margin" w:hAnchor="text" w:xAlign="right" w:y="-239" w:anchorLock="0"/>
                    <w:suppressOverlap/>
                    <w:rPr>
                      <w:rFonts w:eastAsia="楷体_GB2312"/>
                    </w:rPr>
                  </w:pPr>
                  <w:r>
                    <w:rPr>
                      <w:rFonts w:eastAsia="楷体_GB2312" w:hint="eastAsia"/>
                    </w:rPr>
                    <w:t>杨斌</w:t>
                  </w:r>
                </w:p>
              </w:tc>
              <w:tc>
                <w:tcPr>
                  <w:tcW w:w="2551" w:type="dxa"/>
                </w:tcPr>
                <w:p w14:paraId="1CF66F11" w14:textId="77777777" w:rsidR="00C413AA" w:rsidRDefault="00C413AA">
                  <w:pPr>
                    <w:pStyle w:val="EFAFPColFrameAnalystName"/>
                    <w:framePr w:w="0" w:hRule="auto" w:hSpace="0" w:wrap="around" w:vAnchor="margin" w:hAnchor="text" w:xAlign="right" w:y="-239" w:anchorLock="0"/>
                    <w:suppressOverlap/>
                    <w:rPr>
                      <w:rFonts w:eastAsia="楷体_GB2312"/>
                    </w:rPr>
                  </w:pPr>
                </w:p>
              </w:tc>
              <w:tc>
                <w:tcPr>
                  <w:tcW w:w="2693" w:type="dxa"/>
                </w:tcPr>
                <w:p w14:paraId="350FB0B3" w14:textId="77777777" w:rsidR="00C413AA" w:rsidRDefault="00C413AA">
                  <w:pPr>
                    <w:pStyle w:val="EFAFPColFrameAnalystName"/>
                    <w:framePr w:w="0" w:hRule="auto" w:hSpace="0" w:wrap="around" w:vAnchor="margin" w:hAnchor="text" w:xAlign="right" w:y="-239" w:anchorLock="0"/>
                    <w:suppressOverlap/>
                    <w:rPr>
                      <w:rFonts w:eastAsia="楷体_GB2312"/>
                    </w:rPr>
                  </w:pPr>
                </w:p>
              </w:tc>
              <w:tc>
                <w:tcPr>
                  <w:tcW w:w="2694" w:type="dxa"/>
                </w:tcPr>
                <w:p w14:paraId="35FA8E7B" w14:textId="77777777" w:rsidR="00C413AA" w:rsidRDefault="00C413AA">
                  <w:pPr>
                    <w:pStyle w:val="EFAFPColFrameAnalystName"/>
                    <w:framePr w:w="0" w:hRule="auto" w:hSpace="0" w:wrap="around" w:vAnchor="margin" w:hAnchor="text" w:xAlign="right" w:y="-239" w:anchorLock="0"/>
                    <w:suppressOverlap/>
                    <w:rPr>
                      <w:rFonts w:eastAsia="楷体_GB2312"/>
                    </w:rPr>
                  </w:pPr>
                </w:p>
              </w:tc>
            </w:tr>
            <w:tr w:rsidR="00C413AA" w14:paraId="28869C45" w14:textId="77777777">
              <w:trPr>
                <w:cantSplit/>
                <w:trHeight w:val="119"/>
              </w:trPr>
              <w:tc>
                <w:tcPr>
                  <w:tcW w:w="2694" w:type="dxa"/>
                </w:tcPr>
                <w:p w14:paraId="683C322B" w14:textId="77777777" w:rsidR="00C413AA" w:rsidRDefault="00000000">
                  <w:pPr>
                    <w:pStyle w:val="EFAFPColFrameAnalystName"/>
                    <w:framePr w:w="0" w:hRule="auto" w:hSpace="0" w:wrap="around" w:vAnchor="margin" w:hAnchor="text" w:xAlign="right" w:y="-239" w:anchorLock="0"/>
                    <w:suppressOverlap/>
                    <w:rPr>
                      <w:rFonts w:eastAsia="楷体_GB2312"/>
                      <w:b w:val="0"/>
                    </w:rPr>
                  </w:pPr>
                  <w:r>
                    <w:rPr>
                      <w:rFonts w:eastAsia="楷体_GB2312" w:hint="eastAsia"/>
                      <w:b w:val="0"/>
                    </w:rPr>
                    <w:t>harryyang</w:t>
                  </w:r>
                  <w:r>
                    <w:rPr>
                      <w:rFonts w:eastAsia="楷体_GB2312"/>
                      <w:b w:val="0"/>
                    </w:rPr>
                    <w:t>@</w:t>
                  </w:r>
                  <w:r>
                    <w:rPr>
                      <w:rFonts w:eastAsia="楷体_GB2312" w:hint="eastAsia"/>
                      <w:b w:val="0"/>
                    </w:rPr>
                    <w:t>hfisec</w:t>
                  </w:r>
                  <w:r>
                    <w:rPr>
                      <w:rFonts w:eastAsia="楷体_GB2312"/>
                      <w:b w:val="0"/>
                    </w:rPr>
                    <w:t>.com</w:t>
                  </w:r>
                  <w:r>
                    <w:rPr>
                      <w:rFonts w:eastAsia="楷体_GB2312" w:hint="eastAsia"/>
                      <w:b w:val="0"/>
                    </w:rPr>
                    <w:t>.hk</w:t>
                  </w:r>
                </w:p>
              </w:tc>
              <w:tc>
                <w:tcPr>
                  <w:tcW w:w="2551" w:type="dxa"/>
                </w:tcPr>
                <w:p w14:paraId="685D9501"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693" w:type="dxa"/>
                </w:tcPr>
                <w:p w14:paraId="692A2B17"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694" w:type="dxa"/>
                </w:tcPr>
                <w:p w14:paraId="11C4087F"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r>
            <w:tr w:rsidR="00C413AA" w14:paraId="1CBEDC44" w14:textId="77777777">
              <w:trPr>
                <w:cantSplit/>
                <w:trHeight w:val="119"/>
              </w:trPr>
              <w:tc>
                <w:tcPr>
                  <w:tcW w:w="2694" w:type="dxa"/>
                </w:tcPr>
                <w:p w14:paraId="4F25DC61"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551" w:type="dxa"/>
                </w:tcPr>
                <w:p w14:paraId="7A8462DB"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693" w:type="dxa"/>
                </w:tcPr>
                <w:p w14:paraId="43D161CC"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694" w:type="dxa"/>
                </w:tcPr>
                <w:p w14:paraId="52A19ADC"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r>
            <w:tr w:rsidR="00C413AA" w14:paraId="1DE6BAD0" w14:textId="77777777">
              <w:trPr>
                <w:cantSplit/>
                <w:trHeight w:val="119"/>
              </w:trPr>
              <w:tc>
                <w:tcPr>
                  <w:tcW w:w="2694" w:type="dxa"/>
                </w:tcPr>
                <w:p w14:paraId="6114D738"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551" w:type="dxa"/>
                </w:tcPr>
                <w:p w14:paraId="77917A39"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693" w:type="dxa"/>
                </w:tcPr>
                <w:p w14:paraId="230AD8B7"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c>
                <w:tcPr>
                  <w:tcW w:w="2694" w:type="dxa"/>
                </w:tcPr>
                <w:p w14:paraId="7228AFA1" w14:textId="77777777" w:rsidR="00C413AA" w:rsidRDefault="00C413AA">
                  <w:pPr>
                    <w:pStyle w:val="EFAFPColFrameAnalystName"/>
                    <w:framePr w:w="0" w:hRule="auto" w:hSpace="0" w:wrap="around" w:vAnchor="margin" w:hAnchor="text" w:xAlign="right" w:y="-239" w:anchorLock="0"/>
                    <w:suppressOverlap/>
                    <w:rPr>
                      <w:rFonts w:eastAsia="楷体_GB2312"/>
                      <w:b w:val="0"/>
                    </w:rPr>
                  </w:pPr>
                </w:p>
              </w:tc>
            </w:tr>
          </w:tbl>
          <w:p w14:paraId="379972D6" w14:textId="77777777" w:rsidR="00C413AA" w:rsidRDefault="00C413AA">
            <w:pPr>
              <w:pStyle w:val="EFAFPColFrameAnalystName"/>
              <w:framePr w:w="0" w:hRule="auto" w:hSpace="0" w:wrap="auto" w:vAnchor="margin" w:hAnchor="text" w:xAlign="left" w:yAlign="inline" w:anchorLock="0"/>
              <w:rPr>
                <w:rFonts w:eastAsia="楷体_GB2312"/>
                <w:sz w:val="18"/>
                <w:szCs w:val="18"/>
                <w:lang w:val="en-GB"/>
              </w:rPr>
            </w:pPr>
          </w:p>
        </w:tc>
      </w:tr>
      <w:tr w:rsidR="00C413AA" w14:paraId="3EE1C5AA" w14:textId="77777777">
        <w:trPr>
          <w:trHeight w:hRule="exact" w:val="170"/>
        </w:trPr>
        <w:tc>
          <w:tcPr>
            <w:tcW w:w="10376" w:type="dxa"/>
            <w:gridSpan w:val="2"/>
          </w:tcPr>
          <w:p w14:paraId="24D29D1A" w14:textId="77777777" w:rsidR="00C413AA" w:rsidRDefault="00C413AA">
            <w:pPr>
              <w:pStyle w:val="EFAFPColFrameAnalystName"/>
              <w:framePr w:w="0" w:hRule="auto" w:hSpace="0" w:wrap="auto" w:vAnchor="margin" w:hAnchor="text" w:xAlign="left" w:yAlign="inline" w:anchorLock="0"/>
              <w:rPr>
                <w:rFonts w:eastAsia="楷体_GB2312"/>
                <w:b w:val="0"/>
              </w:rPr>
            </w:pPr>
          </w:p>
        </w:tc>
      </w:tr>
    </w:tbl>
    <w:p w14:paraId="7668CEB7" w14:textId="77777777" w:rsidR="00C413AA" w:rsidRDefault="00C413AA">
      <w:pPr>
        <w:pStyle w:val="EFAFPBodyText2"/>
        <w:spacing w:after="0" w:line="20" w:lineRule="exact"/>
        <w:rPr>
          <w:rFonts w:eastAsia="楷体_GB2312"/>
          <w:sz w:val="20"/>
          <w:lang w:eastAsia="zh-CN"/>
        </w:rPr>
      </w:pPr>
      <w:bookmarkStart w:id="0" w:name="OLE_LINK2"/>
      <w:bookmarkStart w:id="1" w:name="OLE_LINK1"/>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summary]"/>
        <w:tblDescription w:val="表格隐藏唯一标识（请勿删除或修改）"/>
      </w:tblPr>
      <w:tblGrid>
        <w:gridCol w:w="10349"/>
      </w:tblGrid>
      <w:tr w:rsidR="00C413AA" w14:paraId="01CB3615" w14:textId="77777777">
        <w:trPr>
          <w:trHeight w:hRule="exact" w:val="23"/>
        </w:trPr>
        <w:tc>
          <w:tcPr>
            <w:tcW w:w="10349" w:type="dxa"/>
          </w:tcPr>
          <w:p w14:paraId="2DCF3905" w14:textId="77777777" w:rsidR="00C413AA" w:rsidRDefault="00000000">
            <w:pPr>
              <w:pStyle w:val="EFAFPBodyText2"/>
              <w:spacing w:after="0"/>
              <w:rPr>
                <w:rFonts w:eastAsia="楷体_GB2312" w:cs="Times New Roman"/>
                <w:bCs/>
                <w:kern w:val="28"/>
                <w:sz w:val="20"/>
                <w:lang w:val="en-GB" w:eastAsia="zh-CN"/>
              </w:rPr>
            </w:pPr>
            <w:r>
              <w:rPr>
                <w:rFonts w:eastAsia="楷体_GB2312" w:cs="Times New Roman" w:hint="eastAsia"/>
                <w:bCs/>
                <w:color w:val="FFFFFF" w:themeColor="background1"/>
                <w:kern w:val="28"/>
                <w:sz w:val="20"/>
                <w:lang w:val="en-GB" w:eastAsia="zh-CN"/>
              </w:rPr>
              <w:t>[</w:t>
            </w:r>
            <w:r>
              <w:rPr>
                <w:rFonts w:eastAsia="楷体_GB2312" w:cs="Times New Roman"/>
                <w:bCs/>
                <w:color w:val="FFFFFF" w:themeColor="background1"/>
                <w:kern w:val="28"/>
                <w:sz w:val="20"/>
                <w:lang w:val="en-GB" w:eastAsia="zh-CN"/>
              </w:rPr>
              <w:t>Table_summary]</w:t>
            </w:r>
          </w:p>
        </w:tc>
      </w:tr>
      <w:tr w:rsidR="00C413AA" w14:paraId="3A0B6D98" w14:textId="77777777">
        <w:trPr>
          <w:trHeight w:val="9353"/>
        </w:trPr>
        <w:tc>
          <w:tcPr>
            <w:tcW w:w="10349" w:type="dxa"/>
          </w:tcPr>
          <w:p w14:paraId="606F8A53" w14:textId="77777777" w:rsidR="00437777" w:rsidRDefault="00437777" w:rsidP="00437777">
            <w:pPr>
              <w:pStyle w:val="EFAFPBodyText2"/>
              <w:spacing w:before="120"/>
              <w:rPr>
                <w:rFonts w:eastAsia="楷体_GB2312" w:cs="Times New Roman"/>
                <w:b/>
                <w:bCs/>
                <w:kern w:val="28"/>
                <w:lang w:eastAsia="zh-CN"/>
              </w:rPr>
            </w:pPr>
            <w:r>
              <w:rPr>
                <w:rFonts w:eastAsia="楷体_GB2312" w:cs="Times New Roman" w:hint="eastAsia"/>
                <w:b/>
                <w:bCs/>
                <w:kern w:val="28"/>
                <w:lang w:eastAsia="zh-CN"/>
              </w:rPr>
              <w:t>事件一：</w:t>
            </w:r>
          </w:p>
          <w:p w14:paraId="60A9780E" w14:textId="0E7FD9CF" w:rsidR="00437777" w:rsidRPr="00437777" w:rsidRDefault="006577E6">
            <w:pPr>
              <w:pStyle w:val="EFAFPBodyText2"/>
              <w:rPr>
                <w:rFonts w:eastAsia="楷体_GB2312" w:cs="Times New Roman"/>
                <w:sz w:val="20"/>
                <w:lang w:val="zh-CN" w:eastAsia="zh-CN"/>
              </w:rPr>
            </w:pPr>
            <w:r w:rsidRPr="006577E6">
              <w:rPr>
                <w:rFonts w:eastAsia="楷体_GB2312" w:cs="Times New Roman"/>
                <w:sz w:val="20"/>
                <w:lang w:val="en-GB" w:eastAsia="zh-CN"/>
              </w:rPr>
              <w:t>2026</w:t>
            </w:r>
            <w:r w:rsidRPr="006577E6">
              <w:rPr>
                <w:rFonts w:eastAsia="楷体_GB2312" w:cs="Times New Roman"/>
                <w:sz w:val="20"/>
                <w:lang w:val="en-GB" w:eastAsia="zh-CN"/>
              </w:rPr>
              <w:t>年</w:t>
            </w:r>
            <w:r w:rsidRPr="006577E6">
              <w:rPr>
                <w:rFonts w:eastAsia="楷体_GB2312" w:cs="Times New Roman"/>
                <w:sz w:val="20"/>
                <w:lang w:val="en-GB" w:eastAsia="zh-CN"/>
              </w:rPr>
              <w:t>1</w:t>
            </w:r>
            <w:r w:rsidRPr="006577E6">
              <w:rPr>
                <w:rFonts w:eastAsia="楷体_GB2312" w:cs="Times New Roman"/>
                <w:sz w:val="20"/>
                <w:lang w:val="en-GB" w:eastAsia="zh-CN"/>
              </w:rPr>
              <w:t>月，</w:t>
            </w:r>
            <w:r w:rsidRPr="006577E6">
              <w:rPr>
                <w:rFonts w:eastAsia="楷体_GB2312" w:cs="Times New Roman" w:hint="eastAsia"/>
                <w:sz w:val="20"/>
                <w:lang w:val="en-GB" w:eastAsia="zh-CN"/>
              </w:rPr>
              <w:t>冬季风暴</w:t>
            </w:r>
            <w:r w:rsidRPr="006577E6">
              <w:rPr>
                <w:rFonts w:eastAsia="楷体_GB2312" w:cs="Times New Roman"/>
                <w:sz w:val="20"/>
                <w:lang w:val="en-GB" w:eastAsia="zh-CN"/>
              </w:rPr>
              <w:t xml:space="preserve"> “Fern”</w:t>
            </w:r>
            <w:r w:rsidRPr="006577E6">
              <w:rPr>
                <w:rFonts w:eastAsia="楷体_GB2312" w:cs="Times New Roman" w:hint="eastAsia"/>
                <w:sz w:val="20"/>
                <w:lang w:val="en-GB" w:eastAsia="zh-CN"/>
              </w:rPr>
              <w:t xml:space="preserve"> </w:t>
            </w:r>
            <w:r w:rsidRPr="006577E6">
              <w:rPr>
                <w:rFonts w:eastAsia="楷体_GB2312" w:cs="Times New Roman" w:hint="eastAsia"/>
                <w:sz w:val="20"/>
                <w:lang w:val="en-GB" w:eastAsia="zh-CN"/>
              </w:rPr>
              <w:t>重创美国</w:t>
            </w:r>
            <w:r w:rsidRPr="006577E6">
              <w:rPr>
                <w:rFonts w:eastAsia="楷体_GB2312" w:cs="Times New Roman"/>
                <w:sz w:val="20"/>
                <w:lang w:val="en-GB" w:eastAsia="zh-CN"/>
              </w:rPr>
              <w:t>，导致全美超</w:t>
            </w:r>
            <w:r w:rsidRPr="006577E6">
              <w:rPr>
                <w:rFonts w:eastAsia="楷体_GB2312" w:cs="Times New Roman"/>
                <w:sz w:val="20"/>
                <w:lang w:val="en-GB" w:eastAsia="zh-CN"/>
              </w:rPr>
              <w:t>100</w:t>
            </w:r>
            <w:r w:rsidRPr="006577E6">
              <w:rPr>
                <w:rFonts w:eastAsia="楷体_GB2312" w:cs="Times New Roman"/>
                <w:sz w:val="20"/>
                <w:lang w:val="en-GB" w:eastAsia="zh-CN"/>
              </w:rPr>
              <w:t>万用户断电，田纳西及密西西比州灾情尤为严重。</w:t>
            </w:r>
            <w:r w:rsidR="00437777" w:rsidRPr="00437777">
              <w:rPr>
                <w:rFonts w:eastAsia="楷体_GB2312" w:cs="Times New Roman"/>
                <w:sz w:val="20"/>
                <w:lang w:val="zh-CN" w:eastAsia="zh-CN"/>
              </w:rPr>
              <w:t>极端低温使电价飙升超</w:t>
            </w:r>
            <w:r w:rsidR="00437777" w:rsidRPr="00437777">
              <w:rPr>
                <w:rFonts w:eastAsia="楷体_GB2312" w:cs="Times New Roman"/>
                <w:sz w:val="20"/>
                <w:lang w:val="zh-CN" w:eastAsia="zh-CN"/>
              </w:rPr>
              <w:t>1400%</w:t>
            </w:r>
            <w:r w:rsidR="00437777" w:rsidRPr="00437777">
              <w:rPr>
                <w:rFonts w:eastAsia="楷体_GB2312" w:cs="Times New Roman"/>
                <w:sz w:val="20"/>
                <w:lang w:val="zh-CN" w:eastAsia="zh-CN"/>
              </w:rPr>
              <w:t>，多地因线路结冰和设备故障陷入能源危机。</w:t>
            </w:r>
          </w:p>
          <w:p w14:paraId="6BE67F1F" w14:textId="4FC061BE" w:rsidR="00C413AA" w:rsidRDefault="00000000">
            <w:pPr>
              <w:pStyle w:val="EFAFPBodyText2"/>
              <w:rPr>
                <w:rFonts w:eastAsia="楷体_GB2312" w:cs="Times New Roman"/>
                <w:b/>
                <w:bCs/>
                <w:kern w:val="28"/>
                <w:lang w:eastAsia="zh-CN"/>
              </w:rPr>
            </w:pPr>
            <w:r>
              <w:rPr>
                <w:rFonts w:eastAsia="楷体_GB2312" w:cs="Times New Roman" w:hint="eastAsia"/>
                <w:b/>
                <w:bCs/>
                <w:kern w:val="28"/>
                <w:lang w:eastAsia="zh-CN"/>
              </w:rPr>
              <w:t>事件</w:t>
            </w:r>
            <w:r w:rsidR="00437777">
              <w:rPr>
                <w:rFonts w:eastAsia="楷体_GB2312" w:cs="Times New Roman" w:hint="eastAsia"/>
                <w:b/>
                <w:bCs/>
                <w:kern w:val="28"/>
                <w:lang w:eastAsia="zh-CN"/>
              </w:rPr>
              <w:t>二</w:t>
            </w:r>
            <w:r>
              <w:rPr>
                <w:rFonts w:eastAsia="楷体_GB2312" w:cs="Times New Roman" w:hint="eastAsia"/>
                <w:b/>
                <w:bCs/>
                <w:kern w:val="28"/>
                <w:lang w:eastAsia="zh-CN"/>
              </w:rPr>
              <w:t>：</w:t>
            </w:r>
          </w:p>
          <w:p w14:paraId="04A7AAA6" w14:textId="5E80418C" w:rsidR="00C413AA" w:rsidRDefault="00000000">
            <w:pPr>
              <w:pStyle w:val="EFABodyText"/>
              <w:jc w:val="both"/>
              <w:rPr>
                <w:rFonts w:eastAsia="楷体_GB2312"/>
                <w:snapToGrid/>
                <w:szCs w:val="20"/>
                <w:lang w:val="zh-CN" w:eastAsia="zh-CN"/>
              </w:rPr>
            </w:pPr>
            <w:r w:rsidRPr="00437777">
              <w:rPr>
                <w:rFonts w:eastAsia="楷体_GB2312"/>
                <w:snapToGrid/>
                <w:szCs w:val="20"/>
                <w:lang w:val="en-GB" w:eastAsia="zh-CN"/>
              </w:rPr>
              <w:t>2026</w:t>
            </w:r>
            <w:r>
              <w:rPr>
                <w:rFonts w:eastAsia="楷体_GB2312"/>
                <w:snapToGrid/>
                <w:szCs w:val="20"/>
                <w:lang w:val="zh-CN" w:eastAsia="zh-CN"/>
              </w:rPr>
              <w:t>年</w:t>
            </w:r>
            <w:r w:rsidRPr="00437777">
              <w:rPr>
                <w:rFonts w:eastAsia="楷体_GB2312"/>
                <w:snapToGrid/>
                <w:szCs w:val="20"/>
                <w:lang w:val="en-GB" w:eastAsia="zh-CN"/>
              </w:rPr>
              <w:t>2</w:t>
            </w:r>
            <w:r>
              <w:rPr>
                <w:rFonts w:eastAsia="楷体_GB2312"/>
                <w:snapToGrid/>
                <w:szCs w:val="20"/>
                <w:lang w:val="zh-CN" w:eastAsia="zh-CN"/>
              </w:rPr>
              <w:t>月</w:t>
            </w:r>
            <w:r w:rsidRPr="00437777">
              <w:rPr>
                <w:rFonts w:eastAsia="楷体_GB2312"/>
                <w:snapToGrid/>
                <w:szCs w:val="20"/>
                <w:lang w:val="en-GB" w:eastAsia="zh-CN"/>
              </w:rPr>
              <w:t>，</w:t>
            </w:r>
            <w:r>
              <w:rPr>
                <w:rFonts w:eastAsia="楷体_GB2312"/>
                <w:snapToGrid/>
                <w:szCs w:val="20"/>
                <w:lang w:val="zh-CN" w:eastAsia="zh-CN"/>
              </w:rPr>
              <w:t>清洁能源美国人联盟</w:t>
            </w:r>
            <w:r w:rsidRPr="00437777">
              <w:rPr>
                <w:rFonts w:eastAsia="楷体_GB2312"/>
                <w:snapToGrid/>
                <w:szCs w:val="20"/>
                <w:lang w:val="en-GB" w:eastAsia="zh-CN"/>
              </w:rPr>
              <w:t>（</w:t>
            </w:r>
            <w:r w:rsidRPr="00437777">
              <w:rPr>
                <w:rFonts w:eastAsia="楷体_GB2312"/>
                <w:snapToGrid/>
                <w:szCs w:val="20"/>
                <w:lang w:val="en-GB" w:eastAsia="zh-CN"/>
              </w:rPr>
              <w:t>ACEG</w:t>
            </w:r>
            <w:r w:rsidRPr="00437777">
              <w:rPr>
                <w:rFonts w:eastAsia="楷体_GB2312"/>
                <w:snapToGrid/>
                <w:szCs w:val="20"/>
                <w:lang w:val="en-GB" w:eastAsia="zh-CN"/>
              </w:rPr>
              <w:t>）</w:t>
            </w:r>
            <w:r>
              <w:rPr>
                <w:rFonts w:eastAsia="楷体_GB2312"/>
                <w:snapToGrid/>
                <w:szCs w:val="20"/>
                <w:lang w:val="zh-CN" w:eastAsia="zh-CN"/>
              </w:rPr>
              <w:t>与</w:t>
            </w:r>
            <w:r w:rsidRPr="00437777">
              <w:rPr>
                <w:rFonts w:eastAsia="楷体_GB2312"/>
                <w:snapToGrid/>
                <w:szCs w:val="20"/>
                <w:lang w:val="en-GB" w:eastAsia="zh-CN"/>
              </w:rPr>
              <w:t>Grid Strategies</w:t>
            </w:r>
            <w:r>
              <w:rPr>
                <w:rFonts w:eastAsia="楷体_GB2312"/>
                <w:snapToGrid/>
                <w:szCs w:val="20"/>
                <w:lang w:val="zh-CN" w:eastAsia="zh-CN"/>
              </w:rPr>
              <w:t>联合发布了《</w:t>
            </w:r>
            <w:r w:rsidRPr="00437777">
              <w:rPr>
                <w:rFonts w:eastAsia="楷体_GB2312"/>
                <w:snapToGrid/>
                <w:szCs w:val="20"/>
                <w:lang w:val="en-GB" w:eastAsia="zh-CN"/>
              </w:rPr>
              <w:t>2025</w:t>
            </w:r>
            <w:r>
              <w:rPr>
                <w:rFonts w:eastAsia="楷体_GB2312"/>
                <w:snapToGrid/>
                <w:szCs w:val="20"/>
                <w:lang w:val="zh-CN" w:eastAsia="zh-CN"/>
              </w:rPr>
              <w:t>年输电规划与发展报告卡》。该报告是继</w:t>
            </w:r>
            <w:r>
              <w:rPr>
                <w:rFonts w:eastAsia="楷体_GB2312"/>
                <w:snapToGrid/>
                <w:szCs w:val="20"/>
                <w:lang w:val="zh-CN" w:eastAsia="zh-CN"/>
              </w:rPr>
              <w:t>2023</w:t>
            </w:r>
            <w:r>
              <w:rPr>
                <w:rFonts w:eastAsia="楷体_GB2312"/>
                <w:snapToGrid/>
                <w:szCs w:val="20"/>
                <w:lang w:val="zh-CN" w:eastAsia="zh-CN"/>
              </w:rPr>
              <w:t>年首版后的重要更新，全面评估了全美十个地区的输电规划效能。报告指出，尽管受到联邦能源管理委员会（</w:t>
            </w:r>
            <w:r>
              <w:rPr>
                <w:rFonts w:eastAsia="楷体_GB2312"/>
                <w:snapToGrid/>
                <w:szCs w:val="20"/>
                <w:lang w:val="zh-CN" w:eastAsia="zh-CN"/>
              </w:rPr>
              <w:t>FERC</w:t>
            </w:r>
            <w:r>
              <w:rPr>
                <w:rFonts w:eastAsia="楷体_GB2312"/>
                <w:snapToGrid/>
                <w:szCs w:val="20"/>
                <w:lang w:val="zh-CN" w:eastAsia="zh-CN"/>
              </w:rPr>
              <w:t>）第</w:t>
            </w:r>
            <w:r>
              <w:rPr>
                <w:rFonts w:eastAsia="楷体_GB2312"/>
                <w:snapToGrid/>
                <w:szCs w:val="20"/>
                <w:lang w:val="zh-CN" w:eastAsia="zh-CN"/>
              </w:rPr>
              <w:t>1920</w:t>
            </w:r>
            <w:r>
              <w:rPr>
                <w:rFonts w:eastAsia="楷体_GB2312"/>
                <w:snapToGrid/>
                <w:szCs w:val="20"/>
                <w:lang w:val="zh-CN" w:eastAsia="zh-CN"/>
              </w:rPr>
              <w:t>号法令等政策驱动，多数地区的电力规划得分较</w:t>
            </w:r>
            <w:r>
              <w:rPr>
                <w:rFonts w:eastAsia="楷体_GB2312"/>
                <w:snapToGrid/>
                <w:szCs w:val="20"/>
                <w:lang w:val="zh-CN" w:eastAsia="zh-CN"/>
              </w:rPr>
              <w:t>2023</w:t>
            </w:r>
            <w:r>
              <w:rPr>
                <w:rFonts w:eastAsia="楷体_GB2312" w:hint="eastAsia"/>
                <w:snapToGrid/>
                <w:szCs w:val="20"/>
                <w:lang w:val="zh-CN" w:eastAsia="zh-CN"/>
              </w:rPr>
              <w:t>年有了</w:t>
            </w:r>
            <w:r>
              <w:rPr>
                <w:rFonts w:eastAsia="楷体_GB2312"/>
                <w:snapToGrid/>
                <w:szCs w:val="20"/>
                <w:lang w:val="zh-CN" w:eastAsia="zh-CN"/>
              </w:rPr>
              <w:t xml:space="preserve"> “</w:t>
            </w:r>
            <w:r>
              <w:rPr>
                <w:rFonts w:eastAsia="楷体_GB2312" w:hint="eastAsia"/>
                <w:snapToGrid/>
                <w:szCs w:val="20"/>
                <w:lang w:val="zh-CN" w:eastAsia="zh-CN"/>
              </w:rPr>
              <w:t>渐进式</w:t>
            </w:r>
            <w:r>
              <w:rPr>
                <w:rFonts w:eastAsia="楷体_GB2312"/>
                <w:snapToGrid/>
                <w:szCs w:val="20"/>
                <w:lang w:val="zh-CN" w:eastAsia="zh-CN"/>
              </w:rPr>
              <w:t>”</w:t>
            </w:r>
            <w:r>
              <w:rPr>
                <w:rFonts w:eastAsia="楷体_GB2312" w:hint="eastAsia"/>
                <w:snapToGrid/>
                <w:szCs w:val="20"/>
                <w:lang w:val="zh-CN" w:eastAsia="zh-CN"/>
              </w:rPr>
              <w:t xml:space="preserve"> </w:t>
            </w:r>
            <w:r>
              <w:rPr>
                <w:rFonts w:eastAsia="楷体_GB2312" w:hint="eastAsia"/>
                <w:snapToGrid/>
                <w:szCs w:val="20"/>
                <w:lang w:val="zh-CN" w:eastAsia="zh-CN"/>
              </w:rPr>
              <w:t>提升</w:t>
            </w:r>
            <w:r>
              <w:rPr>
                <w:rFonts w:eastAsia="楷体_GB2312"/>
                <w:snapToGrid/>
                <w:szCs w:val="20"/>
                <w:lang w:val="zh-CN" w:eastAsia="zh-CN"/>
              </w:rPr>
              <w:t>，但整体进度仍远滞后于现实需求。报告</w:t>
            </w:r>
            <w:r>
              <w:rPr>
                <w:rFonts w:eastAsia="楷体_GB2312" w:hint="eastAsia"/>
                <w:snapToGrid/>
                <w:szCs w:val="20"/>
                <w:lang w:val="zh-CN" w:eastAsia="zh-CN"/>
              </w:rPr>
              <w:t>指出</w:t>
            </w:r>
            <w:r>
              <w:rPr>
                <w:rFonts w:eastAsia="楷体_GB2312"/>
                <w:snapToGrid/>
                <w:szCs w:val="20"/>
                <w:lang w:val="zh-CN" w:eastAsia="zh-CN"/>
              </w:rPr>
              <w:t>随着</w:t>
            </w:r>
            <w:r w:rsidR="00437777">
              <w:rPr>
                <w:rFonts w:eastAsia="楷体_GB2312" w:hint="eastAsia"/>
                <w:snapToGrid/>
                <w:szCs w:val="20"/>
                <w:lang w:val="zh-CN" w:eastAsia="zh-CN"/>
              </w:rPr>
              <w:t>AIDC</w:t>
            </w:r>
            <w:r>
              <w:rPr>
                <w:rFonts w:eastAsia="楷体_GB2312"/>
                <w:snapToGrid/>
                <w:szCs w:val="20"/>
                <w:lang w:val="zh-CN" w:eastAsia="zh-CN"/>
              </w:rPr>
              <w:t>、制造业回流以及全面电气化的加速，全美电力需求正在经历数十年不遇的激增</w:t>
            </w:r>
            <w:r>
              <w:rPr>
                <w:rFonts w:eastAsia="楷体_GB2312" w:hint="eastAsia"/>
                <w:snapToGrid/>
                <w:szCs w:val="20"/>
                <w:lang w:val="zh-CN" w:eastAsia="zh-CN"/>
              </w:rPr>
              <w:t>。</w:t>
            </w:r>
            <w:r>
              <w:rPr>
                <w:rFonts w:eastAsia="楷体_GB2312"/>
                <w:snapToGrid/>
                <w:szCs w:val="20"/>
                <w:lang w:val="zh-CN" w:eastAsia="zh-CN"/>
              </w:rPr>
              <w:t>然而，电网扩容的步伐却步履蹒跚。在评分中，</w:t>
            </w:r>
            <w:r w:rsidR="00437777" w:rsidRPr="00437777">
              <w:rPr>
                <w:rFonts w:eastAsia="楷体_GB2312"/>
                <w:snapToGrid/>
                <w:szCs w:val="20"/>
                <w:lang w:val="en-GB" w:eastAsia="zh-CN"/>
              </w:rPr>
              <w:t>加州（</w:t>
            </w:r>
            <w:r w:rsidR="00437777" w:rsidRPr="00437777">
              <w:rPr>
                <w:rFonts w:eastAsia="楷体_GB2312"/>
                <w:snapToGrid/>
                <w:szCs w:val="20"/>
                <w:lang w:val="en-GB" w:eastAsia="zh-CN"/>
              </w:rPr>
              <w:t>CAISO</w:t>
            </w:r>
            <w:r w:rsidR="00437777" w:rsidRPr="00437777">
              <w:rPr>
                <w:rFonts w:eastAsia="楷体_GB2312"/>
                <w:snapToGrid/>
                <w:szCs w:val="20"/>
                <w:lang w:val="en-GB" w:eastAsia="zh-CN"/>
              </w:rPr>
              <w:t>）凭借其前瞻性的</w:t>
            </w:r>
            <w:r w:rsidR="00437777" w:rsidRPr="00437777">
              <w:rPr>
                <w:rFonts w:eastAsia="楷体_GB2312"/>
                <w:snapToGrid/>
                <w:szCs w:val="20"/>
                <w:lang w:val="en-GB" w:eastAsia="zh-CN"/>
              </w:rPr>
              <w:t>20</w:t>
            </w:r>
            <w:r w:rsidR="00437777" w:rsidRPr="00437777">
              <w:rPr>
                <w:rFonts w:eastAsia="楷体_GB2312"/>
                <w:snapToGrid/>
                <w:szCs w:val="20"/>
                <w:lang w:val="en-GB" w:eastAsia="zh-CN"/>
              </w:rPr>
              <w:t>年长期规划和积极的跨州协作，</w:t>
            </w:r>
            <w:r w:rsidR="00437777">
              <w:rPr>
                <w:rFonts w:eastAsia="楷体_GB2312" w:hint="eastAsia"/>
                <w:snapToGrid/>
                <w:szCs w:val="20"/>
                <w:lang w:val="en-GB" w:eastAsia="zh"/>
              </w:rPr>
              <w:t>已成为全美电网规划的基准，</w:t>
            </w:r>
            <w:r w:rsidR="00437777">
              <w:rPr>
                <w:rFonts w:eastAsia="楷体_GB2312" w:hint="eastAsia"/>
                <w:snapToGrid/>
                <w:szCs w:val="20"/>
                <w:lang w:val="en-GB" w:eastAsia="zh-CN"/>
              </w:rPr>
              <w:t>综合</w:t>
            </w:r>
            <w:r w:rsidR="00437777" w:rsidRPr="00437777">
              <w:rPr>
                <w:rFonts w:eastAsia="楷体_GB2312"/>
                <w:snapToGrid/>
                <w:szCs w:val="20"/>
                <w:lang w:val="en-GB" w:eastAsia="zh-CN"/>
              </w:rPr>
              <w:t>得分从上一版的</w:t>
            </w:r>
            <w:r w:rsidR="00437777">
              <w:rPr>
                <w:rFonts w:eastAsia="楷体_GB2312" w:hint="eastAsia"/>
                <w:snapToGrid/>
                <w:szCs w:val="20"/>
                <w:lang w:val="en-GB" w:eastAsia="zh-CN"/>
              </w:rPr>
              <w:t>B</w:t>
            </w:r>
            <w:r w:rsidR="00437777" w:rsidRPr="00437777">
              <w:rPr>
                <w:rFonts w:eastAsia="楷体_GB2312"/>
                <w:snapToGrid/>
                <w:szCs w:val="20"/>
                <w:lang w:val="en-GB" w:eastAsia="zh-CN"/>
              </w:rPr>
              <w:t>跃升至</w:t>
            </w:r>
            <w:r w:rsidR="00437777">
              <w:rPr>
                <w:rFonts w:eastAsia="楷体_GB2312" w:hint="eastAsia"/>
                <w:snapToGrid/>
                <w:szCs w:val="20"/>
                <w:lang w:val="en-GB" w:eastAsia="zh-CN"/>
              </w:rPr>
              <w:t>A-</w:t>
            </w:r>
            <w:r w:rsidR="00437777">
              <w:rPr>
                <w:rFonts w:eastAsia="楷体_GB2312" w:hint="eastAsia"/>
                <w:snapToGrid/>
                <w:szCs w:val="20"/>
                <w:lang w:val="en-GB" w:eastAsia="zh-CN"/>
              </w:rPr>
              <w:t>。</w:t>
            </w:r>
            <w:r>
              <w:rPr>
                <w:rFonts w:eastAsia="楷体_GB2312"/>
                <w:snapToGrid/>
                <w:szCs w:val="20"/>
                <w:lang w:val="zh-CN" w:eastAsia="zh-CN"/>
              </w:rPr>
              <w:t>德克萨斯州（</w:t>
            </w:r>
            <w:r>
              <w:rPr>
                <w:rFonts w:eastAsia="楷体_GB2312"/>
                <w:snapToGrid/>
                <w:szCs w:val="20"/>
                <w:lang w:val="zh-CN" w:eastAsia="zh-CN"/>
              </w:rPr>
              <w:t>ERCOT</w:t>
            </w:r>
            <w:r>
              <w:rPr>
                <w:rFonts w:eastAsia="楷体_GB2312"/>
                <w:snapToGrid/>
                <w:szCs w:val="20"/>
                <w:lang w:val="zh-CN" w:eastAsia="zh-CN"/>
              </w:rPr>
              <w:t>）则由于缺乏跨区域互联规划，评分跌至</w:t>
            </w:r>
            <w:r>
              <w:rPr>
                <w:rFonts w:eastAsia="楷体_GB2312"/>
                <w:snapToGrid/>
                <w:szCs w:val="20"/>
                <w:lang w:val="zh-CN" w:eastAsia="zh-CN"/>
              </w:rPr>
              <w:t>D-</w:t>
            </w:r>
            <w:r>
              <w:rPr>
                <w:rFonts w:eastAsia="楷体_GB2312"/>
                <w:snapToGrid/>
                <w:szCs w:val="20"/>
                <w:lang w:val="zh-CN" w:eastAsia="zh-CN"/>
              </w:rPr>
              <w:t>。报告警告称，如果各地区继续依赖增量式、反应式的规划</w:t>
            </w:r>
            <w:r>
              <w:rPr>
                <w:rFonts w:eastAsia="楷体_GB2312" w:hint="eastAsia"/>
                <w:snapToGrid/>
                <w:szCs w:val="20"/>
                <w:lang w:val="zh-CN" w:eastAsia="zh"/>
              </w:rPr>
              <w:t>，</w:t>
            </w:r>
            <w:r>
              <w:rPr>
                <w:rFonts w:eastAsia="楷体_GB2312"/>
                <w:snapToGrid/>
                <w:szCs w:val="20"/>
                <w:lang w:val="zh-CN" w:eastAsia="zh-CN"/>
              </w:rPr>
              <w:t>而非前瞻性的长期方案，美国电网将难以支撑未来的负荷增长。</w:t>
            </w:r>
          </w:p>
          <w:p w14:paraId="2F4A5961" w14:textId="77777777" w:rsidR="00C413AA" w:rsidRDefault="00C413AA">
            <w:pPr>
              <w:jc w:val="both"/>
              <w:rPr>
                <w:rFonts w:eastAsia="楷体_GB2312"/>
                <w:sz w:val="20"/>
                <w:szCs w:val="20"/>
                <w:lang w:val="zh-CN" w:eastAsia="zh-CN"/>
              </w:rPr>
            </w:pPr>
          </w:p>
          <w:p w14:paraId="5253A51F" w14:textId="77777777" w:rsidR="00C413AA" w:rsidRDefault="00000000">
            <w:pPr>
              <w:pStyle w:val="EFAFPBodyText2"/>
              <w:rPr>
                <w:rFonts w:eastAsia="楷体_GB2312" w:cs="Times New Roman"/>
                <w:b/>
                <w:bCs/>
                <w:kern w:val="28"/>
                <w:lang w:eastAsia="zh-CN"/>
              </w:rPr>
            </w:pPr>
            <w:r>
              <w:rPr>
                <w:rFonts w:eastAsia="楷体_GB2312" w:cs="Times New Roman" w:hint="eastAsia"/>
                <w:b/>
                <w:bCs/>
                <w:kern w:val="28"/>
                <w:lang w:eastAsia="zh-CN"/>
              </w:rPr>
              <w:t>点评：</w:t>
            </w:r>
          </w:p>
          <w:p w14:paraId="6DF269A8" w14:textId="795F89F9" w:rsidR="00C413AA" w:rsidRDefault="00000000">
            <w:pPr>
              <w:pStyle w:val="EFABodyText"/>
              <w:jc w:val="both"/>
              <w:rPr>
                <w:rFonts w:eastAsia="楷体_GB2312"/>
                <w:snapToGrid/>
                <w:szCs w:val="20"/>
                <w:lang w:eastAsia="zh-CN"/>
              </w:rPr>
            </w:pPr>
            <w:r>
              <w:rPr>
                <w:rFonts w:eastAsia="楷体_GB2312" w:hint="eastAsia"/>
                <w:b/>
                <w:bCs/>
                <w:snapToGrid/>
                <w:szCs w:val="20"/>
                <w:lang w:val="en-GB" w:eastAsia="zh"/>
              </w:rPr>
              <w:t>受许可审批复杂与州际利益博弈影响，美国电网建设陷入“西西弗斯式”滞后困境，治理模式已达上限</w:t>
            </w:r>
            <w:r>
              <w:rPr>
                <w:rFonts w:eastAsia="楷体_GB2312" w:hint="eastAsia"/>
                <w:b/>
                <w:bCs/>
                <w:snapToGrid/>
                <w:szCs w:val="20"/>
                <w:lang w:val="en-GB" w:eastAsia="zh"/>
              </w:rPr>
              <w:t xml:space="preserve"> </w:t>
            </w:r>
            <w:r>
              <w:rPr>
                <w:rFonts w:eastAsia="楷体_GB2312" w:hint="eastAsia"/>
                <w:b/>
                <w:bCs/>
                <w:snapToGrid/>
                <w:szCs w:val="20"/>
                <w:lang w:val="en-GB" w:eastAsia="zh"/>
              </w:rPr>
              <w:t>。</w:t>
            </w:r>
            <w:r w:rsidR="006577E6" w:rsidRPr="00437777">
              <w:rPr>
                <w:rFonts w:eastAsia="楷体_GB2312" w:hint="eastAsia"/>
                <w:lang w:val="zh-CN" w:eastAsia="zh-CN"/>
              </w:rPr>
              <w:t>冬季风暴</w:t>
            </w:r>
            <w:r w:rsidR="006577E6" w:rsidRPr="00437777">
              <w:rPr>
                <w:rFonts w:eastAsia="楷体_GB2312"/>
                <w:lang w:val="zh-CN" w:eastAsia="zh-CN"/>
              </w:rPr>
              <w:t xml:space="preserve"> “Fern”</w:t>
            </w:r>
            <w:r w:rsidR="006577E6" w:rsidRPr="006577E6">
              <w:rPr>
                <w:rFonts w:eastAsia="楷体_GB2312" w:hint="eastAsia"/>
                <w:snapToGrid/>
                <w:szCs w:val="20"/>
                <w:lang w:val="en-GB" w:eastAsia="zh"/>
              </w:rPr>
              <w:t>风暴暴露了美国电网韧性不足的现实：跨区互联薄弱导致能源无法异地调配，严寒引发设备故障与气电协同失效。在高负荷下，电网调度滞后与价格机制失控并存，凸显了现有基建难以应对极端气候与负荷激增的双重挑战。</w:t>
            </w:r>
            <w:r w:rsidRPr="006577E6">
              <w:rPr>
                <w:rFonts w:eastAsia="楷体_GB2312" w:hint="eastAsia"/>
                <w:snapToGrid/>
                <w:szCs w:val="20"/>
                <w:lang w:val="en-GB" w:eastAsia="zh"/>
              </w:rPr>
              <w:t>2025</w:t>
            </w:r>
            <w:r>
              <w:rPr>
                <w:rFonts w:eastAsia="楷体_GB2312" w:hint="eastAsia"/>
                <w:snapToGrid/>
                <w:szCs w:val="20"/>
                <w:lang w:val="en-GB" w:eastAsia="zh"/>
              </w:rPr>
              <w:t>年</w:t>
            </w:r>
            <w:r w:rsidR="006577E6">
              <w:rPr>
                <w:rFonts w:eastAsia="楷体_GB2312" w:hint="eastAsia"/>
                <w:snapToGrid/>
                <w:szCs w:val="20"/>
                <w:lang w:val="en-GB" w:eastAsia="zh"/>
              </w:rPr>
              <w:t>美国</w:t>
            </w:r>
            <w:r>
              <w:rPr>
                <w:rFonts w:eastAsia="楷体_GB2312" w:hint="eastAsia"/>
                <w:snapToGrid/>
                <w:szCs w:val="20"/>
                <w:lang w:val="en-GB" w:eastAsia="zh"/>
              </w:rPr>
              <w:t>AIDC</w:t>
            </w:r>
            <w:r>
              <w:rPr>
                <w:rFonts w:eastAsia="楷体_GB2312" w:hint="eastAsia"/>
                <w:snapToGrid/>
                <w:szCs w:val="20"/>
                <w:lang w:val="en-GB" w:eastAsia="zh"/>
              </w:rPr>
              <w:t>用电占比已达</w:t>
            </w:r>
            <w:r>
              <w:rPr>
                <w:rFonts w:eastAsia="楷体_GB2312" w:hint="eastAsia"/>
                <w:snapToGrid/>
                <w:szCs w:val="20"/>
                <w:lang w:val="en-GB" w:eastAsia="zh"/>
              </w:rPr>
              <w:t>4%</w:t>
            </w:r>
            <w:r>
              <w:rPr>
                <w:rFonts w:eastAsia="楷体_GB2312" w:hint="eastAsia"/>
                <w:snapToGrid/>
                <w:szCs w:val="20"/>
                <w:lang w:val="en-GB" w:eastAsia="zh"/>
              </w:rPr>
              <w:t>，预计</w:t>
            </w:r>
            <w:r>
              <w:rPr>
                <w:rFonts w:eastAsia="楷体_GB2312" w:hint="eastAsia"/>
                <w:snapToGrid/>
                <w:szCs w:val="20"/>
                <w:lang w:val="en-GB" w:eastAsia="zh"/>
              </w:rPr>
              <w:t>2030</w:t>
            </w:r>
            <w:r>
              <w:rPr>
                <w:rFonts w:eastAsia="楷体_GB2312" w:hint="eastAsia"/>
                <w:snapToGrid/>
                <w:szCs w:val="20"/>
                <w:lang w:val="en-GB" w:eastAsia="zh"/>
              </w:rPr>
              <w:t>年将翻倍，叠加制造业回流与电气化趋势，负荷增长远超扩容速度，电网重构已迫在眉睫。</w:t>
            </w:r>
            <w:r>
              <w:rPr>
                <w:rFonts w:eastAsia="楷体_GB2312" w:hint="eastAsia"/>
                <w:snapToGrid/>
                <w:szCs w:val="20"/>
                <w:lang w:val="en-GB" w:eastAsia="zh"/>
              </w:rPr>
              <w:t>2026</w:t>
            </w:r>
            <w:r>
              <w:rPr>
                <w:rFonts w:eastAsia="楷体_GB2312" w:hint="eastAsia"/>
                <w:snapToGrid/>
                <w:szCs w:val="20"/>
                <w:lang w:val="en-GB" w:eastAsia="zh"/>
              </w:rPr>
              <w:t>年是</w:t>
            </w:r>
            <w:r>
              <w:rPr>
                <w:rFonts w:eastAsia="楷体_GB2312" w:hint="eastAsia"/>
                <w:snapToGrid/>
                <w:szCs w:val="20"/>
                <w:lang w:val="en-GB" w:eastAsia="zh"/>
              </w:rPr>
              <w:t>FERC 1920</w:t>
            </w:r>
            <w:r>
              <w:rPr>
                <w:rFonts w:eastAsia="楷体_GB2312" w:hint="eastAsia"/>
                <w:snapToGrid/>
                <w:szCs w:val="20"/>
                <w:lang w:val="en-GB" w:eastAsia="zh"/>
              </w:rPr>
              <w:t>号法令首批区域进入合规执行的关键年</w:t>
            </w:r>
            <w:r w:rsidR="00437777">
              <w:rPr>
                <w:rFonts w:eastAsia="楷体_GB2312" w:hint="eastAsia"/>
                <w:snapToGrid/>
                <w:szCs w:val="20"/>
                <w:lang w:val="en-GB" w:eastAsia="zh"/>
              </w:rPr>
              <w:t>，</w:t>
            </w:r>
            <w:r>
              <w:rPr>
                <w:rFonts w:eastAsia="楷体_GB2312"/>
                <w:snapToGrid/>
                <w:szCs w:val="20"/>
                <w:lang w:val="en-GB" w:eastAsia="zh-CN"/>
              </w:rPr>
              <w:t>在这种结构性阵痛中，输电网的扩容、智能化</w:t>
            </w:r>
            <w:r>
              <w:rPr>
                <w:rFonts w:eastAsia="楷体_GB2312" w:hint="eastAsia"/>
                <w:snapToGrid/>
                <w:szCs w:val="20"/>
                <w:lang w:val="en-GB" w:eastAsia="zh-CN"/>
              </w:rPr>
              <w:t>电网</w:t>
            </w:r>
            <w:r>
              <w:rPr>
                <w:rFonts w:eastAsia="楷体_GB2312"/>
                <w:snapToGrid/>
                <w:szCs w:val="20"/>
                <w:lang w:val="en-GB" w:eastAsia="zh-CN"/>
              </w:rPr>
              <w:t>调节以及综合电力解决方案正共同构成未来十年最确定的商业机遇。</w:t>
            </w:r>
          </w:p>
          <w:p w14:paraId="07CC323E" w14:textId="77777777" w:rsidR="00C413AA" w:rsidRDefault="00000000">
            <w:pPr>
              <w:pStyle w:val="EFABodyText"/>
              <w:spacing w:before="120"/>
              <w:jc w:val="both"/>
              <w:rPr>
                <w:rFonts w:eastAsia="楷体_GB2312"/>
                <w:snapToGrid/>
                <w:szCs w:val="20"/>
                <w:lang w:val="zh-CN" w:eastAsia="zh"/>
              </w:rPr>
            </w:pPr>
            <w:r>
              <w:rPr>
                <w:rFonts w:eastAsia="楷体_GB2312"/>
                <w:b/>
                <w:bCs/>
                <w:snapToGrid/>
                <w:szCs w:val="20"/>
                <w:lang w:val="zh-CN" w:eastAsia="zh-CN"/>
              </w:rPr>
              <w:t>首先，跨区域大容量输电网是能源版图重构的主动脉。</w:t>
            </w:r>
            <w:r>
              <w:rPr>
                <w:rFonts w:eastAsia="楷体_GB2312"/>
                <w:snapToGrid/>
                <w:szCs w:val="20"/>
                <w:lang w:val="zh-CN" w:eastAsia="zh-CN"/>
              </w:rPr>
              <w:t>报告明确指出，跨区互联规划是目前最薄弱的环节，但也蕴含着极高的经济回报，能够显著平衡各州电价差异。</w:t>
            </w:r>
            <w:r>
              <w:rPr>
                <w:rFonts w:eastAsia="楷体_GB2312" w:hint="eastAsia"/>
                <w:snapToGrid/>
                <w:szCs w:val="20"/>
                <w:lang w:val="zh-CN" w:eastAsia="zh"/>
              </w:rPr>
              <w:t>同时，在我们近期与</w:t>
            </w:r>
            <w:r>
              <w:rPr>
                <w:rFonts w:eastAsia="楷体_GB2312" w:hint="eastAsia"/>
                <w:snapToGrid/>
                <w:szCs w:val="20"/>
                <w:lang w:val="zh-CN" w:eastAsia="zh"/>
              </w:rPr>
              <w:t>FERC</w:t>
            </w:r>
            <w:r>
              <w:rPr>
                <w:rFonts w:eastAsia="楷体_GB2312" w:hint="eastAsia"/>
                <w:snapToGrid/>
                <w:szCs w:val="20"/>
                <w:lang w:val="zh-CN" w:eastAsia="zh"/>
              </w:rPr>
              <w:t>专家交流中，专家强调大型输电线路动辄十年的许可审批周期也亟待加速。</w:t>
            </w:r>
            <w:r>
              <w:rPr>
                <w:rFonts w:eastAsia="楷体_GB2312"/>
                <w:snapToGrid/>
                <w:szCs w:val="20"/>
                <w:lang w:val="zh-CN" w:eastAsia="zh-CN"/>
              </w:rPr>
              <w:t>这种对硬基建的迫切需求，将直接驱动高压直流输电（</w:t>
            </w:r>
            <w:r>
              <w:rPr>
                <w:rFonts w:eastAsia="楷体_GB2312"/>
                <w:snapToGrid/>
                <w:szCs w:val="20"/>
                <w:lang w:val="zh-CN" w:eastAsia="zh-CN"/>
              </w:rPr>
              <w:t>HVDC</w:t>
            </w:r>
            <w:r>
              <w:rPr>
                <w:rFonts w:eastAsia="楷体_GB2312"/>
                <w:snapToGrid/>
                <w:szCs w:val="20"/>
                <w:lang w:val="zh-CN" w:eastAsia="zh-CN"/>
              </w:rPr>
              <w:t>）设备、高性能超导材料以及配套变电设施的产业链升级。打破区域割据、实现远距离跨州电力调度，已成为保障国家能源安全与数据中心稳定运行的战略基石。</w:t>
            </w:r>
          </w:p>
          <w:p w14:paraId="3FB030B1" w14:textId="77777777" w:rsidR="00C413AA" w:rsidRDefault="00000000">
            <w:pPr>
              <w:pStyle w:val="EFABodyText"/>
              <w:spacing w:before="120"/>
              <w:jc w:val="both"/>
              <w:rPr>
                <w:rFonts w:eastAsia="楷体_GB2312"/>
                <w:snapToGrid/>
                <w:szCs w:val="20"/>
                <w:lang w:val="zh-CN" w:eastAsia="zh-CN"/>
              </w:rPr>
            </w:pPr>
            <w:r>
              <w:rPr>
                <w:rFonts w:eastAsia="楷体_GB2312"/>
                <w:b/>
                <w:bCs/>
                <w:snapToGrid/>
                <w:szCs w:val="20"/>
                <w:lang w:val="zh-CN" w:eastAsia="zh-CN"/>
              </w:rPr>
              <w:t>其次，智能化电网调节技术将从实验室走向主流，成为化解存量矛盾的倍增器。</w:t>
            </w:r>
            <w:r>
              <w:rPr>
                <w:rFonts w:eastAsia="楷体_GB2312"/>
                <w:snapToGrid/>
                <w:szCs w:val="20"/>
                <w:lang w:val="zh-CN" w:eastAsia="zh-CN"/>
              </w:rPr>
              <w:t>在土地征用和环评流程动辄耗时十年的背景下，通过动态线路额定值</w:t>
            </w:r>
            <w:r>
              <w:rPr>
                <w:rFonts w:eastAsia="楷体_GB2312" w:hint="eastAsia"/>
                <w:snapToGrid/>
                <w:szCs w:val="20"/>
                <w:lang w:val="zh-CN" w:eastAsia="zh"/>
              </w:rPr>
              <w:t>和</w:t>
            </w:r>
            <w:r>
              <w:rPr>
                <w:rFonts w:eastAsia="楷体_GB2312"/>
                <w:snapToGrid/>
                <w:szCs w:val="20"/>
                <w:lang w:val="zh-CN" w:eastAsia="zh-CN"/>
              </w:rPr>
              <w:t>功率流控制等数字技术，在物理结构不变的前提下挖掘既有线路的剩余载流量，是缓解电网拥堵、加速可再生能源并网最具性价比的方案。这种从硬件依赖向软件定义的转型，为电网边缘感</w:t>
            </w:r>
            <w:r>
              <w:rPr>
                <w:rFonts w:eastAsia="楷体_GB2312"/>
                <w:snapToGrid/>
                <w:szCs w:val="20"/>
                <w:lang w:val="zh-CN" w:eastAsia="zh-CN"/>
              </w:rPr>
              <w:lastRenderedPageBreak/>
              <w:t>知、</w:t>
            </w:r>
            <w:r>
              <w:rPr>
                <w:rFonts w:eastAsia="楷体_GB2312"/>
                <w:snapToGrid/>
                <w:szCs w:val="20"/>
                <w:lang w:val="zh-CN" w:eastAsia="zh-CN"/>
              </w:rPr>
              <w:t>AI</w:t>
            </w:r>
            <w:r>
              <w:rPr>
                <w:rFonts w:eastAsia="楷体_GB2312"/>
                <w:snapToGrid/>
                <w:szCs w:val="20"/>
                <w:lang w:val="zh-CN" w:eastAsia="zh-CN"/>
              </w:rPr>
              <w:t>辅助调度系统和实时监控平台提供了极其广阔的应用场景。</w:t>
            </w:r>
          </w:p>
          <w:p w14:paraId="6548CAAB" w14:textId="77777777" w:rsidR="00C413AA" w:rsidRDefault="00000000">
            <w:pPr>
              <w:pStyle w:val="EFABodyText"/>
              <w:spacing w:before="120"/>
              <w:jc w:val="both"/>
              <w:rPr>
                <w:rFonts w:eastAsia="楷体_GB2312"/>
                <w:snapToGrid/>
                <w:szCs w:val="20"/>
                <w:lang w:val="zh-CN" w:eastAsia="zh-CN"/>
              </w:rPr>
            </w:pPr>
            <w:r>
              <w:rPr>
                <w:rFonts w:eastAsia="楷体_GB2312"/>
                <w:b/>
                <w:bCs/>
                <w:snapToGrid/>
                <w:szCs w:val="20"/>
                <w:lang w:val="zh-CN" w:eastAsia="zh-CN"/>
              </w:rPr>
              <w:t>最后，灵活的综合电力解决方案将成为应对电网延迟的安全阀。</w:t>
            </w:r>
            <w:r>
              <w:rPr>
                <w:rFonts w:eastAsia="楷体_GB2312"/>
                <w:snapToGrid/>
                <w:szCs w:val="20"/>
                <w:lang w:val="zh-CN" w:eastAsia="zh-CN"/>
              </w:rPr>
              <w:t>当骨干网的扩容速度无法满足负荷侧的即时需求时，电力供应模式正被迫从中心化向去中心化演进。分布式能源系统、长时储能以及虚拟电厂将不再是点缀性的辅助手段，而将演变为企业级客户实现能源自给的核心。能够提供即插即用式、高可靠性电力保障的方案解决商，将在这一轮能源基建重构中掌握定义行业规则的话语权。</w:t>
            </w:r>
          </w:p>
          <w:p w14:paraId="6D0FDC65" w14:textId="2B562BAC" w:rsidR="00443666" w:rsidRDefault="00000000">
            <w:pPr>
              <w:pStyle w:val="EFABodyText"/>
              <w:spacing w:before="120"/>
              <w:jc w:val="both"/>
              <w:rPr>
                <w:rFonts w:eastAsia="楷体_GB2312"/>
                <w:snapToGrid/>
                <w:szCs w:val="20"/>
                <w:lang w:val="zh-CN" w:eastAsia="zh-CN"/>
              </w:rPr>
            </w:pPr>
            <w:r>
              <w:rPr>
                <w:rFonts w:eastAsia="楷体_GB2312"/>
                <w:b/>
                <w:bCs/>
                <w:snapToGrid/>
                <w:szCs w:val="20"/>
                <w:lang w:val="zh-CN" w:eastAsia="zh-CN"/>
              </w:rPr>
              <w:t>总而言之，美国电网正处于从被动修补向主动重构过渡的拐点。</w:t>
            </w:r>
            <w:r>
              <w:rPr>
                <w:rFonts w:eastAsia="楷体_GB2312"/>
                <w:snapToGrid/>
                <w:szCs w:val="20"/>
                <w:lang w:val="zh-CN" w:eastAsia="zh-CN"/>
              </w:rPr>
              <w:t>这种变革不仅是物理线路的延伸，更是数字化管理与分布式能源的深度融合。唯有打破增长瓶颈，构建弹性的能源网络，才能释放</w:t>
            </w:r>
            <w:r>
              <w:rPr>
                <w:rFonts w:eastAsia="楷体_GB2312" w:hint="eastAsia"/>
                <w:snapToGrid/>
                <w:szCs w:val="20"/>
                <w:lang w:val="zh-CN" w:eastAsia="zh"/>
              </w:rPr>
              <w:t>AI</w:t>
            </w:r>
            <w:r>
              <w:rPr>
                <w:rFonts w:eastAsia="楷体_GB2312"/>
                <w:snapToGrid/>
                <w:szCs w:val="20"/>
                <w:lang w:val="zh-CN" w:eastAsia="zh-CN"/>
              </w:rPr>
              <w:t>与工业升级带来的电力红利。</w:t>
            </w:r>
          </w:p>
          <w:p w14:paraId="2A725B1F" w14:textId="77777777" w:rsidR="00C413AA" w:rsidRDefault="00C413AA">
            <w:pPr>
              <w:pStyle w:val="EFABodyText"/>
              <w:jc w:val="both"/>
              <w:rPr>
                <w:rFonts w:eastAsia="楷体_GB2312"/>
                <w:b/>
                <w:bCs/>
                <w:szCs w:val="20"/>
                <w:lang w:val="zh-CN" w:eastAsia="zh-CN"/>
              </w:rPr>
            </w:pPr>
          </w:p>
          <w:p w14:paraId="001E8D81" w14:textId="6578AA5C" w:rsidR="00C413AA" w:rsidRDefault="00000000">
            <w:pPr>
              <w:pStyle w:val="EFAFPBodyText2"/>
              <w:rPr>
                <w:rFonts w:eastAsia="楷体_GB2312" w:cs="Times New Roman"/>
                <w:kern w:val="28"/>
                <w:lang w:eastAsia="zh-CN"/>
              </w:rPr>
            </w:pPr>
            <w:r>
              <w:rPr>
                <w:rFonts w:eastAsia="楷体_GB2312" w:cs="Times New Roman" w:hint="eastAsia"/>
                <w:b/>
                <w:bCs/>
                <w:kern w:val="28"/>
                <w:lang w:eastAsia="zh-CN"/>
              </w:rPr>
              <w:t>投资建议：</w:t>
            </w:r>
            <w:r w:rsidR="00443666" w:rsidRPr="00443666">
              <w:rPr>
                <w:rFonts w:eastAsia="楷体_GB2312" w:cs="Times New Roman" w:hint="eastAsia"/>
                <w:kern w:val="28"/>
                <w:lang w:val="en-GB" w:eastAsia="zh-CN"/>
              </w:rPr>
              <w:t>输电网建设</w:t>
            </w:r>
            <w:r w:rsidR="004F5753">
              <w:rPr>
                <w:rFonts w:eastAsia="楷体_GB2312" w:cs="Times New Roman" w:hint="eastAsia"/>
                <w:kern w:val="28"/>
                <w:lang w:val="en-GB" w:eastAsia="zh-CN"/>
              </w:rPr>
              <w:t>受益标的：</w:t>
            </w:r>
            <w:r w:rsidR="00443666" w:rsidRPr="00443666">
              <w:rPr>
                <w:rFonts w:eastAsia="楷体_GB2312" w:cs="Times New Roman"/>
                <w:kern w:val="28"/>
                <w:lang w:val="en-GB" w:eastAsia="zh-CN"/>
              </w:rPr>
              <w:t>GE Vernova</w:t>
            </w:r>
            <w:r w:rsidR="004F5753">
              <w:rPr>
                <w:rFonts w:eastAsia="楷体_GB2312" w:cs="Times New Roman" w:hint="eastAsia"/>
                <w:kern w:val="28"/>
                <w:lang w:val="en-GB" w:eastAsia="zh-CN"/>
              </w:rPr>
              <w:t>，</w:t>
            </w:r>
            <w:r w:rsidR="00443666" w:rsidRPr="00443666">
              <w:rPr>
                <w:rFonts w:eastAsia="楷体_GB2312" w:cs="Times New Roman" w:hint="eastAsia"/>
                <w:kern w:val="28"/>
                <w:lang w:val="en-GB" w:eastAsia="zh-CN"/>
              </w:rPr>
              <w:t>西门子能源</w:t>
            </w:r>
            <w:r w:rsidR="004F5753">
              <w:rPr>
                <w:rFonts w:eastAsia="楷体_GB2312" w:cs="Times New Roman" w:hint="eastAsia"/>
                <w:kern w:val="28"/>
                <w:lang w:val="en-GB" w:eastAsia="zh-CN"/>
              </w:rPr>
              <w:t>，</w:t>
            </w:r>
            <w:r w:rsidR="00443666" w:rsidRPr="00443666">
              <w:rPr>
                <w:rFonts w:eastAsia="楷体_GB2312" w:cs="Times New Roman"/>
                <w:kern w:val="28"/>
                <w:lang w:val="en-GB" w:eastAsia="zh-CN"/>
              </w:rPr>
              <w:t>日立</w:t>
            </w:r>
            <w:r w:rsidR="00443666">
              <w:rPr>
                <w:rFonts w:eastAsia="楷体_GB2312" w:cs="Times New Roman" w:hint="eastAsia"/>
                <w:kern w:val="28"/>
                <w:lang w:val="en-GB" w:eastAsia="zh-CN"/>
              </w:rPr>
              <w:t>集团</w:t>
            </w:r>
            <w:r w:rsidR="004F5753">
              <w:rPr>
                <w:rFonts w:eastAsia="楷体_GB2312" w:cs="Times New Roman" w:hint="eastAsia"/>
                <w:kern w:val="28"/>
                <w:lang w:val="en-GB" w:eastAsia="zh-CN"/>
              </w:rPr>
              <w:t>，</w:t>
            </w:r>
            <w:r w:rsidR="00443666" w:rsidRPr="00443666">
              <w:rPr>
                <w:rFonts w:eastAsia="楷体_GB2312" w:cs="Times New Roman" w:hint="eastAsia"/>
                <w:kern w:val="28"/>
                <w:lang w:val="en-GB" w:eastAsia="zh-CN"/>
              </w:rPr>
              <w:t>现代电气</w:t>
            </w:r>
            <w:r w:rsidR="004F5753">
              <w:rPr>
                <w:rFonts w:eastAsia="楷体_GB2312" w:cs="Times New Roman" w:hint="eastAsia"/>
                <w:kern w:val="28"/>
                <w:lang w:val="en-GB" w:eastAsia="zh-CN"/>
              </w:rPr>
              <w:t>，广达服务</w:t>
            </w:r>
            <w:r w:rsidR="00443666" w:rsidRPr="00443666">
              <w:rPr>
                <w:rFonts w:eastAsia="楷体_GB2312" w:cs="Times New Roman"/>
                <w:kern w:val="28"/>
                <w:lang w:val="en-GB" w:eastAsia="zh-CN"/>
              </w:rPr>
              <w:t xml:space="preserve">; </w:t>
            </w:r>
            <w:r w:rsidR="00443666" w:rsidRPr="00443666">
              <w:rPr>
                <w:rFonts w:eastAsia="楷体_GB2312" w:cs="Times New Roman" w:hint="eastAsia"/>
                <w:kern w:val="28"/>
                <w:lang w:val="en-GB" w:eastAsia="zh-CN"/>
              </w:rPr>
              <w:t>智能化电网</w:t>
            </w:r>
            <w:r w:rsidR="004F5753">
              <w:rPr>
                <w:rFonts w:eastAsia="楷体_GB2312" w:cs="Times New Roman" w:hint="eastAsia"/>
                <w:kern w:val="28"/>
                <w:lang w:val="en-GB" w:eastAsia="zh-CN"/>
              </w:rPr>
              <w:t>提供商：</w:t>
            </w:r>
            <w:r w:rsidR="00443666" w:rsidRPr="00443666">
              <w:rPr>
                <w:rFonts w:eastAsia="楷体_GB2312" w:cs="Times New Roman" w:hint="eastAsia"/>
                <w:kern w:val="28"/>
                <w:lang w:val="en-GB" w:eastAsia="zh-CN"/>
              </w:rPr>
              <w:t>施耐德电气</w:t>
            </w:r>
            <w:r w:rsidR="004F5753">
              <w:rPr>
                <w:rFonts w:eastAsia="楷体_GB2312" w:cs="Times New Roman" w:hint="eastAsia"/>
                <w:kern w:val="28"/>
                <w:lang w:val="en-GB" w:eastAsia="zh-CN"/>
              </w:rPr>
              <w:t>；</w:t>
            </w:r>
            <w:r w:rsidR="00443666" w:rsidRPr="00443666">
              <w:rPr>
                <w:rFonts w:eastAsia="楷体_GB2312" w:cs="Times New Roman" w:hint="eastAsia"/>
                <w:kern w:val="28"/>
                <w:lang w:val="en-GB" w:eastAsia="zh-CN"/>
              </w:rPr>
              <w:t>电力方案解决商</w:t>
            </w:r>
            <w:r w:rsidR="004F5753">
              <w:rPr>
                <w:rFonts w:eastAsia="楷体_GB2312" w:cs="Times New Roman" w:hint="eastAsia"/>
                <w:kern w:val="28"/>
                <w:lang w:val="en-GB" w:eastAsia="zh-CN"/>
              </w:rPr>
              <w:t>：伊顿</w:t>
            </w:r>
            <w:r>
              <w:rPr>
                <w:rFonts w:eastAsia="楷体_GB2312" w:cs="Times New Roman" w:hint="eastAsia"/>
                <w:kern w:val="28"/>
                <w:lang w:val="en-GB" w:eastAsia="zh-CN"/>
              </w:rPr>
              <w:t>。</w:t>
            </w:r>
          </w:p>
          <w:p w14:paraId="2F274E27" w14:textId="77777777" w:rsidR="00C413AA" w:rsidRDefault="00000000">
            <w:pPr>
              <w:pStyle w:val="EFAFPBodyText2"/>
              <w:rPr>
                <w:rFonts w:eastAsia="楷体_GB2312" w:cs="Times New Roman"/>
                <w:kern w:val="28"/>
                <w:sz w:val="6"/>
                <w:szCs w:val="6"/>
                <w:lang w:eastAsia="zh-CN"/>
              </w:rPr>
            </w:pPr>
            <w:r>
              <w:rPr>
                <w:rFonts w:eastAsia="楷体_GB2312" w:cs="Times New Roman" w:hint="eastAsia"/>
                <w:kern w:val="28"/>
                <w:sz w:val="6"/>
                <w:szCs w:val="6"/>
                <w:lang w:eastAsia="zh-CN"/>
              </w:rPr>
              <w:t xml:space="preserve">  </w:t>
            </w:r>
          </w:p>
          <w:p w14:paraId="11EE022B" w14:textId="3FD43A98" w:rsidR="00C413AA" w:rsidRDefault="00000000">
            <w:pPr>
              <w:pStyle w:val="EFAFPBodyText2"/>
              <w:rPr>
                <w:rFonts w:eastAsia="楷体_GB2312"/>
                <w:lang w:eastAsia="zh-CN"/>
              </w:rPr>
            </w:pPr>
            <w:r>
              <w:rPr>
                <w:rFonts w:eastAsia="楷体_GB2312" w:cs="Times New Roman" w:hint="eastAsia"/>
                <w:b/>
                <w:bCs/>
                <w:kern w:val="28"/>
              </w:rPr>
              <w:t>风险</w:t>
            </w:r>
            <w:r>
              <w:rPr>
                <w:rFonts w:eastAsia="楷体_GB2312" w:cs="Times New Roman" w:hint="eastAsia"/>
                <w:b/>
                <w:bCs/>
                <w:kern w:val="28"/>
                <w:lang w:eastAsia="zh-CN"/>
              </w:rPr>
              <w:t>提示：</w:t>
            </w:r>
            <w:r>
              <w:rPr>
                <w:rFonts w:eastAsia="楷体_GB2312"/>
                <w:lang w:val="en-GB" w:eastAsia="zh-CN"/>
              </w:rPr>
              <w:t>美国电网跨区规划落地滞后；高压直流输电设备供应链瓶颈；分布式能源与虚拟电厂监管政策变化；离网发电</w:t>
            </w:r>
            <w:r w:rsidR="004F5753">
              <w:rPr>
                <w:rFonts w:eastAsia="楷体_GB2312" w:hint="eastAsia"/>
                <w:lang w:val="en-GB" w:eastAsia="zh-CN"/>
              </w:rPr>
              <w:t>储能等设备</w:t>
            </w:r>
            <w:r>
              <w:rPr>
                <w:rFonts w:eastAsia="楷体_GB2312"/>
                <w:lang w:val="en-GB" w:eastAsia="zh-CN"/>
              </w:rPr>
              <w:t>成本超预期上升</w:t>
            </w:r>
            <w:r>
              <w:rPr>
                <w:rFonts w:eastAsia="楷体_GB2312" w:hint="eastAsia"/>
                <w:lang w:val="en-GB" w:eastAsia="zh-CN"/>
              </w:rPr>
              <w:t>。</w:t>
            </w:r>
          </w:p>
          <w:p w14:paraId="72D5DEDF" w14:textId="77777777" w:rsidR="00C413AA" w:rsidRDefault="00C413AA">
            <w:pPr>
              <w:pStyle w:val="EFABodyText"/>
              <w:jc w:val="both"/>
              <w:rPr>
                <w:rFonts w:eastAsia="楷体_GB2312"/>
                <w:szCs w:val="20"/>
                <w:lang w:eastAsia="zh-CN"/>
              </w:rPr>
            </w:pPr>
          </w:p>
          <w:p w14:paraId="11D3F425" w14:textId="77777777" w:rsidR="00C413AA" w:rsidRDefault="00C413AA">
            <w:pPr>
              <w:pStyle w:val="EFABodyText"/>
              <w:jc w:val="both"/>
              <w:rPr>
                <w:rFonts w:eastAsia="楷体_GB2312"/>
                <w:szCs w:val="20"/>
                <w:lang w:eastAsia="zh-CN"/>
              </w:rPr>
            </w:pPr>
          </w:p>
          <w:p w14:paraId="0B49EEE9" w14:textId="77777777" w:rsidR="00C413AA" w:rsidRDefault="00C413AA">
            <w:pPr>
              <w:pStyle w:val="EFABodyText"/>
              <w:jc w:val="both"/>
              <w:rPr>
                <w:rFonts w:eastAsia="楷体_GB2312"/>
                <w:szCs w:val="20"/>
                <w:lang w:eastAsia="zh-CN"/>
              </w:rPr>
            </w:pPr>
          </w:p>
          <w:p w14:paraId="2E5F0E5A" w14:textId="77777777" w:rsidR="00C413AA" w:rsidRDefault="00C413AA">
            <w:pPr>
              <w:pStyle w:val="EFABodyText"/>
              <w:jc w:val="both"/>
              <w:rPr>
                <w:rFonts w:eastAsia="楷体_GB2312"/>
                <w:szCs w:val="20"/>
                <w:lang w:eastAsia="zh-CN"/>
              </w:rPr>
            </w:pPr>
          </w:p>
          <w:p w14:paraId="0FB664E5" w14:textId="77777777" w:rsidR="00C413AA" w:rsidRDefault="00000000">
            <w:pPr>
              <w:pStyle w:val="EFABodyText"/>
              <w:jc w:val="both"/>
              <w:rPr>
                <w:rFonts w:eastAsia="楷体_GB2312"/>
                <w:szCs w:val="20"/>
                <w:lang w:eastAsia="zh-CN"/>
              </w:rPr>
            </w:pPr>
            <w:r>
              <w:rPr>
                <w:rFonts w:eastAsia="楷体_GB2312" w:hint="eastAsia"/>
                <w:szCs w:val="20"/>
                <w:lang w:eastAsia="zh-CN"/>
              </w:rPr>
              <w:t>图：报告各地区综合评分情况与变化</w:t>
            </w:r>
          </w:p>
          <w:p w14:paraId="634962A1" w14:textId="77777777" w:rsidR="00C413AA" w:rsidRDefault="00000000">
            <w:pPr>
              <w:pStyle w:val="EFABodyText"/>
              <w:jc w:val="both"/>
              <w:rPr>
                <w:rFonts w:eastAsia="楷体_GB2312"/>
                <w:szCs w:val="20"/>
                <w:lang w:eastAsia="zh-CN"/>
              </w:rPr>
            </w:pPr>
            <w:r>
              <w:rPr>
                <w:rFonts w:eastAsia="楷体_GB2312"/>
                <w:noProof/>
                <w:szCs w:val="20"/>
                <w:lang w:eastAsia="zh-CN"/>
              </w:rPr>
              <w:drawing>
                <wp:inline distT="0" distB="0" distL="0" distR="0" wp14:anchorId="57EE894D" wp14:editId="75162F67">
                  <wp:extent cx="4857750" cy="2902585"/>
                  <wp:effectExtent l="0" t="0" r="0" b="0"/>
                  <wp:docPr id="140881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4538" name="Picture 1"/>
                          <pic:cNvPicPr>
                            <a:picLocks noChangeAspect="1"/>
                          </pic:cNvPicPr>
                        </pic:nvPicPr>
                        <pic:blipFill>
                          <a:blip r:embed="rId9"/>
                          <a:stretch>
                            <a:fillRect/>
                          </a:stretch>
                        </pic:blipFill>
                        <pic:spPr>
                          <a:xfrm>
                            <a:off x="0" y="0"/>
                            <a:ext cx="4868161" cy="2908878"/>
                          </a:xfrm>
                          <a:prstGeom prst="rect">
                            <a:avLst/>
                          </a:prstGeom>
                        </pic:spPr>
                      </pic:pic>
                    </a:graphicData>
                  </a:graphic>
                </wp:inline>
              </w:drawing>
            </w:r>
          </w:p>
          <w:p w14:paraId="1159B899" w14:textId="77777777" w:rsidR="00C413AA" w:rsidRDefault="00000000">
            <w:pPr>
              <w:pStyle w:val="EFABodyText"/>
              <w:jc w:val="both"/>
              <w:rPr>
                <w:rFonts w:eastAsia="楷体_GB2312"/>
                <w:szCs w:val="20"/>
                <w:lang w:eastAsia="zh-CN"/>
              </w:rPr>
            </w:pPr>
            <w:r>
              <w:rPr>
                <w:rFonts w:eastAsia="楷体_GB2312" w:hint="eastAsia"/>
                <w:szCs w:val="20"/>
                <w:lang w:eastAsia="zh-CN"/>
              </w:rPr>
              <w:t>资料来源：</w:t>
            </w:r>
            <w:r>
              <w:rPr>
                <w:rFonts w:eastAsia="楷体_GB2312" w:hint="eastAsia"/>
                <w:szCs w:val="20"/>
                <w:lang w:eastAsia="zh-CN"/>
              </w:rPr>
              <w:t>ACEG, HFI</w:t>
            </w:r>
          </w:p>
        </w:tc>
      </w:tr>
      <w:bookmarkEnd w:id="0"/>
      <w:bookmarkEnd w:id="1"/>
    </w:tbl>
    <w:p w14:paraId="637839E8" w14:textId="77777777" w:rsidR="00C413AA" w:rsidRDefault="00C413AA">
      <w:pPr>
        <w:spacing w:beforeLines="100" w:before="240" w:afterLines="100" w:after="240"/>
        <w:rPr>
          <w:rFonts w:eastAsia="宋体"/>
          <w:lang w:eastAsia="zh-CN"/>
        </w:rPr>
        <w:sectPr w:rsidR="00C413AA">
          <w:headerReference w:type="default" r:id="rId10"/>
          <w:footerReference w:type="default" r:id="rId11"/>
          <w:pgSz w:w="11909" w:h="16834"/>
          <w:pgMar w:top="1134" w:right="851" w:bottom="1321" w:left="851" w:header="284" w:footer="1157" w:gutter="0"/>
          <w:cols w:space="720"/>
          <w:docGrid w:linePitch="360"/>
        </w:sectPr>
      </w:pPr>
    </w:p>
    <w:p w14:paraId="16526362" w14:textId="77777777" w:rsidR="00C413AA" w:rsidRDefault="00C413AA">
      <w:pPr>
        <w:rPr>
          <w:rFonts w:eastAsia="宋体"/>
          <w:lang w:eastAsia="zh-CN"/>
        </w:rPr>
        <w:sectPr w:rsidR="00C413AA">
          <w:headerReference w:type="default" r:id="rId12"/>
          <w:footerReference w:type="default" r:id="rId13"/>
          <w:pgSz w:w="16834" w:h="11909" w:orient="landscape"/>
          <w:pgMar w:top="1718" w:right="567" w:bottom="1021" w:left="567" w:header="720" w:footer="1021" w:gutter="0"/>
          <w:cols w:space="720"/>
          <w:docGrid w:linePitch="360"/>
        </w:sectPr>
      </w:pPr>
    </w:p>
    <w:tbl>
      <w:tblPr>
        <w:tblStyle w:val="TableGrid"/>
        <w:tblW w:w="11227"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APPENDIX]"/>
        <w:tblDescription w:val="表格隐藏唯一标识（请勿删除或修改）"/>
      </w:tblPr>
      <w:tblGrid>
        <w:gridCol w:w="11252"/>
      </w:tblGrid>
      <w:tr w:rsidR="00C413AA" w14:paraId="3CA6757D" w14:textId="77777777">
        <w:trPr>
          <w:trHeight w:hRule="exact" w:val="23"/>
        </w:trPr>
        <w:tc>
          <w:tcPr>
            <w:tcW w:w="11227" w:type="dxa"/>
          </w:tcPr>
          <w:p w14:paraId="71BB61DE" w14:textId="77777777" w:rsidR="00C413AA" w:rsidRDefault="00000000">
            <w:r>
              <w:rPr>
                <w:color w:val="FFFFFF" w:themeColor="background1"/>
              </w:rPr>
              <w:lastRenderedPageBreak/>
              <w:t>[Table_APPENDIX]</w:t>
            </w:r>
          </w:p>
        </w:tc>
      </w:tr>
      <w:tr w:rsidR="00C413AA" w14:paraId="3C88978B" w14:textId="77777777">
        <w:tc>
          <w:tcPr>
            <w:tcW w:w="11227" w:type="dxa"/>
          </w:tcPr>
          <w:tbl>
            <w:tblPr>
              <w:tblStyle w:val="TableGrid"/>
              <w:tblW w:w="11196"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1196"/>
            </w:tblGrid>
            <w:tr w:rsidR="00C413AA" w14:paraId="72B7F2D1" w14:textId="77777777">
              <w:trPr>
                <w:trHeight w:hRule="exact" w:val="23"/>
              </w:trPr>
              <w:tc>
                <w:tcPr>
                  <w:tcW w:w="11196" w:type="dxa"/>
                  <w:tcBorders>
                    <w:top w:val="nil"/>
                    <w:bottom w:val="single" w:sz="4" w:space="0" w:color="C0C0C0"/>
                  </w:tcBorders>
                </w:tcPr>
                <w:p w14:paraId="58F60F5B" w14:textId="77777777" w:rsidR="00C413AA" w:rsidRDefault="00000000">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t>[Table_disclaimer]</w:t>
                  </w:r>
                </w:p>
              </w:tc>
            </w:tr>
            <w:tr w:rsidR="00C413AA" w14:paraId="03FC731A" w14:textId="77777777">
              <w:tc>
                <w:tcPr>
                  <w:tcW w:w="11196" w:type="dxa"/>
                  <w:tcBorders>
                    <w:top w:val="single" w:sz="4" w:space="0" w:color="C0C0C0"/>
                    <w:bottom w:val="single" w:sz="24" w:space="0" w:color="C0C0C0"/>
                  </w:tcBorders>
                </w:tcPr>
                <w:p w14:paraId="15EB3730" w14:textId="77777777" w:rsidR="00C413AA" w:rsidRDefault="00000000">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7BB0D844" w14:textId="77777777" w:rsidR="00C413AA" w:rsidRDefault="00000000">
                  <w:pPr>
                    <w:pStyle w:val="EFADisclaimerText"/>
                    <w:rPr>
                      <w:rFonts w:eastAsia="楷体_GB2312" w:cs="Calibri"/>
                      <w:b/>
                      <w:w w:val="70"/>
                      <w:sz w:val="20"/>
                      <w:szCs w:val="20"/>
                    </w:rPr>
                  </w:pPr>
                  <w:r>
                    <w:rPr>
                      <w:rFonts w:eastAsia="楷体_GB2312" w:cs="Calibri"/>
                      <w:b/>
                      <w:w w:val="70"/>
                      <w:sz w:val="20"/>
                      <w:szCs w:val="20"/>
                    </w:rPr>
                    <w:t>重要信息披露</w:t>
                  </w:r>
                </w:p>
                <w:p w14:paraId="4A65B2DF" w14:textId="77777777" w:rsidR="00C413AA" w:rsidRDefault="00000000">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（香港）金融控股有限公司（下称华福国际）</w:t>
                  </w:r>
                  <w:r>
                    <w:rPr>
                      <w:rFonts w:eastAsia="楷体_GB2312" w:cs="Calibri"/>
                      <w:w w:val="70"/>
                      <w:sz w:val="20"/>
                      <w:szCs w:val="20"/>
                    </w:rPr>
                    <w:t>分销</w:t>
                  </w:r>
                  <w:r>
                    <w:rPr>
                      <w:rFonts w:eastAsia="楷体_GB2312" w:cs="Calibri" w:hint="eastAsia"/>
                      <w:w w:val="70"/>
                      <w:sz w:val="20"/>
                      <w:szCs w:val="20"/>
                      <w:lang w:eastAsia="zh-CN"/>
                    </w:rPr>
                    <w:t>，</w:t>
                  </w:r>
                  <w:r>
                    <w:rPr>
                      <w:rFonts w:eastAsia="楷体_GB2312" w:cs="Calibri"/>
                      <w:w w:val="70"/>
                      <w:sz w:val="20"/>
                      <w:szCs w:val="20"/>
                    </w:rPr>
                    <w:t>在其许可的司法管辖区内从事证券活动。</w:t>
                  </w:r>
                </w:p>
                <w:p w14:paraId="3A8BECC1" w14:textId="77777777" w:rsidR="00C413AA" w:rsidRDefault="00000000">
                  <w:pPr>
                    <w:pStyle w:val="EFADisclaimerText"/>
                    <w:rPr>
                      <w:rFonts w:eastAsia="楷体_GB2312" w:cs="Calibri"/>
                      <w:b/>
                      <w:bCs/>
                      <w:w w:val="70"/>
                      <w:sz w:val="20"/>
                      <w:szCs w:val="20"/>
                    </w:rPr>
                  </w:pPr>
                  <w:r>
                    <w:rPr>
                      <w:rFonts w:eastAsia="楷体_GB2312" w:cs="Calibri"/>
                      <w:b/>
                      <w:bCs/>
                      <w:w w:val="70"/>
                      <w:sz w:val="20"/>
                      <w:szCs w:val="20"/>
                    </w:rPr>
                    <w:t>IMPORTANT DISCLOSURES</w:t>
                  </w:r>
                </w:p>
                <w:p w14:paraId="2506767E" w14:textId="77777777" w:rsidR="00C413AA" w:rsidRDefault="00000000">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C413AA" w14:paraId="38547658" w14:textId="77777777">
              <w:tc>
                <w:tcPr>
                  <w:tcW w:w="11196" w:type="dxa"/>
                  <w:tcBorders>
                    <w:top w:val="single" w:sz="24" w:space="0" w:color="C0C0C0"/>
                  </w:tcBorders>
                </w:tcPr>
                <w:p w14:paraId="06D8702F" w14:textId="77777777" w:rsidR="00C413AA" w:rsidRDefault="00000000">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C413AA" w14:paraId="6E8B7735" w14:textId="77777777">
              <w:tc>
                <w:tcPr>
                  <w:tcW w:w="11196" w:type="dxa"/>
                  <w:tcBorders>
                    <w:bottom w:val="single" w:sz="24" w:space="0" w:color="C0C0C0"/>
                  </w:tcBorders>
                </w:tcPr>
                <w:p w14:paraId="1B4CDB72" w14:textId="77777777" w:rsidR="00C413AA" w:rsidRDefault="00000000">
                  <w:pPr>
                    <w:jc w:val="both"/>
                    <w:rPr>
                      <w:rFonts w:eastAsia="楷体_GB2312" w:cs="Calibri"/>
                      <w:w w:val="70"/>
                      <w:sz w:val="20"/>
                      <w:szCs w:val="20"/>
                      <w:lang w:eastAsia="zh-CN"/>
                    </w:rPr>
                  </w:pPr>
                  <w:r>
                    <w:rPr>
                      <w:rFonts w:eastAsia="楷体_GB2312" w:cs="Calibri" w:hint="eastAsia"/>
                      <w:w w:val="70"/>
                      <w:sz w:val="20"/>
                      <w:szCs w:val="20"/>
                    </w:rPr>
                    <w:t>我，</w:t>
                  </w:r>
                  <w:r>
                    <w:rPr>
                      <w:rFonts w:eastAsia="楷体_GB2312" w:cs="Calibri" w:hint="eastAsia"/>
                      <w:w w:val="70"/>
                      <w:sz w:val="20"/>
                      <w:szCs w:val="20"/>
                    </w:rPr>
                    <w:t xml:space="preserve"> xxxx</w:t>
                  </w:r>
                  <w:r>
                    <w:rPr>
                      <w:rFonts w:eastAsia="楷体_GB2312" w:cs="Calibri" w:hint="eastAsia"/>
                      <w:w w:val="70"/>
                      <w:sz w:val="20"/>
                      <w:szCs w:val="20"/>
                    </w:rPr>
                    <w:t>，在此保证（</w:t>
                  </w:r>
                  <w:r>
                    <w:rPr>
                      <w:rFonts w:eastAsia="楷体_GB2312" w:cs="Calibri" w:hint="eastAsia"/>
                      <w:w w:val="70"/>
                      <w:sz w:val="20"/>
                      <w:szCs w:val="20"/>
                    </w:rPr>
                    <w:t>i</w:t>
                  </w:r>
                  <w:r>
                    <w:rPr>
                      <w:rFonts w:eastAsia="楷体_GB2312" w:cs="Calibri" w:hint="eastAsia"/>
                      <w:w w:val="70"/>
                      <w:sz w:val="20"/>
                      <w:szCs w:val="20"/>
                    </w:rPr>
                    <w:t>）本研究报告中的意见准确反映了我们对本研究中提及的任何或所有目标公司或上市公司的个人观点，并且（</w:t>
                  </w:r>
                  <w:r>
                    <w:rPr>
                      <w:rFonts w:eastAsia="楷体_GB2312" w:cs="Calibri" w:hint="eastAsia"/>
                      <w:w w:val="70"/>
                      <w:sz w:val="20"/>
                      <w:szCs w:val="20"/>
                    </w:rPr>
                    <w:t>ii</w:t>
                  </w:r>
                  <w:r>
                    <w:rPr>
                      <w:rFonts w:eastAsia="楷体_GB2312"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hint="eastAsia"/>
                      <w:w w:val="70"/>
                      <w:sz w:val="20"/>
                      <w:szCs w:val="20"/>
                    </w:rPr>
                    <w:t>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C413AA" w14:paraId="1734C931" w14:textId="77777777">
              <w:tc>
                <w:tcPr>
                  <w:tcW w:w="11196" w:type="dxa"/>
                  <w:tcBorders>
                    <w:top w:val="single" w:sz="24" w:space="0" w:color="C0C0C0"/>
                    <w:bottom w:val="nil"/>
                  </w:tcBorders>
                </w:tcPr>
                <w:p w14:paraId="77692170" w14:textId="77777777" w:rsidR="00C413AA" w:rsidRDefault="00000000">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C413AA" w14:paraId="4F1F6BDD" w14:textId="77777777">
              <w:tc>
                <w:tcPr>
                  <w:tcW w:w="11196" w:type="dxa"/>
                  <w:tcBorders>
                    <w:top w:val="nil"/>
                    <w:bottom w:val="single" w:sz="4" w:space="0" w:color="C0C0C0"/>
                  </w:tcBorders>
                </w:tcPr>
                <w:p w14:paraId="5F1707E2" w14:textId="77777777" w:rsidR="00C413AA"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w:t>
                  </w:r>
                  <w:r>
                    <w:rPr>
                      <w:rFonts w:eastAsia="楷体_GB2312" w:cs="Calibri" w:hint="eastAsia"/>
                      <w:w w:val="70"/>
                      <w:sz w:val="20"/>
                      <w:szCs w:val="20"/>
                    </w:rPr>
                    <w:t>其中提到的某一公司</w:t>
                  </w:r>
                  <w:r>
                    <w:rPr>
                      <w:rFonts w:eastAsia="楷体_GB2312" w:cs="Calibri"/>
                      <w:w w:val="70"/>
                      <w:sz w:val="20"/>
                      <w:szCs w:val="20"/>
                    </w:rPr>
                    <w:t>信息，</w:t>
                  </w:r>
                  <w:hyperlink r:id="rId14" w:history="1">
                    <w:r w:rsidR="00C413AA">
                      <w:rPr>
                        <w:rStyle w:val="Hyperlink"/>
                        <w:rFonts w:eastAsia="楷体_GB2312" w:cs="Calibri"/>
                        <w:w w:val="70"/>
                        <w:sz w:val="20"/>
                        <w:szCs w:val="20"/>
                      </w:rPr>
                      <w:t>请发邮件至</w:t>
                    </w:r>
                    <w:r w:rsidR="00C413AA">
                      <w:rPr>
                        <w:rStyle w:val="Hyperlink"/>
                        <w:rFonts w:eastAsia="楷体_GB2312" w:cs="Calibri"/>
                        <w:w w:val="70"/>
                        <w:sz w:val="20"/>
                        <w:szCs w:val="20"/>
                      </w:rPr>
                      <w:t>lcd@hfisec.com.hk</w:t>
                    </w:r>
                  </w:hyperlink>
                  <w:r>
                    <w:rPr>
                      <w:rFonts w:eastAsia="楷体_GB2312" w:cs="Calibri"/>
                      <w:w w:val="70"/>
                      <w:sz w:val="20"/>
                      <w:szCs w:val="20"/>
                    </w:rPr>
                    <w:t>）</w:t>
                  </w:r>
                </w:p>
                <w:p w14:paraId="119653F4" w14:textId="77777777" w:rsidR="00C413AA" w:rsidRDefault="00000000">
                  <w:pPr>
                    <w:pStyle w:val="EFADisclaimerText"/>
                    <w:rPr>
                      <w:rFonts w:eastAsia="楷体_GB2312" w:cs="Calibri"/>
                      <w:b/>
                      <w:bCs/>
                      <w:w w:val="70"/>
                      <w:sz w:val="20"/>
                      <w:szCs w:val="20"/>
                      <w:lang w:eastAsia="zh-CN"/>
                    </w:rPr>
                  </w:pPr>
                  <w:r>
                    <w:rPr>
                      <w:rFonts w:eastAsia="楷体_GB2312" w:cs="Calibri" w:hint="eastAsia"/>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C413AA" w14:paraId="77B6F055" w14:textId="77777777">
              <w:tc>
                <w:tcPr>
                  <w:tcW w:w="11196" w:type="dxa"/>
                  <w:tcBorders>
                    <w:top w:val="single" w:sz="4" w:space="0" w:color="C0C0C0"/>
                    <w:bottom w:val="single" w:sz="4" w:space="0" w:color="C0C0C0"/>
                  </w:tcBorders>
                </w:tcPr>
                <w:p w14:paraId="0379EE48" w14:textId="77777777" w:rsidR="00C413AA" w:rsidRDefault="00C413AA">
                  <w:pPr>
                    <w:pStyle w:val="EFADisclaimerText"/>
                    <w:rPr>
                      <w:rFonts w:eastAsia="楷体_GB2312" w:cs="Calibri"/>
                      <w:w w:val="70"/>
                      <w:sz w:val="20"/>
                      <w:szCs w:val="20"/>
                    </w:rPr>
                  </w:pPr>
                </w:p>
              </w:tc>
            </w:tr>
            <w:tr w:rsidR="00C413AA" w14:paraId="36B6007D" w14:textId="77777777">
              <w:trPr>
                <w:trHeight w:val="5096"/>
              </w:trPr>
              <w:tc>
                <w:tcPr>
                  <w:tcW w:w="11196" w:type="dxa"/>
                  <w:tcBorders>
                    <w:top w:val="single" w:sz="4" w:space="0" w:color="C0C0C0"/>
                  </w:tcBorders>
                </w:tcPr>
                <w:p w14:paraId="402EE537" w14:textId="77777777" w:rsidR="00C413AA" w:rsidRDefault="00000000">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621C3E07" w14:textId="77777777" w:rsidR="00C413AA" w:rsidRDefault="00000000">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70848495" w14:textId="77777777" w:rsidR="00C413AA" w:rsidRDefault="00000000">
                  <w:pPr>
                    <w:pStyle w:val="EFADisclaimerText"/>
                    <w:rPr>
                      <w:rFonts w:eastAsia="楷体_GB2312" w:cs="Calibri"/>
                      <w:b/>
                      <w:w w:val="70"/>
                      <w:sz w:val="20"/>
                      <w:szCs w:val="20"/>
                      <w:lang w:eastAsia="zh-CN"/>
                    </w:rPr>
                  </w:pPr>
                  <w:r>
                    <w:rPr>
                      <w:rFonts w:eastAsia="楷体_GB2312" w:cs="Calibri"/>
                      <w:b/>
                      <w:w w:val="70"/>
                      <w:sz w:val="20"/>
                      <w:szCs w:val="20"/>
                      <w:lang w:eastAsia="zh-CN"/>
                    </w:rPr>
                    <w:t>分析师股票评级</w:t>
                  </w:r>
                </w:p>
                <w:p w14:paraId="26DF3381" w14:textId="77777777" w:rsidR="00C413AA" w:rsidRDefault="00000000">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5BC79A94" w14:textId="77777777" w:rsidR="00C413AA" w:rsidRDefault="00000000">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1381FAE2" w14:textId="77777777" w:rsidR="00C413AA" w:rsidRDefault="00000000">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7C825EC7" w14:textId="77777777" w:rsidR="00C413AA" w:rsidRDefault="00000000">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307AFEB7" w14:textId="77777777" w:rsidR="00C413AA" w:rsidRDefault="00000000">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798A8739" w14:textId="77777777" w:rsidR="00C413AA" w:rsidRDefault="00000000">
                  <w:pPr>
                    <w:pStyle w:val="EFADisclaimerText"/>
                    <w:rPr>
                      <w:rFonts w:eastAsia="楷体_GB2312" w:cs="Calibri"/>
                      <w:w w:val="79"/>
                      <w:sz w:val="20"/>
                      <w:szCs w:val="20"/>
                    </w:rPr>
                  </w:pPr>
                  <w:r>
                    <w:rPr>
                      <w:rFonts w:eastAsia="楷体_GB2312" w:cs="Calibri" w:hint="eastAsia"/>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hint="eastAsia"/>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hint="eastAsia"/>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hint="eastAsia"/>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52728041" w14:textId="77777777" w:rsidR="00C413AA" w:rsidRDefault="00000000">
                  <w:pPr>
                    <w:pStyle w:val="EFADisclaimerText"/>
                    <w:rPr>
                      <w:rFonts w:eastAsia="楷体_GB2312" w:cs="Calibri"/>
                      <w:b/>
                      <w:w w:val="79"/>
                      <w:sz w:val="20"/>
                      <w:szCs w:val="20"/>
                    </w:rPr>
                  </w:pPr>
                  <w:r>
                    <w:rPr>
                      <w:rFonts w:eastAsia="楷体_GB2312" w:cs="Calibri"/>
                      <w:b/>
                      <w:w w:val="79"/>
                      <w:sz w:val="20"/>
                      <w:szCs w:val="20"/>
                    </w:rPr>
                    <w:t>Analyst Stock Ratings</w:t>
                  </w:r>
                </w:p>
                <w:p w14:paraId="0DAF22D8" w14:textId="77777777" w:rsidR="00C413AA" w:rsidRDefault="00000000">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12D87B28" w14:textId="77777777" w:rsidR="00C413AA" w:rsidRDefault="00000000">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15F97A56" w14:textId="77777777" w:rsidR="00C413AA" w:rsidRDefault="00000000">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1ED6EFB0" w14:textId="77777777" w:rsidR="00C413AA" w:rsidRDefault="00C413AA">
                  <w:pPr>
                    <w:pStyle w:val="EFADisclaimerText"/>
                    <w:rPr>
                      <w:rFonts w:eastAsia="楷体_GB2312" w:cs="Calibri"/>
                      <w:w w:val="70"/>
                      <w:sz w:val="20"/>
                      <w:szCs w:val="20"/>
                      <w:lang w:eastAsia="zh-CN"/>
                    </w:rPr>
                  </w:pPr>
                </w:p>
              </w:tc>
            </w:tr>
            <w:tr w:rsidR="00C413AA" w14:paraId="60D8924E" w14:textId="77777777">
              <w:tc>
                <w:tcPr>
                  <w:tcW w:w="11196" w:type="dxa"/>
                  <w:tcBorders>
                    <w:top w:val="single" w:sz="4" w:space="0" w:color="C0C0C0"/>
                    <w:bottom w:val="single" w:sz="4" w:space="0" w:color="C0C0C0"/>
                  </w:tcBorders>
                </w:tcPr>
                <w:p w14:paraId="7F3D952C" w14:textId="77777777" w:rsidR="00C413AA" w:rsidRDefault="00000000">
                  <w:pPr>
                    <w:pStyle w:val="EFADisclaimerText"/>
                    <w:spacing w:after="60"/>
                    <w:rPr>
                      <w:rFonts w:eastAsia="楷体_GB2312" w:cs="Calibri"/>
                      <w:w w:val="70"/>
                      <w:sz w:val="20"/>
                      <w:szCs w:val="20"/>
                    </w:rPr>
                  </w:pPr>
                  <w:r>
                    <w:rPr>
                      <w:rFonts w:eastAsia="楷体_GB2312" w:cs="Calibri" w:hint="eastAsia"/>
                      <w:b/>
                      <w:w w:val="70"/>
                      <w:sz w:val="20"/>
                      <w:szCs w:val="20"/>
                      <w:lang w:eastAsia="zh-CN"/>
                    </w:rPr>
                    <w:t>华福</w:t>
                  </w:r>
                  <w:r>
                    <w:rPr>
                      <w:rFonts w:eastAsia="楷体_GB2312" w:cs="Calibri"/>
                      <w:b/>
                      <w:w w:val="70"/>
                      <w:sz w:val="20"/>
                      <w:szCs w:val="20"/>
                    </w:rPr>
                    <w:t>国际非评级研究：</w:t>
                  </w:r>
                  <w:r>
                    <w:rPr>
                      <w:rFonts w:eastAsia="楷体_GB2312" w:cs="Calibri" w:hint="eastAsia"/>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7890AA0C" w14:textId="77777777" w:rsidR="00C413AA" w:rsidRDefault="00000000">
                  <w:pPr>
                    <w:pStyle w:val="EFADisclaimerText"/>
                    <w:rPr>
                      <w:rFonts w:eastAsia="楷体_GB2312" w:cs="Calibri"/>
                      <w:w w:val="70"/>
                      <w:sz w:val="20"/>
                      <w:szCs w:val="20"/>
                      <w:lang w:eastAsia="zh-CN"/>
                    </w:rPr>
                  </w:pPr>
                  <w:r>
                    <w:rPr>
                      <w:rFonts w:eastAsia="楷体_GB2312" w:cs="Calibri" w:hint="eastAsia"/>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C413AA" w14:paraId="3DA69871" w14:textId="77777777">
              <w:tc>
                <w:tcPr>
                  <w:tcW w:w="11196" w:type="dxa"/>
                  <w:tcBorders>
                    <w:top w:val="single" w:sz="4" w:space="0" w:color="C0C0C0"/>
                    <w:bottom w:val="single" w:sz="4" w:space="0" w:color="C0C0C0"/>
                  </w:tcBorders>
                </w:tcPr>
                <w:p w14:paraId="6F71B597" w14:textId="77777777" w:rsidR="00C413AA" w:rsidRDefault="00000000">
                  <w:pPr>
                    <w:pStyle w:val="EFADisclaimerText"/>
                    <w:spacing w:after="60"/>
                    <w:rPr>
                      <w:rFonts w:eastAsia="楷体_GB2312" w:cs="Calibri"/>
                      <w:w w:val="70"/>
                      <w:sz w:val="20"/>
                      <w:szCs w:val="20"/>
                      <w:lang w:eastAsia="zh-CN"/>
                    </w:rPr>
                  </w:pPr>
                  <w:r>
                    <w:rPr>
                      <w:rFonts w:eastAsia="楷体_GB2312" w:cs="Calibri" w:hint="eastAsia"/>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hint="eastAsia"/>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w:t>
                  </w:r>
                  <w:r>
                    <w:rPr>
                      <w:rFonts w:eastAsia="楷体_GB2312" w:cs="Calibri" w:hint="eastAsia"/>
                      <w:w w:val="70"/>
                      <w:sz w:val="20"/>
                      <w:szCs w:val="20"/>
                      <w:lang w:eastAsia="zh-CN"/>
                    </w:rPr>
                    <w:t>华福</w:t>
                  </w:r>
                  <w:r>
                    <w:rPr>
                      <w:rFonts w:eastAsia="楷体_GB2312" w:cs="Calibri"/>
                      <w:w w:val="70"/>
                      <w:sz w:val="20"/>
                      <w:szCs w:val="20"/>
                      <w:lang w:eastAsia="zh-CN"/>
                    </w:rPr>
                    <w:t>证券，</w:t>
                  </w:r>
                  <w:r>
                    <w:rPr>
                      <w:rFonts w:eastAsia="楷体_GB2312" w:cs="Calibri" w:hint="eastAsia"/>
                      <w:w w:val="70"/>
                      <w:sz w:val="20"/>
                      <w:szCs w:val="20"/>
                      <w:lang w:eastAsia="zh-CN"/>
                    </w:rPr>
                    <w:t>华福</w:t>
                  </w:r>
                  <w:r>
                    <w:rPr>
                      <w:rFonts w:eastAsia="楷体_GB2312" w:cs="Calibri"/>
                      <w:w w:val="70"/>
                      <w:sz w:val="20"/>
                      <w:szCs w:val="20"/>
                      <w:lang w:eastAsia="zh-CN"/>
                    </w:rPr>
                    <w:t>国际于</w:t>
                  </w:r>
                  <w:r>
                    <w:rPr>
                      <w:rFonts w:eastAsia="楷体_GB2312" w:cs="Calibri" w:hint="eastAsia"/>
                      <w:w w:val="70"/>
                      <w:sz w:val="20"/>
                      <w:szCs w:val="20"/>
                      <w:lang w:eastAsia="zh-CN"/>
                    </w:rPr>
                    <w:t>福州</w:t>
                  </w:r>
                  <w:r>
                    <w:rPr>
                      <w:rFonts w:eastAsia="楷体_GB2312" w:cs="Calibri"/>
                      <w:w w:val="70"/>
                      <w:sz w:val="20"/>
                      <w:szCs w:val="20"/>
                      <w:lang w:eastAsia="zh-CN"/>
                    </w:rPr>
                    <w:t>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eastAsia="楷体_GB2312" w:cs="Calibri" w:hint="eastAsia"/>
                      <w:w w:val="70"/>
                      <w:sz w:val="20"/>
                      <w:szCs w:val="20"/>
                      <w:lang w:eastAsia="zh-CN"/>
                    </w:rPr>
                    <w:t>华福</w:t>
                  </w:r>
                  <w:r>
                    <w:rPr>
                      <w:rFonts w:eastAsia="楷体_GB2312" w:cs="Calibri"/>
                      <w:w w:val="70"/>
                      <w:sz w:val="20"/>
                      <w:szCs w:val="20"/>
                      <w:lang w:eastAsia="zh-CN"/>
                    </w:rPr>
                    <w:t>证券不同的评级系统，</w:t>
                  </w:r>
                  <w:r>
                    <w:rPr>
                      <w:rFonts w:eastAsia="楷体_GB2312" w:cs="Calibri" w:hint="eastAsia"/>
                      <w:w w:val="70"/>
                      <w:sz w:val="20"/>
                      <w:szCs w:val="20"/>
                      <w:lang w:eastAsia="zh-CN"/>
                    </w:rPr>
                    <w:t>且可能有完全独立的不同研究覆盖团队，</w:t>
                  </w:r>
                  <w:r>
                    <w:rPr>
                      <w:rFonts w:eastAsia="楷体_GB2312" w:cs="Calibri"/>
                      <w:w w:val="70"/>
                      <w:sz w:val="20"/>
                      <w:szCs w:val="20"/>
                      <w:lang w:eastAsia="zh-CN"/>
                    </w:rPr>
                    <w:t>所以</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eastAsia="楷体_GB2312" w:cs="Calibri" w:hint="eastAsia"/>
                      <w:w w:val="70"/>
                      <w:sz w:val="20"/>
                      <w:szCs w:val="20"/>
                      <w:lang w:eastAsia="zh-CN"/>
                    </w:rPr>
                    <w:t>华福</w:t>
                  </w:r>
                  <w:r>
                    <w:rPr>
                      <w:rFonts w:eastAsia="楷体_GB2312" w:cs="Calibri"/>
                      <w:w w:val="70"/>
                      <w:sz w:val="20"/>
                      <w:szCs w:val="20"/>
                      <w:lang w:eastAsia="zh-CN"/>
                    </w:rPr>
                    <w:t>证券的中国</w:t>
                  </w:r>
                  <w:r>
                    <w:rPr>
                      <w:rFonts w:eastAsia="楷体_GB2312" w:cs="Calibri"/>
                      <w:w w:val="70"/>
                      <w:sz w:val="20"/>
                      <w:szCs w:val="20"/>
                      <w:lang w:eastAsia="zh-CN"/>
                    </w:rPr>
                    <w:t>A</w:t>
                  </w:r>
                  <w:r>
                    <w:rPr>
                      <w:rFonts w:eastAsia="楷体_GB2312" w:cs="Calibri"/>
                      <w:w w:val="70"/>
                      <w:sz w:val="20"/>
                      <w:szCs w:val="20"/>
                      <w:lang w:eastAsia="zh-CN"/>
                    </w:rPr>
                    <w:t>股评级</w:t>
                  </w:r>
                  <w:r>
                    <w:rPr>
                      <w:rFonts w:eastAsia="楷体_GB2312" w:cs="Calibri" w:hint="eastAsia"/>
                      <w:w w:val="70"/>
                      <w:sz w:val="20"/>
                      <w:szCs w:val="20"/>
                      <w:lang w:eastAsia="zh-CN"/>
                    </w:rPr>
                    <w:t>、目标价乃至分析逻辑</w:t>
                  </w:r>
                  <w:r>
                    <w:rPr>
                      <w:rFonts w:eastAsia="楷体_GB2312" w:cs="Calibri"/>
                      <w:w w:val="70"/>
                      <w:sz w:val="20"/>
                      <w:szCs w:val="20"/>
                      <w:lang w:eastAsia="zh-CN"/>
                    </w:rPr>
                    <w:t>可能有所不同。</w:t>
                  </w:r>
                </w:p>
                <w:p w14:paraId="78505A56" w14:textId="77777777" w:rsidR="00C413AA" w:rsidRDefault="00000000">
                  <w:pPr>
                    <w:pStyle w:val="EFADisclaimerText"/>
                    <w:rPr>
                      <w:rFonts w:eastAsia="楷体_GB2312" w:cs="Calibri"/>
                      <w:w w:val="70"/>
                      <w:sz w:val="20"/>
                      <w:szCs w:val="20"/>
                    </w:rPr>
                  </w:pPr>
                  <w:r>
                    <w:rPr>
                      <w:rFonts w:eastAsia="楷体_GB2312" w:cs="Calibri" w:hint="eastAsia"/>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hint="eastAsia"/>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hint="eastAsia"/>
                      <w:w w:val="70"/>
                      <w:sz w:val="20"/>
                      <w:szCs w:val="20"/>
                      <w:lang w:eastAsia="zh-CN"/>
                    </w:rPr>
                    <w:t>HuaFu International</w:t>
                  </w:r>
                  <w:r>
                    <w:rPr>
                      <w:rFonts w:eastAsia="楷体_GB2312" w:cs="Calibri"/>
                      <w:w w:val="70"/>
                      <w:sz w:val="20"/>
                      <w:szCs w:val="20"/>
                    </w:rPr>
                    <w:t xml:space="preserve"> based in </w:t>
                  </w:r>
                  <w:r>
                    <w:rPr>
                      <w:rFonts w:eastAsia="楷体_GB2312" w:cs="Calibri" w:hint="eastAsia"/>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hint="eastAsia"/>
                      <w:w w:val="70"/>
                      <w:sz w:val="20"/>
                      <w:szCs w:val="20"/>
                      <w:lang w:eastAsia="zh-CN"/>
                    </w:rPr>
                    <w:t>uaFu International</w:t>
                  </w:r>
                  <w:r>
                    <w:rPr>
                      <w:rFonts w:eastAsia="楷体_GB2312" w:cs="Calibri"/>
                      <w:w w:val="70"/>
                      <w:sz w:val="20"/>
                      <w:szCs w:val="20"/>
                    </w:rPr>
                    <w:t xml:space="preserve"> differs from that used by </w:t>
                  </w:r>
                  <w:r>
                    <w:rPr>
                      <w:rFonts w:eastAsia="楷体_GB2312" w:cs="Calibri" w:hint="eastAsia"/>
                      <w:w w:val="70"/>
                      <w:sz w:val="20"/>
                      <w:szCs w:val="20"/>
                      <w:lang w:eastAsia="zh-CN"/>
                    </w:rPr>
                    <w:t>HuaFu Securites</w:t>
                  </w:r>
                  <w:r>
                    <w:rPr>
                      <w:rFonts w:eastAsia="楷体_GB2312" w:cs="Calibri"/>
                      <w:w w:val="70"/>
                      <w:sz w:val="20"/>
                      <w:szCs w:val="20"/>
                    </w:rPr>
                    <w:t xml:space="preserve"> and </w:t>
                  </w:r>
                  <w:r>
                    <w:rPr>
                      <w:rFonts w:eastAsia="楷体_GB2312" w:cs="Calibri" w:hint="eastAsia"/>
                      <w:w w:val="70"/>
                      <w:sz w:val="20"/>
                      <w:szCs w:val="20"/>
                      <w:lang w:eastAsia="zh-CN"/>
                    </w:rPr>
                    <w:t xml:space="preserve">even the </w:t>
                  </w:r>
                  <w:r>
                    <w:rPr>
                      <w:rFonts w:eastAsia="楷体_GB2312" w:cs="Calibri" w:hint="eastAsia"/>
                      <w:w w:val="70"/>
                      <w:sz w:val="20"/>
                      <w:szCs w:val="20"/>
                      <w:lang w:eastAsia="zh-CN"/>
                    </w:rPr>
                    <w:lastRenderedPageBreak/>
                    <w:t xml:space="preserve">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C413AA" w14:paraId="2F0678E1" w14:textId="77777777">
              <w:tc>
                <w:tcPr>
                  <w:tcW w:w="11196" w:type="dxa"/>
                  <w:tcBorders>
                    <w:top w:val="single" w:sz="4" w:space="0" w:color="C0C0C0"/>
                    <w:bottom w:val="single" w:sz="4" w:space="0" w:color="C0C0C0"/>
                  </w:tcBorders>
                </w:tcPr>
                <w:p w14:paraId="3B3302FD" w14:textId="77777777" w:rsidR="00C413AA" w:rsidRDefault="00C413AA">
                  <w:pPr>
                    <w:pStyle w:val="EFADisclaimerText"/>
                    <w:rPr>
                      <w:rFonts w:eastAsia="楷体_GB2312" w:cs="Calibri"/>
                      <w:w w:val="70"/>
                      <w:sz w:val="20"/>
                      <w:szCs w:val="20"/>
                    </w:rPr>
                  </w:pPr>
                </w:p>
              </w:tc>
            </w:tr>
            <w:tr w:rsidR="00C413AA" w14:paraId="0AC0DF9D" w14:textId="77777777">
              <w:tc>
                <w:tcPr>
                  <w:tcW w:w="11196" w:type="dxa"/>
                  <w:tcBorders>
                    <w:top w:val="single" w:sz="4" w:space="0" w:color="C0C0C0"/>
                    <w:bottom w:val="single" w:sz="4" w:space="0" w:color="C0C0C0"/>
                  </w:tcBorders>
                </w:tcPr>
                <w:p w14:paraId="265828D4" w14:textId="77777777" w:rsidR="00C413AA" w:rsidRDefault="00000000">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1F2325BC" w14:textId="77777777" w:rsidR="00C413AA" w:rsidRDefault="00000000">
                  <w:pPr>
                    <w:pStyle w:val="EFADisclaimerText"/>
                    <w:spacing w:after="60"/>
                    <w:rPr>
                      <w:rFonts w:eastAsia="楷体_GB2312" w:cs="Calibri"/>
                      <w:w w:val="70"/>
                      <w:sz w:val="20"/>
                      <w:szCs w:val="20"/>
                    </w:rPr>
                  </w:pPr>
                  <w:r>
                    <w:rPr>
                      <w:rFonts w:eastAsia="楷体_GB2312" w:cs="Calibri"/>
                      <w:w w:val="70"/>
                      <w:sz w:val="20"/>
                      <w:szCs w:val="20"/>
                    </w:rPr>
                    <w:t>本报告由</w:t>
                  </w:r>
                  <w:r>
                    <w:rPr>
                      <w:rFonts w:eastAsia="楷体_GB2312" w:cs="Calibri" w:hint="eastAsia"/>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226B532C" w14:textId="77777777" w:rsidR="00C413AA" w:rsidRDefault="00000000">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hint="eastAsia"/>
                      <w:w w:val="70"/>
                      <w:sz w:val="20"/>
                      <w:szCs w:val="20"/>
                      <w:lang w:eastAsia="zh-CN"/>
                    </w:rPr>
                    <w:t>华福国际</w:t>
                  </w:r>
                  <w:r>
                    <w:rPr>
                      <w:rFonts w:eastAsia="楷体_GB2312" w:cs="Calibri"/>
                      <w:w w:val="70"/>
                      <w:sz w:val="20"/>
                      <w:szCs w:val="20"/>
                    </w:rPr>
                    <w:t>或任何其他属于</w:t>
                  </w:r>
                  <w:r>
                    <w:rPr>
                      <w:rFonts w:eastAsia="楷体_GB2312" w:cs="Calibri" w:hint="eastAsia"/>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hint="eastAsia"/>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0A628977" w14:textId="77777777" w:rsidR="00C413AA" w:rsidRDefault="00000000">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hint="eastAsia"/>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hint="eastAsia"/>
                      <w:w w:val="70"/>
                      <w:sz w:val="20"/>
                      <w:szCs w:val="20"/>
                      <w:lang w:eastAsia="zh-CN"/>
                    </w:rPr>
                    <w:t>华福国际</w:t>
                  </w:r>
                  <w:r>
                    <w:rPr>
                      <w:rFonts w:eastAsia="楷体_GB2312" w:cs="Calibri"/>
                      <w:w w:val="70"/>
                      <w:sz w:val="20"/>
                      <w:szCs w:val="20"/>
                    </w:rPr>
                    <w:t>的销售员、交易员和其他专业人士均可向</w:t>
                  </w:r>
                  <w:r>
                    <w:rPr>
                      <w:rFonts w:eastAsia="楷体_GB2312" w:cs="Calibri" w:hint="eastAsia"/>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hint="eastAsia"/>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hint="eastAsia"/>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014062D7" w14:textId="77777777" w:rsidR="00C413AA"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15" w:history="1">
                    <w:r w:rsidR="00C413AA">
                      <w:rPr>
                        <w:rStyle w:val="Hyperlink"/>
                        <w:rFonts w:eastAsia="楷体_GB2312" w:cs="Calibri"/>
                        <w:snapToGrid/>
                        <w:w w:val="70"/>
                        <w:sz w:val="20"/>
                        <w:szCs w:val="20"/>
                        <w:lang w:eastAsia="zh-CN"/>
                      </w:rPr>
                      <w:t>www.hfisec.com.hk</w:t>
                    </w:r>
                  </w:hyperlink>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1E1C85F5" w14:textId="77777777" w:rsidR="00C413AA" w:rsidRDefault="00000000">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474BD628" w14:textId="77777777" w:rsidR="00C413AA" w:rsidRDefault="00000000">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43638CD1" w14:textId="77777777" w:rsidR="00C413AA" w:rsidRDefault="00000000">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hint="eastAsia"/>
                      <w:w w:val="70"/>
                      <w:sz w:val="20"/>
                      <w:szCs w:val="20"/>
                      <w:lang w:eastAsia="zh-CN"/>
                    </w:rPr>
                    <w:t>HuaFu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hint="eastAsia"/>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5D1E0CA2" w14:textId="77777777" w:rsidR="00C413AA" w:rsidRDefault="00000000">
                  <w:pPr>
                    <w:pStyle w:val="EFADisclaimerText"/>
                    <w:spacing w:after="40"/>
                    <w:rPr>
                      <w:rFonts w:eastAsia="楷体_GB2312" w:cs="Calibri"/>
                      <w:w w:val="70"/>
                      <w:sz w:val="20"/>
                      <w:szCs w:val="20"/>
                    </w:rPr>
                  </w:pPr>
                  <w:r>
                    <w:rPr>
                      <w:rFonts w:eastAsia="楷体_GB2312" w:cs="Calibri" w:hint="eastAsia"/>
                      <w:w w:val="70"/>
                      <w:sz w:val="20"/>
                      <w:szCs w:val="20"/>
                      <w:lang w:eastAsia="zh-CN"/>
                    </w:rPr>
                    <w:t>HuaFu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hint="eastAsia"/>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hint="eastAsia"/>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hint="eastAsia"/>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hint="eastAsia"/>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4D79378" w14:textId="77777777" w:rsidR="00C413AA" w:rsidRDefault="00000000">
                  <w:pPr>
                    <w:pStyle w:val="EFADisclaimerText"/>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 xml:space="preserve">website </w:t>
                  </w:r>
                  <w:hyperlink r:id="rId16" w:history="1">
                    <w:r w:rsidR="00C413AA">
                      <w:rPr>
                        <w:rStyle w:val="Hyperlink"/>
                        <w:rFonts w:eastAsia="楷体_GB2312" w:cs="Calibri"/>
                        <w:bCs/>
                        <w:w w:val="70"/>
                        <w:sz w:val="20"/>
                        <w:szCs w:val="20"/>
                      </w:rPr>
                      <w:t>www.hfisec.com.hk</w:t>
                    </w:r>
                  </w:hyperlink>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3D413CA8" w14:textId="77777777" w:rsidR="00C413AA" w:rsidRDefault="00C413AA">
                  <w:pPr>
                    <w:pStyle w:val="EFADisclaimerText"/>
                    <w:spacing w:after="60"/>
                    <w:rPr>
                      <w:rFonts w:eastAsia="楷体_GB2312" w:cs="Calibri"/>
                      <w:b/>
                      <w:w w:val="70"/>
                      <w:sz w:val="20"/>
                      <w:szCs w:val="20"/>
                    </w:rPr>
                  </w:pPr>
                </w:p>
              </w:tc>
            </w:tr>
            <w:tr w:rsidR="00C413AA" w14:paraId="6176042C" w14:textId="77777777">
              <w:tc>
                <w:tcPr>
                  <w:tcW w:w="11196" w:type="dxa"/>
                  <w:tcBorders>
                    <w:top w:val="single" w:sz="4" w:space="0" w:color="C0C0C0"/>
                    <w:bottom w:val="single" w:sz="4" w:space="0" w:color="C0C0C0"/>
                  </w:tcBorders>
                </w:tcPr>
                <w:p w14:paraId="244F30B3" w14:textId="77777777" w:rsidR="00C413AA" w:rsidRDefault="00000000">
                  <w:pPr>
                    <w:pStyle w:val="EFADisclaimerText"/>
                    <w:spacing w:after="60"/>
                    <w:rPr>
                      <w:rFonts w:eastAsia="楷体_GB2312" w:cs="Calibri"/>
                      <w:b/>
                      <w:snapToGrid/>
                      <w:w w:val="70"/>
                      <w:sz w:val="20"/>
                      <w:szCs w:val="20"/>
                    </w:rPr>
                  </w:pPr>
                  <w:r>
                    <w:rPr>
                      <w:rFonts w:eastAsia="楷体_GB2312" w:cs="Calibri"/>
                      <w:b/>
                      <w:snapToGrid/>
                      <w:w w:val="70"/>
                      <w:sz w:val="20"/>
                      <w:szCs w:val="20"/>
                    </w:rPr>
                    <w:t>分发和地区通知：</w:t>
                  </w:r>
                </w:p>
                <w:p w14:paraId="0D0C1261" w14:textId="77777777" w:rsidR="00C413AA"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hint="eastAsia"/>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2329D46E" w14:textId="77777777" w:rsidR="00C413AA" w:rsidRDefault="00000000">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hint="eastAsia"/>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hint="eastAsia"/>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hint="eastAsia"/>
                      <w:snapToGrid/>
                      <w:w w:val="70"/>
                      <w:sz w:val="20"/>
                      <w:szCs w:val="20"/>
                      <w:lang w:eastAsia="zh-CN"/>
                    </w:rPr>
                    <w:t>华福国际</w:t>
                  </w:r>
                  <w:r>
                    <w:rPr>
                      <w:rFonts w:eastAsia="楷体_GB2312" w:cs="Calibri"/>
                      <w:snapToGrid/>
                      <w:w w:val="70"/>
                      <w:sz w:val="20"/>
                      <w:szCs w:val="20"/>
                    </w:rPr>
                    <w:t>销售人员。</w:t>
                  </w:r>
                </w:p>
                <w:p w14:paraId="16C7347D" w14:textId="77777777" w:rsidR="00C413AA" w:rsidRDefault="00000000">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73355F8C" w14:textId="77777777" w:rsidR="00C413AA" w:rsidRDefault="00000000">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hint="eastAsia"/>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hint="eastAsia"/>
                      <w:w w:val="70"/>
                      <w:sz w:val="20"/>
                      <w:szCs w:val="20"/>
                      <w:lang w:eastAsia="zh-CN"/>
                    </w:rPr>
                    <w:t xml:space="preserve">HuaFu </w:t>
                  </w:r>
                  <w:r>
                    <w:rPr>
                      <w:rFonts w:eastAsia="楷体_GB2312" w:cs="Calibri"/>
                      <w:w w:val="70"/>
                      <w:sz w:val="20"/>
                      <w:szCs w:val="20"/>
                    </w:rPr>
                    <w:t xml:space="preserve">International salesperson in their own country or region.  </w:t>
                  </w:r>
                </w:p>
                <w:p w14:paraId="619F6A47" w14:textId="77777777" w:rsidR="00C413AA" w:rsidRDefault="00000000">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hint="eastAsia"/>
                      <w:w w:val="70"/>
                      <w:sz w:val="20"/>
                      <w:szCs w:val="20"/>
                      <w:lang w:eastAsia="zh-CN"/>
                    </w:rPr>
                    <w:t>HuaFu International</w:t>
                  </w:r>
                  <w:r>
                    <w:rPr>
                      <w:rFonts w:eastAsia="楷体_GB2312" w:cs="Calibri"/>
                      <w:w w:val="70"/>
                      <w:sz w:val="20"/>
                      <w:szCs w:val="20"/>
                    </w:rPr>
                    <w:t xml:space="preserve"> salespersons in respect of any matters arising from, or in connection with, the </w:t>
                  </w:r>
                  <w:r>
                    <w:rPr>
                      <w:rFonts w:eastAsia="楷体_GB2312" w:cs="Calibri"/>
                      <w:w w:val="70"/>
                      <w:sz w:val="20"/>
                      <w:szCs w:val="20"/>
                    </w:rPr>
                    <w:lastRenderedPageBreak/>
                    <w:t>research report.</w:t>
                  </w:r>
                </w:p>
                <w:p w14:paraId="3BBD1FB4" w14:textId="77777777" w:rsidR="00C413AA" w:rsidRDefault="00C413AA">
                  <w:pPr>
                    <w:pStyle w:val="EFADisclaimerText"/>
                    <w:spacing w:after="60"/>
                    <w:rPr>
                      <w:rFonts w:eastAsia="楷体_GB2312" w:cs="Calibri"/>
                      <w:b/>
                      <w:w w:val="70"/>
                      <w:sz w:val="20"/>
                      <w:szCs w:val="20"/>
                    </w:rPr>
                  </w:pPr>
                </w:p>
              </w:tc>
            </w:tr>
            <w:tr w:rsidR="00C413AA" w14:paraId="21CD24E0" w14:textId="77777777">
              <w:tc>
                <w:tcPr>
                  <w:tcW w:w="11196" w:type="dxa"/>
                  <w:tcBorders>
                    <w:top w:val="single" w:sz="4" w:space="0" w:color="C0C0C0"/>
                    <w:bottom w:val="single" w:sz="4" w:space="0" w:color="C0C0C0"/>
                  </w:tcBorders>
                </w:tcPr>
                <w:p w14:paraId="078AE647" w14:textId="77777777" w:rsidR="00C413AA" w:rsidRDefault="00000000">
                  <w:pPr>
                    <w:pStyle w:val="EFADisclaimerText"/>
                    <w:spacing w:after="60"/>
                    <w:rPr>
                      <w:rFonts w:eastAsia="楷体_GB2312" w:cs="Calibri"/>
                      <w:w w:val="70"/>
                      <w:sz w:val="20"/>
                      <w:szCs w:val="20"/>
                    </w:rPr>
                  </w:pPr>
                  <w:r>
                    <w:rPr>
                      <w:rFonts w:eastAsia="楷体_GB2312" w:cs="Calibri"/>
                      <w:b/>
                      <w:w w:val="70"/>
                      <w:sz w:val="20"/>
                      <w:szCs w:val="20"/>
                    </w:rPr>
                    <w:lastRenderedPageBreak/>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76B0E08C" w14:textId="77777777" w:rsidR="00C413AA" w:rsidRDefault="00000000">
                  <w:pPr>
                    <w:pStyle w:val="EFADisclaimerText"/>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hint="eastAsia"/>
                      <w:w w:val="70"/>
                      <w:sz w:val="20"/>
                      <w:szCs w:val="20"/>
                      <w:lang w:eastAsia="zh-CN"/>
                    </w:rPr>
                    <w:t>华福</w:t>
                  </w:r>
                  <w:r>
                    <w:rPr>
                      <w:rFonts w:eastAsia="楷体_GB2312" w:cs="Calibri"/>
                      <w:w w:val="70"/>
                      <w:sz w:val="20"/>
                      <w:szCs w:val="20"/>
                    </w:rPr>
                    <w:t>国际的书面同意不得予以复制和再次分发。</w:t>
                  </w:r>
                </w:p>
                <w:p w14:paraId="7AA341E2" w14:textId="77777777" w:rsidR="00C413AA" w:rsidRDefault="00000000">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2025</w:t>
                  </w:r>
                  <w:r>
                    <w:rPr>
                      <w:rFonts w:eastAsia="楷体_GB2312" w:cs="Calibri"/>
                      <w:w w:val="70"/>
                      <w:sz w:val="20"/>
                      <w:szCs w:val="20"/>
                    </w:rPr>
                    <w:t>年。保留所有权利。</w:t>
                  </w:r>
                </w:p>
                <w:p w14:paraId="64237203" w14:textId="77777777" w:rsidR="00C413AA" w:rsidRDefault="00000000">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ED9C11F" w14:textId="77777777" w:rsidR="00C413AA" w:rsidRDefault="00000000">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hint="eastAsia"/>
                      <w:w w:val="70"/>
                      <w:sz w:val="20"/>
                      <w:szCs w:val="20"/>
                      <w:lang w:eastAsia="zh-CN"/>
                    </w:rPr>
                    <w:t>HuaFu International</w:t>
                  </w:r>
                  <w:r>
                    <w:rPr>
                      <w:rFonts w:eastAsia="楷体_GB2312" w:cs="Calibri"/>
                      <w:w w:val="70"/>
                      <w:sz w:val="20"/>
                      <w:szCs w:val="20"/>
                    </w:rPr>
                    <w:t>.</w:t>
                  </w:r>
                </w:p>
                <w:p w14:paraId="42D2888B" w14:textId="77777777" w:rsidR="00C413AA" w:rsidRDefault="00000000">
                  <w:pPr>
                    <w:pStyle w:val="EFADisclaimerText"/>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hint="eastAsia"/>
                      <w:w w:val="70"/>
                      <w:sz w:val="20"/>
                      <w:szCs w:val="20"/>
                      <w:lang w:eastAsia="zh-CN"/>
                    </w:rPr>
                    <w:t>HuaFu</w:t>
                  </w:r>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C413AA" w14:paraId="32DED330" w14:textId="77777777">
              <w:tc>
                <w:tcPr>
                  <w:tcW w:w="11196" w:type="dxa"/>
                  <w:tcBorders>
                    <w:top w:val="single" w:sz="4" w:space="0" w:color="C0C0C0"/>
                    <w:bottom w:val="single" w:sz="4" w:space="0" w:color="C0C0C0"/>
                  </w:tcBorders>
                </w:tcPr>
                <w:p w14:paraId="560C59D3" w14:textId="77777777" w:rsidR="00C413AA" w:rsidRDefault="00C413AA">
                  <w:pPr>
                    <w:pStyle w:val="EFADisclaimerText"/>
                    <w:spacing w:after="60"/>
                    <w:rPr>
                      <w:rFonts w:eastAsia="楷体_GB2312" w:cs="Calibri"/>
                      <w:b/>
                      <w:w w:val="70"/>
                      <w:sz w:val="20"/>
                      <w:szCs w:val="20"/>
                    </w:rPr>
                  </w:pPr>
                </w:p>
              </w:tc>
            </w:tr>
            <w:tr w:rsidR="00C413AA" w14:paraId="48635A7E" w14:textId="77777777">
              <w:tc>
                <w:tcPr>
                  <w:tcW w:w="11196" w:type="dxa"/>
                  <w:tcBorders>
                    <w:top w:val="single" w:sz="4" w:space="0" w:color="C0C0C0"/>
                    <w:bottom w:val="nil"/>
                  </w:tcBorders>
                </w:tcPr>
                <w:p w14:paraId="2958A29E" w14:textId="77777777" w:rsidR="00C413AA" w:rsidRDefault="00C413AA">
                  <w:pPr>
                    <w:pStyle w:val="EFADisclaimerText"/>
                    <w:spacing w:after="60"/>
                    <w:rPr>
                      <w:rFonts w:eastAsia="楷体_GB2312" w:cs="Calibri"/>
                      <w:b/>
                      <w:w w:val="70"/>
                      <w:sz w:val="20"/>
                      <w:szCs w:val="20"/>
                      <w:lang w:eastAsia="zh-CN"/>
                    </w:rPr>
                  </w:pPr>
                </w:p>
              </w:tc>
            </w:tr>
          </w:tbl>
          <w:p w14:paraId="26937E79" w14:textId="77777777" w:rsidR="00C413AA" w:rsidRDefault="00C413AA">
            <w:pPr>
              <w:pStyle w:val="EFAAnchor"/>
              <w:rPr>
                <w:rFonts w:eastAsia="宋体"/>
                <w:sz w:val="16"/>
              </w:rPr>
            </w:pPr>
          </w:p>
          <w:p w14:paraId="0367B49D" w14:textId="77777777" w:rsidR="00C413AA" w:rsidRDefault="00C413AA"/>
        </w:tc>
      </w:tr>
    </w:tbl>
    <w:p w14:paraId="5F2A854A" w14:textId="77777777" w:rsidR="00C413AA" w:rsidRDefault="00C413AA">
      <w:pPr>
        <w:pStyle w:val="EFAAnchor"/>
        <w:rPr>
          <w:w w:val="70"/>
          <w:sz w:val="20"/>
          <w:szCs w:val="20"/>
          <w:lang w:val="en-GB"/>
        </w:rPr>
      </w:pPr>
    </w:p>
    <w:p w14:paraId="7D4840E5" w14:textId="77777777" w:rsidR="00C413AA" w:rsidRDefault="00C413AA">
      <w:pPr>
        <w:pStyle w:val="EFAAnchor"/>
        <w:rPr>
          <w:lang w:val="en-GB"/>
        </w:rPr>
      </w:pPr>
    </w:p>
    <w:sectPr w:rsidR="00C413AA">
      <w:headerReference w:type="default" r:id="rId17"/>
      <w:footerReference w:type="default" r:id="rId18"/>
      <w:headerReference w:type="first" r:id="rId19"/>
      <w:footerReference w:type="first" r:id="rId20"/>
      <w:pgSz w:w="11909" w:h="16834"/>
      <w:pgMar w:top="1077" w:right="567" w:bottom="1021" w:left="329" w:header="720" w:footer="11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995D" w14:textId="77777777" w:rsidR="00C47B64" w:rsidRDefault="00C47B64">
      <w:r>
        <w:separator/>
      </w:r>
    </w:p>
  </w:endnote>
  <w:endnote w:type="continuationSeparator" w:id="0">
    <w:p w14:paraId="69EB9483" w14:textId="77777777" w:rsidR="00C47B64" w:rsidRDefault="00C47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altName w:val="Kingsoft Sign"/>
    <w:panose1 w:val="050401020108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0" w:usb1="00000000" w:usb2="00000000" w:usb3="00000000" w:csb0="00040000" w:csb1="00000000"/>
  </w:font>
  <w:font w:name="汉仪楷体简">
    <w:altName w:val="汉仪楷体KW"/>
    <w:charset w:val="86"/>
    <w:family w:val="modern"/>
    <w:pitch w:val="default"/>
    <w:sig w:usb0="00000000" w:usb1="00000000" w:usb2="00000012" w:usb3="00000000" w:csb0="00040000" w:csb1="00000000"/>
  </w:font>
  <w:font w:name="汉仪大黑简">
    <w:altName w:val="汉仪中黑KW"/>
    <w:charset w:val="86"/>
    <w:family w:val="modern"/>
    <w:pitch w:val="default"/>
    <w:sig w:usb0="00000000" w:usb1="00000000" w:usb2="00000012" w:usb3="00000000" w:csb0="00040000" w:csb1="00000000"/>
  </w:font>
  <w:font w:name="Tahoma">
    <w:altName w:val="Verdan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汉仪旗黑KW 55S"/>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EFAB" w14:textId="77777777" w:rsidR="00C413AA" w:rsidRDefault="00000000">
    <w:pPr>
      <w:pStyle w:val="EFANormal"/>
    </w:pPr>
    <w:r>
      <w:rPr>
        <w:noProof/>
        <w:lang w:eastAsia="zh-CN"/>
      </w:rPr>
      <mc:AlternateContent>
        <mc:Choice Requires="wps">
          <w:drawing>
            <wp:anchor distT="0" distB="0" distL="114300" distR="114300" simplePos="0" relativeHeight="251659264" behindDoc="0" locked="0" layoutInCell="1" allowOverlap="1" wp14:anchorId="19AD807B" wp14:editId="3026B977">
              <wp:simplePos x="0" y="0"/>
              <wp:positionH relativeFrom="page">
                <wp:posOffset>75565</wp:posOffset>
              </wp:positionH>
              <wp:positionV relativeFrom="page">
                <wp:posOffset>9812020</wp:posOffset>
              </wp:positionV>
              <wp:extent cx="7404100" cy="50165"/>
              <wp:effectExtent l="0" t="0" r="6350" b="6985"/>
              <wp:wrapNone/>
              <wp:docPr id="1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31328575" w14:textId="77777777" w:rsidR="00C413AA" w:rsidRDefault="00C413AA">
                          <w:pPr>
                            <w:ind w:left="-180"/>
                          </w:pPr>
                        </w:p>
                      </w:txbxContent>
                    </wps:txbx>
                    <wps:bodyPr rot="0" vert="horz" wrap="square" lIns="91440" tIns="45720" rIns="91440" bIns="45720" anchor="t" anchorCtr="0" upright="1">
                      <a:noAutofit/>
                    </wps:bodyPr>
                  </wps:wsp>
                </a:graphicData>
              </a:graphic>
            </wp:anchor>
          </w:drawing>
        </mc:Choice>
        <mc:Fallback>
          <w:pict>
            <v:shapetype w14:anchorId="19AD807B" id="_x0000_t202" coordsize="21600,21600" o:spt="202" path="m,l,21600r21600,l21600,xe">
              <v:stroke joinstyle="miter"/>
              <v:path gradientshapeok="t" o:connecttype="rect"/>
            </v:shapetype>
            <v:shape id="Text Box 73" o:spid="_x0000_s1027" type="#_x0000_t202" style="position:absolute;margin-left:5.95pt;margin-top:772.6pt;width:583pt;height:3.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" fillcolor="#005bac" stroked="f">
              <v:textbox>
                <w:txbxContent>
                  <w:p w14:paraId="31328575" w14:textId="77777777" w:rsidR="00C413AA" w:rsidRDefault="00C413AA">
                    <w:pPr>
                      <w:ind w:left="-180"/>
                    </w:pPr>
                  </w:p>
                </w:txbxContent>
              </v:textbox>
              <w10:wrap anchorx="page" anchory="page"/>
            </v:shape>
          </w:pict>
        </mc:Fallback>
      </mc:AlternateContent>
    </w:r>
    <w:r>
      <w:rPr>
        <w:noProof/>
        <w:lang w:eastAsia="zh-CN"/>
      </w:rPr>
      <mc:AlternateContent>
        <mc:Choice Requires="wps">
          <w:drawing>
            <wp:anchor distT="0" distB="0" distL="114300" distR="114300" simplePos="0" relativeHeight="251661312" behindDoc="0" locked="1" layoutInCell="1" allowOverlap="1" wp14:anchorId="58A5C858" wp14:editId="6B03C80F">
              <wp:simplePos x="0" y="0"/>
              <wp:positionH relativeFrom="column">
                <wp:posOffset>-448945</wp:posOffset>
              </wp:positionH>
              <wp:positionV relativeFrom="page">
                <wp:posOffset>9860280</wp:posOffset>
              </wp:positionV>
              <wp:extent cx="7421880" cy="807720"/>
              <wp:effectExtent l="0" t="0" r="7620" b="1143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TableGrid"/>
                            <w:tblW w:w="11624"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624"/>
                          </w:tblGrid>
                          <w:tr w:rsidR="00C413AA" w14:paraId="61C5DE5C" w14:textId="77777777">
                            <w:trPr>
                              <w:trHeight w:hRule="exact" w:val="23"/>
                            </w:trPr>
                            <w:tc>
                              <w:tcPr>
                                <w:tcW w:w="11624" w:type="dxa"/>
                              </w:tcPr>
                              <w:p w14:paraId="1BB3F4DF" w14:textId="77777777" w:rsidR="00C413AA"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413AA" w14:paraId="65456958" w14:textId="77777777">
                            <w:tc>
                              <w:tcPr>
                                <w:tcW w:w="11624" w:type="dxa"/>
                              </w:tcPr>
                              <w:p w14:paraId="7EF056F8" w14:textId="77777777" w:rsidR="00C413AA" w:rsidRDefault="00000000">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E73B8C" w14:textId="77777777" w:rsidR="00C413AA" w:rsidRDefault="00C413AA">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58A5C858" id="Text Box 281" o:spid="_x0000_s1028" type="#_x0000_t202" style="position:absolute;margin-left:-35.35pt;margin-top:776.4pt;width:584.4pt;height:63.6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" filled="f" stroked="f">
              <v:textbox inset="0,0,0,0">
                <w:txbxContent>
                  <w:tbl>
                    <w:tblPr>
                      <w:tblStyle w:val="TableGrid"/>
                      <w:tblW w:w="11624"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624"/>
                    </w:tblGrid>
                    <w:tr w:rsidR="00C413AA" w14:paraId="61C5DE5C" w14:textId="77777777">
                      <w:trPr>
                        <w:trHeight w:hRule="exact" w:val="23"/>
                      </w:trPr>
                      <w:tc>
                        <w:tcPr>
                          <w:tcW w:w="11624" w:type="dxa"/>
                        </w:tcPr>
                        <w:p w14:paraId="1BB3F4DF" w14:textId="77777777" w:rsidR="00C413AA"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413AA" w14:paraId="65456958" w14:textId="77777777">
                      <w:tc>
                        <w:tcPr>
                          <w:tcW w:w="11624" w:type="dxa"/>
                        </w:tcPr>
                        <w:p w14:paraId="7EF056F8" w14:textId="77777777" w:rsidR="00C413AA" w:rsidRDefault="00000000">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E73B8C" w14:textId="77777777" w:rsidR="00C413AA" w:rsidRDefault="00C413AA">
                    <w:pPr>
                      <w:pStyle w:val="EFAFPFooter"/>
                      <w:rPr>
                        <w:rFonts w:eastAsia="楷体_GB2312" w:cs="Calibri"/>
                        <w:b w:val="0"/>
                        <w:sz w:val="21"/>
                        <w:szCs w:val="21"/>
                      </w:rPr>
                    </w:pP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621"/>
      <w:gridCol w:w="7088"/>
      <w:gridCol w:w="850"/>
    </w:tblGrid>
    <w:tr w:rsidR="00C413AA" w14:paraId="543B2566" w14:textId="77777777">
      <w:tc>
        <w:tcPr>
          <w:tcW w:w="7621" w:type="dxa"/>
        </w:tcPr>
        <w:p w14:paraId="4BE7C025" w14:textId="793277D6" w:rsidR="00C413AA" w:rsidRDefault="00000000">
          <w:pPr>
            <w:pStyle w:val="EFANormal"/>
          </w:pPr>
          <w:r>
            <w:rPr>
              <w:b/>
              <w:sz w:val="20"/>
              <w:szCs w:val="20"/>
            </w:rPr>
            <w:fldChar w:fldCharType="begin"/>
          </w:r>
          <w:r>
            <w:rPr>
              <w:b/>
              <w:sz w:val="20"/>
              <w:szCs w:val="20"/>
            </w:rPr>
            <w:instrText xml:space="preserve"> DATE  \@ "d MMM yyyy"  \* MERGEFORMAT </w:instrText>
          </w:r>
          <w:r>
            <w:rPr>
              <w:b/>
              <w:sz w:val="20"/>
              <w:szCs w:val="20"/>
            </w:rPr>
            <w:fldChar w:fldCharType="separate"/>
          </w:r>
          <w:r w:rsidR="00443666">
            <w:rPr>
              <w:b/>
              <w:noProof/>
              <w:sz w:val="20"/>
              <w:szCs w:val="20"/>
            </w:rPr>
            <w:t>7 Feb 2026</w:t>
          </w:r>
          <w:r>
            <w:rPr>
              <w:b/>
              <w:sz w:val="20"/>
              <w:szCs w:val="20"/>
            </w:rPr>
            <w:fldChar w:fldCharType="end"/>
          </w:r>
        </w:p>
      </w:tc>
      <w:tc>
        <w:tcPr>
          <w:tcW w:w="7088" w:type="dxa"/>
        </w:tcPr>
        <w:p w14:paraId="14C337CA" w14:textId="77777777" w:rsidR="00C413AA" w:rsidRDefault="00000000">
          <w:pPr>
            <w:pStyle w:val="EFANormal"/>
          </w:pPr>
          <w:r>
            <w:rPr>
              <w:b/>
              <w:sz w:val="20"/>
              <w:szCs w:val="20"/>
            </w:rPr>
            <w:fldChar w:fldCharType="begin"/>
          </w:r>
          <w:r>
            <w:rPr>
              <w:b/>
              <w:sz w:val="20"/>
              <w:szCs w:val="20"/>
            </w:rPr>
            <w:instrText xml:space="preserve"> PAGE </w:instrText>
          </w:r>
          <w:r>
            <w:rPr>
              <w:b/>
              <w:sz w:val="20"/>
              <w:szCs w:val="20"/>
            </w:rPr>
            <w:fldChar w:fldCharType="separate"/>
          </w:r>
          <w:r>
            <w:rPr>
              <w:b/>
              <w:sz w:val="20"/>
              <w:szCs w:val="20"/>
            </w:rPr>
            <w:t>5</w:t>
          </w:r>
          <w:r>
            <w:rPr>
              <w:b/>
              <w:sz w:val="20"/>
              <w:szCs w:val="20"/>
            </w:rPr>
            <w:fldChar w:fldCharType="end"/>
          </w:r>
        </w:p>
      </w:tc>
      <w:tc>
        <w:tcPr>
          <w:tcW w:w="850" w:type="dxa"/>
        </w:tcPr>
        <w:p w14:paraId="20400CE3" w14:textId="77777777" w:rsidR="00C413AA" w:rsidRDefault="00C413AA">
          <w:pPr>
            <w:pStyle w:val="EFANormal"/>
          </w:pPr>
        </w:p>
      </w:tc>
    </w:tr>
  </w:tbl>
  <w:p w14:paraId="7C169816" w14:textId="77777777" w:rsidR="00C413AA" w:rsidRDefault="00C413AA">
    <w:pPr>
      <w:pStyle w:val="EFANormal"/>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201A" w14:textId="77777777" w:rsidR="00C413AA" w:rsidRDefault="00C413AA">
    <w:pPr>
      <w:pStyle w:val="EFANormal"/>
      <w:spacing w:line="20" w:lineRule="exact"/>
    </w:pPr>
  </w:p>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C413AA" w14:paraId="6DF640FE" w14:textId="77777777">
      <w:trPr>
        <w:trHeight w:val="329"/>
      </w:trPr>
      <w:tc>
        <w:tcPr>
          <w:tcW w:w="10721" w:type="dxa"/>
          <w:tcBorders>
            <w:top w:val="nil"/>
            <w:left w:val="nil"/>
            <w:bottom w:val="nil"/>
            <w:right w:val="nil"/>
          </w:tcBorders>
          <w:vAlign w:val="center"/>
        </w:tcPr>
        <w:p w14:paraId="5A7C4F2C" w14:textId="77777777" w:rsidR="00C413AA" w:rsidRDefault="00000000">
          <w:pPr>
            <w:pStyle w:val="EFAPageFooter"/>
            <w:framePr w:wrap="auto" w:vAnchor="margin" w:hAnchor="text" w:xAlign="left" w:yAlign="inline"/>
            <w:suppressOverlap w:val="0"/>
          </w:pPr>
          <w:r>
            <w:tab/>
          </w:r>
          <w:r>
            <w:fldChar w:fldCharType="begin"/>
          </w:r>
          <w:r>
            <w:instrText xml:space="preserve"> PAGE </w:instrText>
          </w:r>
          <w:r>
            <w:fldChar w:fldCharType="separate"/>
          </w:r>
          <w:r>
            <w:t>6</w:t>
          </w:r>
          <w:r>
            <w:fldChar w:fldCharType="end"/>
          </w:r>
        </w:p>
      </w:tc>
    </w:tr>
  </w:tbl>
  <w:p w14:paraId="1B2853B3" w14:textId="77777777" w:rsidR="00C413AA" w:rsidRDefault="00C413AA">
    <w:pPr>
      <w:pStyle w:val="EFANorma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A550" w14:textId="77777777" w:rsidR="00C413AA" w:rsidRDefault="00C41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E339C" w14:textId="77777777" w:rsidR="00C47B64" w:rsidRDefault="00C47B64">
      <w:r>
        <w:separator/>
      </w:r>
    </w:p>
  </w:footnote>
  <w:footnote w:type="continuationSeparator" w:id="0">
    <w:p w14:paraId="78182EF8" w14:textId="77777777" w:rsidR="00C47B64" w:rsidRDefault="00C47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1951" w14:textId="77777777" w:rsidR="00C413AA" w:rsidRDefault="00C413AA">
    <w:pPr>
      <w:pStyle w:val="EFANormal"/>
    </w:pPr>
  </w:p>
  <w:p w14:paraId="41BF1B68" w14:textId="77777777" w:rsidR="00C413AA" w:rsidRDefault="00C413AA"/>
  <w:p w14:paraId="5B8B3C99" w14:textId="77777777" w:rsidR="00C413AA" w:rsidRDefault="00000000">
    <w:r>
      <w:rPr>
        <w:noProof/>
        <w:snapToGrid/>
      </w:rPr>
      <w:drawing>
        <wp:anchor distT="0" distB="0" distL="114300" distR="114300" simplePos="0" relativeHeight="251663360" behindDoc="0" locked="0" layoutInCell="1" allowOverlap="1" wp14:anchorId="6B21A827" wp14:editId="053CCA1F">
          <wp:simplePos x="0" y="0"/>
          <wp:positionH relativeFrom="margin">
            <wp:align>right</wp:align>
          </wp:positionH>
          <wp:positionV relativeFrom="paragraph">
            <wp:posOffset>81915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noProof/>
        <w:lang w:val="en-US" w:eastAsia="zh-CN"/>
      </w:rPr>
      <mc:AlternateContent>
        <mc:Choice Requires="wps">
          <w:drawing>
            <wp:anchor distT="0" distB="0" distL="114300" distR="114300" simplePos="0" relativeHeight="251662336" behindDoc="0" locked="0" layoutInCell="1" allowOverlap="1" wp14:anchorId="0822B4BF" wp14:editId="367CC0AE">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C413AA" w14:paraId="3A22D501" w14:textId="77777777">
                            <w:trPr>
                              <w:trHeight w:hRule="exact" w:val="23"/>
                            </w:trPr>
                            <w:tc>
                              <w:tcPr>
                                <w:tcW w:w="3322" w:type="dxa"/>
                              </w:tcPr>
                              <w:p w14:paraId="0B1EDD77" w14:textId="77777777" w:rsidR="00C413AA" w:rsidRDefault="00000000">
                                <w:pPr>
                                  <w:rPr>
                                    <w:rFonts w:eastAsia="楷体_GB2312"/>
                                    <w:color w:val="FF0000"/>
                                    <w:sz w:val="20"/>
                                    <w:szCs w:val="20"/>
                                  </w:rPr>
                                </w:pPr>
                                <w:r>
                                  <w:rPr>
                                    <w:rFonts w:eastAsia="楷体_GB2312"/>
                                    <w:color w:val="FFFFFF" w:themeColor="background1"/>
                                    <w:sz w:val="20"/>
                                    <w:szCs w:val="20"/>
                                  </w:rPr>
                                  <w:t>[Table_yemei1]</w:t>
                                </w:r>
                              </w:p>
                            </w:tc>
                          </w:tr>
                          <w:tr w:rsidR="00C413AA" w14:paraId="2323082E" w14:textId="77777777">
                            <w:tc>
                              <w:tcPr>
                                <w:tcW w:w="3322" w:type="dxa"/>
                              </w:tcPr>
                              <w:p w14:paraId="655258BC" w14:textId="77777777" w:rsidR="00C413AA"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11FD850F" w14:textId="77777777" w:rsidR="00C413AA" w:rsidRDefault="00C413AA">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type w14:anchorId="0822B4BF" id="_x0000_t202" coordsize="21600,21600" o:spt="202" path="m,l,21600r21600,l21600,xe">
              <v:stroke joinstyle="miter"/>
              <v:path gradientshapeok="t" o:connecttype="rect"/>
            </v:shapetype>
            <v:shape id="文本框 2" o:spid="_x0000_s1026" type="#_x0000_t202" style="position:absolute;margin-left:26.45pt;margin-top:174.45pt;width:180.45pt;height:2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&#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C413AA" w14:paraId="3A22D501" w14:textId="77777777">
                      <w:trPr>
                        <w:trHeight w:hRule="exact" w:val="23"/>
                      </w:trPr>
                      <w:tc>
                        <w:tcPr>
                          <w:tcW w:w="3322" w:type="dxa"/>
                        </w:tcPr>
                        <w:p w14:paraId="0B1EDD77" w14:textId="77777777" w:rsidR="00C413AA" w:rsidRDefault="00000000">
                          <w:pPr>
                            <w:rPr>
                              <w:rFonts w:eastAsia="楷体_GB2312"/>
                              <w:color w:val="FF0000"/>
                              <w:sz w:val="20"/>
                              <w:szCs w:val="20"/>
                            </w:rPr>
                          </w:pPr>
                          <w:r>
                            <w:rPr>
                              <w:rFonts w:eastAsia="楷体_GB2312"/>
                              <w:color w:val="FFFFFF" w:themeColor="background1"/>
                              <w:sz w:val="20"/>
                              <w:szCs w:val="20"/>
                            </w:rPr>
                            <w:t>[Table_yemei1]</w:t>
                          </w:r>
                        </w:p>
                      </w:tc>
                    </w:tr>
                    <w:tr w:rsidR="00C413AA" w14:paraId="2323082E" w14:textId="77777777">
                      <w:tc>
                        <w:tcPr>
                          <w:tcW w:w="3322" w:type="dxa"/>
                        </w:tcPr>
                        <w:p w14:paraId="655258BC" w14:textId="77777777" w:rsidR="00C413AA" w:rsidRDefault="00000000">
                          <w:pPr>
                            <w:rPr>
                              <w:color w:val="23558C"/>
                              <w:sz w:val="20"/>
                              <w:szCs w:val="20"/>
                            </w:rPr>
                          </w:pPr>
                          <w:r>
                            <w:rPr>
                              <w:rFonts w:eastAsia="楷体_GB2312" w:hint="eastAsia"/>
                              <w:color w:val="23558C"/>
                              <w:sz w:val="20"/>
                              <w:szCs w:val="20"/>
                              <w:lang w:eastAsia="zh-CN"/>
                            </w:rPr>
                            <w:t>观点聚焦</w:t>
                          </w:r>
                          <w:r>
                            <w:rPr>
                              <w:rFonts w:eastAsia="楷体_GB2312" w:hint="eastAsia"/>
                              <w:color w:val="23558C"/>
                              <w:sz w:val="20"/>
                              <w:szCs w:val="20"/>
                              <w:lang w:eastAsia="zh-CN"/>
                            </w:rPr>
                            <w:t xml:space="preserve"> </w:t>
                          </w:r>
                          <w:r>
                            <w:rPr>
                              <w:rFonts w:eastAsia="楷体_GB2312"/>
                              <w:color w:val="23558C"/>
                              <w:sz w:val="20"/>
                              <w:szCs w:val="20"/>
                              <w:lang w:eastAsia="zh-CN"/>
                            </w:rPr>
                            <w:t>Investment Focus</w:t>
                          </w:r>
                        </w:p>
                      </w:tc>
                    </w:tr>
                  </w:tbl>
                  <w:p w14:paraId="11FD850F" w14:textId="77777777" w:rsidR="00C413AA" w:rsidRDefault="00C413AA">
                    <w:pPr>
                      <w:spacing w:line="40" w:lineRule="exact"/>
                      <w:rPr>
                        <w:rFonts w:eastAsia="楷体_GB2312"/>
                        <w:color w:val="23558C"/>
                        <w:sz w:val="10"/>
                        <w:szCs w:val="10"/>
                        <w:lang w:eastAsia="zh-CN"/>
                      </w:rPr>
                    </w:pPr>
                  </w:p>
                </w:txbxContent>
              </v:textbox>
            </v:shape>
          </w:pict>
        </mc:Fallback>
      </mc:AlternateContent>
    </w:r>
    <w:r>
      <w:rPr>
        <w:noProof/>
        <w:lang w:val="en-US" w:eastAsia="zh-CN"/>
      </w:rPr>
      <w:drawing>
        <wp:anchor distT="0" distB="0" distL="114300" distR="114300" simplePos="0" relativeHeight="251660288" behindDoc="1" locked="0" layoutInCell="1" allowOverlap="1" wp14:anchorId="6AF89D03" wp14:editId="5EAC7912">
          <wp:simplePos x="0" y="0"/>
          <wp:positionH relativeFrom="column">
            <wp:posOffset>-60960</wp:posOffset>
          </wp:positionH>
          <wp:positionV relativeFrom="paragraph">
            <wp:posOffset>2253615</wp:posOffset>
          </wp:positionV>
          <wp:extent cx="360045" cy="179705"/>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header3]"/>
    </w:tblPr>
    <w:tblGrid>
      <w:gridCol w:w="15559"/>
    </w:tblGrid>
    <w:tr w:rsidR="00C413AA" w14:paraId="2B8AA3BB" w14:textId="77777777">
      <w:trPr>
        <w:trHeight w:hRule="exact" w:val="23"/>
      </w:trPr>
      <w:tc>
        <w:tcPr>
          <w:tcW w:w="15559" w:type="dxa"/>
        </w:tcPr>
        <w:p w14:paraId="3B9DB08B" w14:textId="77777777" w:rsidR="00C413AA" w:rsidRDefault="00000000">
          <w:pPr>
            <w:pStyle w:val="EFANormal"/>
          </w:pPr>
          <w:r>
            <w:rPr>
              <w:color w:val="FFFFFF" w:themeColor="background1"/>
            </w:rPr>
            <w:t>[Table_header3]</w:t>
          </w:r>
        </w:p>
      </w:tc>
    </w:tr>
    <w:tr w:rsidR="00C413AA" w14:paraId="30882487" w14:textId="77777777">
      <w:tc>
        <w:tcPr>
          <w:tcW w:w="15559" w:type="dxa"/>
        </w:tcPr>
        <w:p w14:paraId="00B8119B" w14:textId="77777777" w:rsidR="00C413AA" w:rsidRDefault="00000000">
          <w:pPr>
            <w:pStyle w:val="EFANormal"/>
            <w:jc w:val="right"/>
            <w:rPr>
              <w:rFonts w:eastAsia="楷体_GB2312" w:cs="Calibri"/>
              <w:b/>
              <w:color w:val="005BAC"/>
              <w:sz w:val="24"/>
              <w:szCs w:val="24"/>
            </w:rPr>
          </w:pPr>
          <w:r>
            <w:rPr>
              <w:rFonts w:eastAsia="楷体_GB2312" w:cs="Calibri" w:hint="eastAsia"/>
              <w:b/>
              <w:color w:val="005BAC"/>
              <w:sz w:val="24"/>
              <w:szCs w:val="24"/>
              <w:lang w:eastAsia="zh-CN"/>
            </w:rPr>
            <w:t>中国宏观</w:t>
          </w:r>
        </w:p>
      </w:tc>
    </w:tr>
  </w:tbl>
  <w:p w14:paraId="71EE11E1" w14:textId="77777777" w:rsidR="00C413AA" w:rsidRDefault="00C413AA">
    <w:pPr>
      <w:pStyle w:val="EFANorma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E6B3" w14:textId="77777777" w:rsidR="00C413AA" w:rsidRDefault="00C413AA">
    <w:pPr>
      <w:pStyle w:val="EFANormal"/>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57B4" w14:textId="77777777" w:rsidR="00C413AA" w:rsidRDefault="00C41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AC8"/>
    <w:multiLevelType w:val="multilevel"/>
    <w:tmpl w:val="02634AC8"/>
    <w:lvl w:ilvl="0">
      <w:start w:val="1"/>
      <w:numFmt w:val="bullet"/>
      <w:pStyle w:val="HUS"/>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3935DA5"/>
    <w:multiLevelType w:val="multilevel"/>
    <w:tmpl w:val="03935DA5"/>
    <w:lvl w:ilvl="0">
      <w:start w:val="1"/>
      <w:numFmt w:val="bullet"/>
      <w:pStyle w:val="EFABulletRed"/>
      <w:lvlText w:val=""/>
      <w:lvlJc w:val="left"/>
      <w:pPr>
        <w:ind w:left="720" w:hanging="360"/>
      </w:pPr>
      <w:rPr>
        <w:rFonts w:ascii="Wingdings" w:hAnsi="Wingdings" w:hint="default"/>
        <w:b w:val="0"/>
        <w:i w:val="0"/>
        <w:color w:val="3333AD"/>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C657F7"/>
    <w:multiLevelType w:val="multilevel"/>
    <w:tmpl w:val="04C657F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ascii="Times New Roman" w:hAnsi="Times New Roman" w:hint="default"/>
      </w:rPr>
    </w:lvl>
    <w:lvl w:ilvl="2">
      <w:start w:val="1"/>
      <w:numFmt w:val="decimal"/>
      <w:lvlText w:val="%1.%2.%3."/>
      <w:lvlJc w:val="left"/>
      <w:pPr>
        <w:tabs>
          <w:tab w:val="left" w:pos="709"/>
        </w:tabs>
        <w:ind w:left="709" w:hanging="709"/>
      </w:pPr>
      <w:rPr>
        <w:rFonts w:hint="eastAsia"/>
      </w:rPr>
    </w:lvl>
    <w:lvl w:ilvl="3">
      <w:start w:val="1"/>
      <w:numFmt w:val="decimal"/>
      <w:pStyle w:val="Heading4"/>
      <w:lvlText w:val="%1.%2.%3.%4."/>
      <w:lvlJc w:val="left"/>
      <w:pPr>
        <w:tabs>
          <w:tab w:val="left" w:pos="3911"/>
        </w:tabs>
        <w:ind w:left="391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238731C4"/>
    <w:multiLevelType w:val="multilevel"/>
    <w:tmpl w:val="238731C4"/>
    <w:lvl w:ilvl="0">
      <w:start w:val="1"/>
      <w:numFmt w:val="upperRoman"/>
      <w:pStyle w:val="EFAHeading1"/>
      <w:lvlText w:val="PART %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1A2D25"/>
    <w:multiLevelType w:val="multilevel"/>
    <w:tmpl w:val="331A2D25"/>
    <w:lvl w:ilvl="0">
      <w:start w:val="1"/>
      <w:numFmt w:val="bullet"/>
      <w:pStyle w:val="EFABulletYellow"/>
      <w:lvlText w:val=""/>
      <w:lvlJc w:val="left"/>
      <w:pPr>
        <w:ind w:left="720" w:hanging="360"/>
      </w:pPr>
      <w:rPr>
        <w:rFonts w:ascii="Wingdings" w:hAnsi="Wingdings" w:hint="default"/>
        <w:b w:val="0"/>
        <w:i w:val="0"/>
        <w:color w:val="A5879B"/>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A55B35"/>
    <w:multiLevelType w:val="multilevel"/>
    <w:tmpl w:val="38A55B35"/>
    <w:lvl w:ilvl="0">
      <w:start w:val="1"/>
      <w:numFmt w:val="bullet"/>
      <w:pStyle w:val="EFAFPTitle3"/>
      <w:lvlText w:val=""/>
      <w:lvlJc w:val="left"/>
      <w:pPr>
        <w:ind w:left="480" w:hanging="4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41772804"/>
    <w:multiLevelType w:val="multilevel"/>
    <w:tmpl w:val="41772804"/>
    <w:lvl w:ilvl="0">
      <w:start w:val="1"/>
      <w:numFmt w:val="bullet"/>
      <w:pStyle w:val="EFABulletBlue"/>
      <w:lvlText w:val=""/>
      <w:lvlJc w:val="left"/>
      <w:pPr>
        <w:ind w:left="720" w:hanging="360"/>
      </w:pPr>
      <w:rPr>
        <w:rFonts w:ascii="Wingdings" w:hAnsi="Wingdings" w:hint="default"/>
        <w:b w:val="0"/>
        <w:i w:val="0"/>
        <w:color w:val="99CCFF"/>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1EA01BD"/>
    <w:multiLevelType w:val="multilevel"/>
    <w:tmpl w:val="41EA01BD"/>
    <w:lvl w:ilvl="0">
      <w:start w:val="1"/>
      <w:numFmt w:val="bullet"/>
      <w:pStyle w:val="EFABulletInden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79321DC"/>
    <w:multiLevelType w:val="multilevel"/>
    <w:tmpl w:val="479321DC"/>
    <w:lvl w:ilvl="0">
      <w:start w:val="1"/>
      <w:numFmt w:val="bullet"/>
      <w:pStyle w:val="EFABulle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62B5102"/>
    <w:multiLevelType w:val="multilevel"/>
    <w:tmpl w:val="662B5102"/>
    <w:lvl w:ilvl="0">
      <w:start w:val="1"/>
      <w:numFmt w:val="bullet"/>
      <w:pStyle w:val="EFAFPHeadline"/>
      <w:lvlText w:val=""/>
      <w:lvlJc w:val="left"/>
      <w:pPr>
        <w:ind w:left="280" w:hanging="2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6B531506"/>
    <w:multiLevelType w:val="multilevel"/>
    <w:tmpl w:val="6B531506"/>
    <w:lvl w:ilvl="0">
      <w:start w:val="1"/>
      <w:numFmt w:val="upperRoman"/>
      <w:pStyle w:val="EFAHeading5"/>
      <w:lvlText w:val="PART %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6C4E34EC"/>
    <w:multiLevelType w:val="multilevel"/>
    <w:tmpl w:val="6C4E34EC"/>
    <w:lvl w:ilvl="0">
      <w:start w:val="1"/>
      <w:numFmt w:val="bullet"/>
      <w:pStyle w:val="EFABulletGreen"/>
      <w:lvlText w:val=""/>
      <w:lvlJc w:val="left"/>
      <w:pPr>
        <w:ind w:left="720" w:hanging="360"/>
      </w:pPr>
      <w:rPr>
        <w:rFonts w:ascii="Wingdings" w:hAnsi="Wingdings" w:hint="default"/>
        <w:b w:val="0"/>
        <w:i w:val="0"/>
        <w:color w:val="86C091"/>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55312959">
    <w:abstractNumId w:val="2"/>
  </w:num>
  <w:num w:numId="2" w16cid:durableId="91363054">
    <w:abstractNumId w:val="8"/>
  </w:num>
  <w:num w:numId="3" w16cid:durableId="993223733">
    <w:abstractNumId w:val="1"/>
  </w:num>
  <w:num w:numId="4" w16cid:durableId="529152445">
    <w:abstractNumId w:val="11"/>
  </w:num>
  <w:num w:numId="5" w16cid:durableId="146015786">
    <w:abstractNumId w:val="6"/>
  </w:num>
  <w:num w:numId="6" w16cid:durableId="1317346606">
    <w:abstractNumId w:val="4"/>
  </w:num>
  <w:num w:numId="7" w16cid:durableId="1365399609">
    <w:abstractNumId w:val="7"/>
  </w:num>
  <w:num w:numId="8" w16cid:durableId="1744259207">
    <w:abstractNumId w:val="3"/>
  </w:num>
  <w:num w:numId="9" w16cid:durableId="886259310">
    <w:abstractNumId w:val="5"/>
  </w:num>
  <w:num w:numId="10" w16cid:durableId="121847295">
    <w:abstractNumId w:val="9"/>
  </w:num>
  <w:num w:numId="11" w16cid:durableId="264963876">
    <w:abstractNumId w:val="10"/>
  </w:num>
  <w:num w:numId="12" w16cid:durableId="199571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400"/>
  <w:drawingGridHorizontalSpacing w:val="80"/>
  <w:drawingGridVerticalSpacing w:val="20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F59"/>
    <w:rsid w:val="0002500A"/>
    <w:rsid w:val="00025E71"/>
    <w:rsid w:val="00025F59"/>
    <w:rsid w:val="00026DCC"/>
    <w:rsid w:val="00027183"/>
    <w:rsid w:val="00027FEF"/>
    <w:rsid w:val="0003028B"/>
    <w:rsid w:val="00032B31"/>
    <w:rsid w:val="000334F3"/>
    <w:rsid w:val="000336AF"/>
    <w:rsid w:val="00033DF7"/>
    <w:rsid w:val="000347D5"/>
    <w:rsid w:val="00035535"/>
    <w:rsid w:val="00035E45"/>
    <w:rsid w:val="0003686B"/>
    <w:rsid w:val="00041387"/>
    <w:rsid w:val="00041A6F"/>
    <w:rsid w:val="0004283E"/>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53DD"/>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15C"/>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E0A01"/>
    <w:rsid w:val="000E0F0E"/>
    <w:rsid w:val="000E1262"/>
    <w:rsid w:val="000E1FB8"/>
    <w:rsid w:val="000E35E3"/>
    <w:rsid w:val="000E377C"/>
    <w:rsid w:val="000E3E8B"/>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CDB"/>
    <w:rsid w:val="001059C9"/>
    <w:rsid w:val="0010656E"/>
    <w:rsid w:val="00106DF2"/>
    <w:rsid w:val="00110B26"/>
    <w:rsid w:val="00110FF3"/>
    <w:rsid w:val="001111AD"/>
    <w:rsid w:val="00113DC0"/>
    <w:rsid w:val="001154B0"/>
    <w:rsid w:val="0011588A"/>
    <w:rsid w:val="001164AF"/>
    <w:rsid w:val="00117571"/>
    <w:rsid w:val="00117C9F"/>
    <w:rsid w:val="00120A7B"/>
    <w:rsid w:val="00123AC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5A39"/>
    <w:rsid w:val="001565F2"/>
    <w:rsid w:val="00156799"/>
    <w:rsid w:val="00160306"/>
    <w:rsid w:val="00163B2F"/>
    <w:rsid w:val="0016407E"/>
    <w:rsid w:val="00164CA4"/>
    <w:rsid w:val="00165FE3"/>
    <w:rsid w:val="001669C8"/>
    <w:rsid w:val="00166E15"/>
    <w:rsid w:val="00167695"/>
    <w:rsid w:val="00170C3B"/>
    <w:rsid w:val="00170DCB"/>
    <w:rsid w:val="001721EC"/>
    <w:rsid w:val="001763B0"/>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7CAF"/>
    <w:rsid w:val="001A1911"/>
    <w:rsid w:val="001A3692"/>
    <w:rsid w:val="001A4F63"/>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4C97"/>
    <w:rsid w:val="001D58D6"/>
    <w:rsid w:val="001D663F"/>
    <w:rsid w:val="001D6B4F"/>
    <w:rsid w:val="001D6F5B"/>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200B71"/>
    <w:rsid w:val="00201113"/>
    <w:rsid w:val="00201302"/>
    <w:rsid w:val="002017C5"/>
    <w:rsid w:val="0020268B"/>
    <w:rsid w:val="00203E93"/>
    <w:rsid w:val="00205F60"/>
    <w:rsid w:val="0020724C"/>
    <w:rsid w:val="0021325D"/>
    <w:rsid w:val="002138DE"/>
    <w:rsid w:val="00214810"/>
    <w:rsid w:val="00214CA6"/>
    <w:rsid w:val="00215AB9"/>
    <w:rsid w:val="00215D4D"/>
    <w:rsid w:val="002179B7"/>
    <w:rsid w:val="0022007B"/>
    <w:rsid w:val="002207F6"/>
    <w:rsid w:val="00221091"/>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70CD"/>
    <w:rsid w:val="00290715"/>
    <w:rsid w:val="00290FFE"/>
    <w:rsid w:val="00293E45"/>
    <w:rsid w:val="00296000"/>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5E"/>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3DFE"/>
    <w:rsid w:val="003B3E37"/>
    <w:rsid w:val="003B405B"/>
    <w:rsid w:val="003B42E0"/>
    <w:rsid w:val="003B509D"/>
    <w:rsid w:val="003B6659"/>
    <w:rsid w:val="003B69AF"/>
    <w:rsid w:val="003B78FD"/>
    <w:rsid w:val="003B7A01"/>
    <w:rsid w:val="003C0C04"/>
    <w:rsid w:val="003C2B67"/>
    <w:rsid w:val="003C3701"/>
    <w:rsid w:val="003C3ED1"/>
    <w:rsid w:val="003C50EE"/>
    <w:rsid w:val="003C635C"/>
    <w:rsid w:val="003C644B"/>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3F7767"/>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777"/>
    <w:rsid w:val="00437AE7"/>
    <w:rsid w:val="00437C5D"/>
    <w:rsid w:val="004401E6"/>
    <w:rsid w:val="004419D5"/>
    <w:rsid w:val="00442011"/>
    <w:rsid w:val="004427CF"/>
    <w:rsid w:val="00443666"/>
    <w:rsid w:val="004455BA"/>
    <w:rsid w:val="004459F7"/>
    <w:rsid w:val="00445B35"/>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677C"/>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1DBE"/>
    <w:rsid w:val="004E2483"/>
    <w:rsid w:val="004E24CF"/>
    <w:rsid w:val="004E2AE2"/>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5753"/>
    <w:rsid w:val="004F68C4"/>
    <w:rsid w:val="004F76A3"/>
    <w:rsid w:val="00501811"/>
    <w:rsid w:val="0050337A"/>
    <w:rsid w:val="00504579"/>
    <w:rsid w:val="0050661D"/>
    <w:rsid w:val="00506C1E"/>
    <w:rsid w:val="00507CBE"/>
    <w:rsid w:val="00510770"/>
    <w:rsid w:val="005110C6"/>
    <w:rsid w:val="005121D1"/>
    <w:rsid w:val="00512B60"/>
    <w:rsid w:val="005133B5"/>
    <w:rsid w:val="00514459"/>
    <w:rsid w:val="0051447F"/>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47816"/>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CDC"/>
    <w:rsid w:val="005C61D7"/>
    <w:rsid w:val="005C6F27"/>
    <w:rsid w:val="005D054C"/>
    <w:rsid w:val="005D27B4"/>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5F7737"/>
    <w:rsid w:val="0060090A"/>
    <w:rsid w:val="00600D92"/>
    <w:rsid w:val="00600DB7"/>
    <w:rsid w:val="00601EA2"/>
    <w:rsid w:val="00602D99"/>
    <w:rsid w:val="00602DD5"/>
    <w:rsid w:val="006037B8"/>
    <w:rsid w:val="00603F0D"/>
    <w:rsid w:val="00604EA4"/>
    <w:rsid w:val="0060511B"/>
    <w:rsid w:val="0060590D"/>
    <w:rsid w:val="00607E41"/>
    <w:rsid w:val="0061378B"/>
    <w:rsid w:val="00613888"/>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6FAA"/>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7E6"/>
    <w:rsid w:val="00657881"/>
    <w:rsid w:val="00657A98"/>
    <w:rsid w:val="0066094D"/>
    <w:rsid w:val="006627A7"/>
    <w:rsid w:val="00665CA9"/>
    <w:rsid w:val="00666BD8"/>
    <w:rsid w:val="006671B2"/>
    <w:rsid w:val="006700EB"/>
    <w:rsid w:val="00670489"/>
    <w:rsid w:val="00671B9B"/>
    <w:rsid w:val="006726FB"/>
    <w:rsid w:val="0067272A"/>
    <w:rsid w:val="00672D5A"/>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6BA2"/>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650"/>
    <w:rsid w:val="006F7F16"/>
    <w:rsid w:val="00700FFC"/>
    <w:rsid w:val="007014EB"/>
    <w:rsid w:val="00701859"/>
    <w:rsid w:val="00701FA5"/>
    <w:rsid w:val="0070263D"/>
    <w:rsid w:val="00702F23"/>
    <w:rsid w:val="0070326F"/>
    <w:rsid w:val="00703F83"/>
    <w:rsid w:val="007056D7"/>
    <w:rsid w:val="00705EB0"/>
    <w:rsid w:val="00706C26"/>
    <w:rsid w:val="00706EC1"/>
    <w:rsid w:val="00707768"/>
    <w:rsid w:val="00710653"/>
    <w:rsid w:val="00710759"/>
    <w:rsid w:val="00712178"/>
    <w:rsid w:val="0071239E"/>
    <w:rsid w:val="00712606"/>
    <w:rsid w:val="007133D1"/>
    <w:rsid w:val="00714ABF"/>
    <w:rsid w:val="00716363"/>
    <w:rsid w:val="00717115"/>
    <w:rsid w:val="0072046F"/>
    <w:rsid w:val="007207EC"/>
    <w:rsid w:val="007224DE"/>
    <w:rsid w:val="007226BD"/>
    <w:rsid w:val="007234E6"/>
    <w:rsid w:val="00726DA5"/>
    <w:rsid w:val="00727CB3"/>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8F0"/>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57D92"/>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892"/>
    <w:rsid w:val="00776FDA"/>
    <w:rsid w:val="00781213"/>
    <w:rsid w:val="00781411"/>
    <w:rsid w:val="0078169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024"/>
    <w:rsid w:val="007F17DD"/>
    <w:rsid w:val="007F1C6F"/>
    <w:rsid w:val="007F25B0"/>
    <w:rsid w:val="007F276A"/>
    <w:rsid w:val="007F4DC9"/>
    <w:rsid w:val="007F706B"/>
    <w:rsid w:val="007F79AC"/>
    <w:rsid w:val="008003F4"/>
    <w:rsid w:val="00800589"/>
    <w:rsid w:val="00800761"/>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A5B"/>
    <w:rsid w:val="008124F4"/>
    <w:rsid w:val="008157EC"/>
    <w:rsid w:val="0081608B"/>
    <w:rsid w:val="00816811"/>
    <w:rsid w:val="00816CE0"/>
    <w:rsid w:val="008203CF"/>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56ED2"/>
    <w:rsid w:val="008610BD"/>
    <w:rsid w:val="008613BF"/>
    <w:rsid w:val="00861A3A"/>
    <w:rsid w:val="00861E51"/>
    <w:rsid w:val="0086276F"/>
    <w:rsid w:val="00862E13"/>
    <w:rsid w:val="00863349"/>
    <w:rsid w:val="00863DAF"/>
    <w:rsid w:val="0086487A"/>
    <w:rsid w:val="00864B11"/>
    <w:rsid w:val="00864B81"/>
    <w:rsid w:val="0086689F"/>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8F7292"/>
    <w:rsid w:val="009004AA"/>
    <w:rsid w:val="00900647"/>
    <w:rsid w:val="00900F7A"/>
    <w:rsid w:val="009013F5"/>
    <w:rsid w:val="00902A76"/>
    <w:rsid w:val="00904623"/>
    <w:rsid w:val="009049C8"/>
    <w:rsid w:val="0090625E"/>
    <w:rsid w:val="0090788B"/>
    <w:rsid w:val="009117F0"/>
    <w:rsid w:val="0091193B"/>
    <w:rsid w:val="00912B3D"/>
    <w:rsid w:val="0091317C"/>
    <w:rsid w:val="00913433"/>
    <w:rsid w:val="00913F76"/>
    <w:rsid w:val="0091421D"/>
    <w:rsid w:val="009143F7"/>
    <w:rsid w:val="00915DDC"/>
    <w:rsid w:val="009160D7"/>
    <w:rsid w:val="00920723"/>
    <w:rsid w:val="00920C04"/>
    <w:rsid w:val="0092240B"/>
    <w:rsid w:val="00922908"/>
    <w:rsid w:val="00922BEA"/>
    <w:rsid w:val="00923797"/>
    <w:rsid w:val="00927DBB"/>
    <w:rsid w:val="00930445"/>
    <w:rsid w:val="009311CE"/>
    <w:rsid w:val="00932222"/>
    <w:rsid w:val="00932DC8"/>
    <w:rsid w:val="00932DE9"/>
    <w:rsid w:val="00934232"/>
    <w:rsid w:val="00934D58"/>
    <w:rsid w:val="00934EB1"/>
    <w:rsid w:val="00934FDB"/>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3DED"/>
    <w:rsid w:val="00A15467"/>
    <w:rsid w:val="00A15859"/>
    <w:rsid w:val="00A167A3"/>
    <w:rsid w:val="00A16E45"/>
    <w:rsid w:val="00A171F5"/>
    <w:rsid w:val="00A208C7"/>
    <w:rsid w:val="00A220A2"/>
    <w:rsid w:val="00A23AB7"/>
    <w:rsid w:val="00A24EC6"/>
    <w:rsid w:val="00A255E0"/>
    <w:rsid w:val="00A25D98"/>
    <w:rsid w:val="00A30D22"/>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6E90"/>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EE7"/>
    <w:rsid w:val="00B01140"/>
    <w:rsid w:val="00B02045"/>
    <w:rsid w:val="00B04931"/>
    <w:rsid w:val="00B051F8"/>
    <w:rsid w:val="00B0667C"/>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3DFB"/>
    <w:rsid w:val="00BA4DAF"/>
    <w:rsid w:val="00BA53AB"/>
    <w:rsid w:val="00BA53DE"/>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0FE9"/>
    <w:rsid w:val="00BE1986"/>
    <w:rsid w:val="00BE211C"/>
    <w:rsid w:val="00BE3047"/>
    <w:rsid w:val="00BE38C9"/>
    <w:rsid w:val="00BE42FB"/>
    <w:rsid w:val="00BE5756"/>
    <w:rsid w:val="00BE6F02"/>
    <w:rsid w:val="00BF2D5C"/>
    <w:rsid w:val="00BF3C85"/>
    <w:rsid w:val="00BF425F"/>
    <w:rsid w:val="00BF668F"/>
    <w:rsid w:val="00C03C87"/>
    <w:rsid w:val="00C04A80"/>
    <w:rsid w:val="00C05571"/>
    <w:rsid w:val="00C07480"/>
    <w:rsid w:val="00C07E3A"/>
    <w:rsid w:val="00C10D5C"/>
    <w:rsid w:val="00C10DF4"/>
    <w:rsid w:val="00C1119D"/>
    <w:rsid w:val="00C11BC3"/>
    <w:rsid w:val="00C11BEE"/>
    <w:rsid w:val="00C12446"/>
    <w:rsid w:val="00C134C5"/>
    <w:rsid w:val="00C13584"/>
    <w:rsid w:val="00C139EE"/>
    <w:rsid w:val="00C13CE0"/>
    <w:rsid w:val="00C145D4"/>
    <w:rsid w:val="00C16FF4"/>
    <w:rsid w:val="00C20CEA"/>
    <w:rsid w:val="00C217A5"/>
    <w:rsid w:val="00C22B4F"/>
    <w:rsid w:val="00C23BAD"/>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13AA"/>
    <w:rsid w:val="00C430F8"/>
    <w:rsid w:val="00C439E9"/>
    <w:rsid w:val="00C4424F"/>
    <w:rsid w:val="00C46B02"/>
    <w:rsid w:val="00C475E9"/>
    <w:rsid w:val="00C47A39"/>
    <w:rsid w:val="00C47B64"/>
    <w:rsid w:val="00C47D70"/>
    <w:rsid w:val="00C47F4F"/>
    <w:rsid w:val="00C50235"/>
    <w:rsid w:val="00C52B39"/>
    <w:rsid w:val="00C53C26"/>
    <w:rsid w:val="00C547B7"/>
    <w:rsid w:val="00C54B6B"/>
    <w:rsid w:val="00C55C55"/>
    <w:rsid w:val="00C55E58"/>
    <w:rsid w:val="00C56346"/>
    <w:rsid w:val="00C57013"/>
    <w:rsid w:val="00C5739B"/>
    <w:rsid w:val="00C57F58"/>
    <w:rsid w:val="00C62DCD"/>
    <w:rsid w:val="00C63AB1"/>
    <w:rsid w:val="00C64010"/>
    <w:rsid w:val="00C64242"/>
    <w:rsid w:val="00C64815"/>
    <w:rsid w:val="00C6550C"/>
    <w:rsid w:val="00C66182"/>
    <w:rsid w:val="00C6630B"/>
    <w:rsid w:val="00C6664A"/>
    <w:rsid w:val="00C675B7"/>
    <w:rsid w:val="00C676E5"/>
    <w:rsid w:val="00C677CE"/>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87553"/>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22A7"/>
    <w:rsid w:val="00CC31E2"/>
    <w:rsid w:val="00CC4AA6"/>
    <w:rsid w:val="00CC5170"/>
    <w:rsid w:val="00CC5EDE"/>
    <w:rsid w:val="00CC6182"/>
    <w:rsid w:val="00CC674F"/>
    <w:rsid w:val="00CC6DD5"/>
    <w:rsid w:val="00CD0F83"/>
    <w:rsid w:val="00CD24EB"/>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56"/>
    <w:rsid w:val="00DA0E91"/>
    <w:rsid w:val="00DA2ED0"/>
    <w:rsid w:val="00DA5FF8"/>
    <w:rsid w:val="00DA63A1"/>
    <w:rsid w:val="00DA6755"/>
    <w:rsid w:val="00DA6AE3"/>
    <w:rsid w:val="00DA6D39"/>
    <w:rsid w:val="00DA72A4"/>
    <w:rsid w:val="00DB0086"/>
    <w:rsid w:val="00DB05C0"/>
    <w:rsid w:val="00DB0846"/>
    <w:rsid w:val="00DB1945"/>
    <w:rsid w:val="00DB1A45"/>
    <w:rsid w:val="00DB39CD"/>
    <w:rsid w:val="00DB42A5"/>
    <w:rsid w:val="00DB4CA5"/>
    <w:rsid w:val="00DB5579"/>
    <w:rsid w:val="00DB582C"/>
    <w:rsid w:val="00DB73C5"/>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0D6"/>
    <w:rsid w:val="00E00BB5"/>
    <w:rsid w:val="00E02523"/>
    <w:rsid w:val="00E026BA"/>
    <w:rsid w:val="00E03417"/>
    <w:rsid w:val="00E03B14"/>
    <w:rsid w:val="00E04368"/>
    <w:rsid w:val="00E044E3"/>
    <w:rsid w:val="00E047B3"/>
    <w:rsid w:val="00E04897"/>
    <w:rsid w:val="00E060F9"/>
    <w:rsid w:val="00E075B9"/>
    <w:rsid w:val="00E105AC"/>
    <w:rsid w:val="00E112D0"/>
    <w:rsid w:val="00E11322"/>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51172"/>
    <w:rsid w:val="00E51AD3"/>
    <w:rsid w:val="00E51E14"/>
    <w:rsid w:val="00E528A5"/>
    <w:rsid w:val="00E52929"/>
    <w:rsid w:val="00E55C6C"/>
    <w:rsid w:val="00E56D4D"/>
    <w:rsid w:val="00E60005"/>
    <w:rsid w:val="00E601B8"/>
    <w:rsid w:val="00E60F0A"/>
    <w:rsid w:val="00E663FB"/>
    <w:rsid w:val="00E6700A"/>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E02"/>
    <w:rsid w:val="00EA1C8E"/>
    <w:rsid w:val="00EA2950"/>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452F"/>
    <w:rsid w:val="00F15874"/>
    <w:rsid w:val="00F169DB"/>
    <w:rsid w:val="00F170B0"/>
    <w:rsid w:val="00F1772A"/>
    <w:rsid w:val="00F218A0"/>
    <w:rsid w:val="00F21EBF"/>
    <w:rsid w:val="00F21F0F"/>
    <w:rsid w:val="00F23F12"/>
    <w:rsid w:val="00F252D3"/>
    <w:rsid w:val="00F256D1"/>
    <w:rsid w:val="00F27459"/>
    <w:rsid w:val="00F27705"/>
    <w:rsid w:val="00F30CC0"/>
    <w:rsid w:val="00F329BA"/>
    <w:rsid w:val="00F32BFD"/>
    <w:rsid w:val="00F33E79"/>
    <w:rsid w:val="00F344EE"/>
    <w:rsid w:val="00F34EAD"/>
    <w:rsid w:val="00F34ED7"/>
    <w:rsid w:val="00F353D2"/>
    <w:rsid w:val="00F363B2"/>
    <w:rsid w:val="00F4208D"/>
    <w:rsid w:val="00F42E84"/>
    <w:rsid w:val="00F43D70"/>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367D"/>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77E4"/>
    <w:rsid w:val="00FF01C2"/>
    <w:rsid w:val="00FF0FFF"/>
    <w:rsid w:val="00FF1124"/>
    <w:rsid w:val="00FF22EF"/>
    <w:rsid w:val="00FF2B31"/>
    <w:rsid w:val="00FF35D4"/>
    <w:rsid w:val="00FF55FD"/>
    <w:rsid w:val="00FF6BF5"/>
    <w:rsid w:val="00FF7280"/>
    <w:rsid w:val="09E00862"/>
    <w:rsid w:val="0DF64C5A"/>
    <w:rsid w:val="0EA855E3"/>
    <w:rsid w:val="2BCB5B89"/>
    <w:rsid w:val="376F0F0B"/>
    <w:rsid w:val="3A0C6803"/>
    <w:rsid w:val="3A457F94"/>
    <w:rsid w:val="3C8E7DE2"/>
    <w:rsid w:val="3F9C7811"/>
    <w:rsid w:val="570766A5"/>
    <w:rsid w:val="5ED3AE9E"/>
    <w:rsid w:val="5FCF7E23"/>
    <w:rsid w:val="7BF60FD3"/>
    <w:rsid w:val="7C3E654E"/>
    <w:rsid w:val="7DDDE2FA"/>
    <w:rsid w:val="7EF13B6B"/>
    <w:rsid w:val="AEB36764"/>
    <w:rsid w:val="BF7AD31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18B34B"/>
  <w15:docId w15:val="{83D68457-01FE-49B2-8A8E-0FB1DB20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MS Mincho" w:hAnsi="Calibri"/>
      <w:snapToGrid w:val="0"/>
      <w:sz w:val="16"/>
      <w:szCs w:val="16"/>
      <w:lang w:val="en-GB" w:eastAsia="ja-JP"/>
    </w:rPr>
  </w:style>
  <w:style w:type="paragraph" w:styleId="Heading1">
    <w:name w:val="heading 1"/>
    <w:basedOn w:val="Normal"/>
    <w:next w:val="Normal"/>
    <w:link w:val="Heading1Char"/>
    <w:qFormat/>
    <w:pPr>
      <w:keepNext/>
      <w:spacing w:before="240" w:after="60"/>
      <w:outlineLvl w:val="0"/>
    </w:pPr>
    <w:rPr>
      <w:rFonts w:cs="Arial"/>
      <w:b/>
      <w:bCs/>
      <w:kern w:val="32"/>
      <w:sz w:val="24"/>
      <w:szCs w:val="32"/>
    </w:rPr>
  </w:style>
  <w:style w:type="paragraph" w:styleId="Heading2">
    <w:name w:val="heading 2"/>
    <w:basedOn w:val="Normal"/>
    <w:next w:val="Normal"/>
    <w:qFormat/>
    <w:pPr>
      <w:keepNext/>
      <w:spacing w:before="120" w:after="60"/>
      <w:outlineLvl w:val="1"/>
    </w:pPr>
    <w:rPr>
      <w:rFonts w:cs="Arial"/>
      <w:b/>
      <w:bCs/>
      <w:iCs/>
      <w:sz w:val="20"/>
      <w:szCs w:val="28"/>
    </w:rPr>
  </w:style>
  <w:style w:type="paragraph" w:styleId="Heading3">
    <w:name w:val="heading 3"/>
    <w:basedOn w:val="Normal"/>
    <w:next w:val="Normal"/>
    <w:link w:val="Heading3Char"/>
    <w:qFormat/>
    <w:pPr>
      <w:keepNext/>
      <w:spacing w:before="60" w:after="60"/>
      <w:outlineLvl w:val="2"/>
    </w:pPr>
    <w:rPr>
      <w:rFonts w:cs="Arial"/>
      <w:b/>
      <w:bCs/>
      <w:szCs w:val="26"/>
    </w:rPr>
  </w:style>
  <w:style w:type="paragraph" w:styleId="Heading4">
    <w:name w:val="heading 4"/>
    <w:basedOn w:val="Normal"/>
    <w:next w:val="Normal"/>
    <w:link w:val="Heading4Char"/>
    <w:qFormat/>
    <w:pPr>
      <w:keepNext/>
      <w:keepLines/>
      <w:widowControl w:val="0"/>
      <w:numPr>
        <w:ilvl w:val="3"/>
        <w:numId w:val="1"/>
      </w:numPr>
      <w:spacing w:before="280" w:after="290" w:line="376" w:lineRule="auto"/>
      <w:jc w:val="both"/>
      <w:outlineLvl w:val="3"/>
    </w:pPr>
    <w:rPr>
      <w:rFonts w:ascii="Cambria" w:eastAsia="宋体" w:hAnsi="Cambria"/>
      <w:b/>
      <w:bCs/>
      <w:snapToGrid/>
      <w:kern w:val="2"/>
      <w:sz w:val="28"/>
      <w:szCs w:val="28"/>
      <w:lang w:val="zh-C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widowControl w:val="0"/>
      <w:spacing w:beforeLines="50" w:line="288" w:lineRule="auto"/>
      <w:ind w:leftChars="1199" w:left="1199" w:firstLineChars="200" w:firstLine="200"/>
      <w:jc w:val="both"/>
    </w:pPr>
    <w:rPr>
      <w:rFonts w:ascii="Times New Roman" w:eastAsia="楷体_GB2312" w:hAnsi="Times New Roman"/>
      <w:snapToGrid/>
      <w:kern w:val="2"/>
      <w:sz w:val="21"/>
      <w:szCs w:val="20"/>
      <w:lang w:val="en-US" w:eastAsia="zh-CN"/>
    </w:rPr>
  </w:style>
  <w:style w:type="paragraph" w:styleId="Caption">
    <w:name w:val="caption"/>
    <w:basedOn w:val="Normal"/>
    <w:next w:val="Normal"/>
    <w:qFormat/>
    <w:pPr>
      <w:widowControl w:val="0"/>
      <w:spacing w:before="120" w:line="300" w:lineRule="auto"/>
      <w:ind w:leftChars="1200" w:left="2520"/>
      <w:jc w:val="center"/>
    </w:pPr>
    <w:rPr>
      <w:rFonts w:ascii="楷体_GB2312" w:eastAsia="楷体_GB2312" w:hAnsi="Arial" w:cs="Arial"/>
      <w:b/>
      <w:bCs/>
      <w:snapToGrid/>
      <w:kern w:val="2"/>
      <w:sz w:val="20"/>
      <w:szCs w:val="20"/>
      <w:lang w:val="en-US" w:eastAsia="zh-CN"/>
    </w:rPr>
  </w:style>
  <w:style w:type="paragraph" w:styleId="CommentText">
    <w:name w:val="annotation text"/>
    <w:basedOn w:val="Normal"/>
    <w:link w:val="CommentTextChar"/>
    <w:qFormat/>
    <w:pPr>
      <w:widowControl w:val="0"/>
    </w:pPr>
    <w:rPr>
      <w:rFonts w:ascii="Times New Roman" w:eastAsia="宋体" w:hAnsi="Times New Roman"/>
      <w:snapToGrid/>
      <w:kern w:val="2"/>
      <w:sz w:val="21"/>
      <w:szCs w:val="24"/>
      <w:lang w:val="zh-CN" w:eastAsia="zh-CN"/>
    </w:rPr>
  </w:style>
  <w:style w:type="paragraph" w:styleId="BodyText3">
    <w:name w:val="Body Text 3"/>
    <w:basedOn w:val="Normal"/>
    <w:link w:val="BodyText3Char"/>
    <w:qFormat/>
    <w:pPr>
      <w:widowControl w:val="0"/>
      <w:jc w:val="both"/>
    </w:pPr>
    <w:rPr>
      <w:rFonts w:ascii="汉仪楷体简" w:eastAsia="汉仪楷体简" w:hAnsi="Times New Roman"/>
      <w:snapToGrid/>
      <w:color w:val="000000"/>
      <w:sz w:val="18"/>
      <w:lang w:val="en-US" w:eastAsia="zh-CN"/>
    </w:rPr>
  </w:style>
  <w:style w:type="paragraph" w:styleId="BodyText">
    <w:name w:val="Body Text"/>
    <w:basedOn w:val="Normal"/>
    <w:link w:val="BodyTextChar"/>
    <w:qFormat/>
    <w:pPr>
      <w:widowControl w:val="0"/>
      <w:tabs>
        <w:tab w:val="left" w:pos="3045"/>
      </w:tabs>
      <w:ind w:rightChars="3409" w:right="7159"/>
      <w:jc w:val="both"/>
    </w:pPr>
    <w:rPr>
      <w:rFonts w:ascii="Times New Roman" w:eastAsia="宋体" w:hAnsi="Times New Roman"/>
      <w:snapToGrid/>
      <w:kern w:val="2"/>
      <w:sz w:val="21"/>
      <w:szCs w:val="24"/>
      <w:lang w:val="en-US" w:eastAsia="zh-CN"/>
    </w:rPr>
  </w:style>
  <w:style w:type="paragraph" w:styleId="BodyTextIndent">
    <w:name w:val="Body Text Indent"/>
    <w:basedOn w:val="Normal"/>
    <w:link w:val="BodyTextIndentChar"/>
    <w:qFormat/>
    <w:pPr>
      <w:widowControl w:val="0"/>
      <w:ind w:leftChars="1500" w:left="3150"/>
      <w:jc w:val="both"/>
    </w:pPr>
    <w:rPr>
      <w:rFonts w:ascii="汉仪楷体简" w:eastAsia="汉仪楷体简" w:hAnsi="Times New Roman"/>
      <w:snapToGrid/>
      <w:color w:val="000000"/>
      <w:sz w:val="18"/>
      <w:lang w:val="en-US" w:eastAsia="zh-CN"/>
    </w:rPr>
  </w:style>
  <w:style w:type="paragraph" w:styleId="BlockText">
    <w:name w:val="Block Text"/>
    <w:basedOn w:val="Normal"/>
    <w:qFormat/>
    <w:pPr>
      <w:widowControl w:val="0"/>
      <w:ind w:leftChars="1553" w:left="3261" w:rightChars="26" w:right="55" w:firstLine="1"/>
    </w:pPr>
    <w:rPr>
      <w:rFonts w:ascii="Times New Roman" w:eastAsia="汉仪大黑简" w:hAnsi="Times New Roman"/>
      <w:snapToGrid/>
      <w:color w:val="000000"/>
      <w:kern w:val="2"/>
      <w:sz w:val="18"/>
      <w:szCs w:val="24"/>
      <w:lang w:val="en-US" w:eastAsia="zh-CN"/>
    </w:rPr>
  </w:style>
  <w:style w:type="paragraph" w:styleId="TOC3">
    <w:name w:val="toc 3"/>
    <w:basedOn w:val="Normal"/>
    <w:next w:val="Normal"/>
    <w:autoRedefine/>
    <w:uiPriority w:val="39"/>
    <w:qFormat/>
    <w:pPr>
      <w:widowControl w:val="0"/>
      <w:tabs>
        <w:tab w:val="left" w:pos="3150"/>
        <w:tab w:val="right" w:leader="dot" w:pos="10537"/>
      </w:tabs>
      <w:spacing w:line="440" w:lineRule="exact"/>
      <w:ind w:leftChars="1700" w:left="1700"/>
      <w:jc w:val="both"/>
    </w:pPr>
    <w:rPr>
      <w:rFonts w:ascii="Arial" w:eastAsia="楷体_GB2312" w:hAnsi="Arial"/>
      <w:snapToGrid/>
      <w:kern w:val="2"/>
      <w:sz w:val="20"/>
      <w:szCs w:val="24"/>
      <w:lang w:val="en-US" w:eastAsia="zh-CN"/>
    </w:rPr>
  </w:style>
  <w:style w:type="paragraph" w:styleId="Date">
    <w:name w:val="Date"/>
    <w:basedOn w:val="Normal"/>
    <w:next w:val="Normal"/>
    <w:link w:val="DateChar"/>
    <w:qFormat/>
    <w:pPr>
      <w:widowControl w:val="0"/>
      <w:autoSpaceDE w:val="0"/>
      <w:autoSpaceDN w:val="0"/>
      <w:adjustRightInd w:val="0"/>
      <w:jc w:val="both"/>
      <w:textAlignment w:val="baseline"/>
    </w:pPr>
    <w:rPr>
      <w:rFonts w:ascii="宋体" w:eastAsia="宋体" w:hAnsi="Times New Roman"/>
      <w:snapToGrid/>
      <w:kern w:val="2"/>
      <w:sz w:val="28"/>
      <w:szCs w:val="20"/>
      <w:lang w:val="en-US" w:eastAsia="zh-CN"/>
    </w:rPr>
  </w:style>
  <w:style w:type="paragraph" w:styleId="BodyTextIndent2">
    <w:name w:val="Body Text Indent 2"/>
    <w:basedOn w:val="Normal"/>
    <w:link w:val="BodyTextIndent2Char"/>
    <w:qFormat/>
    <w:pPr>
      <w:widowControl w:val="0"/>
      <w:autoSpaceDE w:val="0"/>
      <w:autoSpaceDN w:val="0"/>
      <w:adjustRightInd w:val="0"/>
      <w:ind w:leftChars="1200" w:left="2520" w:firstLineChars="150" w:firstLine="360"/>
    </w:pPr>
    <w:rPr>
      <w:rFonts w:ascii="楷体_GB2312" w:eastAsia="楷体_GB2312" w:hAnsi="Times New Roman"/>
      <w:snapToGrid/>
      <w:sz w:val="24"/>
      <w:szCs w:val="24"/>
      <w:lang w:val="en-US" w:eastAsia="zh-CN"/>
    </w:rPr>
  </w:style>
  <w:style w:type="paragraph" w:styleId="BalloonText">
    <w:name w:val="Balloon Text"/>
    <w:basedOn w:val="Normal"/>
    <w:link w:val="BalloonTextChar"/>
    <w:qFormat/>
    <w:rPr>
      <w:rFonts w:ascii="Tahoma" w:hAnsi="Tahoma" w:cs="Tahoma"/>
    </w:rPr>
  </w:style>
  <w:style w:type="paragraph" w:styleId="Footer">
    <w:name w:val="footer"/>
    <w:basedOn w:val="Normal"/>
    <w:qFormat/>
    <w:pPr>
      <w:tabs>
        <w:tab w:val="center" w:pos="4419"/>
        <w:tab w:val="right" w:pos="8838"/>
      </w:tabs>
    </w:pPr>
  </w:style>
  <w:style w:type="paragraph" w:styleId="Header">
    <w:name w:val="header"/>
    <w:basedOn w:val="Normal"/>
    <w:qFormat/>
    <w:pPr>
      <w:tabs>
        <w:tab w:val="center" w:pos="4419"/>
        <w:tab w:val="right" w:pos="8838"/>
      </w:tabs>
    </w:pPr>
  </w:style>
  <w:style w:type="paragraph" w:styleId="TOC1">
    <w:name w:val="toc 1"/>
    <w:basedOn w:val="Normal"/>
    <w:next w:val="Normal"/>
    <w:autoRedefine/>
    <w:uiPriority w:val="39"/>
    <w:qFormat/>
    <w:pPr>
      <w:widowControl w:val="0"/>
      <w:tabs>
        <w:tab w:val="left" w:pos="2835"/>
        <w:tab w:val="left" w:pos="3325"/>
        <w:tab w:val="right" w:leader="dot" w:pos="10537"/>
      </w:tabs>
      <w:overflowPunct w:val="0"/>
      <w:spacing w:line="440" w:lineRule="exact"/>
      <w:ind w:leftChars="1300" w:left="1300"/>
      <w:jc w:val="both"/>
    </w:pPr>
    <w:rPr>
      <w:rFonts w:ascii="Arial" w:eastAsia="楷体_GB2312" w:hAnsi="Arial"/>
      <w:snapToGrid/>
      <w:kern w:val="2"/>
      <w:sz w:val="21"/>
      <w:szCs w:val="24"/>
      <w:lang w:val="en-US" w:eastAsia="zh-CN"/>
    </w:rPr>
  </w:style>
  <w:style w:type="paragraph" w:styleId="BodyTextIndent3">
    <w:name w:val="Body Text Indent 3"/>
    <w:basedOn w:val="Normal"/>
    <w:link w:val="BodyTextIndent3Char"/>
    <w:qFormat/>
    <w:pPr>
      <w:framePr w:hSpace="180" w:wrap="around" w:vAnchor="text" w:hAnchor="text" w:xAlign="right" w:y="1"/>
      <w:widowControl w:val="0"/>
      <w:spacing w:line="320" w:lineRule="exact"/>
      <w:ind w:leftChars="24" w:left="50" w:firstLineChars="202" w:firstLine="485"/>
      <w:suppressOverlap/>
      <w:jc w:val="both"/>
    </w:pPr>
    <w:rPr>
      <w:rFonts w:ascii="楷体_GB2312" w:eastAsia="楷体_GB2312" w:hAnsi="Times New Roman"/>
      <w:snapToGrid/>
      <w:color w:val="000000"/>
      <w:kern w:val="2"/>
      <w:sz w:val="24"/>
      <w:szCs w:val="24"/>
      <w:lang w:val="en-US" w:eastAsia="zh-CN"/>
    </w:rPr>
  </w:style>
  <w:style w:type="paragraph" w:styleId="TableofFigures">
    <w:name w:val="table of figures"/>
    <w:basedOn w:val="Normal"/>
    <w:next w:val="Normal"/>
    <w:uiPriority w:val="99"/>
    <w:qFormat/>
    <w:pPr>
      <w:widowControl w:val="0"/>
      <w:spacing w:line="440" w:lineRule="exact"/>
      <w:ind w:leftChars="1300" w:left="1300"/>
    </w:pPr>
    <w:rPr>
      <w:rFonts w:ascii="Arial" w:eastAsia="楷体_GB2312" w:hAnsi="Arial"/>
      <w:snapToGrid/>
      <w:kern w:val="2"/>
      <w:sz w:val="20"/>
      <w:szCs w:val="24"/>
      <w:lang w:val="en-US" w:eastAsia="zh-CN"/>
    </w:rPr>
  </w:style>
  <w:style w:type="paragraph" w:styleId="TOC2">
    <w:name w:val="toc 2"/>
    <w:basedOn w:val="Normal"/>
    <w:next w:val="Normal"/>
    <w:autoRedefine/>
    <w:uiPriority w:val="39"/>
    <w:qFormat/>
    <w:pPr>
      <w:widowControl w:val="0"/>
      <w:tabs>
        <w:tab w:val="left" w:pos="2835"/>
        <w:tab w:val="right" w:leader="dot" w:pos="10500"/>
      </w:tabs>
      <w:overflowPunct w:val="0"/>
      <w:spacing w:line="440" w:lineRule="exact"/>
      <w:ind w:leftChars="1500" w:left="1500"/>
      <w:jc w:val="both"/>
    </w:pPr>
    <w:rPr>
      <w:rFonts w:ascii="Arial" w:eastAsia="楷体_GB2312" w:hAnsi="Arial"/>
      <w:snapToGrid/>
      <w:kern w:val="2"/>
      <w:sz w:val="20"/>
      <w:szCs w:val="24"/>
      <w:lang w:val="en-US" w:eastAsia="zh-CN"/>
    </w:rPr>
  </w:style>
  <w:style w:type="paragraph" w:styleId="BodyText2">
    <w:name w:val="Body Text 2"/>
    <w:basedOn w:val="Normal"/>
    <w:link w:val="BodyText2Char"/>
    <w:qFormat/>
    <w:pPr>
      <w:widowControl w:val="0"/>
      <w:jc w:val="both"/>
    </w:pPr>
    <w:rPr>
      <w:rFonts w:ascii="Times New Roman" w:eastAsia="汉仪楷体简" w:hAnsi="Times New Roman"/>
      <w:snapToGrid/>
      <w:sz w:val="18"/>
      <w:szCs w:val="24"/>
      <w:lang w:val="en-US" w:eastAsia="zh-CN"/>
    </w:rPr>
  </w:style>
  <w:style w:type="paragraph" w:styleId="NormalWeb">
    <w:name w:val="Normal (Web)"/>
    <w:basedOn w:val="Normal"/>
    <w:qFormat/>
    <w:pPr>
      <w:spacing w:before="100" w:beforeAutospacing="1" w:after="100" w:afterAutospacing="1"/>
    </w:pPr>
    <w:rPr>
      <w:rFonts w:ascii="宋体" w:eastAsia="宋体" w:hAnsi="宋体" w:cs="宋体"/>
      <w:snapToGrid/>
      <w:sz w:val="24"/>
      <w:szCs w:val="24"/>
      <w:lang w:val="en-US" w:eastAsia="zh-CN"/>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basedOn w:val="DefaultParagraphFont"/>
    <w:uiPriority w:val="99"/>
    <w:qFormat/>
    <w:rPr>
      <w:color w:val="0000FF"/>
      <w:u w:val="single"/>
    </w:rPr>
  </w:style>
  <w:style w:type="character" w:styleId="CommentReference">
    <w:name w:val="annotation reference"/>
    <w:qFormat/>
    <w:rPr>
      <w:sz w:val="21"/>
      <w:szCs w:val="21"/>
    </w:rPr>
  </w:style>
  <w:style w:type="character" w:customStyle="1" w:styleId="BalloonTextChar">
    <w:name w:val="Balloon Text Char"/>
    <w:basedOn w:val="DefaultParagraphFont"/>
    <w:link w:val="BalloonText"/>
    <w:qFormat/>
    <w:rPr>
      <w:rFonts w:ascii="Tahoma" w:hAnsi="Tahoma" w:cs="Tahoma"/>
      <w:lang w:eastAsia="ja-JP"/>
    </w:rPr>
  </w:style>
  <w:style w:type="paragraph" w:customStyle="1" w:styleId="EFAFPCompanyName">
    <w:name w:val="EFAFPCompanyName"/>
    <w:next w:val="StyleEFAFPFrameText115ptRight"/>
    <w:qFormat/>
    <w:pPr>
      <w:framePr w:w="10858" w:h="1920" w:hRule="exact" w:wrap="around" w:vAnchor="page" w:hAnchor="page" w:x="341" w:y="1107" w:anchorLock="1"/>
      <w:adjustRightInd w:val="0"/>
      <w:snapToGrid w:val="0"/>
    </w:pPr>
    <w:rPr>
      <w:rFonts w:ascii="Calibri" w:eastAsia="MS Mincho" w:hAnsi="Calibri"/>
      <w:b/>
      <w:snapToGrid w:val="0"/>
      <w:sz w:val="36"/>
      <w:szCs w:val="40"/>
      <w:lang w:val="en-US" w:eastAsia="ja-JP"/>
    </w:rPr>
  </w:style>
  <w:style w:type="paragraph" w:customStyle="1" w:styleId="StyleEFAFPFrameText115ptRight">
    <w:name w:val="Style EFAFPFrameText_11.5pt + Right"/>
    <w:basedOn w:val="EFAFPFrameText115pt"/>
    <w:qFormat/>
    <w:pPr>
      <w:framePr w:wrap="around"/>
      <w:jc w:val="right"/>
    </w:pPr>
    <w:rPr>
      <w:bCs/>
      <w:szCs w:val="20"/>
    </w:rPr>
  </w:style>
  <w:style w:type="paragraph" w:customStyle="1" w:styleId="EFAFPFrameText115pt">
    <w:name w:val="EFAFPFrameText_11.5pt"/>
    <w:basedOn w:val="EFAFPCompanyInfo"/>
    <w:qFormat/>
    <w:pPr>
      <w:framePr w:h="1520" w:hRule="exact" w:wrap="around" w:x="357" w:y="1072"/>
    </w:pPr>
    <w:rPr>
      <w:color w:val="23558C"/>
    </w:rPr>
  </w:style>
  <w:style w:type="paragraph" w:customStyle="1" w:styleId="EFAFPCompanyInfo">
    <w:name w:val="EFAFPCompanyInfo"/>
    <w:basedOn w:val="Normal"/>
    <w:qFormat/>
    <w:pPr>
      <w:framePr w:w="10858" w:h="1920" w:hRule="exact" w:wrap="around" w:vAnchor="page" w:hAnchor="page" w:x="341" w:y="1107" w:anchorLock="1"/>
      <w:adjustRightInd w:val="0"/>
      <w:snapToGrid w:val="0"/>
    </w:pPr>
    <w:rPr>
      <w:b/>
      <w:sz w:val="24"/>
    </w:rPr>
  </w:style>
  <w:style w:type="paragraph" w:customStyle="1" w:styleId="EFABullet">
    <w:name w:val="EFABullet"/>
    <w:basedOn w:val="EFABodyText"/>
    <w:qFormat/>
    <w:pPr>
      <w:numPr>
        <w:numId w:val="2"/>
      </w:numPr>
      <w:tabs>
        <w:tab w:val="left" w:pos="480"/>
      </w:tabs>
      <w:ind w:left="192" w:firstLine="0"/>
    </w:p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val="en-US" w:eastAsia="ja-JP"/>
    </w:rPr>
  </w:style>
  <w:style w:type="paragraph" w:customStyle="1" w:styleId="EFAButton">
    <w:name w:val="EFAButton"/>
    <w:basedOn w:val="EFANormal"/>
    <w:qFormat/>
    <w:rPr>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val="en-US" w:eastAsia="ja-JP"/>
    </w:rPr>
  </w:style>
  <w:style w:type="paragraph" w:customStyle="1" w:styleId="StyleEFAFPFrameText115ptRight0">
    <w:name w:val="Style EFAFPFrameText_11.5pt_Right"/>
    <w:basedOn w:val="EFAFPFrameText115pt"/>
    <w:qFormat/>
    <w:pPr>
      <w:framePr w:wrap="around"/>
      <w:jc w:val="right"/>
    </w:pPr>
    <w:rPr>
      <w:bCs/>
      <w:szCs w:val="20"/>
    </w:rPr>
  </w:style>
  <w:style w:type="paragraph" w:customStyle="1" w:styleId="EFADisclaimerText">
    <w:name w:val="EFADisclaimerText"/>
    <w:basedOn w:val="EFANormal"/>
    <w:link w:val="EFADisclaimerTextChar"/>
    <w:uiPriority w:val="99"/>
    <w:qFormat/>
    <w:pPr>
      <w:jc w:val="both"/>
    </w:pPr>
  </w:style>
  <w:style w:type="paragraph" w:styleId="ListParagraph">
    <w:name w:val="List Paragraph"/>
    <w:basedOn w:val="Normal"/>
    <w:uiPriority w:val="34"/>
    <w:qFormat/>
    <w:pPr>
      <w:ind w:left="720"/>
      <w:contextualSpacing/>
    </w:pPr>
  </w:style>
  <w:style w:type="paragraph" w:customStyle="1" w:styleId="EFABulletRed">
    <w:name w:val="EFABullet_Red"/>
    <w:basedOn w:val="EFAFPBodyText"/>
    <w:qFormat/>
    <w:pPr>
      <w:numPr>
        <w:numId w:val="3"/>
      </w:numPr>
      <w:tabs>
        <w:tab w:val="left" w:pos="481"/>
      </w:tabs>
    </w:pPr>
  </w:style>
  <w:style w:type="paragraph" w:customStyle="1" w:styleId="EFAFPBodyText">
    <w:name w:val="EFAFP_BodyText"/>
    <w:link w:val="EFAFPBodyTextChar"/>
    <w:qFormat/>
    <w:pPr>
      <w:widowControl w:val="0"/>
      <w:adjustRightInd w:val="0"/>
      <w:snapToGrid w:val="0"/>
    </w:pPr>
    <w:rPr>
      <w:rFonts w:ascii="Calibri" w:eastAsia="MS Mincho" w:hAnsi="Calibri"/>
      <w:snapToGrid w:val="0"/>
      <w:szCs w:val="16"/>
      <w:lang w:val="en-US" w:eastAsia="ja-JP"/>
    </w:rPr>
  </w:style>
  <w:style w:type="paragraph" w:customStyle="1" w:styleId="EFA2ndPageHeader">
    <w:name w:val="EFA2ndPageHeader"/>
    <w:basedOn w:val="EFANormal"/>
    <w:qFormat/>
    <w:pPr>
      <w:spacing w:before="40" w:after="40"/>
      <w:jc w:val="right"/>
    </w:pPr>
    <w:rPr>
      <w:color w:val="FF0000"/>
      <w:sz w:val="24"/>
    </w:rPr>
  </w:style>
  <w:style w:type="paragraph" w:customStyle="1" w:styleId="EFAPageFooter">
    <w:name w:val="EFAPageFooter"/>
    <w:basedOn w:val="EFANormal"/>
    <w:qFormat/>
    <w:pPr>
      <w:framePr w:wrap="around" w:vAnchor="page" w:hAnchor="page" w:x="347" w:y="15481"/>
      <w:tabs>
        <w:tab w:val="center" w:pos="5165"/>
      </w:tabs>
      <w:suppressOverlap/>
    </w:pPr>
    <w:rPr>
      <w:b/>
      <w:sz w:val="20"/>
      <w:szCs w:val="20"/>
    </w:rPr>
  </w:style>
  <w:style w:type="paragraph" w:customStyle="1" w:styleId="EFAPageHeader">
    <w:name w:val="EFAPageHeader"/>
    <w:basedOn w:val="EFANormal"/>
    <w:qFormat/>
    <w:pPr>
      <w:tabs>
        <w:tab w:val="right" w:pos="10692"/>
      </w:tabs>
      <w:spacing w:before="40" w:after="40"/>
    </w:pPr>
    <w:rPr>
      <w:b/>
      <w:bCs/>
      <w:color w:val="005BAC"/>
      <w:sz w:val="24"/>
    </w:rPr>
  </w:style>
  <w:style w:type="paragraph" w:customStyle="1" w:styleId="EFAHiddenBookmark">
    <w:name w:val="EFAHiddenBookmark"/>
    <w:basedOn w:val="Normal"/>
    <w:link w:val="EFAHiddenBookmarkChar"/>
    <w:uiPriority w:val="99"/>
    <w:qFormat/>
    <w:pPr>
      <w:adjustRightInd w:val="0"/>
      <w:snapToGrid w:val="0"/>
      <w:spacing w:after="40" w:line="180" w:lineRule="exact"/>
    </w:pPr>
    <w:rPr>
      <w:rFonts w:ascii="Arial" w:eastAsia="Times New Roman" w:hAnsi="Arial"/>
      <w:vanish/>
      <w:kern w:val="2"/>
      <w:sz w:val="14"/>
      <w:szCs w:val="19"/>
      <w:lang w:eastAsia="en-US"/>
    </w:rPr>
  </w:style>
  <w:style w:type="character" w:customStyle="1" w:styleId="EFAHiddenBookmarkChar">
    <w:name w:val="EFAHiddenBookmark Char"/>
    <w:link w:val="EFAHiddenBookmark"/>
    <w:uiPriority w:val="99"/>
    <w:qFormat/>
    <w:rPr>
      <w:rFonts w:ascii="Arial" w:eastAsia="Times New Roman" w:hAnsi="Arial"/>
      <w:vanish/>
      <w:kern w:val="2"/>
      <w:sz w:val="14"/>
      <w:szCs w:val="19"/>
      <w:lang w:val="en-GB" w:eastAsia="en-US"/>
    </w:rPr>
  </w:style>
  <w:style w:type="paragraph" w:customStyle="1" w:styleId="EFAPoweredByEFA">
    <w:name w:val="EFAPoweredByEFA"/>
    <w:link w:val="EFAPoweredByEFAChar"/>
    <w:qFormat/>
    <w:pPr>
      <w:widowControl w:val="0"/>
      <w:tabs>
        <w:tab w:val="right" w:pos="6490"/>
      </w:tabs>
      <w:adjustRightInd w:val="0"/>
      <w:snapToGrid w:val="0"/>
      <w:ind w:left="-4186"/>
    </w:pPr>
    <w:rPr>
      <w:rFonts w:ascii="Arial" w:eastAsia="PMingLiU" w:hAnsi="Arial"/>
      <w:snapToGrid w:val="0"/>
      <w:color w:val="5A5A5A"/>
      <w:sz w:val="9"/>
      <w:szCs w:val="9"/>
      <w:lang w:val="en-US" w:eastAsia="zh-TW"/>
    </w:rPr>
  </w:style>
  <w:style w:type="character" w:customStyle="1" w:styleId="EFAPoweredByEFAChar">
    <w:name w:val="EFAPoweredByEFA Char"/>
    <w:link w:val="EFAPoweredByEFA"/>
    <w:qFormat/>
    <w:rPr>
      <w:rFonts w:ascii="Arial" w:eastAsia="PMingLiU" w:hAnsi="Arial"/>
      <w:color w:val="5A5A5A"/>
      <w:sz w:val="9"/>
      <w:szCs w:val="9"/>
      <w:lang w:eastAsia="zh-TW"/>
    </w:rPr>
  </w:style>
  <w:style w:type="character" w:customStyle="1" w:styleId="EFANormalChar">
    <w:name w:val="EFANormal Char"/>
    <w:basedOn w:val="DefaultParagraphFont"/>
    <w:link w:val="EFANormal"/>
    <w:qFormat/>
    <w:rPr>
      <w:lang w:eastAsia="ja-JP"/>
    </w:rPr>
  </w:style>
  <w:style w:type="character" w:customStyle="1" w:styleId="EFABodyTextChar">
    <w:name w:val="EFABodyText Char"/>
    <w:basedOn w:val="DefaultParagraphFont"/>
    <w:link w:val="EFABodyText"/>
    <w:qFormat/>
    <w:rPr>
      <w:sz w:val="20"/>
      <w:lang w:eastAsia="ja-JP"/>
    </w:rPr>
  </w:style>
  <w:style w:type="character" w:customStyle="1" w:styleId="EFAFPBodyTextChar">
    <w:name w:val="EFAFP_BodyText Char"/>
    <w:basedOn w:val="DefaultParagraphFont"/>
    <w:link w:val="EFAFPBodyText"/>
    <w:qFormat/>
    <w:rPr>
      <w:sz w:val="20"/>
      <w:lang w:eastAsia="ja-JP"/>
    </w:rPr>
  </w:style>
  <w:style w:type="paragraph" w:customStyle="1" w:styleId="EFAFPTag">
    <w:name w:val="EFAFPTag"/>
    <w:basedOn w:val="EFANormal"/>
    <w:qFormat/>
    <w:pPr>
      <w:jc w:val="center"/>
    </w:pPr>
    <w:rPr>
      <w:b/>
    </w:rPr>
  </w:style>
  <w:style w:type="paragraph" w:customStyle="1" w:styleId="EFAFPFooter">
    <w:name w:val="EFAFPFooter"/>
    <w:basedOn w:val="EFANormal"/>
    <w:qFormat/>
    <w:pPr>
      <w:tabs>
        <w:tab w:val="right" w:pos="10679"/>
      </w:tabs>
      <w:autoSpaceDE w:val="0"/>
      <w:autoSpaceDN w:val="0"/>
      <w:jc w:val="both"/>
    </w:pPr>
    <w:rPr>
      <w:rFonts w:cs="Arial"/>
      <w:b/>
      <w:sz w:val="14"/>
    </w:rPr>
  </w:style>
  <w:style w:type="character" w:customStyle="1" w:styleId="EFACharGrey">
    <w:name w:val="EFACharGrey"/>
    <w:uiPriority w:val="1"/>
    <w:qFormat/>
    <w:rPr>
      <w:color w:val="808080"/>
    </w:rPr>
  </w:style>
  <w:style w:type="paragraph" w:customStyle="1" w:styleId="EFAFPColFrameTextLeft2">
    <w:name w:val="EFAFPColFrameText_Left2"/>
    <w:link w:val="EFAFPColFrameTextLeft2Char"/>
    <w:qFormat/>
    <w:pPr>
      <w:framePr w:w="3045" w:h="12804" w:hRule="exact" w:hSpace="180" w:wrap="around" w:vAnchor="page" w:hAnchor="page" w:x="340" w:y="2765" w:anchorLock="1"/>
      <w:adjustRightInd w:val="0"/>
      <w:snapToGrid w:val="0"/>
    </w:pPr>
    <w:rPr>
      <w:rFonts w:ascii="Calibri" w:eastAsia="MS Mincho" w:hAnsi="Calibri"/>
      <w:snapToGrid w:val="0"/>
      <w:sz w:val="14"/>
      <w:szCs w:val="14"/>
      <w:lang w:val="en-US"/>
    </w:rPr>
  </w:style>
  <w:style w:type="character" w:customStyle="1" w:styleId="EFACharBold">
    <w:name w:val="EFACharBold"/>
    <w:basedOn w:val="DefaultParagraphFont"/>
    <w:uiPriority w:val="1"/>
    <w:qFormat/>
    <w:rPr>
      <w:b/>
    </w:rPr>
  </w:style>
  <w:style w:type="paragraph" w:customStyle="1" w:styleId="EFAFPColFrameAnalystName2">
    <w:name w:val="EFAFPColFrame_AnalystName2"/>
    <w:basedOn w:val="EFAFPColFrameTextLeft2"/>
    <w:link w:val="EFAFPColFrameAnalystName2Char"/>
    <w:qFormat/>
    <w:pPr>
      <w:framePr w:wrap="around"/>
    </w:pPr>
    <w:rPr>
      <w:b/>
      <w:sz w:val="16"/>
    </w:rPr>
  </w:style>
  <w:style w:type="paragraph" w:customStyle="1" w:styleId="EFAFPSource">
    <w:name w:val="EFAFP_Source"/>
    <w:basedOn w:val="EFANormal"/>
    <w:qFormat/>
    <w:rPr>
      <w:sz w:val="12"/>
      <w:szCs w:val="12"/>
    </w:rPr>
  </w:style>
  <w:style w:type="paragraph" w:customStyle="1" w:styleId="EFAFPAbstract">
    <w:name w:val="EFAFP_Abstract"/>
    <w:qFormat/>
    <w:rPr>
      <w:rFonts w:ascii="Calibri" w:eastAsia="MS Mincho" w:hAnsi="Calibri"/>
      <w:snapToGrid w:val="0"/>
      <w:sz w:val="18"/>
      <w:szCs w:val="16"/>
      <w:lang w:val="en-US" w:eastAsia="ja-JP"/>
    </w:rPr>
  </w:style>
  <w:style w:type="paragraph" w:customStyle="1" w:styleId="EFABulletGreen">
    <w:name w:val="EFABullet_Green"/>
    <w:basedOn w:val="EFAFPBodyText"/>
    <w:qFormat/>
    <w:pPr>
      <w:numPr>
        <w:numId w:val="4"/>
      </w:numPr>
      <w:tabs>
        <w:tab w:val="left" w:pos="468"/>
      </w:tabs>
    </w:pPr>
  </w:style>
  <w:style w:type="paragraph" w:customStyle="1" w:styleId="EFABulletBlue">
    <w:name w:val="EFABullet_Blue"/>
    <w:basedOn w:val="EFAFPBodyText"/>
    <w:qFormat/>
    <w:pPr>
      <w:numPr>
        <w:numId w:val="5"/>
      </w:numPr>
      <w:tabs>
        <w:tab w:val="left" w:pos="468"/>
      </w:tabs>
    </w:pPr>
  </w:style>
  <w:style w:type="paragraph" w:customStyle="1" w:styleId="EFABulletYellow">
    <w:name w:val="EFABullet_Yellow"/>
    <w:basedOn w:val="EFAFPBodyText"/>
    <w:qFormat/>
    <w:pPr>
      <w:numPr>
        <w:numId w:val="6"/>
      </w:numPr>
      <w:tabs>
        <w:tab w:val="left" w:pos="468"/>
      </w:tabs>
    </w:pPr>
  </w:style>
  <w:style w:type="paragraph" w:customStyle="1" w:styleId="EFASource">
    <w:name w:val="EFASource"/>
    <w:basedOn w:val="EFABodyText"/>
    <w:qFormat/>
    <w:rPr>
      <w:sz w:val="12"/>
      <w:szCs w:val="14"/>
    </w:rPr>
  </w:style>
  <w:style w:type="paragraph" w:customStyle="1" w:styleId="EFAHeading">
    <w:name w:val="EFAHeading"/>
    <w:basedOn w:val="Normal"/>
    <w:next w:val="EFABodyText"/>
    <w:qFormat/>
    <w:pPr>
      <w:widowControl w:val="0"/>
      <w:adjustRightInd w:val="0"/>
      <w:snapToGrid w:val="0"/>
    </w:pPr>
    <w:rPr>
      <w:b/>
      <w:color w:val="000000"/>
      <w:kern w:val="28"/>
      <w:sz w:val="24"/>
    </w:rPr>
  </w:style>
  <w:style w:type="paragraph" w:customStyle="1" w:styleId="EFADisclaimerHeading">
    <w:name w:val="EFADisclaimerHeading"/>
    <w:basedOn w:val="EFADisclaimerText"/>
    <w:next w:val="EFADisclaimerText"/>
    <w:uiPriority w:val="99"/>
    <w:qFormat/>
    <w:rPr>
      <w:b/>
    </w:rPr>
  </w:style>
  <w:style w:type="paragraph" w:customStyle="1" w:styleId="EFADisclaimerHeading2">
    <w:name w:val="EFADisclaimerHeading2"/>
    <w:basedOn w:val="EFADisclaimerText"/>
    <w:next w:val="EFADisclaimerText"/>
    <w:qFormat/>
    <w:rPr>
      <w:b/>
      <w:sz w:val="20"/>
      <w:szCs w:val="20"/>
    </w:rPr>
  </w:style>
  <w:style w:type="paragraph" w:customStyle="1" w:styleId="EFADisclaimerHeading3">
    <w:name w:val="EFADisclaimerHeading3"/>
    <w:basedOn w:val="EFADisclaimerText"/>
    <w:qFormat/>
    <w:rPr>
      <w:b/>
      <w:sz w:val="18"/>
      <w:szCs w:val="18"/>
    </w:rPr>
  </w:style>
  <w:style w:type="paragraph" w:customStyle="1" w:styleId="EFASideComment">
    <w:name w:val="EFASideComment"/>
    <w:basedOn w:val="EFABodyText"/>
    <w:qFormat/>
    <w:pPr>
      <w:framePr w:w="2980" w:hSpace="180" w:wrap="around" w:vAnchor="text" w:hAnchor="text" w:x="-3250" w:y="160"/>
    </w:pPr>
  </w:style>
  <w:style w:type="character" w:customStyle="1" w:styleId="EFACharBoldandAllCap">
    <w:name w:val="EFACharBold_and_AllCap"/>
    <w:uiPriority w:val="1"/>
    <w:qFormat/>
    <w:rPr>
      <w:b/>
      <w:caps/>
    </w:rPr>
  </w:style>
  <w:style w:type="paragraph" w:customStyle="1" w:styleId="TableNormal0">
    <w:name w:val="__Table_Normal"/>
    <w:basedOn w:val="Normal"/>
    <w:link w:val="TableNormalChar"/>
    <w:qFormat/>
    <w:rPr>
      <w:snapToGrid/>
      <w:color w:val="000000"/>
      <w:kern w:val="28"/>
    </w:rPr>
  </w:style>
  <w:style w:type="character" w:customStyle="1" w:styleId="TableNormalChar">
    <w:name w:val="__Table_Normal Char"/>
    <w:basedOn w:val="DefaultParagraphFont"/>
    <w:link w:val="TableNormal0"/>
    <w:qFormat/>
    <w:rPr>
      <w:snapToGrid/>
      <w:color w:val="000000"/>
      <w:kern w:val="28"/>
      <w:lang w:eastAsia="ja-JP"/>
    </w:rPr>
  </w:style>
  <w:style w:type="paragraph" w:customStyle="1" w:styleId="FrontpgTblleftjust7pt">
    <w:name w:val="Front pg Tbl left just 7 pt"/>
    <w:basedOn w:val="Normal"/>
    <w:link w:val="FrontpgTblleftjust7ptCharChar"/>
    <w:qFormat/>
    <w:rPr>
      <w:snapToGrid/>
      <w:sz w:val="14"/>
      <w:szCs w:val="24"/>
    </w:rPr>
  </w:style>
  <w:style w:type="character" w:customStyle="1" w:styleId="FrontpgTblleftjust7ptCharChar">
    <w:name w:val="Front pg Tbl left just 7 pt Char Char"/>
    <w:basedOn w:val="DefaultParagraphFont"/>
    <w:link w:val="FrontpgTblleftjust7pt"/>
    <w:qFormat/>
    <w:rPr>
      <w:snapToGrid/>
      <w:sz w:val="14"/>
      <w:szCs w:val="24"/>
      <w:lang w:eastAsia="ja-JP"/>
    </w:rPr>
  </w:style>
  <w:style w:type="character" w:customStyle="1" w:styleId="EFAFPColFrameTextLeft2Char">
    <w:name w:val="EFAFPColFrameText_Left2 Char"/>
    <w:basedOn w:val="DefaultParagraphFont"/>
    <w:link w:val="EFAFPColFrameTextLeft2"/>
    <w:qFormat/>
    <w:rPr>
      <w:sz w:val="14"/>
      <w:szCs w:val="14"/>
    </w:rPr>
  </w:style>
  <w:style w:type="paragraph" w:customStyle="1" w:styleId="EFAAnchor">
    <w:name w:val="EFAAnchor"/>
    <w:basedOn w:val="EFANormal"/>
    <w:qFormat/>
    <w:rPr>
      <w:sz w:val="4"/>
      <w:lang w:eastAsia="zh-CN"/>
    </w:rPr>
  </w:style>
  <w:style w:type="paragraph" w:customStyle="1" w:styleId="EFAReportTitle">
    <w:name w:val="EFAReportTitle"/>
    <w:basedOn w:val="EFANormal"/>
    <w:qFormat/>
    <w:rPr>
      <w:b/>
      <w:sz w:val="48"/>
    </w:rPr>
  </w:style>
  <w:style w:type="paragraph" w:customStyle="1" w:styleId="EFAMTitle">
    <w:name w:val="EFAM_Title"/>
    <w:basedOn w:val="EFANormal"/>
    <w:qFormat/>
    <w:pPr>
      <w:framePr w:wrap="around" w:hAnchor="text" w:xAlign="right" w:y="1"/>
      <w:suppressOverlap/>
    </w:pPr>
    <w:rPr>
      <w:b/>
      <w:sz w:val="32"/>
      <w:szCs w:val="28"/>
    </w:rPr>
  </w:style>
  <w:style w:type="paragraph" w:customStyle="1" w:styleId="EFABulletIndent">
    <w:name w:val="EFABullet_Indent"/>
    <w:basedOn w:val="EFABodyText"/>
    <w:qFormat/>
    <w:pPr>
      <w:numPr>
        <w:numId w:val="7"/>
      </w:numPr>
      <w:tabs>
        <w:tab w:val="left" w:pos="240"/>
      </w:tabs>
      <w:ind w:left="240" w:hanging="240"/>
    </w:pPr>
  </w:style>
  <w:style w:type="paragraph" w:customStyle="1" w:styleId="EFAMAbstract">
    <w:name w:val="EFAM_Abstract"/>
    <w:basedOn w:val="EFABodyText"/>
    <w:next w:val="EFABodyText"/>
    <w:qFormat/>
  </w:style>
  <w:style w:type="paragraph" w:customStyle="1" w:styleId="EFAMSynopsis">
    <w:name w:val="EFAM_Synopsis"/>
    <w:basedOn w:val="EFABodyText"/>
    <w:next w:val="EFABodyText"/>
    <w:qFormat/>
    <w:rPr>
      <w:b/>
      <w:sz w:val="24"/>
    </w:rPr>
  </w:style>
  <w:style w:type="paragraph" w:customStyle="1" w:styleId="EFAHeading1">
    <w:name w:val="EFAHeading1"/>
    <w:basedOn w:val="EFABodyText"/>
    <w:next w:val="EFABodyText"/>
    <w:qFormat/>
    <w:pPr>
      <w:numPr>
        <w:numId w:val="8"/>
      </w:numPr>
      <w:tabs>
        <w:tab w:val="left" w:pos="1044"/>
      </w:tabs>
      <w:spacing w:after="60"/>
      <w:ind w:left="0" w:firstLine="0"/>
      <w:outlineLvl w:val="0"/>
    </w:pPr>
    <w:rPr>
      <w:b/>
      <w:sz w:val="24"/>
      <w:szCs w:val="24"/>
    </w:rPr>
  </w:style>
  <w:style w:type="paragraph" w:customStyle="1" w:styleId="EFAFPColHdr3">
    <w:name w:val="EFAFPCol_Hdr3"/>
    <w:link w:val="EFAFPColHdr3Char"/>
    <w:qFormat/>
    <w:pPr>
      <w:framePr w:w="2980" w:h="11080" w:hRule="exact" w:hSpace="180" w:wrap="around" w:vAnchor="text" w:hAnchor="page" w:x="370" w:y="1621"/>
    </w:pPr>
    <w:rPr>
      <w:rFonts w:ascii="Calibri" w:eastAsia="MS Mincho" w:hAnsi="Calibri"/>
      <w:b/>
      <w:snapToGrid w:val="0"/>
      <w:color w:val="808080"/>
      <w:sz w:val="24"/>
      <w:szCs w:val="24"/>
      <w:lang w:val="en-US" w:eastAsia="ja-JP"/>
    </w:rPr>
  </w:style>
  <w:style w:type="paragraph" w:customStyle="1" w:styleId="EFAFPReportType2">
    <w:name w:val="EFAFPReportType2"/>
    <w:link w:val="EFAFPReportType2Char"/>
    <w:qFormat/>
    <w:pPr>
      <w:framePr w:w="10858" w:h="1520" w:hRule="exact" w:wrap="around" w:vAnchor="page" w:hAnchor="page" w:x="357" w:y="1072" w:anchorLock="1"/>
      <w:adjustRightInd w:val="0"/>
      <w:snapToGrid w:val="0"/>
    </w:pPr>
    <w:rPr>
      <w:rFonts w:ascii="Calibri" w:eastAsia="MS Mincho" w:hAnsi="Calibri"/>
      <w:snapToGrid w:val="0"/>
      <w:color w:val="23558C"/>
      <w:sz w:val="44"/>
      <w:szCs w:val="44"/>
      <w:lang w:val="en-US" w:eastAsia="ja-JP"/>
    </w:rPr>
  </w:style>
  <w:style w:type="character" w:customStyle="1" w:styleId="EFAFPColHdr3Char">
    <w:name w:val="EFAFPCol_Hdr3 Char"/>
    <w:basedOn w:val="DefaultParagraphFont"/>
    <w:link w:val="EFAFPColHdr3"/>
    <w:qFormat/>
    <w:rPr>
      <w:b/>
      <w:color w:val="808080"/>
      <w:sz w:val="24"/>
      <w:szCs w:val="24"/>
      <w:lang w:eastAsia="ja-JP"/>
    </w:rPr>
  </w:style>
  <w:style w:type="character" w:customStyle="1" w:styleId="EFAFPReportType2Char">
    <w:name w:val="EFAFPReportType2 Char"/>
    <w:basedOn w:val="DefaultParagraphFont"/>
    <w:link w:val="EFAFPReportType2"/>
    <w:qFormat/>
    <w:rPr>
      <w:color w:val="23558C"/>
      <w:sz w:val="44"/>
      <w:szCs w:val="44"/>
      <w:lang w:eastAsia="ja-JP"/>
    </w:rPr>
  </w:style>
  <w:style w:type="paragraph" w:customStyle="1" w:styleId="EFAFPTitle3">
    <w:name w:val="EFAFPTitle3"/>
    <w:link w:val="EFAFPTitle3Char"/>
    <w:qFormat/>
    <w:pPr>
      <w:framePr w:wrap="around" w:hAnchor="text" w:xAlign="right" w:y="1"/>
      <w:numPr>
        <w:numId w:val="9"/>
      </w:numPr>
      <w:ind w:left="360" w:hanging="360"/>
      <w:suppressOverlap/>
    </w:pPr>
    <w:rPr>
      <w:rFonts w:ascii="Calibri" w:eastAsia="MS Mincho" w:hAnsi="Calibri"/>
      <w:b/>
      <w:snapToGrid w:val="0"/>
      <w:sz w:val="44"/>
      <w:szCs w:val="60"/>
      <w:lang w:val="en-US" w:eastAsia="ja-JP"/>
    </w:rPr>
  </w:style>
  <w:style w:type="paragraph" w:customStyle="1" w:styleId="EFAFPHeadline">
    <w:name w:val="EFAFP_Headline"/>
    <w:next w:val="EFAFPBodyText2"/>
    <w:link w:val="EFAFPHeadlineChar"/>
    <w:qFormat/>
    <w:pPr>
      <w:numPr>
        <w:numId w:val="10"/>
      </w:numPr>
      <w:adjustRightInd w:val="0"/>
      <w:snapToGrid w:val="0"/>
    </w:pPr>
    <w:rPr>
      <w:rFonts w:ascii="Calibri" w:eastAsia="Times New Roman" w:hAnsi="Calibri"/>
      <w:b/>
      <w:bCs/>
      <w:color w:val="23558C"/>
      <w:kern w:val="28"/>
      <w:sz w:val="28"/>
      <w:lang w:val="en-US" w:eastAsia="ja-JP"/>
    </w:rPr>
  </w:style>
  <w:style w:type="paragraph" w:customStyle="1" w:styleId="EFAFPBodyText2">
    <w:name w:val="EFAFP_BodyText2"/>
    <w:link w:val="EFAFPBodyText2Char"/>
    <w:qFormat/>
    <w:pPr>
      <w:adjustRightInd w:val="0"/>
      <w:snapToGrid w:val="0"/>
      <w:spacing w:after="120"/>
      <w:jc w:val="both"/>
    </w:pPr>
    <w:rPr>
      <w:rFonts w:ascii="Calibri" w:eastAsia="Times New Roman" w:hAnsi="Calibri" w:cs="PMingLiU"/>
      <w:sz w:val="22"/>
      <w:lang w:val="en-US" w:eastAsia="ja-JP"/>
    </w:rPr>
  </w:style>
  <w:style w:type="character" w:customStyle="1" w:styleId="EFAFPTitle3Char">
    <w:name w:val="EFAFPTitle3 Char"/>
    <w:basedOn w:val="DefaultParagraphFont"/>
    <w:link w:val="EFAFPTitle3"/>
    <w:qFormat/>
    <w:rPr>
      <w:b/>
      <w:sz w:val="44"/>
      <w:szCs w:val="60"/>
      <w:lang w:eastAsia="ja-JP"/>
    </w:rPr>
  </w:style>
  <w:style w:type="character" w:customStyle="1" w:styleId="EFAFPHeadlineChar">
    <w:name w:val="EFAFP_Headline Char"/>
    <w:basedOn w:val="DefaultParagraphFont"/>
    <w:link w:val="EFAFPHeadline"/>
    <w:qFormat/>
    <w:rPr>
      <w:rFonts w:eastAsia="Times New Roman"/>
      <w:b/>
      <w:bCs/>
      <w:snapToGrid/>
      <w:color w:val="23558C"/>
      <w:kern w:val="28"/>
      <w:sz w:val="28"/>
      <w:szCs w:val="20"/>
      <w:lang w:eastAsia="ja-JP"/>
    </w:rPr>
  </w:style>
  <w:style w:type="character" w:customStyle="1" w:styleId="EFAFPBodyText2Char">
    <w:name w:val="EFAFP_BodyText2 Char"/>
    <w:basedOn w:val="DefaultParagraphFont"/>
    <w:link w:val="EFAFPBodyText2"/>
    <w:qFormat/>
    <w:rPr>
      <w:rFonts w:eastAsia="Times New Roman" w:cs="PMingLiU"/>
      <w:snapToGrid/>
      <w:sz w:val="22"/>
      <w:szCs w:val="20"/>
      <w:lang w:eastAsia="ja-JP"/>
    </w:rPr>
  </w:style>
  <w:style w:type="character" w:customStyle="1" w:styleId="EFABlueChar">
    <w:name w:val="EFABlueChar"/>
    <w:uiPriority w:val="1"/>
    <w:qFormat/>
    <w:rPr>
      <w:b/>
      <w:color w:val="23508C"/>
    </w:rPr>
  </w:style>
  <w:style w:type="paragraph" w:customStyle="1" w:styleId="EFAHeading5">
    <w:name w:val="EFAHeading5"/>
    <w:next w:val="EFABodyText"/>
    <w:qFormat/>
    <w:pPr>
      <w:numPr>
        <w:numId w:val="11"/>
      </w:numPr>
      <w:adjustRightInd w:val="0"/>
      <w:snapToGrid w:val="0"/>
      <w:ind w:left="972" w:hanging="972"/>
      <w:outlineLvl w:val="0"/>
    </w:pPr>
    <w:rPr>
      <w:rFonts w:ascii="Calibri" w:eastAsia="MS Mincho" w:hAnsi="Calibri"/>
      <w:b/>
      <w:bCs/>
      <w:snapToGrid w:val="0"/>
      <w:color w:val="23558C"/>
      <w:sz w:val="24"/>
      <w:szCs w:val="24"/>
      <w:lang w:val="en-US" w:eastAsia="ja-JP"/>
    </w:rPr>
  </w:style>
  <w:style w:type="paragraph" w:customStyle="1" w:styleId="EFAMacroTitle">
    <w:name w:val="EFAMacroTitle"/>
    <w:basedOn w:val="EFAFPColHdr3"/>
    <w:qFormat/>
    <w:pPr>
      <w:framePr w:wrap="around"/>
    </w:pPr>
  </w:style>
  <w:style w:type="character" w:customStyle="1" w:styleId="EFAFPColFrameAnalystName2Char">
    <w:name w:val="EFAFPColFrame_AnalystName2 Char"/>
    <w:basedOn w:val="EFAFPColFrameTextLeft2Char"/>
    <w:link w:val="EFAFPColFrameAnalystName2"/>
    <w:qFormat/>
    <w:rPr>
      <w:b/>
      <w:sz w:val="14"/>
      <w:szCs w:val="14"/>
    </w:rPr>
  </w:style>
  <w:style w:type="paragraph" w:customStyle="1" w:styleId="EFAFPTitle">
    <w:name w:val="EFAFPTitle"/>
    <w:link w:val="EFAFPTitleChar"/>
    <w:qFormat/>
    <w:pPr>
      <w:framePr w:wrap="around" w:hAnchor="text" w:xAlign="right" w:y="1"/>
      <w:tabs>
        <w:tab w:val="left" w:pos="240"/>
      </w:tabs>
      <w:ind w:left="240" w:right="220"/>
      <w:suppressOverlap/>
    </w:pPr>
    <w:rPr>
      <w:rFonts w:ascii="Calibri" w:eastAsia="MS Mincho" w:hAnsi="Calibri"/>
      <w:b/>
      <w:snapToGrid w:val="0"/>
      <w:color w:val="FFFFFF"/>
      <w:sz w:val="32"/>
      <w:szCs w:val="32"/>
      <w:lang w:val="en-US" w:eastAsia="ja-JP"/>
    </w:rPr>
  </w:style>
  <w:style w:type="character" w:customStyle="1" w:styleId="EFAFPTitleChar">
    <w:name w:val="EFAFPTitle Char"/>
    <w:basedOn w:val="DefaultParagraphFont"/>
    <w:link w:val="EFAFPTitle"/>
    <w:qFormat/>
    <w:rPr>
      <w:b/>
      <w:color w:val="FFFFFF"/>
      <w:sz w:val="32"/>
      <w:szCs w:val="32"/>
      <w:lang w:eastAsia="ja-JP"/>
    </w:rPr>
  </w:style>
  <w:style w:type="paragraph" w:customStyle="1" w:styleId="EFAFPReportType">
    <w:name w:val="EFAFPReportType"/>
    <w:link w:val="EFAFPReportTypeChar"/>
    <w:qFormat/>
    <w:pPr>
      <w:framePr w:w="10858" w:h="1520" w:hRule="exact" w:wrap="around" w:vAnchor="page" w:hAnchor="page" w:x="366" w:y="1071" w:anchorLock="1"/>
      <w:adjustRightInd w:val="0"/>
      <w:snapToGrid w:val="0"/>
    </w:pPr>
    <w:rPr>
      <w:rFonts w:ascii="Calibri" w:eastAsia="MS Mincho" w:hAnsi="Calibri"/>
      <w:snapToGrid w:val="0"/>
      <w:color w:val="23558C"/>
      <w:sz w:val="44"/>
      <w:szCs w:val="44"/>
      <w:lang w:val="en-US" w:eastAsia="ja-JP"/>
    </w:rPr>
  </w:style>
  <w:style w:type="character" w:customStyle="1" w:styleId="EFAFPReportTypeChar">
    <w:name w:val="EFAFPReportType Char"/>
    <w:basedOn w:val="DefaultParagraphFont"/>
    <w:link w:val="EFAFPReportType"/>
    <w:qFormat/>
    <w:rPr>
      <w:color w:val="23558C"/>
      <w:sz w:val="44"/>
      <w:szCs w:val="44"/>
      <w:lang w:eastAsia="ja-JP"/>
    </w:rPr>
  </w:style>
  <w:style w:type="paragraph" w:customStyle="1" w:styleId="EFAFPHdrInfo2">
    <w:name w:val="EFAFPHdrInfo2"/>
    <w:link w:val="EFAFPHdrInfo2Char"/>
    <w:qFormat/>
    <w:pPr>
      <w:framePr w:wrap="auto" w:hAnchor="text" w:xAlign="right" w:y="-239"/>
      <w:ind w:left="240"/>
      <w:suppressOverlap/>
    </w:pPr>
    <w:rPr>
      <w:rFonts w:ascii="Calibri" w:eastAsia="MS Mincho" w:hAnsi="Calibri"/>
      <w:snapToGrid w:val="0"/>
      <w:color w:val="000000"/>
      <w:szCs w:val="44"/>
      <w:lang w:val="en-US" w:eastAsia="ja-JP"/>
    </w:rPr>
  </w:style>
  <w:style w:type="character" w:customStyle="1" w:styleId="EFAFPHdrInfo2Char">
    <w:name w:val="EFAFPHdrInfo2 Char"/>
    <w:basedOn w:val="DefaultParagraphFont"/>
    <w:link w:val="EFAFPHdrInfo2"/>
    <w:qFormat/>
    <w:rPr>
      <w:color w:val="000000"/>
      <w:sz w:val="20"/>
      <w:szCs w:val="44"/>
      <w:lang w:eastAsia="ja-JP"/>
    </w:rPr>
  </w:style>
  <w:style w:type="paragraph" w:customStyle="1" w:styleId="EFADisclaimerHiddenText">
    <w:name w:val="EFADisclaimerHiddenText"/>
    <w:link w:val="EFADisclaimerHiddenTextChar"/>
    <w:qFormat/>
    <w:pPr>
      <w:spacing w:line="20" w:lineRule="exact"/>
    </w:pPr>
    <w:rPr>
      <w:rFonts w:ascii="Calibri" w:eastAsia="MS Mincho" w:hAnsi="Calibri"/>
      <w:snapToGrid w:val="0"/>
      <w:vanish/>
      <w:color w:val="FFFFFF"/>
      <w:sz w:val="2"/>
      <w:szCs w:val="16"/>
      <w:lang w:val="en-US" w:eastAsia="ja-JP"/>
    </w:rPr>
  </w:style>
  <w:style w:type="character" w:customStyle="1" w:styleId="EFADisclaimerHiddenTextChar">
    <w:name w:val="EFADisclaimerHiddenText Char"/>
    <w:basedOn w:val="DefaultParagraphFont"/>
    <w:link w:val="EFADisclaimerHiddenText"/>
    <w:qFormat/>
    <w:rPr>
      <w:vanish/>
      <w:color w:val="FFFFFF"/>
      <w:sz w:val="2"/>
      <w:lang w:eastAsia="ja-JP"/>
    </w:rPr>
  </w:style>
  <w:style w:type="paragraph" w:customStyle="1" w:styleId="EFAFPFooter2">
    <w:name w:val="EFAFPFooter2"/>
    <w:link w:val="EFAFPFooter2Char"/>
    <w:qFormat/>
    <w:pPr>
      <w:tabs>
        <w:tab w:val="right" w:pos="11544"/>
      </w:tabs>
      <w:autoSpaceDE w:val="0"/>
      <w:autoSpaceDN w:val="0"/>
      <w:adjustRightInd w:val="0"/>
      <w:snapToGrid w:val="0"/>
      <w:spacing w:line="200" w:lineRule="exact"/>
      <w:jc w:val="both"/>
    </w:pPr>
    <w:rPr>
      <w:rFonts w:ascii="Calibri" w:eastAsia="MS Mincho" w:hAnsi="Calibri" w:cs="Arial"/>
      <w:snapToGrid w:val="0"/>
      <w:sz w:val="21"/>
      <w:szCs w:val="16"/>
      <w:lang w:val="en-US" w:eastAsia="ja-JP"/>
    </w:rPr>
  </w:style>
  <w:style w:type="character" w:customStyle="1" w:styleId="EFAFPFooter2Char">
    <w:name w:val="EFAFPFooter2 Char"/>
    <w:basedOn w:val="DefaultParagraphFont"/>
    <w:link w:val="EFAFPFooter2"/>
    <w:qFormat/>
    <w:rPr>
      <w:rFonts w:cs="Arial"/>
      <w:sz w:val="21"/>
      <w:lang w:eastAsia="ja-JP"/>
    </w:rPr>
  </w:style>
  <w:style w:type="character" w:customStyle="1" w:styleId="EFADisclaimerTextChar">
    <w:name w:val="EFADisclaimerText Char"/>
    <w:basedOn w:val="DefaultParagraphFont"/>
    <w:link w:val="EFADisclaimerText"/>
    <w:uiPriority w:val="99"/>
    <w:qFormat/>
    <w:locked/>
    <w:rPr>
      <w:lang w:eastAsia="ja-JP"/>
    </w:rPr>
  </w:style>
  <w:style w:type="paragraph" w:customStyle="1" w:styleId="EFAFPColFrameTextLeft">
    <w:name w:val="EFAFPColFrameText_Left"/>
    <w:basedOn w:val="Normal"/>
    <w:link w:val="EFAFPColFrameTextLeftChar"/>
    <w:qFormat/>
    <w:pPr>
      <w:framePr w:w="3045" w:h="12844" w:hRule="exact" w:hSpace="180" w:wrap="around" w:vAnchor="page" w:hAnchor="page" w:x="336" w:y="2721" w:anchorLock="1"/>
      <w:adjustRightInd w:val="0"/>
      <w:snapToGrid w:val="0"/>
    </w:pPr>
    <w:rPr>
      <w:sz w:val="14"/>
      <w:szCs w:val="14"/>
      <w:lang w:val="en-US" w:eastAsia="zh-CN"/>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DefaultParagraphFont"/>
    <w:link w:val="EFAFPColFrameTextLeft"/>
    <w:qFormat/>
    <w:rPr>
      <w:sz w:val="14"/>
      <w:szCs w:val="14"/>
    </w:rPr>
  </w:style>
  <w:style w:type="paragraph" w:customStyle="1" w:styleId="1">
    <w:name w:val="表1"/>
    <w:basedOn w:val="Normal"/>
    <w:link w:val="1Char"/>
    <w:qFormat/>
    <w:pPr>
      <w:widowControl w:val="0"/>
      <w:tabs>
        <w:tab w:val="left" w:pos="3819"/>
      </w:tabs>
      <w:ind w:rightChars="26" w:right="55"/>
    </w:pPr>
    <w:rPr>
      <w:rFonts w:ascii="Arial" w:eastAsia="楷体_GB2312" w:hAnsi="Arial"/>
      <w:b/>
      <w:bCs/>
      <w:snapToGrid/>
      <w:color w:val="000000"/>
      <w:kern w:val="2"/>
      <w:sz w:val="18"/>
      <w:szCs w:val="24"/>
      <w:lang w:val="zh-CN" w:eastAsia="zh-CN"/>
    </w:rPr>
  </w:style>
  <w:style w:type="character" w:customStyle="1" w:styleId="1Char">
    <w:name w:val="表1 Char"/>
    <w:link w:val="1"/>
    <w:qFormat/>
    <w:rPr>
      <w:rFonts w:ascii="Arial" w:eastAsia="楷体_GB2312" w:hAnsi="Arial"/>
      <w:b/>
      <w:bCs/>
      <w:snapToGrid/>
      <w:color w:val="000000"/>
      <w:kern w:val="2"/>
      <w:sz w:val="18"/>
      <w:szCs w:val="24"/>
      <w:lang w:val="zh-CN" w:eastAsia="zh-CN"/>
    </w:rPr>
  </w:style>
  <w:style w:type="paragraph" w:customStyle="1" w:styleId="EFABodyTextCN">
    <w:name w:val="EFABodyText(CN)"/>
    <w:link w:val="EFABodyTextCNChar"/>
    <w:qFormat/>
    <w:pPr>
      <w:widowControl w:val="0"/>
      <w:adjustRightInd w:val="0"/>
      <w:snapToGrid w:val="0"/>
    </w:pPr>
    <w:rPr>
      <w:rFonts w:ascii="Calibri" w:hAnsi="Calibri"/>
      <w:snapToGrid w:val="0"/>
      <w:szCs w:val="16"/>
      <w:lang w:val="en-US"/>
    </w:rPr>
  </w:style>
  <w:style w:type="character" w:customStyle="1" w:styleId="EFABodyTextCNChar">
    <w:name w:val="EFABodyText(CN) Char"/>
    <w:basedOn w:val="DefaultParagraphFont"/>
    <w:link w:val="EFABodyTextCN"/>
    <w:qFormat/>
    <w:rPr>
      <w:rFonts w:eastAsia="宋体"/>
      <w:sz w:val="20"/>
    </w:rPr>
  </w:style>
  <w:style w:type="paragraph" w:customStyle="1" w:styleId="a">
    <w:name w:val="图序号"/>
    <w:basedOn w:val="Normal"/>
    <w:link w:val="a0"/>
    <w:qFormat/>
    <w:pPr>
      <w:widowControl w:val="0"/>
      <w:ind w:rightChars="26" w:right="55"/>
      <w:jc w:val="both"/>
    </w:pPr>
    <w:rPr>
      <w:rFonts w:ascii="Arial" w:eastAsia="楷体_GB2312" w:hAnsi="Arial"/>
      <w:b/>
      <w:bCs/>
      <w:snapToGrid/>
      <w:color w:val="000000"/>
      <w:kern w:val="2"/>
      <w:sz w:val="18"/>
      <w:szCs w:val="18"/>
      <w:lang w:val="zh-CN" w:eastAsia="zh-CN"/>
    </w:rPr>
  </w:style>
  <w:style w:type="character" w:customStyle="1" w:styleId="a0">
    <w:name w:val="图序号 字符"/>
    <w:link w:val="a"/>
    <w:qFormat/>
    <w:rPr>
      <w:rFonts w:ascii="Arial" w:eastAsia="楷体_GB2312" w:hAnsi="Arial"/>
      <w:b/>
      <w:bCs/>
      <w:snapToGrid/>
      <w:color w:val="000000"/>
      <w:kern w:val="2"/>
      <w:sz w:val="18"/>
      <w:szCs w:val="18"/>
      <w:lang w:val="zh-CN" w:eastAsia="zh-CN"/>
    </w:rPr>
  </w:style>
  <w:style w:type="character" w:customStyle="1" w:styleId="Heading1Char">
    <w:name w:val="Heading 1 Char"/>
    <w:link w:val="Heading1"/>
    <w:qFormat/>
    <w:rPr>
      <w:rFonts w:cs="Arial"/>
      <w:b/>
      <w:bCs/>
      <w:kern w:val="32"/>
      <w:sz w:val="24"/>
      <w:szCs w:val="32"/>
      <w:lang w:val="en-GB" w:eastAsia="ja-JP"/>
    </w:rPr>
  </w:style>
  <w:style w:type="character" w:customStyle="1" w:styleId="Heading4Char">
    <w:name w:val="Heading 4 Char"/>
    <w:basedOn w:val="DefaultParagraphFont"/>
    <w:link w:val="Heading4"/>
    <w:qFormat/>
    <w:rPr>
      <w:rFonts w:ascii="Cambria" w:eastAsia="宋体" w:hAnsi="Cambria"/>
      <w:b/>
      <w:bCs/>
      <w:snapToGrid/>
      <w:kern w:val="2"/>
      <w:sz w:val="28"/>
      <w:szCs w:val="28"/>
      <w:lang w:val="zh-CN" w:eastAsia="zh-CN"/>
    </w:rPr>
  </w:style>
  <w:style w:type="character" w:customStyle="1" w:styleId="BodyTextChar">
    <w:name w:val="Body Text Char"/>
    <w:basedOn w:val="DefaultParagraphFont"/>
    <w:link w:val="BodyText"/>
    <w:qFormat/>
    <w:rPr>
      <w:rFonts w:ascii="Times New Roman" w:eastAsia="宋体" w:hAnsi="Times New Roman"/>
      <w:snapToGrid/>
      <w:kern w:val="2"/>
      <w:sz w:val="21"/>
      <w:szCs w:val="24"/>
    </w:rPr>
  </w:style>
  <w:style w:type="character" w:customStyle="1" w:styleId="BodyTextIndentChar">
    <w:name w:val="Body Text Indent Char"/>
    <w:basedOn w:val="DefaultParagraphFont"/>
    <w:link w:val="BodyTextIndent"/>
    <w:qFormat/>
    <w:rPr>
      <w:rFonts w:ascii="汉仪楷体简" w:eastAsia="汉仪楷体简" w:hAnsi="Times New Roman"/>
      <w:snapToGrid/>
      <w:color w:val="000000"/>
      <w:sz w:val="18"/>
    </w:rPr>
  </w:style>
  <w:style w:type="character" w:customStyle="1" w:styleId="BodyText2Char">
    <w:name w:val="Body Text 2 Char"/>
    <w:basedOn w:val="DefaultParagraphFont"/>
    <w:link w:val="BodyText2"/>
    <w:qFormat/>
    <w:rPr>
      <w:rFonts w:ascii="Times New Roman" w:eastAsia="汉仪楷体简" w:hAnsi="Times New Roman"/>
      <w:snapToGrid/>
      <w:sz w:val="18"/>
      <w:szCs w:val="24"/>
    </w:rPr>
  </w:style>
  <w:style w:type="character" w:customStyle="1" w:styleId="BodyText3Char">
    <w:name w:val="Body Text 3 Char"/>
    <w:basedOn w:val="DefaultParagraphFont"/>
    <w:link w:val="BodyText3"/>
    <w:qFormat/>
    <w:rPr>
      <w:rFonts w:ascii="汉仪楷体简" w:eastAsia="汉仪楷体简" w:hAnsi="Times New Roman"/>
      <w:snapToGrid/>
      <w:color w:val="000000"/>
      <w:sz w:val="18"/>
    </w:rPr>
  </w:style>
  <w:style w:type="character" w:customStyle="1" w:styleId="BodyTextIndent2Char">
    <w:name w:val="Body Text Indent 2 Char"/>
    <w:basedOn w:val="DefaultParagraphFont"/>
    <w:link w:val="BodyTextIndent2"/>
    <w:qFormat/>
    <w:rPr>
      <w:rFonts w:ascii="楷体_GB2312" w:eastAsia="楷体_GB2312" w:hAnsi="Times New Roman"/>
      <w:snapToGrid/>
      <w:sz w:val="24"/>
      <w:szCs w:val="24"/>
    </w:rPr>
  </w:style>
  <w:style w:type="character" w:customStyle="1" w:styleId="BodyTextIndent3Char">
    <w:name w:val="Body Text Indent 3 Char"/>
    <w:basedOn w:val="DefaultParagraphFont"/>
    <w:link w:val="BodyTextIndent3"/>
    <w:qFormat/>
    <w:rPr>
      <w:rFonts w:ascii="楷体_GB2312" w:eastAsia="楷体_GB2312" w:hAnsi="Times New Roman"/>
      <w:snapToGrid/>
      <w:color w:val="000000"/>
      <w:kern w:val="2"/>
      <w:sz w:val="24"/>
      <w:szCs w:val="24"/>
    </w:rPr>
  </w:style>
  <w:style w:type="character" w:customStyle="1" w:styleId="DateChar">
    <w:name w:val="Date Char"/>
    <w:basedOn w:val="DefaultParagraphFont"/>
    <w:link w:val="Date"/>
    <w:qFormat/>
    <w:rPr>
      <w:rFonts w:ascii="宋体" w:eastAsia="宋体" w:hAnsi="Times New Roman"/>
      <w:snapToGrid/>
      <w:kern w:val="2"/>
      <w:sz w:val="28"/>
      <w:szCs w:val="20"/>
    </w:rPr>
  </w:style>
  <w:style w:type="character" w:customStyle="1" w:styleId="style12">
    <w:name w:val="style12"/>
    <w:basedOn w:val="DefaultParagraphFont"/>
    <w:qFormat/>
  </w:style>
  <w:style w:type="character" w:customStyle="1" w:styleId="style13">
    <w:name w:val="style13"/>
    <w:basedOn w:val="DefaultParagraphFont"/>
    <w:qFormat/>
  </w:style>
  <w:style w:type="paragraph" w:customStyle="1" w:styleId="ParaCharCharCharCharCharCharChar">
    <w:name w:val="默认段落字体 Para Char Char Char Char Char Char 字元 Char"/>
    <w:basedOn w:val="Normal"/>
    <w:autoRedefine/>
    <w:qFormat/>
    <w:pPr>
      <w:widowControl w:val="0"/>
      <w:tabs>
        <w:tab w:val="left" w:pos="840"/>
      </w:tabs>
      <w:ind w:left="840" w:hanging="360"/>
      <w:jc w:val="both"/>
    </w:pPr>
    <w:rPr>
      <w:rFonts w:ascii="Times New Roman" w:eastAsia="宋体" w:hAnsi="Times New Roman"/>
      <w:snapToGrid/>
      <w:kern w:val="2"/>
      <w:sz w:val="24"/>
      <w:szCs w:val="24"/>
      <w:lang w:val="en-US" w:eastAsia="zh-CN"/>
    </w:rPr>
  </w:style>
  <w:style w:type="paragraph" w:customStyle="1" w:styleId="a1">
    <w:name w:val="二级目录"/>
    <w:basedOn w:val="BlockText"/>
    <w:qFormat/>
    <w:pPr>
      <w:spacing w:beforeLines="100" w:before="240" w:afterLines="100" w:after="240" w:line="320" w:lineRule="exact"/>
      <w:ind w:leftChars="0" w:left="2977" w:rightChars="0" w:right="0" w:firstLine="0"/>
    </w:pPr>
    <w:rPr>
      <w:rFonts w:eastAsia="楷体_GB2312"/>
      <w:b/>
      <w:color w:val="000080"/>
      <w:sz w:val="24"/>
    </w:rPr>
  </w:style>
  <w:style w:type="character" w:customStyle="1" w:styleId="CommentTextChar">
    <w:name w:val="Comment Text Char"/>
    <w:basedOn w:val="DefaultParagraphFont"/>
    <w:link w:val="CommentText"/>
    <w:qFormat/>
    <w:rPr>
      <w:rFonts w:ascii="Times New Roman" w:eastAsia="宋体" w:hAnsi="Times New Roman"/>
      <w:snapToGrid/>
      <w:kern w:val="2"/>
      <w:sz w:val="21"/>
      <w:szCs w:val="24"/>
      <w:lang w:val="zh-CN" w:eastAsia="zh-CN"/>
    </w:rPr>
  </w:style>
  <w:style w:type="character" w:customStyle="1" w:styleId="CommentSubjectChar">
    <w:name w:val="Comment Subject Char"/>
    <w:basedOn w:val="CommentTextChar"/>
    <w:link w:val="CommentSubject"/>
    <w:qFormat/>
    <w:rPr>
      <w:rFonts w:ascii="Times New Roman" w:eastAsia="宋体" w:hAnsi="Times New Roman"/>
      <w:b/>
      <w:bCs/>
      <w:snapToGrid/>
      <w:kern w:val="2"/>
      <w:sz w:val="21"/>
      <w:szCs w:val="24"/>
      <w:lang w:val="zh-CN" w:eastAsia="zh-CN"/>
    </w:rPr>
  </w:style>
  <w:style w:type="paragraph" w:customStyle="1" w:styleId="HUS">
    <w:name w:val="HUS封面正文"/>
    <w:qFormat/>
    <w:pPr>
      <w:numPr>
        <w:numId w:val="12"/>
      </w:numPr>
      <w:spacing w:after="120"/>
      <w:jc w:val="both"/>
    </w:pPr>
    <w:rPr>
      <w:rFonts w:ascii="Arial" w:eastAsia="楷体_GB2312" w:hAnsi="Arial"/>
      <w:kern w:val="2"/>
      <w:lang w:val="en-US"/>
    </w:rPr>
  </w:style>
  <w:style w:type="paragraph" w:customStyle="1" w:styleId="Default">
    <w:name w:val="Default"/>
    <w:qFormat/>
    <w:pPr>
      <w:widowControl w:val="0"/>
      <w:autoSpaceDE w:val="0"/>
      <w:autoSpaceDN w:val="0"/>
      <w:adjustRightInd w:val="0"/>
    </w:pPr>
    <w:rPr>
      <w:rFonts w:ascii="楷体_GB2312" w:eastAsia="楷体_GB2312" w:cs="楷体_GB2312"/>
      <w:color w:val="000000"/>
      <w:sz w:val="24"/>
      <w:szCs w:val="24"/>
      <w:lang w:val="en-US"/>
    </w:rPr>
  </w:style>
  <w:style w:type="character" w:customStyle="1" w:styleId="Heading3Char">
    <w:name w:val="Heading 3 Char"/>
    <w:link w:val="Heading3"/>
    <w:qFormat/>
    <w:rPr>
      <w:rFonts w:cs="Arial"/>
      <w:b/>
      <w:bCs/>
      <w:szCs w:val="26"/>
      <w:lang w:val="en-GB" w:eastAsia="ja-JP"/>
    </w:rPr>
  </w:style>
  <w:style w:type="paragraph" w:customStyle="1" w:styleId="a2">
    <w:name w:val="国泰君安题注"/>
    <w:basedOn w:val="Normal"/>
    <w:qFormat/>
    <w:pPr>
      <w:widowControl w:val="0"/>
      <w:jc w:val="both"/>
    </w:pPr>
    <w:rPr>
      <w:rFonts w:ascii="Times New Roman" w:eastAsia="楷体_GB2312" w:hAnsi="Times New Roman" w:cs="宋体"/>
      <w:b/>
      <w:bCs/>
      <w:snapToGrid/>
      <w:kern w:val="2"/>
      <w:sz w:val="21"/>
      <w:szCs w:val="20"/>
      <w:lang w:val="en-US" w:eastAsia="zh-CN"/>
    </w:rPr>
  </w:style>
  <w:style w:type="paragraph" w:customStyle="1" w:styleId="a3">
    <w:name w:val="国泰君安报告正文"/>
    <w:basedOn w:val="Normal"/>
    <w:qFormat/>
    <w:pPr>
      <w:widowControl w:val="0"/>
      <w:jc w:val="both"/>
    </w:pPr>
    <w:rPr>
      <w:rFonts w:ascii="Times New Roman" w:eastAsia="楷体_GB2312" w:hAnsi="Times New Roman" w:cs="宋体"/>
      <w:snapToGrid/>
      <w:kern w:val="2"/>
      <w:sz w:val="21"/>
      <w:szCs w:val="20"/>
      <w:lang w:val="en-US" w:eastAsia="zh-CN"/>
    </w:rPr>
  </w:style>
  <w:style w:type="paragraph" w:customStyle="1" w:styleId="a4">
    <w:name w:val="国泰君安数据来源"/>
    <w:basedOn w:val="a3"/>
    <w:qFormat/>
    <w:rPr>
      <w:sz w:val="18"/>
    </w:rPr>
  </w:style>
  <w:style w:type="paragraph" w:customStyle="1" w:styleId="a5">
    <w:name w:val="表"/>
    <w:basedOn w:val="Normal"/>
    <w:qFormat/>
    <w:pPr>
      <w:widowControl w:val="0"/>
    </w:pPr>
    <w:rPr>
      <w:rFonts w:ascii="Arial" w:eastAsia="楷体_GB2312" w:hAnsi="Arial" w:cs="宋体"/>
      <w:b/>
      <w:bCs/>
      <w:snapToGrid/>
      <w:color w:val="000000"/>
      <w:kern w:val="2"/>
      <w:sz w:val="18"/>
      <w:szCs w:val="20"/>
      <w:lang w:val="en-US" w:eastAsia="zh-CN"/>
    </w:rPr>
  </w:style>
  <w:style w:type="character" w:customStyle="1" w:styleId="10">
    <w:name w:val="标题 1 字符"/>
    <w:qFormat/>
    <w:rPr>
      <w:rFonts w:eastAsia="楷体_GB2312"/>
      <w:b/>
      <w:bCs/>
      <w:color w:val="000080"/>
      <w:sz w:val="30"/>
      <w:szCs w:val="24"/>
    </w:rPr>
  </w:style>
  <w:style w:type="table" w:customStyle="1" w:styleId="2-11">
    <w:name w:val="网格表 2 - 着色 11"/>
    <w:basedOn w:val="TableNormal"/>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31">
    <w:name w:val="网格表 3 - 着色 31"/>
    <w:basedOn w:val="TableNormal"/>
    <w:uiPriority w:val="48"/>
    <w:qFormat/>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2-51">
    <w:name w:val="网格表 2 - 着色 51"/>
    <w:basedOn w:val="TableNormal"/>
    <w:uiPriority w:val="47"/>
    <w:qFormat/>
    <w:tblPr>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
    <w:name w:val="清单表 1 浅色 - 着色 51"/>
    <w:basedOn w:val="TableNormal"/>
    <w:uiPriority w:val="46"/>
    <w:qFormat/>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EFAFPColFrameTextRight">
    <w:name w:val="EFAFPColFrameText_Right"/>
    <w:basedOn w:val="Normal"/>
    <w:qFormat/>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EFAFPHdrInfo">
    <w:name w:val="EFAFPHdrInfo"/>
    <w:link w:val="EFAFPHdrInfoChar"/>
    <w:qFormat/>
    <w:pPr>
      <w:framePr w:wrap="around" w:hAnchor="text" w:xAlign="right" w:y="1"/>
      <w:ind w:left="240"/>
      <w:suppressOverlap/>
    </w:pPr>
    <w:rPr>
      <w:rFonts w:ascii="Calibri" w:eastAsia="MS Mincho" w:hAnsi="Calibri"/>
      <w:b/>
      <w:bCs/>
      <w:snapToGrid w:val="0"/>
      <w:color w:val="000000"/>
      <w:sz w:val="32"/>
      <w:szCs w:val="32"/>
      <w:lang w:val="en-US" w:eastAsia="ja-JP"/>
    </w:rPr>
  </w:style>
  <w:style w:type="character" w:customStyle="1" w:styleId="EFAFPHdrInfoChar">
    <w:name w:val="EFAFPHdrInfo Char"/>
    <w:basedOn w:val="EFAFPReportTypeChar"/>
    <w:link w:val="EFAFPHdrInfo"/>
    <w:qFormat/>
    <w:rPr>
      <w:b/>
      <w:bCs/>
      <w:color w:val="000000"/>
      <w:sz w:val="32"/>
      <w:szCs w:val="32"/>
      <w:lang w:eastAsia="ja-JP"/>
    </w:rPr>
  </w:style>
  <w:style w:type="paragraph" w:customStyle="1" w:styleId="EFAFPTitle6">
    <w:name w:val="EFAFPTitle6"/>
    <w:link w:val="EFAFPTitle6Char"/>
    <w:qFormat/>
    <w:rPr>
      <w:rFonts w:ascii="Calibri" w:eastAsia="MS Mincho" w:hAnsi="Calibri"/>
      <w:b/>
      <w:bCs/>
      <w:snapToGrid w:val="0"/>
      <w:color w:val="FFFFFF"/>
      <w:sz w:val="32"/>
      <w:lang w:val="en-US" w:eastAsia="ja-JP"/>
    </w:rPr>
  </w:style>
  <w:style w:type="character" w:customStyle="1" w:styleId="EFAFPTitle6Char">
    <w:name w:val="EFAFPTitle6 Char"/>
    <w:basedOn w:val="DefaultParagraphFont"/>
    <w:link w:val="EFAFPTitle6"/>
    <w:qFormat/>
    <w:rPr>
      <w:b/>
      <w:bCs/>
      <w:color w:val="FFFFFF"/>
      <w:sz w:val="32"/>
      <w:szCs w:val="20"/>
      <w:lang w:eastAsia="ja-JP"/>
    </w:rPr>
  </w:style>
  <w:style w:type="table" w:customStyle="1" w:styleId="Common">
    <w:name w:val="Common"/>
    <w:basedOn w:val="TableGrid"/>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hfisec.com.hk"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hfisec.com.hk"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35831;&#21457;&#37038;&#20214;&#33267;lcd@hfisec.com.hk"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Fifth Edition" SelectedStyle="\APA.XSL"/>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9897B2F-D567-4463-8BC9-F5D2ABA758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4129</Words>
  <Characters>9415</Characters>
  <Application>Microsoft Office Word</Application>
  <DocSecurity>0</DocSecurity>
  <Lines>162</Lines>
  <Paragraphs>84</Paragraphs>
  <ScaleCrop>false</ScaleCrop>
  <HeadingPairs>
    <vt:vector size="2" baseType="variant">
      <vt:variant>
        <vt:lpstr>Title</vt:lpstr>
      </vt:variant>
      <vt:variant>
        <vt:i4>1</vt:i4>
      </vt:variant>
    </vt:vector>
  </HeadingPairs>
  <TitlesOfParts>
    <vt:vector size="1" baseType="lpstr">
      <vt:lpstr>Sector note</vt:lpstr>
    </vt:vector>
  </TitlesOfParts>
  <Company>Japaninvest</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 note</dc:title>
  <dc:creator>zhoulinhong</dc:creator>
  <cp:lastModifiedBy>Matthew Dong</cp:lastModifiedBy>
  <cp:revision>3</cp:revision>
  <cp:lastPrinted>2019-08-11T00:02:00Z</cp:lastPrinted>
  <dcterms:created xsi:type="dcterms:W3CDTF">2026-02-07T10:36:00Z</dcterms:created>
  <dcterms:modified xsi:type="dcterms:W3CDTF">2026-02-07T11:01:00Z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eyJoZGlkIjoiZTk1MTZhZDM5Y2JkNzE5YjdlYWJiZWNjNzVjYzNkYzUiLCJ1c2VySWQiOiI5NjEwMzMxODcifQ==</vt:lpwstr>
  </property>
  <property fmtid="{D5CDD505-2E9C-101B-9397-08002B2CF9AE}" pid="62" name="KSOProductBuildVer">
    <vt:lpwstr>2052-12.9.0.25288</vt:lpwstr>
  </property>
  <property fmtid="{D5CDD505-2E9C-101B-9397-08002B2CF9AE}" pid="63" name="ICV">
    <vt:lpwstr>D186EB36DFDF9F37BAE98669F1D5407D_43</vt:lpwstr>
  </property>
</Properties>
</file>