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14:paraId="198C7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3" w:type="dxa"/>
          <w:trHeight w:val="23" w:hRule="exact"/>
        </w:trPr>
        <w:tc>
          <w:tcPr>
            <w:tcW w:w="6470" w:type="dxa"/>
            <w:gridSpan w:val="3"/>
            <w:tcMar>
              <w:top w:w="60" w:type="dxa"/>
              <w:left w:w="120" w:type="dxa"/>
            </w:tcMar>
          </w:tcPr>
          <w:p w14:paraId="56E7317F">
            <w:pPr>
              <w:pStyle w:val="59"/>
              <w:rPr>
                <w:rFonts w:eastAsia="楷体_GB2312" w:cs="Calibri"/>
                <w:color w:val="FFFFFF" w:themeColor="background1"/>
                <w:sz w:val="21"/>
                <w:szCs w:val="21"/>
                <w:lang w:eastAsia="zh-CN"/>
                <w14:textFill>
                  <w14:solidFill>
                    <w14:schemeClr w14:val="bg1"/>
                  </w14:solidFill>
                </w14:textFill>
              </w:rPr>
            </w:pP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14:paraId="6882C274">
            <w:pPr>
              <w:pStyle w:val="45"/>
              <w:framePr w:wrap="auto" w:vAnchor="margin" w:hAnchor="text" w:xAlign="left" w:yAlign="inline"/>
              <w:rPr>
                <w:rFonts w:eastAsia="楷体_GB2312" w:cs="Calibri"/>
                <w:highlight w:val="yellow"/>
              </w:rPr>
            </w:pPr>
          </w:p>
        </w:tc>
        <w:tc>
          <w:tcPr>
            <w:tcW w:w="3080" w:type="dxa"/>
          </w:tcPr>
          <w:p w14:paraId="147DB371">
            <w:pPr>
              <w:pStyle w:val="44"/>
              <w:framePr w:wrap="auto" w:vAnchor="margin" w:hAnchor="text" w:xAlign="left" w:yAlign="inline"/>
              <w:rPr>
                <w:rFonts w:eastAsia="楷体_GB2312" w:cs="Calibri"/>
                <w:highlight w:val="yellow"/>
              </w:rPr>
            </w:pPr>
          </w:p>
        </w:tc>
      </w:tr>
      <w:tr w14:paraId="55399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14:paraId="6F14431A">
            <w:pPr>
              <w:pStyle w:val="45"/>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14:paraId="2CC39069">
            <w:pPr>
              <w:pStyle w:val="59"/>
              <w:rPr>
                <w:rFonts w:eastAsia="楷体_GB2312" w:cs="Calibri"/>
                <w:color w:val="A7242B"/>
                <w:sz w:val="16"/>
                <w:szCs w:val="16"/>
                <w:lang w:eastAsia="zh-CN"/>
              </w:rPr>
            </w:pPr>
          </w:p>
        </w:tc>
      </w:tr>
      <w:tr w14:paraId="48948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14:paraId="33383647">
            <w:pPr>
              <w:pStyle w:val="45"/>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304" w:type="dxa"/>
            <w:gridSpan w:val="2"/>
          </w:tcPr>
          <w:p w14:paraId="0CB0F23D">
            <w:pPr>
              <w:pStyle w:val="59"/>
              <w:rPr>
                <w:rFonts w:eastAsia="楷体_GB2312" w:cs="Calibri"/>
                <w:color w:val="A7242B"/>
                <w:sz w:val="16"/>
                <w:szCs w:val="16"/>
                <w:lang w:eastAsia="zh-CN"/>
              </w:rPr>
            </w:pPr>
          </w:p>
        </w:tc>
      </w:tr>
      <w:tr w14:paraId="31D81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14:paraId="54259278">
            <w:pPr>
              <w:pStyle w:val="44"/>
              <w:framePr w:wrap="auto" w:vAnchor="margin" w:hAnchor="text" w:xAlign="left" w:yAlign="inline"/>
              <w:jc w:val="left"/>
              <w:rPr>
                <w:rFonts w:eastAsia="楷体_GB2312" w:cs="Calibri"/>
                <w:sz w:val="40"/>
                <w:szCs w:val="40"/>
                <w:lang w:eastAsia="zh-CN"/>
              </w:rPr>
            </w:pPr>
          </w:p>
        </w:tc>
      </w:tr>
      <w:tr w14:paraId="555D2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14:paraId="1E1B701F">
            <w:pPr>
              <w:pStyle w:val="44"/>
              <w:framePr w:wrap="auto" w:vAnchor="margin" w:hAnchor="text" w:xAlign="left" w:yAlign="inline"/>
              <w:jc w:val="left"/>
              <w:rPr>
                <w:rFonts w:eastAsia="楷体_GB2312" w:cs="Calibri"/>
                <w:sz w:val="40"/>
                <w:szCs w:val="40"/>
                <w:lang w:eastAsia="zh-CN"/>
              </w:rPr>
            </w:pPr>
            <w:r>
              <w:rPr>
                <w:rFonts w:eastAsia="楷体_GB2312" w:cs="Calibri"/>
                <w:sz w:val="40"/>
                <w:szCs w:val="40"/>
                <w:lang w:eastAsia="zh-CN"/>
              </w:rPr>
              <w:t>Cirrus Aircraft (2507.HK)</w:t>
            </w:r>
          </w:p>
        </w:tc>
      </w:tr>
      <w:tr w14:paraId="24DFB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14:paraId="3B4EF7C6">
            <w:pPr>
              <w:pStyle w:val="59"/>
              <w:rPr>
                <w:rFonts w:eastAsia="楷体_GB2312" w:cs="Calibri"/>
                <w:b w:val="0"/>
                <w:color w:val="23558C"/>
                <w:lang w:eastAsia="zh-CN"/>
              </w:rPr>
            </w:pPr>
            <w:r>
              <w:rPr>
                <w:rFonts w:eastAsia="楷体_GB2312" w:cs="Calibri"/>
                <w:b w:val="0"/>
                <w:color w:val="23558C"/>
              </w:rPr>
              <w:t>Global Leader in Private Aviation: Dominating Personal Aviation with Safety, Innovation, and a Robust Ecosystem</w:t>
            </w:r>
            <w:r>
              <w:rPr>
                <w:rFonts w:hint="eastAsia" w:eastAsia="楷体_GB2312" w:cs="Calibri"/>
                <w:b w:val="0"/>
                <w:color w:val="23558C"/>
              </w:rPr>
              <w:t xml:space="preserve"> : Initiation</w:t>
            </w:r>
          </w:p>
        </w:tc>
      </w:tr>
      <w:tr w14:paraId="14E34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53" w:hRule="atLeast"/>
        </w:trPr>
        <w:tc>
          <w:tcPr>
            <w:tcW w:w="10774" w:type="dxa"/>
            <w:gridSpan w:val="5"/>
            <w:tcMar>
              <w:top w:w="60" w:type="dxa"/>
              <w:left w:w="119" w:type="dxa"/>
              <w:right w:w="0" w:type="dxa"/>
            </w:tcMar>
          </w:tcPr>
          <w:p w14:paraId="0D6FBAC5">
            <w:pPr>
              <w:pStyle w:val="44"/>
              <w:framePr w:wrap="auto" w:vAnchor="margin" w:hAnchor="text" w:xAlign="left" w:yAlign="inline"/>
              <w:rPr>
                <w:rFonts w:eastAsia="楷体_GB2312" w:cs="Calibri"/>
                <w:szCs w:val="24"/>
                <w:lang w:eastAsia="zh-CN"/>
              </w:rPr>
            </w:pPr>
          </w:p>
        </w:tc>
      </w:tr>
      <w:tr w14:paraId="12AC4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14:paraId="2D723403">
            <w:pPr>
              <w:pStyle w:val="44"/>
              <w:framePr w:wrap="auto" w:vAnchor="margin" w:hAnchor="text" w:xAlign="left" w:yAlign="inline"/>
              <w:rPr>
                <w:rFonts w:eastAsia="楷体_GB2312" w:cs="Calibri"/>
              </w:rPr>
            </w:pPr>
          </w:p>
        </w:tc>
      </w:tr>
      <w:tr w14:paraId="2738A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2394582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14:paraId="633F8769">
                  <w:pPr>
                    <w:pStyle w:val="49"/>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14:paraId="59658AC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343" w:hRule="exact"/>
              </w:trPr>
              <w:tc>
                <w:tcPr>
                  <w:tcW w:w="4071" w:type="dxa"/>
                  <w:gridSpan w:val="2"/>
                  <w:tcBorders>
                    <w:top w:val="nil"/>
                  </w:tcBorders>
                  <w:shd w:val="clear" w:color="auto" w:fill="23558C"/>
                  <w:tcMar>
                    <w:left w:w="0" w:type="dxa"/>
                  </w:tcMar>
                </w:tcPr>
                <w:p w14:paraId="766D3B61">
                  <w:pPr>
                    <w:pStyle w:val="48"/>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14:paraId="1520C88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7522C508">
                  <w:pPr>
                    <w:pStyle w:val="48"/>
                    <w:framePr w:w="0" w:hRule="auto" w:hSpace="0" w:wrap="auto" w:vAnchor="margin" w:hAnchor="text" w:xAlign="left" w:yAlign="inline"/>
                    <w:ind w:right="85" w:firstLine="85"/>
                    <w:rPr>
                      <w:rFonts w:eastAsia="楷体_GB2312" w:cs="Calibri"/>
                    </w:rPr>
                  </w:pPr>
                </w:p>
              </w:tc>
            </w:tr>
            <w:tr w14:paraId="67570B6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DEA862E">
                  <w:pPr>
                    <w:pStyle w:val="48"/>
                    <w:framePr w:w="0" w:hRule="auto" w:hSpace="0" w:wrap="auto" w:vAnchor="margin" w:hAnchor="text" w:xAlign="left" w:yAlign="inline"/>
                    <w:ind w:right="85" w:firstLine="85"/>
                    <w:rPr>
                      <w:rFonts w:eastAsia="楷体_GB2312" w:cs="Calibri"/>
                      <w:b w:val="0"/>
                      <w:color w:val="002060"/>
                    </w:rPr>
                  </w:pPr>
                  <w:r>
                    <w:rPr>
                      <w:rFonts w:eastAsia="楷体_GB2312" w:cs="Calibri"/>
                      <w:b w:val="0"/>
                      <w:color w:val="002060"/>
                    </w:rPr>
                    <w:t>评级</w:t>
                  </w:r>
                </w:p>
              </w:tc>
              <w:tc>
                <w:tcPr>
                  <w:tcW w:w="2347" w:type="dxa"/>
                </w:tcPr>
                <w:p w14:paraId="338CACD9">
                  <w:pPr>
                    <w:pStyle w:val="47"/>
                    <w:framePr w:w="0" w:hRule="auto" w:hSpace="0" w:wrap="auto" w:vAnchor="margin" w:hAnchor="text" w:xAlign="left" w:yAlign="inline"/>
                    <w:ind w:right="85" w:firstLine="85"/>
                    <w:rPr>
                      <w:rFonts w:eastAsia="楷体_GB2312" w:cs="Calibri"/>
                      <w:color w:val="C8242B"/>
                    </w:rPr>
                  </w:pPr>
                </w:p>
              </w:tc>
            </w:tr>
            <w:tr w14:paraId="2CC660E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8F71396">
                  <w:pPr>
                    <w:pStyle w:val="48"/>
                    <w:framePr w:w="0" w:hRule="auto" w:hSpace="0" w:wrap="auto" w:vAnchor="margin" w:hAnchor="text" w:xAlign="left" w:yAlign="inline"/>
                    <w:ind w:right="85" w:firstLine="85"/>
                    <w:rPr>
                      <w:rFonts w:eastAsia="楷体_GB2312" w:cs="Calibri"/>
                      <w:b w:val="0"/>
                      <w:color w:val="002060"/>
                    </w:rPr>
                  </w:pPr>
                  <w:r>
                    <w:rPr>
                      <w:rFonts w:eastAsia="楷体_GB2312" w:cs="Calibri"/>
                      <w:b w:val="0"/>
                      <w:color w:val="002060"/>
                    </w:rPr>
                    <w:t>现价</w:t>
                  </w:r>
                </w:p>
              </w:tc>
              <w:tc>
                <w:tcPr>
                  <w:tcW w:w="2347" w:type="dxa"/>
                </w:tcPr>
                <w:p w14:paraId="2A67C6BD">
                  <w:pPr>
                    <w:pStyle w:val="47"/>
                    <w:framePr w:w="0" w:hRule="auto" w:hSpace="0" w:wrap="auto" w:vAnchor="margin" w:hAnchor="text" w:xAlign="left" w:yAlign="inline"/>
                    <w:ind w:right="85" w:firstLine="85"/>
                    <w:rPr>
                      <w:rFonts w:eastAsia="楷体_GB2312" w:cs="Calibri"/>
                      <w:color w:val="C8242B"/>
                    </w:rPr>
                  </w:pPr>
                </w:p>
              </w:tc>
            </w:tr>
            <w:tr w14:paraId="660C416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3561909">
                  <w:pPr>
                    <w:pStyle w:val="48"/>
                    <w:framePr w:w="0" w:hRule="auto" w:hSpace="0" w:wrap="auto" w:vAnchor="margin" w:hAnchor="text" w:xAlign="left" w:yAlign="inline"/>
                    <w:ind w:right="85" w:firstLine="85"/>
                    <w:rPr>
                      <w:rFonts w:eastAsia="楷体_GB2312" w:cs="Calibri"/>
                      <w:b w:val="0"/>
                      <w:color w:val="002060"/>
                    </w:rPr>
                  </w:pPr>
                  <w:r>
                    <w:rPr>
                      <w:rFonts w:eastAsia="楷体_GB2312" w:cs="Calibri"/>
                      <w:b w:val="0"/>
                      <w:color w:val="002060"/>
                    </w:rPr>
                    <w:t>目标价</w:t>
                  </w:r>
                </w:p>
              </w:tc>
              <w:tc>
                <w:tcPr>
                  <w:tcW w:w="2347" w:type="dxa"/>
                </w:tcPr>
                <w:p w14:paraId="5B32F85B">
                  <w:pPr>
                    <w:pStyle w:val="47"/>
                    <w:framePr w:w="0" w:hRule="auto" w:hSpace="0" w:wrap="auto" w:vAnchor="margin" w:hAnchor="text" w:xAlign="left" w:yAlign="inline"/>
                    <w:ind w:right="85" w:firstLine="85"/>
                    <w:rPr>
                      <w:rFonts w:eastAsia="楷体_GB2312" w:cs="Calibri"/>
                      <w:color w:val="C8242B"/>
                    </w:rPr>
                  </w:pPr>
                </w:p>
              </w:tc>
            </w:tr>
            <w:tr w14:paraId="04B17111">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39A5D53">
                  <w:pPr>
                    <w:pStyle w:val="48"/>
                    <w:framePr w:w="0" w:hRule="auto" w:hSpace="0" w:wrap="auto" w:vAnchor="margin" w:hAnchor="text" w:xAlign="left" w:yAlign="inline"/>
                    <w:ind w:right="85" w:firstLine="85"/>
                    <w:rPr>
                      <w:rFonts w:eastAsia="楷体_GB2312" w:cs="Calibri"/>
                      <w:b w:val="0"/>
                      <w:color w:val="002060"/>
                    </w:rPr>
                  </w:pPr>
                  <w:r>
                    <w:rPr>
                      <w:rFonts w:eastAsia="楷体_GB2312" w:cs="Calibri"/>
                      <w:b w:val="0"/>
                      <w:color w:val="002060"/>
                    </w:rPr>
                    <w:t>市值</w:t>
                  </w:r>
                </w:p>
              </w:tc>
              <w:tc>
                <w:tcPr>
                  <w:tcW w:w="2347" w:type="dxa"/>
                </w:tcPr>
                <w:p w14:paraId="69A0F13A">
                  <w:pPr>
                    <w:pStyle w:val="47"/>
                    <w:framePr w:w="0" w:hRule="auto" w:hSpace="0" w:wrap="auto" w:vAnchor="margin" w:hAnchor="text" w:xAlign="left" w:yAlign="inline"/>
                    <w:ind w:right="85" w:firstLine="85"/>
                    <w:rPr>
                      <w:rFonts w:eastAsia="楷体_GB2312" w:cs="Calibri"/>
                      <w:color w:val="C8242B"/>
                    </w:rPr>
                  </w:pPr>
                </w:p>
              </w:tc>
            </w:tr>
            <w:tr w14:paraId="53175B8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2453DA3C">
                  <w:pPr>
                    <w:pStyle w:val="48"/>
                    <w:framePr w:w="0" w:hRule="auto" w:hSpace="0" w:wrap="auto" w:vAnchor="margin" w:hAnchor="text" w:xAlign="left" w:yAlign="inline"/>
                    <w:ind w:right="85" w:firstLine="85"/>
                    <w:rPr>
                      <w:rFonts w:eastAsia="楷体_GB2312" w:cs="Calibri"/>
                      <w:b w:val="0"/>
                      <w:color w:val="002060"/>
                    </w:rPr>
                  </w:pPr>
                  <w:r>
                    <w:rPr>
                      <w:rFonts w:eastAsia="楷体_GB2312" w:cs="Calibri"/>
                      <w:b w:val="0"/>
                      <w:color w:val="002060"/>
                    </w:rPr>
                    <w:t>发行股票数目</w:t>
                  </w:r>
                </w:p>
              </w:tc>
              <w:tc>
                <w:tcPr>
                  <w:tcW w:w="2347" w:type="dxa"/>
                </w:tcPr>
                <w:p w14:paraId="1D306ADE">
                  <w:pPr>
                    <w:pStyle w:val="47"/>
                    <w:framePr w:w="0" w:hRule="auto" w:hSpace="0" w:wrap="auto" w:vAnchor="margin" w:hAnchor="text" w:xAlign="left" w:yAlign="inline"/>
                    <w:ind w:right="85" w:firstLine="85"/>
                    <w:rPr>
                      <w:rFonts w:eastAsia="楷体_GB2312" w:cs="Calibri"/>
                      <w:color w:val="C8242B"/>
                    </w:rPr>
                  </w:pPr>
                </w:p>
              </w:tc>
            </w:tr>
            <w:tr w14:paraId="2FB3D27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7728B6F">
                  <w:pPr>
                    <w:pStyle w:val="48"/>
                    <w:framePr w:w="0" w:hRule="auto" w:hSpace="0" w:wrap="auto" w:vAnchor="margin" w:hAnchor="text" w:xAlign="left" w:yAlign="inline"/>
                    <w:ind w:right="85" w:firstLine="85"/>
                    <w:rPr>
                      <w:rFonts w:eastAsia="楷体_GB2312" w:cs="Calibri"/>
                      <w:b w:val="0"/>
                      <w:color w:val="002060"/>
                    </w:rPr>
                  </w:pPr>
                  <w:r>
                    <w:rPr>
                      <w:rFonts w:eastAsia="楷体_GB2312" w:cs="Calibri"/>
                      <w:b w:val="0"/>
                      <w:color w:val="002060"/>
                    </w:rPr>
                    <w:t>1年股价最高最低值</w:t>
                  </w:r>
                </w:p>
              </w:tc>
              <w:tc>
                <w:tcPr>
                  <w:tcW w:w="2347" w:type="dxa"/>
                </w:tcPr>
                <w:p w14:paraId="459BE259">
                  <w:pPr>
                    <w:pStyle w:val="47"/>
                    <w:framePr w:w="0" w:hRule="auto" w:hSpace="0" w:wrap="auto" w:vAnchor="margin" w:hAnchor="text" w:xAlign="left" w:yAlign="inline"/>
                    <w:ind w:right="85" w:firstLine="85"/>
                    <w:rPr>
                      <w:rFonts w:eastAsia="楷体_GB2312" w:cs="Calibri"/>
                      <w:color w:val="C8242B"/>
                    </w:rPr>
                  </w:pPr>
                </w:p>
              </w:tc>
            </w:tr>
            <w:tr w14:paraId="6966A9C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0FBB9D19">
                  <w:pPr>
                    <w:pStyle w:val="49"/>
                    <w:framePr w:w="0" w:hRule="auto" w:hSpace="0" w:wrap="auto" w:vAnchor="margin" w:hAnchor="text" w:xAlign="left" w:yAlign="inline"/>
                    <w:ind w:left="85"/>
                    <w:rPr>
                      <w:rFonts w:eastAsia="楷体_GB2312" w:cs="Calibri"/>
                      <w:i/>
                      <w:iCs/>
                    </w:rPr>
                  </w:pPr>
                  <w:r>
                    <w:rPr>
                      <w:rFonts w:hint="eastAsia" w:eastAsia="楷体_GB2312" w:cs="Calibri"/>
                      <w:i/>
                      <w:iCs/>
                    </w:rPr>
                    <w:t>注：现价xx为yyyy年M月d日收盘价</w:t>
                  </w:r>
                </w:p>
              </w:tc>
            </w:tr>
            <w:tr w14:paraId="3304DE1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684D13D7">
                  <w:pPr>
                    <w:pStyle w:val="49"/>
                    <w:framePr w:w="0" w:hRule="auto" w:hSpace="0" w:wrap="auto" w:vAnchor="margin" w:hAnchor="text" w:xAlign="left" w:yAlign="inline"/>
                    <w:ind w:left="85"/>
                    <w:rPr>
                      <w:rFonts w:eastAsia="楷体_GB2312" w:cs="Calibri"/>
                    </w:rPr>
                  </w:pPr>
                </w:p>
              </w:tc>
            </w:tr>
            <w:tr w14:paraId="2BB3612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0F1488AD">
                  <w:pPr>
                    <w:jc w:val="center"/>
                    <w:rPr>
                      <w:rFonts w:eastAsia="楷体_GB2312" w:cs="Calibri"/>
                    </w:rPr>
                  </w:pPr>
                  <w:r>
                    <w:rPr>
                      <w:rFonts w:eastAsia="楷体_GB2312" w:cs="等线"/>
                    </w:rPr>
                    <w:drawing>
                      <wp:inline distT="0" distB="0" distL="0" distR="0">
                        <wp:extent cx="2286000" cy="1016000"/>
                        <wp:effectExtent l="0" t="0" r="0" b="508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20"/>
                                <a:stretch>
                                  <a:fillRect/>
                                </a:stretch>
                              </pic:blipFill>
                              <pic:spPr>
                                <a:xfrm>
                                  <a:off x="0" y="0"/>
                                  <a:ext cx="2286000" cy="1016000"/>
                                </a:xfrm>
                                <a:prstGeom prst="rect">
                                  <a:avLst/>
                                </a:prstGeom>
                              </pic:spPr>
                            </pic:pic>
                          </a:graphicData>
                        </a:graphic>
                      </wp:inline>
                    </w:drawing>
                  </w:r>
                </w:p>
              </w:tc>
            </w:tr>
            <w:tr w14:paraId="5568A949">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17374072">
                  <w:pPr>
                    <w:jc w:val="center"/>
                    <w:rPr>
                      <w:rFonts w:eastAsia="楷体_GB2312" w:cs="Calibri"/>
                    </w:rPr>
                  </w:pPr>
                  <w:r>
                    <w:rPr>
                      <w:rFonts w:eastAsia="楷体_GB2312" w:cs="等线"/>
                    </w:rPr>
                    <w:drawing>
                      <wp:inline distT="0" distB="0" distL="0" distR="0">
                        <wp:extent cx="2286000" cy="624840"/>
                        <wp:effectExtent l="0" t="0" r="0" b="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21"/>
                                <a:stretch>
                                  <a:fillRect/>
                                </a:stretch>
                              </pic:blipFill>
                              <pic:spPr>
                                <a:xfrm>
                                  <a:off x="0" y="0"/>
                                  <a:ext cx="2286000" cy="624840"/>
                                </a:xfrm>
                                <a:prstGeom prst="rect">
                                  <a:avLst/>
                                </a:prstGeom>
                              </pic:spPr>
                            </pic:pic>
                          </a:graphicData>
                        </a:graphic>
                      </wp:inline>
                    </w:drawing>
                  </w:r>
                </w:p>
              </w:tc>
            </w:tr>
            <w:tr w14:paraId="3855A3C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243DCE15">
                  <w:pPr>
                    <w:pStyle w:val="50"/>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14:paraId="01F009E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54CAE1EB">
                  <w:pPr>
                    <w:pStyle w:val="49"/>
                    <w:framePr w:w="0" w:hRule="auto" w:hSpace="0" w:wrap="auto" w:vAnchor="margin" w:hAnchor="text" w:xAlign="left" w:yAlign="inline"/>
                    <w:ind w:right="85" w:firstLine="85"/>
                    <w:rPr>
                      <w:rFonts w:eastAsia="楷体_GB2312" w:cs="Calibri"/>
                    </w:rPr>
                  </w:pPr>
                </w:p>
              </w:tc>
            </w:tr>
            <w:tr w14:paraId="76D2358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20"/>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0390A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29F49836">
                        <w:pPr>
                          <w:ind w:right="85"/>
                          <w:rPr>
                            <w:rFonts w:eastAsia="楷体_GB2312" w:cs="Calibri"/>
                            <w:color w:val="002060"/>
                          </w:rPr>
                        </w:pPr>
                        <w:r>
                          <w:rPr>
                            <w:rFonts w:eastAsia="楷体_GB2312" w:cs="Calibri"/>
                            <w:color w:val="002060"/>
                          </w:rPr>
                          <w:t>[Table_Profit]</w:t>
                        </w:r>
                      </w:p>
                    </w:tc>
                    <w:tc>
                      <w:tcPr>
                        <w:tcW w:w="795" w:type="dxa"/>
                        <w:vAlign w:val="center"/>
                      </w:tcPr>
                      <w:p w14:paraId="68E6063C">
                        <w:pPr>
                          <w:ind w:right="85"/>
                          <w:jc w:val="right"/>
                          <w:rPr>
                            <w:rFonts w:eastAsia="楷体_GB2312" w:cs="Calibri"/>
                            <w:b/>
                            <w:bCs/>
                            <w:color w:val="000000"/>
                            <w:sz w:val="14"/>
                            <w:szCs w:val="14"/>
                          </w:rPr>
                        </w:pPr>
                      </w:p>
                    </w:tc>
                    <w:tc>
                      <w:tcPr>
                        <w:tcW w:w="879" w:type="dxa"/>
                        <w:gridSpan w:val="2"/>
                        <w:vAlign w:val="center"/>
                      </w:tcPr>
                      <w:p w14:paraId="75A2064B">
                        <w:pPr>
                          <w:ind w:right="85"/>
                          <w:jc w:val="right"/>
                          <w:rPr>
                            <w:rFonts w:eastAsia="楷体_GB2312" w:cs="Calibri"/>
                            <w:b/>
                            <w:bCs/>
                            <w:color w:val="000000"/>
                            <w:sz w:val="14"/>
                            <w:szCs w:val="14"/>
                          </w:rPr>
                        </w:pPr>
                      </w:p>
                    </w:tc>
                    <w:tc>
                      <w:tcPr>
                        <w:tcW w:w="870" w:type="dxa"/>
                        <w:gridSpan w:val="2"/>
                        <w:vAlign w:val="center"/>
                      </w:tcPr>
                      <w:p w14:paraId="732E2A4D">
                        <w:pPr>
                          <w:ind w:right="85"/>
                          <w:jc w:val="right"/>
                          <w:rPr>
                            <w:rFonts w:eastAsia="楷体_GB2312" w:cs="Calibri"/>
                            <w:b/>
                            <w:bCs/>
                            <w:color w:val="000000"/>
                            <w:sz w:val="14"/>
                            <w:szCs w:val="14"/>
                          </w:rPr>
                        </w:pPr>
                      </w:p>
                    </w:tc>
                    <w:tc>
                      <w:tcPr>
                        <w:tcW w:w="869" w:type="dxa"/>
                        <w:gridSpan w:val="2"/>
                        <w:vAlign w:val="center"/>
                      </w:tcPr>
                      <w:p w14:paraId="756AE97B">
                        <w:pPr>
                          <w:ind w:right="85"/>
                          <w:jc w:val="right"/>
                          <w:rPr>
                            <w:rFonts w:eastAsia="楷体_GB2312" w:cs="Calibri"/>
                            <w:b/>
                            <w:bCs/>
                            <w:color w:val="000000"/>
                            <w:sz w:val="14"/>
                            <w:szCs w:val="14"/>
                          </w:rPr>
                        </w:pPr>
                      </w:p>
                    </w:tc>
                  </w:tr>
                  <w:tr w14:paraId="6C00D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351C3691">
                        <w:pPr>
                          <w:pStyle w:val="48"/>
                          <w:framePr w:w="0" w:hRule="auto" w:hSpace="0" w:wrap="auto" w:vAnchor="margin" w:hAnchor="text" w:xAlign="left" w:yAlign="inline"/>
                          <w:ind w:right="85"/>
                          <w:rPr>
                            <w:rFonts w:eastAsia="楷体_GB2312" w:cs="Calibri"/>
                            <w:b w:val="0"/>
                            <w:color w:val="002060"/>
                            <w:sz w:val="14"/>
                          </w:rPr>
                        </w:pPr>
                      </w:p>
                    </w:tc>
                    <w:tc>
                      <w:tcPr>
                        <w:tcW w:w="853" w:type="dxa"/>
                        <w:gridSpan w:val="2"/>
                        <w:vAlign w:val="center"/>
                      </w:tcPr>
                      <w:p w14:paraId="340115B5">
                        <w:pPr>
                          <w:jc w:val="right"/>
                          <w:rPr>
                            <w:rFonts w:eastAsia="楷体_GB2312" w:cs="Calibri"/>
                            <w:color w:val="23558C"/>
                            <w:sz w:val="14"/>
                            <w:szCs w:val="14"/>
                            <w:lang w:eastAsia="zh-CN"/>
                          </w:rPr>
                        </w:pPr>
                      </w:p>
                    </w:tc>
                    <w:tc>
                      <w:tcPr>
                        <w:tcW w:w="853" w:type="dxa"/>
                        <w:gridSpan w:val="2"/>
                        <w:vAlign w:val="center"/>
                      </w:tcPr>
                      <w:p w14:paraId="5A664865">
                        <w:pPr>
                          <w:jc w:val="right"/>
                          <w:rPr>
                            <w:rFonts w:eastAsia="楷体_GB2312" w:cs="Calibri"/>
                            <w:color w:val="23558C"/>
                            <w:sz w:val="14"/>
                            <w:szCs w:val="14"/>
                            <w:lang w:eastAsia="zh-CN"/>
                          </w:rPr>
                        </w:pPr>
                      </w:p>
                    </w:tc>
                    <w:tc>
                      <w:tcPr>
                        <w:tcW w:w="853" w:type="dxa"/>
                        <w:gridSpan w:val="2"/>
                        <w:vAlign w:val="center"/>
                      </w:tcPr>
                      <w:p w14:paraId="694C8F7E">
                        <w:pPr>
                          <w:jc w:val="right"/>
                          <w:rPr>
                            <w:rFonts w:eastAsia="楷体_GB2312" w:cs="Calibri"/>
                            <w:color w:val="23558C"/>
                            <w:sz w:val="14"/>
                            <w:szCs w:val="14"/>
                            <w:lang w:eastAsia="zh-CN"/>
                          </w:rPr>
                        </w:pPr>
                      </w:p>
                    </w:tc>
                    <w:tc>
                      <w:tcPr>
                        <w:tcW w:w="854" w:type="dxa"/>
                        <w:vAlign w:val="center"/>
                      </w:tcPr>
                      <w:p w14:paraId="623B3A44">
                        <w:pPr>
                          <w:jc w:val="right"/>
                          <w:rPr>
                            <w:rFonts w:eastAsia="楷体_GB2312" w:cs="Calibri"/>
                            <w:color w:val="23558C"/>
                            <w:sz w:val="14"/>
                            <w:szCs w:val="14"/>
                            <w:lang w:eastAsia="zh-CN"/>
                          </w:rPr>
                        </w:pPr>
                      </w:p>
                    </w:tc>
                  </w:tr>
                  <w:tr w14:paraId="2DE47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A442B9A">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营业收入</w:t>
                        </w:r>
                      </w:p>
                    </w:tc>
                    <w:tc>
                      <w:tcPr>
                        <w:tcW w:w="853" w:type="dxa"/>
                        <w:gridSpan w:val="2"/>
                        <w:vAlign w:val="center"/>
                      </w:tcPr>
                      <w:p w14:paraId="335C011E">
                        <w:pPr>
                          <w:pStyle w:val="48"/>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1A58D3DC">
                        <w:pPr>
                          <w:jc w:val="right"/>
                          <w:rPr>
                            <w:rFonts w:eastAsia="楷体_GB2312" w:cs="Calibri"/>
                            <w:sz w:val="14"/>
                            <w:szCs w:val="14"/>
                          </w:rPr>
                        </w:pPr>
                      </w:p>
                    </w:tc>
                    <w:tc>
                      <w:tcPr>
                        <w:tcW w:w="853" w:type="dxa"/>
                        <w:gridSpan w:val="2"/>
                        <w:vAlign w:val="center"/>
                      </w:tcPr>
                      <w:p w14:paraId="4365D217">
                        <w:pPr>
                          <w:jc w:val="right"/>
                          <w:rPr>
                            <w:rFonts w:eastAsia="楷体_GB2312" w:cs="Calibri"/>
                            <w:sz w:val="14"/>
                            <w:szCs w:val="14"/>
                          </w:rPr>
                        </w:pPr>
                      </w:p>
                    </w:tc>
                    <w:tc>
                      <w:tcPr>
                        <w:tcW w:w="854" w:type="dxa"/>
                        <w:vAlign w:val="center"/>
                      </w:tcPr>
                      <w:p w14:paraId="67550F24">
                        <w:pPr>
                          <w:jc w:val="right"/>
                          <w:rPr>
                            <w:rFonts w:eastAsia="楷体_GB2312" w:cs="Calibri"/>
                            <w:sz w:val="14"/>
                            <w:szCs w:val="14"/>
                          </w:rPr>
                        </w:pPr>
                      </w:p>
                    </w:tc>
                  </w:tr>
                  <w:tr w14:paraId="0ECD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B326029">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w:t>
                        </w:r>
                      </w:p>
                    </w:tc>
                    <w:tc>
                      <w:tcPr>
                        <w:tcW w:w="853" w:type="dxa"/>
                        <w:gridSpan w:val="2"/>
                        <w:vAlign w:val="center"/>
                      </w:tcPr>
                      <w:p w14:paraId="004C8F57">
                        <w:pPr>
                          <w:pStyle w:val="48"/>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5A17C4E7">
                        <w:pPr>
                          <w:jc w:val="right"/>
                          <w:rPr>
                            <w:rFonts w:eastAsia="楷体_GB2312" w:cs="Calibri"/>
                            <w:sz w:val="14"/>
                            <w:szCs w:val="14"/>
                          </w:rPr>
                        </w:pPr>
                      </w:p>
                    </w:tc>
                    <w:tc>
                      <w:tcPr>
                        <w:tcW w:w="853" w:type="dxa"/>
                        <w:gridSpan w:val="2"/>
                        <w:vAlign w:val="center"/>
                      </w:tcPr>
                      <w:p w14:paraId="2BB7B5B0">
                        <w:pPr>
                          <w:jc w:val="right"/>
                          <w:rPr>
                            <w:rFonts w:eastAsia="楷体_GB2312" w:cs="Calibri"/>
                            <w:sz w:val="14"/>
                            <w:szCs w:val="14"/>
                          </w:rPr>
                        </w:pPr>
                      </w:p>
                    </w:tc>
                    <w:tc>
                      <w:tcPr>
                        <w:tcW w:w="854" w:type="dxa"/>
                        <w:vAlign w:val="center"/>
                      </w:tcPr>
                      <w:p w14:paraId="2885D26F">
                        <w:pPr>
                          <w:jc w:val="right"/>
                          <w:rPr>
                            <w:rFonts w:eastAsia="楷体_GB2312" w:cs="Calibri"/>
                            <w:sz w:val="14"/>
                            <w:szCs w:val="14"/>
                          </w:rPr>
                        </w:pPr>
                      </w:p>
                    </w:tc>
                  </w:tr>
                  <w:tr w14:paraId="1D196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22281DE">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净利润</w:t>
                        </w:r>
                      </w:p>
                    </w:tc>
                    <w:tc>
                      <w:tcPr>
                        <w:tcW w:w="853" w:type="dxa"/>
                        <w:gridSpan w:val="2"/>
                        <w:vAlign w:val="center"/>
                      </w:tcPr>
                      <w:p w14:paraId="46EBCEE9">
                        <w:pPr>
                          <w:pStyle w:val="48"/>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03C681F6">
                        <w:pPr>
                          <w:jc w:val="right"/>
                          <w:rPr>
                            <w:rFonts w:eastAsia="楷体_GB2312" w:cs="Calibri"/>
                            <w:sz w:val="14"/>
                            <w:szCs w:val="14"/>
                          </w:rPr>
                        </w:pPr>
                      </w:p>
                    </w:tc>
                    <w:tc>
                      <w:tcPr>
                        <w:tcW w:w="853" w:type="dxa"/>
                        <w:gridSpan w:val="2"/>
                        <w:vAlign w:val="center"/>
                      </w:tcPr>
                      <w:p w14:paraId="448F8984">
                        <w:pPr>
                          <w:jc w:val="right"/>
                          <w:rPr>
                            <w:rFonts w:eastAsia="楷体_GB2312" w:cs="Calibri"/>
                            <w:sz w:val="14"/>
                            <w:szCs w:val="14"/>
                          </w:rPr>
                        </w:pPr>
                      </w:p>
                    </w:tc>
                    <w:tc>
                      <w:tcPr>
                        <w:tcW w:w="854" w:type="dxa"/>
                        <w:vAlign w:val="center"/>
                      </w:tcPr>
                      <w:p w14:paraId="326AF152">
                        <w:pPr>
                          <w:jc w:val="right"/>
                          <w:rPr>
                            <w:rFonts w:eastAsia="楷体_GB2312" w:cs="Calibri"/>
                            <w:sz w:val="14"/>
                            <w:szCs w:val="14"/>
                          </w:rPr>
                        </w:pPr>
                      </w:p>
                    </w:tc>
                  </w:tr>
                  <w:tr w14:paraId="34263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2BDC20DA">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w:t>
                        </w:r>
                      </w:p>
                    </w:tc>
                    <w:tc>
                      <w:tcPr>
                        <w:tcW w:w="853" w:type="dxa"/>
                        <w:gridSpan w:val="2"/>
                        <w:vAlign w:val="center"/>
                      </w:tcPr>
                      <w:p w14:paraId="4FADD7CC">
                        <w:pPr>
                          <w:pStyle w:val="48"/>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3102AF71">
                        <w:pPr>
                          <w:jc w:val="right"/>
                          <w:rPr>
                            <w:rFonts w:eastAsia="楷体_GB2312" w:cs="Calibri"/>
                            <w:sz w:val="14"/>
                            <w:szCs w:val="14"/>
                          </w:rPr>
                        </w:pPr>
                      </w:p>
                    </w:tc>
                    <w:tc>
                      <w:tcPr>
                        <w:tcW w:w="853" w:type="dxa"/>
                        <w:gridSpan w:val="2"/>
                        <w:vAlign w:val="center"/>
                      </w:tcPr>
                      <w:p w14:paraId="2C1C4B25">
                        <w:pPr>
                          <w:jc w:val="right"/>
                          <w:rPr>
                            <w:rFonts w:eastAsia="楷体_GB2312" w:cs="Calibri"/>
                            <w:sz w:val="14"/>
                            <w:szCs w:val="14"/>
                          </w:rPr>
                        </w:pPr>
                      </w:p>
                    </w:tc>
                    <w:tc>
                      <w:tcPr>
                        <w:tcW w:w="854" w:type="dxa"/>
                        <w:vAlign w:val="center"/>
                      </w:tcPr>
                      <w:p w14:paraId="038BBC26">
                        <w:pPr>
                          <w:jc w:val="right"/>
                          <w:rPr>
                            <w:rFonts w:eastAsia="楷体_GB2312" w:cs="Calibri"/>
                            <w:sz w:val="14"/>
                            <w:szCs w:val="14"/>
                          </w:rPr>
                        </w:pPr>
                      </w:p>
                    </w:tc>
                  </w:tr>
                  <w:tr w14:paraId="047E1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54298F56">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全面摊薄EPS</w:t>
                        </w:r>
                      </w:p>
                    </w:tc>
                    <w:tc>
                      <w:tcPr>
                        <w:tcW w:w="853" w:type="dxa"/>
                        <w:gridSpan w:val="2"/>
                        <w:vAlign w:val="center"/>
                      </w:tcPr>
                      <w:p w14:paraId="765E3001">
                        <w:pPr>
                          <w:pStyle w:val="48"/>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4DB15951">
                        <w:pPr>
                          <w:jc w:val="right"/>
                          <w:rPr>
                            <w:rFonts w:eastAsia="楷体_GB2312" w:cs="Calibri"/>
                            <w:sz w:val="14"/>
                            <w:szCs w:val="14"/>
                          </w:rPr>
                        </w:pPr>
                      </w:p>
                    </w:tc>
                    <w:tc>
                      <w:tcPr>
                        <w:tcW w:w="853" w:type="dxa"/>
                        <w:gridSpan w:val="2"/>
                        <w:vAlign w:val="center"/>
                      </w:tcPr>
                      <w:p w14:paraId="5530A627">
                        <w:pPr>
                          <w:jc w:val="right"/>
                          <w:rPr>
                            <w:rFonts w:eastAsia="楷体_GB2312" w:cs="Calibri"/>
                            <w:sz w:val="14"/>
                            <w:szCs w:val="14"/>
                          </w:rPr>
                        </w:pPr>
                      </w:p>
                    </w:tc>
                    <w:tc>
                      <w:tcPr>
                        <w:tcW w:w="854" w:type="dxa"/>
                        <w:vAlign w:val="center"/>
                      </w:tcPr>
                      <w:p w14:paraId="462804A1">
                        <w:pPr>
                          <w:jc w:val="right"/>
                          <w:rPr>
                            <w:rFonts w:eastAsia="楷体_GB2312" w:cs="Calibri"/>
                            <w:sz w:val="14"/>
                            <w:szCs w:val="14"/>
                          </w:rPr>
                        </w:pPr>
                      </w:p>
                    </w:tc>
                  </w:tr>
                  <w:tr w14:paraId="60A8B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60ADE2A">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毛利率</w:t>
                        </w:r>
                      </w:p>
                    </w:tc>
                    <w:tc>
                      <w:tcPr>
                        <w:tcW w:w="853" w:type="dxa"/>
                        <w:gridSpan w:val="2"/>
                        <w:vAlign w:val="center"/>
                      </w:tcPr>
                      <w:p w14:paraId="2E86AD8C">
                        <w:pPr>
                          <w:pStyle w:val="48"/>
                          <w:framePr w:w="0" w:hRule="auto" w:hSpace="0" w:wrap="auto" w:vAnchor="margin" w:hAnchor="text" w:xAlign="left" w:yAlign="inline"/>
                          <w:jc w:val="right"/>
                          <w:rPr>
                            <w:rFonts w:eastAsia="楷体_GB2312" w:cs="Calibri"/>
                            <w:b w:val="0"/>
                            <w:color w:val="auto"/>
                            <w:sz w:val="14"/>
                          </w:rPr>
                        </w:pPr>
                      </w:p>
                    </w:tc>
                    <w:tc>
                      <w:tcPr>
                        <w:tcW w:w="853" w:type="dxa"/>
                        <w:gridSpan w:val="2"/>
                        <w:vAlign w:val="center"/>
                      </w:tcPr>
                      <w:p w14:paraId="00FDECB0">
                        <w:pPr>
                          <w:jc w:val="right"/>
                          <w:rPr>
                            <w:rFonts w:eastAsia="楷体_GB2312" w:cs="Calibri"/>
                            <w:sz w:val="14"/>
                            <w:szCs w:val="14"/>
                          </w:rPr>
                        </w:pPr>
                      </w:p>
                    </w:tc>
                    <w:tc>
                      <w:tcPr>
                        <w:tcW w:w="853" w:type="dxa"/>
                        <w:gridSpan w:val="2"/>
                        <w:vAlign w:val="center"/>
                      </w:tcPr>
                      <w:p w14:paraId="2FE79B97">
                        <w:pPr>
                          <w:jc w:val="right"/>
                          <w:rPr>
                            <w:rFonts w:eastAsia="楷体_GB2312" w:cs="Calibri"/>
                            <w:sz w:val="14"/>
                            <w:szCs w:val="14"/>
                          </w:rPr>
                        </w:pPr>
                      </w:p>
                    </w:tc>
                    <w:tc>
                      <w:tcPr>
                        <w:tcW w:w="854" w:type="dxa"/>
                        <w:vAlign w:val="center"/>
                      </w:tcPr>
                      <w:p w14:paraId="5EE075A6">
                        <w:pPr>
                          <w:jc w:val="right"/>
                          <w:rPr>
                            <w:rFonts w:eastAsia="楷体_GB2312" w:cs="Calibri"/>
                            <w:sz w:val="14"/>
                            <w:szCs w:val="14"/>
                          </w:rPr>
                        </w:pPr>
                      </w:p>
                    </w:tc>
                  </w:tr>
                  <w:tr w14:paraId="22BC6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A22708D">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净资产收益率</w:t>
                        </w:r>
                      </w:p>
                    </w:tc>
                    <w:tc>
                      <w:tcPr>
                        <w:tcW w:w="853" w:type="dxa"/>
                        <w:gridSpan w:val="2"/>
                        <w:vAlign w:val="center"/>
                      </w:tcPr>
                      <w:p w14:paraId="35E829C3">
                        <w:pPr>
                          <w:jc w:val="right"/>
                          <w:rPr>
                            <w:rFonts w:eastAsia="楷体_GB2312" w:cs="Calibri"/>
                            <w:sz w:val="14"/>
                            <w:szCs w:val="14"/>
                          </w:rPr>
                        </w:pPr>
                      </w:p>
                    </w:tc>
                    <w:tc>
                      <w:tcPr>
                        <w:tcW w:w="853" w:type="dxa"/>
                        <w:gridSpan w:val="2"/>
                        <w:vAlign w:val="center"/>
                      </w:tcPr>
                      <w:p w14:paraId="460378C5">
                        <w:pPr>
                          <w:jc w:val="right"/>
                          <w:rPr>
                            <w:rFonts w:eastAsia="楷体_GB2312" w:cs="Calibri"/>
                            <w:sz w:val="14"/>
                            <w:szCs w:val="14"/>
                          </w:rPr>
                        </w:pPr>
                      </w:p>
                    </w:tc>
                    <w:tc>
                      <w:tcPr>
                        <w:tcW w:w="853" w:type="dxa"/>
                        <w:gridSpan w:val="2"/>
                        <w:vAlign w:val="center"/>
                      </w:tcPr>
                      <w:p w14:paraId="7B4EAD6B">
                        <w:pPr>
                          <w:jc w:val="right"/>
                          <w:rPr>
                            <w:rFonts w:eastAsia="楷体_GB2312" w:cs="Calibri"/>
                            <w:sz w:val="14"/>
                            <w:szCs w:val="14"/>
                          </w:rPr>
                        </w:pPr>
                      </w:p>
                    </w:tc>
                    <w:tc>
                      <w:tcPr>
                        <w:tcW w:w="854" w:type="dxa"/>
                        <w:vAlign w:val="center"/>
                      </w:tcPr>
                      <w:p w14:paraId="40249F23">
                        <w:pPr>
                          <w:jc w:val="right"/>
                          <w:rPr>
                            <w:rFonts w:eastAsia="楷体_GB2312" w:cs="Calibri"/>
                            <w:sz w:val="14"/>
                            <w:szCs w:val="14"/>
                          </w:rPr>
                        </w:pPr>
                      </w:p>
                    </w:tc>
                  </w:tr>
                  <w:tr w14:paraId="60C6B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046A40C">
                        <w:pPr>
                          <w:pStyle w:val="48"/>
                          <w:framePr w:w="0" w:hRule="auto" w:hSpace="0" w:wrap="auto" w:vAnchor="margin" w:hAnchor="text" w:xAlign="left" w:yAlign="inline"/>
                          <w:rPr>
                            <w:rFonts w:eastAsia="楷体_GB2312" w:cs="Calibri"/>
                            <w:b w:val="0"/>
                            <w:color w:val="002060"/>
                            <w:sz w:val="14"/>
                          </w:rPr>
                        </w:pPr>
                        <w:r>
                          <w:rPr>
                            <w:rFonts w:eastAsia="楷体_GB2312" w:cs="Calibri"/>
                            <w:b w:val="0"/>
                            <w:color w:val="002060"/>
                            <w:sz w:val="14"/>
                          </w:rPr>
                          <w:t>市盈率</w:t>
                        </w:r>
                      </w:p>
                    </w:tc>
                    <w:tc>
                      <w:tcPr>
                        <w:tcW w:w="853" w:type="dxa"/>
                        <w:gridSpan w:val="2"/>
                        <w:vAlign w:val="center"/>
                      </w:tcPr>
                      <w:p w14:paraId="388676E8">
                        <w:pPr>
                          <w:jc w:val="right"/>
                          <w:rPr>
                            <w:rFonts w:eastAsia="楷体_GB2312" w:cs="Calibri"/>
                            <w:sz w:val="14"/>
                            <w:szCs w:val="14"/>
                          </w:rPr>
                        </w:pPr>
                      </w:p>
                    </w:tc>
                    <w:tc>
                      <w:tcPr>
                        <w:tcW w:w="853" w:type="dxa"/>
                        <w:gridSpan w:val="2"/>
                        <w:vAlign w:val="center"/>
                      </w:tcPr>
                      <w:p w14:paraId="04AD7ECA">
                        <w:pPr>
                          <w:jc w:val="right"/>
                          <w:rPr>
                            <w:rFonts w:eastAsia="楷体_GB2312" w:cs="Calibri"/>
                            <w:sz w:val="14"/>
                            <w:szCs w:val="14"/>
                          </w:rPr>
                        </w:pPr>
                      </w:p>
                    </w:tc>
                    <w:tc>
                      <w:tcPr>
                        <w:tcW w:w="853" w:type="dxa"/>
                        <w:gridSpan w:val="2"/>
                        <w:vAlign w:val="center"/>
                      </w:tcPr>
                      <w:p w14:paraId="0D20346B">
                        <w:pPr>
                          <w:jc w:val="right"/>
                          <w:rPr>
                            <w:rFonts w:eastAsia="楷体_GB2312" w:cs="Calibri"/>
                            <w:sz w:val="14"/>
                            <w:szCs w:val="14"/>
                          </w:rPr>
                        </w:pPr>
                      </w:p>
                    </w:tc>
                    <w:tc>
                      <w:tcPr>
                        <w:tcW w:w="854" w:type="dxa"/>
                        <w:vAlign w:val="center"/>
                      </w:tcPr>
                      <w:p w14:paraId="063E3F3A">
                        <w:pPr>
                          <w:jc w:val="right"/>
                          <w:rPr>
                            <w:rFonts w:eastAsia="楷体_GB2312" w:cs="Calibri"/>
                            <w:sz w:val="14"/>
                            <w:szCs w:val="14"/>
                          </w:rPr>
                        </w:pPr>
                      </w:p>
                    </w:tc>
                  </w:tr>
                </w:tbl>
                <w:p w14:paraId="25F6E990">
                  <w:pPr>
                    <w:ind w:right="85" w:firstLine="85"/>
                    <w:rPr>
                      <w:rFonts w:eastAsia="楷体_GB2312" w:cs="Calibri"/>
                    </w:rPr>
                  </w:pPr>
                </w:p>
              </w:tc>
            </w:tr>
            <w:tr w14:paraId="4A88782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765EE1A3">
                  <w:pPr>
                    <w:ind w:right="85" w:firstLine="85"/>
                    <w:rPr>
                      <w:rFonts w:eastAsia="楷体_GB2312" w:cs="Calibri"/>
                      <w:i/>
                      <w:iCs/>
                      <w:color w:val="000000"/>
                      <w:sz w:val="12"/>
                      <w:lang w:eastAsia="zh-CN"/>
                    </w:rPr>
                  </w:pPr>
                  <w:r>
                    <w:rPr>
                      <w:rFonts w:eastAsia="楷体_GB2312" w:cs="Calibri"/>
                      <w:i/>
                      <w:iCs/>
                      <w:color w:val="000000"/>
                      <w:sz w:val="12"/>
                      <w:lang w:eastAsia="zh-CN"/>
                    </w:rPr>
                    <w:t>资料来源：公司信息</w:t>
                  </w:r>
                  <w:r>
                    <w:rPr>
                      <w:rFonts w:eastAsia="楷体_GB2312" w:cs="Calibri"/>
                      <w:i/>
                      <w:iCs/>
                      <w:color w:val="000000"/>
                      <w:sz w:val="12"/>
                    </w:rPr>
                    <w:t xml:space="preserve">, </w:t>
                  </w:r>
                  <w:r>
                    <w:rPr>
                      <w:rFonts w:hint="eastAsia" w:eastAsia="楷体_GB2312" w:cs="Calibri"/>
                      <w:i/>
                      <w:iCs/>
                      <w:color w:val="000000"/>
                      <w:sz w:val="12"/>
                      <w:lang w:eastAsia="zh-CN"/>
                    </w:rPr>
                    <w:t>xxx</w:t>
                  </w:r>
                </w:p>
              </w:tc>
            </w:tr>
          </w:tbl>
          <w:p w14:paraId="6008FB70">
            <w:pPr>
              <w:pStyle w:val="61"/>
              <w:spacing w:line="360" w:lineRule="exact"/>
              <w:rPr>
                <w:rFonts w:cs="Calibri"/>
                <w:lang w:eastAsia="zh-CN"/>
              </w:rPr>
            </w:pPr>
          </w:p>
        </w:tc>
        <w:tc>
          <w:tcPr>
            <w:tcW w:w="6480" w:type="dxa"/>
            <w:gridSpan w:val="4"/>
          </w:tcPr>
          <w:p w14:paraId="3A556B7B">
            <w:pPr>
              <w:pStyle w:val="55"/>
              <w:jc w:val="both"/>
              <w:rPr>
                <w:rFonts w:eastAsia="楷体_GB2312" w:cs="Calibri"/>
                <w:lang w:eastAsia="zh-CN"/>
              </w:rPr>
            </w:pPr>
            <w:r>
              <w:rPr>
                <w:rFonts w:eastAsia="楷体_GB2312" w:cs="Calibri"/>
                <w:b/>
                <w:bCs/>
                <w:color w:val="002060"/>
                <w:kern w:val="28"/>
              </w:rPr>
              <w:t>Cirrus Aircraft is a pioneer and global leader in the private aviation industry</w:t>
            </w:r>
            <w:r>
              <w:rPr>
                <w:rFonts w:hint="eastAsia" w:eastAsia="楷体_GB2312" w:cs="Calibri"/>
                <w:b/>
                <w:bCs/>
                <w:color w:val="002060"/>
                <w:kern w:val="28"/>
              </w:rPr>
              <w:t>.</w:t>
            </w:r>
            <w:r>
              <w:rPr>
                <w:rFonts w:hint="eastAsia" w:eastAsia="楷体_GB2312" w:cs="Calibri"/>
                <w:b/>
                <w:bCs/>
                <w:color w:val="A7242B"/>
                <w:kern w:val="28"/>
                <w:lang w:eastAsia="zh-CN"/>
              </w:rPr>
              <w:t xml:space="preserve"> </w:t>
            </w:r>
            <w:r>
              <w:rPr>
                <w:rFonts w:eastAsia="楷体_GB2312" w:cs="Calibri"/>
                <w:lang w:eastAsia="zh-CN"/>
              </w:rPr>
              <w:t xml:space="preserve">Since its inception in 1984, Cirrus Aircraft has revolutionized personal aviation, delivering over 10,000 SR2X series aircraft and over 600 Vision Jets globally. The company holds a commanding lead in the </w:t>
            </w:r>
            <w:r>
              <w:rPr>
                <w:rFonts w:hint="eastAsia" w:eastAsia="楷体_GB2312" w:cs="Calibri"/>
                <w:lang w:eastAsia="zh-CN"/>
              </w:rPr>
              <w:t>private</w:t>
            </w:r>
            <w:r>
              <w:rPr>
                <w:rFonts w:eastAsia="楷体_GB2312" w:cs="Calibri"/>
                <w:lang w:eastAsia="zh-CN"/>
              </w:rPr>
              <w:t xml:space="preserve"> aviation sector, with </w:t>
            </w:r>
            <w:r>
              <w:rPr>
                <w:rFonts w:hint="eastAsia" w:eastAsia="楷体_GB2312" w:cs="Calibri"/>
                <w:lang w:eastAsia="zh-CN"/>
              </w:rPr>
              <w:t xml:space="preserve">23.2% </w:t>
            </w:r>
            <w:r>
              <w:rPr>
                <w:rFonts w:eastAsia="楷体_GB2312" w:cs="Calibri"/>
                <w:lang w:eastAsia="zh-CN"/>
              </w:rPr>
              <w:t>market share</w:t>
            </w:r>
            <w:r>
              <w:rPr>
                <w:rFonts w:hint="eastAsia" w:eastAsia="楷体_GB2312" w:cs="Calibri"/>
                <w:lang w:eastAsia="zh-CN"/>
              </w:rPr>
              <w:t xml:space="preserve"> at the end of year 2024</w:t>
            </w:r>
            <w:r>
              <w:rPr>
                <w:rFonts w:eastAsia="楷体_GB2312" w:cs="Calibri"/>
                <w:lang w:eastAsia="zh-CN"/>
              </w:rPr>
              <w:t xml:space="preserve">. </w:t>
            </w:r>
            <w:r>
              <w:rPr>
                <w:rFonts w:hint="eastAsia" w:eastAsia="楷体_GB2312" w:cs="Calibri"/>
                <w:lang w:eastAsia="zh-CN"/>
              </w:rPr>
              <w:t xml:space="preserve">For the </w:t>
            </w:r>
            <w:r>
              <w:rPr>
                <w:rFonts w:eastAsia="楷体_GB2312" w:cs="Calibri"/>
                <w:lang w:eastAsia="zh-CN"/>
              </w:rPr>
              <w:t>financial</w:t>
            </w:r>
            <w:r>
              <w:rPr>
                <w:rFonts w:hint="eastAsia" w:eastAsia="楷体_GB2312" w:cs="Calibri"/>
                <w:lang w:eastAsia="zh-CN"/>
              </w:rPr>
              <w:t xml:space="preserve"> performance, </w:t>
            </w:r>
            <w:r>
              <w:rPr>
                <w:rFonts w:eastAsia="楷体_GB2312" w:cs="Calibri"/>
                <w:lang w:eastAsia="zh-CN"/>
              </w:rPr>
              <w:t>Cirrus demonstrated strong revenue expansion capability</w:t>
            </w:r>
            <w:r>
              <w:rPr>
                <w:rFonts w:hint="eastAsia" w:eastAsia="楷体_GB2312" w:cs="Calibri"/>
                <w:lang w:eastAsia="zh-CN"/>
              </w:rPr>
              <w:t xml:space="preserve">, </w:t>
            </w:r>
            <w:r>
              <w:rPr>
                <w:rFonts w:eastAsia="楷体_GB2312" w:cs="Calibri"/>
                <w:lang w:eastAsia="zh-CN"/>
              </w:rPr>
              <w:t>surg</w:t>
            </w:r>
            <w:r>
              <w:rPr>
                <w:rFonts w:hint="eastAsia" w:eastAsia="楷体_GB2312" w:cs="Calibri"/>
                <w:lang w:eastAsia="zh-CN"/>
              </w:rPr>
              <w:t>ing</w:t>
            </w:r>
            <w:r>
              <w:rPr>
                <w:rFonts w:eastAsia="楷体_GB2312" w:cs="Calibri"/>
                <w:lang w:eastAsia="zh-CN"/>
              </w:rPr>
              <w:t xml:space="preserve"> from $587 million in 2020 to $1.197 billion in 2024</w:t>
            </w:r>
            <w:r>
              <w:rPr>
                <w:rFonts w:hint="eastAsia" w:eastAsia="楷体_GB2312" w:cs="Calibri"/>
                <w:lang w:eastAsia="zh-CN"/>
              </w:rPr>
              <w:t>;</w:t>
            </w:r>
            <w:r>
              <w:rPr>
                <w:rFonts w:eastAsia="楷体" w:cs="Calibri"/>
                <w:kern w:val="2"/>
                <w:sz w:val="22"/>
                <w:szCs w:val="22"/>
              </w:rPr>
              <w:t xml:space="preserve"> </w:t>
            </w:r>
            <w:r>
              <w:rPr>
                <w:rFonts w:hint="eastAsia" w:eastAsia="楷体_GB2312" w:cs="Calibri"/>
                <w:lang w:eastAsia="zh-CN"/>
              </w:rPr>
              <w:t>and n</w:t>
            </w:r>
            <w:r>
              <w:rPr>
                <w:rFonts w:eastAsia="楷体_GB2312" w:cs="Calibri"/>
                <w:lang w:eastAsia="zh-CN"/>
              </w:rPr>
              <w:t>et profit surged from $36</w:t>
            </w:r>
            <w:r>
              <w:rPr>
                <w:rFonts w:hint="eastAsia" w:eastAsia="楷体_GB2312" w:cs="Calibri"/>
                <w:lang w:eastAsia="zh-CN"/>
              </w:rPr>
              <w:t xml:space="preserve"> </w:t>
            </w:r>
            <w:r>
              <w:rPr>
                <w:rFonts w:eastAsia="楷体_GB2312" w:cs="Calibri"/>
                <w:lang w:eastAsia="zh-CN"/>
              </w:rPr>
              <w:t>million in 2020 to $121 million in 2024, achieving a net profit CAGR as high as 32.3%. The net margin improved from 6.2% in 2020 to 10.1% in 2024.</w:t>
            </w:r>
          </w:p>
          <w:p w14:paraId="61073A59">
            <w:pPr>
              <w:pStyle w:val="55"/>
              <w:jc w:val="both"/>
              <w:rPr>
                <w:rFonts w:eastAsia="楷体_GB2312" w:cs="Calibri"/>
                <w:b/>
                <w:bCs/>
                <w:color w:val="A7242B"/>
                <w:kern w:val="28"/>
                <w:lang w:eastAsia="zh-CN"/>
              </w:rPr>
            </w:pPr>
            <w:r>
              <w:rPr>
                <w:rFonts w:eastAsia="楷体_GB2312" w:cs="Calibri"/>
                <w:b/>
                <w:bCs/>
                <w:color w:val="002060"/>
                <w:kern w:val="28"/>
                <w:lang w:eastAsia="zh-CN"/>
              </w:rPr>
              <w:t>Steady Growth in Private Jet Demand with Consumer-Oriented Scenarios.</w:t>
            </w:r>
            <w:r>
              <w:rPr>
                <w:rFonts w:hint="eastAsia" w:eastAsia="楷体_GB2312" w:cs="Calibri"/>
                <w:b/>
                <w:bCs/>
                <w:color w:val="A7242B"/>
                <w:kern w:val="28"/>
                <w:lang w:eastAsia="zh-CN"/>
              </w:rPr>
              <w:t xml:space="preserve"> </w:t>
            </w:r>
            <w:r>
              <w:rPr>
                <w:rFonts w:eastAsia="楷体_GB2312" w:cs="Calibri"/>
                <w:lang w:eastAsia="zh-CN"/>
              </w:rPr>
              <w:t>General aviation encompasses all aviation activities except military and scheduled commercial flights, including private and professional aviation.</w:t>
            </w:r>
            <w:r>
              <w:t xml:space="preserve"> </w:t>
            </w:r>
            <w:r>
              <w:rPr>
                <w:rFonts w:eastAsia="楷体_GB2312" w:cs="Calibri"/>
                <w:lang w:eastAsia="zh-CN"/>
              </w:rPr>
              <w:t>The global private aircraft market has seen steady growth in deliveries and value, with average selling prices also trending upward</w:t>
            </w:r>
            <w:r>
              <w:rPr>
                <w:rFonts w:hint="eastAsia" w:eastAsia="楷体_GB2312" w:cs="Calibri"/>
                <w:lang w:eastAsia="zh-CN"/>
              </w:rPr>
              <w:t>.</w:t>
            </w:r>
            <w:r>
              <w:t xml:space="preserve"> </w:t>
            </w:r>
            <w:r>
              <w:rPr>
                <w:rFonts w:eastAsia="楷体_GB2312" w:cs="Calibri"/>
                <w:lang w:eastAsia="zh-CN"/>
              </w:rPr>
              <w:t>The sustained growth in global private aircraft deliveries is driven by the expansion of high-net-worth individuals (HNWIs) and flight students, on the one hand, and by ongoing infrastructure development, on the other.</w:t>
            </w:r>
            <w:r>
              <w:rPr>
                <w:rFonts w:hint="eastAsia" w:eastAsia="楷体_GB2312" w:cs="Calibri"/>
                <w:lang w:eastAsia="zh-CN"/>
              </w:rPr>
              <w:t xml:space="preserve"> The </w:t>
            </w:r>
            <w:r>
              <w:rPr>
                <w:rFonts w:eastAsia="楷体_GB2312" w:cs="Calibri"/>
                <w:lang w:eastAsia="zh-CN"/>
              </w:rPr>
              <w:t>concentration</w:t>
            </w:r>
            <w:r>
              <w:rPr>
                <w:rFonts w:hint="eastAsia" w:eastAsia="楷体_GB2312" w:cs="Calibri"/>
                <w:lang w:eastAsia="zh-CN"/>
              </w:rPr>
              <w:t xml:space="preserve"> of the industry is quite high, with Cirrus holding a </w:t>
            </w:r>
            <w:r>
              <w:rPr>
                <w:rFonts w:eastAsia="楷体_GB2312" w:cs="Calibri"/>
                <w:lang w:eastAsia="zh-CN"/>
              </w:rPr>
              <w:t>leading</w:t>
            </w:r>
            <w:r>
              <w:rPr>
                <w:rFonts w:hint="eastAsia" w:eastAsia="楷体_GB2312" w:cs="Calibri"/>
                <w:lang w:eastAsia="zh-CN"/>
              </w:rPr>
              <w:t xml:space="preserve"> position, especially in piston-engine aircraft. And it two major model lines showed upward tends in market share.</w:t>
            </w:r>
          </w:p>
          <w:p w14:paraId="28784E1C">
            <w:pPr>
              <w:pStyle w:val="55"/>
              <w:jc w:val="both"/>
              <w:rPr>
                <w:rFonts w:eastAsia="楷体_GB2312" w:cs="Calibri"/>
                <w:lang w:eastAsia="zh-CN"/>
              </w:rPr>
            </w:pPr>
            <w:r>
              <w:rPr>
                <w:rFonts w:hint="eastAsia" w:eastAsia="楷体_GB2312" w:cs="Calibri"/>
                <w:b/>
                <w:bCs/>
                <w:color w:val="002060"/>
                <w:kern w:val="28"/>
                <w:lang w:eastAsia="zh-CN"/>
              </w:rPr>
              <w:t xml:space="preserve">Cirrus is </w:t>
            </w:r>
            <w:r>
              <w:rPr>
                <w:rFonts w:eastAsia="楷体_GB2312" w:cs="Calibri"/>
                <w:b/>
                <w:bCs/>
                <w:color w:val="002060"/>
                <w:kern w:val="28"/>
                <w:lang w:eastAsia="zh-CN"/>
              </w:rPr>
              <w:t>Differentiated by Industry-Leading Safety and a Holistic "Product + Service" Ecosystem.</w:t>
            </w:r>
            <w:r>
              <w:rPr>
                <w:rFonts w:hint="eastAsia" w:eastAsia="楷体_GB2312" w:cs="Calibri"/>
                <w:b/>
                <w:bCs/>
                <w:color w:val="A7242B"/>
                <w:kern w:val="28"/>
                <w:lang w:eastAsia="zh-CN"/>
              </w:rPr>
              <w:t xml:space="preserve"> </w:t>
            </w:r>
            <w:r>
              <w:rPr>
                <w:rFonts w:hint="eastAsia" w:eastAsia="楷体_GB2312" w:cs="Calibri"/>
                <w:lang w:eastAsia="zh-CN"/>
              </w:rPr>
              <w:t>Cirrus</w:t>
            </w:r>
            <w:r>
              <w:rPr>
                <w:rFonts w:eastAsia="楷体_GB2312" w:cs="Calibri"/>
                <w:lang w:eastAsia="zh-CN"/>
              </w:rPr>
              <w:t>’</w:t>
            </w:r>
            <w:r>
              <w:rPr>
                <w:rFonts w:hint="eastAsia" w:eastAsia="楷体_GB2312" w:cs="Calibri"/>
                <w:lang w:eastAsia="zh-CN"/>
              </w:rPr>
              <w:t>s</w:t>
            </w:r>
            <w:r>
              <w:rPr>
                <w:rFonts w:eastAsia="楷体_GB2312" w:cs="Calibri"/>
                <w:lang w:eastAsia="zh-CN"/>
              </w:rPr>
              <w:t xml:space="preserve"> product line, from SR2X series to the Vision Jet, caters to diverse needs</w:t>
            </w:r>
            <w:r>
              <w:rPr>
                <w:rFonts w:hint="eastAsia" w:eastAsia="楷体_GB2312" w:cs="Calibri"/>
                <w:lang w:eastAsia="zh-CN"/>
              </w:rPr>
              <w:t xml:space="preserve">, with </w:t>
            </w:r>
            <w:r>
              <w:rPr>
                <w:rFonts w:eastAsia="楷体_GB2312" w:cs="Calibri"/>
                <w:lang w:eastAsia="zh-CN"/>
              </w:rPr>
              <w:t>the SR series target</w:t>
            </w:r>
            <w:r>
              <w:rPr>
                <w:rFonts w:hint="eastAsia" w:eastAsia="楷体_GB2312" w:cs="Calibri"/>
                <w:lang w:eastAsia="zh-CN"/>
              </w:rPr>
              <w:t>ing</w:t>
            </w:r>
            <w:r>
              <w:rPr>
                <w:rFonts w:eastAsia="楷体_GB2312" w:cs="Calibri"/>
                <w:lang w:eastAsia="zh-CN"/>
              </w:rPr>
              <w:t xml:space="preserve"> premium piston-engine segment, while the Vision Jet </w:t>
            </w:r>
            <w:r>
              <w:rPr>
                <w:rFonts w:hint="eastAsia" w:eastAsia="楷体_GB2312" w:cs="Calibri"/>
                <w:lang w:eastAsia="zh-CN"/>
              </w:rPr>
              <w:t>serving</w:t>
            </w:r>
            <w:r>
              <w:rPr>
                <w:rFonts w:eastAsia="楷体_GB2312" w:cs="Calibri"/>
                <w:lang w:eastAsia="zh-CN"/>
              </w:rPr>
              <w:t xml:space="preserve"> as a cost-effective option in the turbine-engined category.</w:t>
            </w:r>
            <w:r>
              <w:rPr>
                <w:rFonts w:hint="eastAsia" w:eastAsia="楷体_GB2312" w:cs="Calibri"/>
                <w:lang w:eastAsia="zh-CN"/>
              </w:rPr>
              <w:t xml:space="preserve"> Its</w:t>
            </w:r>
            <w:r>
              <w:rPr>
                <w:rFonts w:eastAsia="楷体_GB2312" w:cs="Calibri"/>
                <w:lang w:eastAsia="zh-CN"/>
              </w:rPr>
              <w:t xml:space="preserve"> competitive edge stems from its pioneering safety features, including the life-saving "Whole-Airframe Parachute System (CAPS)" and the revolutionary "Safe Return Emergency Autoland". Crucially, Cirrus has evolved beyond manufacturing to offer a comprehensive "product + service" ecosystem, encompassing flight training, aircraft management, and financing. This high-retention model generates recurring revenue and strengthens brand loyalty</w:t>
            </w:r>
            <w:r>
              <w:rPr>
                <w:rFonts w:hint="eastAsia" w:eastAsia="楷体_GB2312" w:cs="Calibri"/>
                <w:lang w:eastAsia="zh-CN"/>
              </w:rPr>
              <w:t xml:space="preserve">, with </w:t>
            </w:r>
            <w:r>
              <w:rPr>
                <w:rFonts w:eastAsia="楷体_GB2312" w:cs="Calibri"/>
                <w:lang w:eastAsia="zh-CN"/>
              </w:rPr>
              <w:t>high repurchase rate and strong pricing power</w:t>
            </w:r>
            <w:r>
              <w:rPr>
                <w:rFonts w:hint="eastAsia" w:eastAsia="楷体_GB2312" w:cs="Calibri"/>
                <w:lang w:eastAsia="zh-CN"/>
              </w:rPr>
              <w:t>.</w:t>
            </w:r>
          </w:p>
          <w:p w14:paraId="03ECF1F4">
            <w:pPr>
              <w:pStyle w:val="43"/>
              <w:jc w:val="both"/>
              <w:rPr>
                <w:rFonts w:eastAsia="楷体_GB2312" w:cs="Calibri"/>
                <w:snapToGrid/>
                <w:szCs w:val="20"/>
              </w:rPr>
            </w:pPr>
            <w:r>
              <w:rPr>
                <w:rFonts w:hint="eastAsia" w:eastAsia="楷体_GB2312" w:cs="Calibri"/>
                <w:b/>
                <w:bCs/>
                <w:color w:val="002060"/>
                <w:kern w:val="28"/>
                <w:sz w:val="22"/>
                <w:szCs w:val="22"/>
              </w:rPr>
              <w:t>Valuation</w:t>
            </w:r>
            <w:r>
              <w:rPr>
                <w:rFonts w:hint="eastAsia" w:eastAsia="楷体_GB2312" w:cs="Calibri"/>
                <w:b/>
                <w:bCs/>
                <w:color w:val="002060"/>
                <w:kern w:val="28"/>
                <w:sz w:val="22"/>
                <w:szCs w:val="22"/>
                <w:lang w:eastAsia="zh-CN"/>
              </w:rPr>
              <w:t xml:space="preserve"> </w:t>
            </w:r>
            <w:r>
              <w:rPr>
                <w:rFonts w:hint="eastAsia" w:eastAsia="楷体_GB2312" w:cs="Calibri"/>
                <w:b/>
                <w:bCs/>
                <w:color w:val="002060"/>
                <w:kern w:val="28"/>
                <w:sz w:val="22"/>
                <w:szCs w:val="22"/>
              </w:rPr>
              <w:t>&amp; recommendation</w:t>
            </w:r>
            <w:r>
              <w:rPr>
                <w:rFonts w:hint="eastAsia" w:eastAsia="楷体_GB2312" w:cs="Calibri"/>
                <w:b/>
                <w:bCs/>
                <w:color w:val="002060"/>
                <w:kern w:val="28"/>
                <w:sz w:val="22"/>
                <w:szCs w:val="22"/>
                <w:lang w:eastAsia="zh-CN"/>
              </w:rPr>
              <w:t>:</w:t>
            </w:r>
            <w:r>
              <w:rPr>
                <w:rFonts w:hint="eastAsia" w:eastAsia="楷体_GB2312" w:cs="Calibri"/>
                <w:b/>
                <w:bCs/>
                <w:color w:val="A7242B"/>
                <w:kern w:val="28"/>
                <w:sz w:val="22"/>
                <w:szCs w:val="22"/>
                <w:lang w:eastAsia="zh-CN"/>
              </w:rPr>
              <w:t xml:space="preserve"> </w:t>
            </w:r>
            <w:r>
              <w:rPr>
                <w:rFonts w:eastAsia="楷体_GB2312" w:cs="Calibri"/>
              </w:rPr>
              <w:t>We estimate Cirrus's revenue from 2025 to 2027 will reach USD1,4</w:t>
            </w:r>
            <w:r>
              <w:rPr>
                <w:rFonts w:hint="eastAsia" w:eastAsia="楷体_GB2312" w:cs="Calibri"/>
                <w:lang w:eastAsia="zh-CN"/>
              </w:rPr>
              <w:t>26</w:t>
            </w:r>
            <w:r>
              <w:rPr>
                <w:rFonts w:eastAsia="楷体_GB2312" w:cs="Calibri"/>
              </w:rPr>
              <w:t xml:space="preserve">/ 1,646 / 1,928 million, with net profits of USD </w:t>
            </w:r>
            <w:r>
              <w:rPr>
                <w:rFonts w:hint="eastAsia" w:eastAsia="楷体_GB2312" w:cs="Calibri"/>
                <w:lang w:eastAsia="zh-CN"/>
              </w:rPr>
              <w:t>162</w:t>
            </w:r>
            <w:r>
              <w:rPr>
                <w:rFonts w:eastAsia="楷体_GB2312" w:cs="Calibri"/>
              </w:rPr>
              <w:t xml:space="preserve"> / 19</w:t>
            </w:r>
            <w:r>
              <w:rPr>
                <w:rFonts w:hint="eastAsia" w:eastAsia="楷体_GB2312" w:cs="Calibri"/>
                <w:lang w:eastAsia="zh-CN"/>
              </w:rPr>
              <w:t>9</w:t>
            </w:r>
            <w:r>
              <w:rPr>
                <w:rFonts w:eastAsia="楷体_GB2312" w:cs="Calibri"/>
              </w:rPr>
              <w:t xml:space="preserve"> / 2</w:t>
            </w:r>
            <w:r>
              <w:rPr>
                <w:rFonts w:hint="eastAsia" w:eastAsia="楷体_GB2312" w:cs="Calibri"/>
                <w:lang w:eastAsia="zh-CN"/>
              </w:rPr>
              <w:t xml:space="preserve">42 </w:t>
            </w:r>
            <w:r>
              <w:rPr>
                <w:rFonts w:eastAsia="楷体_GB2312" w:cs="Calibri"/>
              </w:rPr>
              <w:t xml:space="preserve">million. Based on the DCF valuation model, we initiate coverage with an "Outperform" rating and a target price of USD </w:t>
            </w:r>
            <w:r>
              <w:rPr>
                <w:rFonts w:hint="eastAsia" w:eastAsia="楷体_GB2312" w:cs="Calibri"/>
                <w:lang w:eastAsia="zh-CN"/>
              </w:rPr>
              <w:t>11.12</w:t>
            </w:r>
            <w:r>
              <w:rPr>
                <w:rFonts w:eastAsia="楷体_GB2312" w:cs="Calibri"/>
              </w:rPr>
              <w:t xml:space="preserve"> (HKD </w:t>
            </w:r>
            <w:r>
              <w:rPr>
                <w:rFonts w:hint="eastAsia" w:eastAsia="楷体_GB2312" w:cs="Calibri"/>
                <w:lang w:eastAsia="zh-CN"/>
              </w:rPr>
              <w:t>86.72</w:t>
            </w:r>
            <w:r>
              <w:rPr>
                <w:rFonts w:eastAsia="楷体_GB2312" w:cs="Calibri"/>
              </w:rPr>
              <w:t>).</w:t>
            </w:r>
          </w:p>
          <w:p w14:paraId="5F24F95D">
            <w:pPr>
              <w:pStyle w:val="55"/>
              <w:jc w:val="both"/>
              <w:rPr>
                <w:rFonts w:eastAsia="楷体_GB2312" w:cs="Calibri"/>
                <w:lang w:eastAsia="zh-CN"/>
              </w:rPr>
            </w:pPr>
            <w:r>
              <w:rPr>
                <w:rFonts w:hint="eastAsia" w:eastAsia="楷体_GB2312" w:cs="Calibri"/>
                <w:b/>
                <w:bCs/>
                <w:color w:val="002060"/>
                <w:kern w:val="28"/>
                <w:sz w:val="22"/>
                <w:szCs w:val="22"/>
                <w:lang w:eastAsia="zh-CN"/>
              </w:rPr>
              <w:t>Risks:</w:t>
            </w:r>
            <w:r>
              <w:rPr>
                <w:rFonts w:hint="eastAsia" w:eastAsia="楷体_GB2312" w:cs="Calibri"/>
                <w:b/>
                <w:bCs/>
                <w:color w:val="A7242B"/>
                <w:kern w:val="28"/>
                <w:sz w:val="22"/>
                <w:szCs w:val="22"/>
                <w:lang w:eastAsia="zh-CN"/>
              </w:rPr>
              <w:t xml:space="preserve"> </w:t>
            </w:r>
            <w:r>
              <w:rPr>
                <w:rFonts w:eastAsia="楷体_GB2312" w:cs="Calibri"/>
              </w:rPr>
              <w:t xml:space="preserve">Fluctuation in raw material prices; Supply chain disruptions; Intensified market competition; Changes in customer demand; </w:t>
            </w:r>
            <w:r>
              <w:rPr>
                <w:rFonts w:hint="eastAsia" w:eastAsia="楷体_GB2312" w:cs="Calibri"/>
                <w:lang w:eastAsia="zh-CN"/>
              </w:rPr>
              <w:t>P</w:t>
            </w:r>
            <w:r>
              <w:rPr>
                <w:rFonts w:eastAsia="楷体_GB2312" w:cs="Calibri"/>
              </w:rPr>
              <w:t>olicy changes.</w:t>
            </w:r>
          </w:p>
        </w:tc>
      </w:tr>
      <w:tr w14:paraId="5AD61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14:paraId="1201A1AB">
            <w:pPr>
              <w:pStyle w:val="55"/>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7FCD3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563D9D3">
                  <w:pPr>
                    <w:pStyle w:val="52"/>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14:paraId="2B637DCB">
                  <w:pPr>
                    <w:pStyle w:val="52"/>
                    <w:framePr w:wrap="auto" w:vAnchor="margin" w:hAnchor="text" w:yAlign="inline"/>
                    <w:rPr>
                      <w:rFonts w:eastAsia="MS Gothic" w:cs="等线"/>
                      <w:color w:val="FFFFFF" w:themeColor="background1"/>
                      <w14:textFill>
                        <w14:solidFill>
                          <w14:schemeClr w14:val="bg1"/>
                        </w14:solidFill>
                      </w14:textFill>
                    </w:rPr>
                  </w:pPr>
                </w:p>
              </w:tc>
              <w:tc>
                <w:tcPr>
                  <w:tcW w:w="2693" w:type="dxa"/>
                </w:tcPr>
                <w:p w14:paraId="61FA7F57">
                  <w:pPr>
                    <w:pStyle w:val="52"/>
                    <w:framePr w:wrap="auto" w:vAnchor="margin" w:hAnchor="text" w:yAlign="inline"/>
                    <w:rPr>
                      <w:rFonts w:eastAsia="MS Gothic" w:cs="等线"/>
                      <w:color w:val="FFFFFF" w:themeColor="background1"/>
                      <w14:textFill>
                        <w14:solidFill>
                          <w14:schemeClr w14:val="bg1"/>
                        </w14:solidFill>
                      </w14:textFill>
                    </w:rPr>
                  </w:pPr>
                </w:p>
              </w:tc>
              <w:tc>
                <w:tcPr>
                  <w:tcW w:w="2694" w:type="dxa"/>
                </w:tcPr>
                <w:p w14:paraId="53E4E86E">
                  <w:pPr>
                    <w:pStyle w:val="52"/>
                    <w:framePr w:wrap="auto" w:vAnchor="margin" w:hAnchor="text" w:yAlign="inline"/>
                    <w:rPr>
                      <w:rFonts w:eastAsia="MS Gothic" w:cs="等线"/>
                      <w:color w:val="FFFFFF" w:themeColor="background1"/>
                      <w14:textFill>
                        <w14:solidFill>
                          <w14:schemeClr w14:val="bg1"/>
                        </w14:solidFill>
                      </w14:textFill>
                    </w:rPr>
                  </w:pPr>
                </w:p>
              </w:tc>
            </w:tr>
            <w:tr w14:paraId="76096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9183045">
                  <w:pPr>
                    <w:pStyle w:val="51"/>
                    <w:framePr w:wrap="auto" w:vAnchor="margin" w:hAnchor="text" w:yAlign="inline"/>
                    <w:rPr>
                      <w:rFonts w:eastAsia="楷体_GB2312" w:cs="等线"/>
                    </w:rPr>
                  </w:pPr>
                  <w:r>
                    <w:rPr>
                      <w:rFonts w:hint="eastAsia" w:eastAsia="楷体_GB2312" w:cs="等线"/>
                    </w:rPr>
                    <w:t>Bin Yang</w:t>
                  </w:r>
                </w:p>
              </w:tc>
              <w:tc>
                <w:tcPr>
                  <w:tcW w:w="2551" w:type="dxa"/>
                </w:tcPr>
                <w:p w14:paraId="12117E87">
                  <w:pPr>
                    <w:pStyle w:val="51"/>
                    <w:framePr w:wrap="auto" w:vAnchor="margin" w:hAnchor="text" w:yAlign="inline"/>
                    <w:rPr>
                      <w:rFonts w:eastAsia="楷体_GB2312" w:cs="等线"/>
                    </w:rPr>
                  </w:pPr>
                </w:p>
              </w:tc>
              <w:tc>
                <w:tcPr>
                  <w:tcW w:w="2693" w:type="dxa"/>
                </w:tcPr>
                <w:p w14:paraId="524B2B1E">
                  <w:pPr>
                    <w:pStyle w:val="51"/>
                    <w:framePr w:wrap="auto" w:vAnchor="margin" w:hAnchor="text" w:yAlign="inline"/>
                    <w:rPr>
                      <w:rFonts w:eastAsia="楷体_GB2312" w:cs="等线"/>
                    </w:rPr>
                  </w:pPr>
                </w:p>
              </w:tc>
              <w:tc>
                <w:tcPr>
                  <w:tcW w:w="2694" w:type="dxa"/>
                </w:tcPr>
                <w:p w14:paraId="1547CAFF">
                  <w:pPr>
                    <w:pStyle w:val="51"/>
                    <w:framePr w:wrap="auto" w:vAnchor="margin" w:hAnchor="text" w:yAlign="inline"/>
                    <w:rPr>
                      <w:rFonts w:eastAsia="楷体_GB2312" w:cs="等线"/>
                    </w:rPr>
                  </w:pPr>
                </w:p>
              </w:tc>
            </w:tr>
            <w:tr w14:paraId="7EE52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14:paraId="3C3FFBFD">
                  <w:pPr>
                    <w:pStyle w:val="51"/>
                    <w:framePr w:wrap="auto" w:vAnchor="margin" w:hAnchor="text" w:yAlign="inline"/>
                    <w:rPr>
                      <w:rFonts w:eastAsia="楷体_GB2312" w:cs="等线"/>
                      <w:b w:val="0"/>
                    </w:rPr>
                  </w:pPr>
                  <w:r>
                    <w:rPr>
                      <w:rFonts w:hint="eastAsia" w:eastAsia="楷体_GB2312" w:cs="等线"/>
                      <w:b w:val="0"/>
                    </w:rPr>
                    <w:t>harryyang</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551" w:type="dxa"/>
                </w:tcPr>
                <w:p w14:paraId="5252CAFE">
                  <w:pPr>
                    <w:pStyle w:val="51"/>
                    <w:framePr w:wrap="auto" w:vAnchor="margin" w:hAnchor="text" w:yAlign="inline"/>
                    <w:rPr>
                      <w:rFonts w:eastAsia="楷体_GB2312" w:cs="等线"/>
                      <w:b w:val="0"/>
                    </w:rPr>
                  </w:pPr>
                </w:p>
              </w:tc>
              <w:tc>
                <w:tcPr>
                  <w:tcW w:w="2693" w:type="dxa"/>
                </w:tcPr>
                <w:p w14:paraId="2051F63D">
                  <w:pPr>
                    <w:pStyle w:val="51"/>
                    <w:framePr w:wrap="auto" w:vAnchor="margin" w:hAnchor="text" w:yAlign="inline"/>
                    <w:rPr>
                      <w:rFonts w:eastAsia="楷体_GB2312" w:cs="等线"/>
                      <w:b w:val="0"/>
                    </w:rPr>
                  </w:pPr>
                </w:p>
              </w:tc>
              <w:tc>
                <w:tcPr>
                  <w:tcW w:w="2694" w:type="dxa"/>
                </w:tcPr>
                <w:p w14:paraId="29A3AAFF">
                  <w:pPr>
                    <w:pStyle w:val="51"/>
                    <w:framePr w:wrap="auto" w:vAnchor="margin" w:hAnchor="text" w:yAlign="inline"/>
                    <w:rPr>
                      <w:rFonts w:eastAsia="楷体_GB2312" w:cs="等线"/>
                      <w:b w:val="0"/>
                    </w:rPr>
                  </w:pPr>
                </w:p>
              </w:tc>
            </w:tr>
            <w:tr w14:paraId="6D1C2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447ED89">
                  <w:pPr>
                    <w:pStyle w:val="51"/>
                    <w:framePr w:wrap="auto" w:vAnchor="margin" w:hAnchor="text" w:yAlign="inline"/>
                    <w:rPr>
                      <w:rFonts w:eastAsia="楷体_GB2312" w:cs="等线"/>
                      <w:b w:val="0"/>
                    </w:rPr>
                  </w:pPr>
                </w:p>
              </w:tc>
              <w:tc>
                <w:tcPr>
                  <w:tcW w:w="2551" w:type="dxa"/>
                </w:tcPr>
                <w:p w14:paraId="2A9D5366">
                  <w:pPr>
                    <w:pStyle w:val="51"/>
                    <w:framePr w:wrap="auto" w:vAnchor="margin" w:hAnchor="text" w:yAlign="inline"/>
                    <w:rPr>
                      <w:rFonts w:eastAsia="楷体_GB2312" w:cs="等线"/>
                      <w:b w:val="0"/>
                    </w:rPr>
                  </w:pPr>
                </w:p>
              </w:tc>
              <w:tc>
                <w:tcPr>
                  <w:tcW w:w="2693" w:type="dxa"/>
                </w:tcPr>
                <w:p w14:paraId="22D38E0E">
                  <w:pPr>
                    <w:pStyle w:val="51"/>
                    <w:framePr w:wrap="auto" w:vAnchor="margin" w:hAnchor="text" w:yAlign="inline"/>
                    <w:rPr>
                      <w:rFonts w:eastAsia="楷体_GB2312" w:cs="等线"/>
                      <w:b w:val="0"/>
                    </w:rPr>
                  </w:pPr>
                </w:p>
              </w:tc>
              <w:tc>
                <w:tcPr>
                  <w:tcW w:w="2694" w:type="dxa"/>
                </w:tcPr>
                <w:p w14:paraId="3FA2CEF3">
                  <w:pPr>
                    <w:pStyle w:val="51"/>
                    <w:framePr w:wrap="auto" w:vAnchor="margin" w:hAnchor="text" w:yAlign="inline"/>
                    <w:rPr>
                      <w:rFonts w:eastAsia="楷体_GB2312" w:cs="等线"/>
                      <w:b w:val="0"/>
                    </w:rPr>
                  </w:pPr>
                </w:p>
              </w:tc>
            </w:tr>
            <w:tr w14:paraId="3346D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8D8ADED">
                  <w:pPr>
                    <w:pStyle w:val="51"/>
                    <w:framePr w:wrap="auto" w:vAnchor="margin" w:hAnchor="text" w:yAlign="inline"/>
                    <w:rPr>
                      <w:rFonts w:eastAsia="楷体_GB2312" w:cs="等线"/>
                      <w:b w:val="0"/>
                    </w:rPr>
                  </w:pPr>
                </w:p>
              </w:tc>
              <w:tc>
                <w:tcPr>
                  <w:tcW w:w="2551" w:type="dxa"/>
                </w:tcPr>
                <w:p w14:paraId="39CF8FA6">
                  <w:pPr>
                    <w:pStyle w:val="51"/>
                    <w:framePr w:wrap="auto" w:vAnchor="margin" w:hAnchor="text" w:yAlign="inline"/>
                    <w:rPr>
                      <w:rFonts w:eastAsia="楷体_GB2312" w:cs="等线"/>
                      <w:b w:val="0"/>
                    </w:rPr>
                  </w:pPr>
                </w:p>
              </w:tc>
              <w:tc>
                <w:tcPr>
                  <w:tcW w:w="2693" w:type="dxa"/>
                </w:tcPr>
                <w:p w14:paraId="14602295">
                  <w:pPr>
                    <w:pStyle w:val="51"/>
                    <w:framePr w:wrap="auto" w:vAnchor="margin" w:hAnchor="text" w:yAlign="inline"/>
                    <w:rPr>
                      <w:rFonts w:eastAsia="楷体_GB2312" w:cs="等线"/>
                      <w:b w:val="0"/>
                    </w:rPr>
                  </w:pPr>
                </w:p>
              </w:tc>
              <w:tc>
                <w:tcPr>
                  <w:tcW w:w="2694" w:type="dxa"/>
                </w:tcPr>
                <w:p w14:paraId="3E1FC0C9">
                  <w:pPr>
                    <w:pStyle w:val="51"/>
                    <w:framePr w:wrap="auto" w:vAnchor="margin" w:hAnchor="text" w:yAlign="inline"/>
                    <w:rPr>
                      <w:rFonts w:eastAsia="楷体_GB2312" w:cs="等线"/>
                      <w:b w:val="0"/>
                    </w:rPr>
                  </w:pPr>
                </w:p>
              </w:tc>
            </w:tr>
          </w:tbl>
          <w:p w14:paraId="7404B256">
            <w:pPr>
              <w:pStyle w:val="55"/>
              <w:spacing w:after="0"/>
              <w:jc w:val="both"/>
              <w:rPr>
                <w:rFonts w:eastAsia="楷体_GB2312" w:cs="Calibri"/>
                <w:bCs/>
                <w:kern w:val="28"/>
                <w:lang w:eastAsia="zh-CN"/>
              </w:rPr>
            </w:pPr>
          </w:p>
        </w:tc>
      </w:tr>
    </w:tbl>
    <w:p w14:paraId="283C10FA">
      <w:pPr>
        <w:rPr>
          <w:lang w:eastAsia="zh-CN"/>
        </w:rPr>
      </w:pPr>
      <w:r>
        <w:rPr>
          <w:rFonts w:eastAsiaTheme="minorEastAsia"/>
          <w:lang w:eastAsia="zh-CN"/>
        </w:rPr>
        <w:br w:type="page"/>
      </w:r>
    </w:p>
    <w:p w14:paraId="236400BE">
      <w:pPr>
        <w:rPr>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09" w:h="16834"/>
          <w:pgMar w:top="567" w:right="907" w:bottom="1021" w:left="5160" w:header="284" w:footer="919" w:gutter="0"/>
          <w:cols w:space="720" w:num="1"/>
          <w:docGrid w:linePitch="360" w:charSpace="0"/>
        </w:sectPr>
      </w:pPr>
      <w:bookmarkStart w:id="21" w:name="_GoBack"/>
      <w:bookmarkEnd w:id="21"/>
    </w:p>
    <w:sdt>
      <w:sdtPr>
        <w:rPr>
          <w:rFonts w:ascii="Calibri" w:hAnsi="Calibri" w:eastAsia="MS Mincho" w:cs="Calibri"/>
          <w:b/>
          <w:snapToGrid w:val="0"/>
          <w:color w:val="auto"/>
          <w:sz w:val="16"/>
          <w:szCs w:val="16"/>
          <w:lang w:val="zh-CN" w:eastAsia="ja-JP"/>
        </w:rPr>
        <w:id w:val="393165253"/>
        <w:docPartObj>
          <w:docPartGallery w:val="Table of Contents"/>
          <w:docPartUnique/>
        </w:docPartObj>
      </w:sdtPr>
      <w:sdtEndPr>
        <w:rPr>
          <w:rFonts w:ascii="Calibri" w:hAnsi="Calibri" w:eastAsia="MS Mincho" w:cs="Calibri"/>
          <w:b/>
          <w:bCs/>
          <w:snapToGrid w:val="0"/>
          <w:color w:val="auto"/>
          <w:sz w:val="16"/>
          <w:szCs w:val="16"/>
          <w:lang w:val="zh-CN" w:eastAsia="ja-JP"/>
        </w:rPr>
      </w:sdtEndPr>
      <w:sdtContent>
        <w:p w14:paraId="0B6F5BD5">
          <w:pPr>
            <w:pStyle w:val="72"/>
            <w:rPr>
              <w:rFonts w:ascii="Calibri" w:hAnsi="Calibri" w:eastAsia="宋体" w:cs="Calibri"/>
              <w:b/>
              <w:color w:val="auto"/>
            </w:rPr>
          </w:pPr>
          <w:r>
            <w:rPr>
              <w:rFonts w:ascii="Calibri" w:hAnsi="Calibri" w:eastAsia="宋体" w:cs="Calibri"/>
              <w:b/>
              <w:color w:val="auto"/>
              <w:lang w:val="zh-CN"/>
            </w:rPr>
            <w:t>Contents</w:t>
          </w:r>
        </w:p>
        <w:p w14:paraId="5D37AC88">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"_Toc218942512" </w:instrText>
          </w:r>
          <w:r>
            <w:fldChar w:fldCharType="separate"/>
          </w:r>
          <w:r>
            <w:rPr>
              <w:rStyle w:val="22"/>
              <w:rFonts w:hint="eastAsia" w:ascii="Calibri" w:hAnsi="Calibri" w:eastAsia="楷体_GB2312" w:cs="Calibri"/>
            </w:rPr>
            <w:t xml:space="preserve">1 </w:t>
          </w:r>
          <w:r>
            <w:rPr>
              <w:rStyle w:val="22"/>
              <w:rFonts w:hint="eastAsia" w:ascii="Calibri" w:hAnsi="Calibri" w:eastAsia="楷体" w:cs="Calibri"/>
            </w:rPr>
            <w:t>Cirrus Aircraft: A Global Leader in Private Aviation with Over 40 Years of Experience</w:t>
          </w:r>
          <w:r>
            <w:rPr>
              <w:rFonts w:hint="eastAsia"/>
            </w:rPr>
            <w:tab/>
          </w:r>
          <w:r>
            <w:rPr>
              <w:rFonts w:hint="eastAsia"/>
            </w:rPr>
            <w:fldChar w:fldCharType="begin"/>
          </w:r>
          <w:r>
            <w:rPr>
              <w:rFonts w:hint="eastAsia"/>
            </w:rPr>
            <w:instrText xml:space="preserve"> </w:instrText>
          </w:r>
          <w:r>
            <w:instrText xml:space="preserve">PAGEREF _Toc218942512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BE2D644">
          <w:pPr>
            <w:pStyle w:val="16"/>
            <w:tabs>
              <w:tab w:val="right" w:leader="dot" w:pos="7733"/>
            </w:tabs>
            <w:rPr>
              <w:rFonts w:hint="eastAsia" w:cstheme="minorBidi"/>
              <w:kern w:val="2"/>
              <w:szCs w:val="24"/>
              <w14:ligatures w14:val="standardContextual"/>
            </w:rPr>
          </w:pPr>
          <w:r>
            <w:fldChar w:fldCharType="begin"/>
          </w:r>
          <w:r>
            <w:instrText xml:space="preserve"> HYPERLINK \l "_Toc218942513" </w:instrText>
          </w:r>
          <w:r>
            <w:fldChar w:fldCharType="separate"/>
          </w:r>
          <w:r>
            <w:rPr>
              <w:rStyle w:val="22"/>
              <w:rFonts w:hint="eastAsia" w:ascii="Calibri" w:hAnsi="Calibri" w:eastAsia="楷体_GB2312" w:cs="Calibri"/>
            </w:rPr>
            <w:t xml:space="preserve">1.1 </w:t>
          </w:r>
          <w:r>
            <w:rPr>
              <w:rStyle w:val="22"/>
              <w:rFonts w:hint="eastAsia" w:ascii="Calibri" w:hAnsi="Calibri" w:eastAsia="楷体" w:cs="Calibri"/>
            </w:rPr>
            <w:t>Company Overview</w:t>
          </w:r>
          <w:r>
            <w:rPr>
              <w:rFonts w:hint="eastAsia"/>
            </w:rPr>
            <w:tab/>
          </w:r>
          <w:r>
            <w:rPr>
              <w:rFonts w:hint="eastAsia"/>
            </w:rPr>
            <w:fldChar w:fldCharType="begin"/>
          </w:r>
          <w:r>
            <w:rPr>
              <w:rFonts w:hint="eastAsia"/>
            </w:rPr>
            <w:instrText xml:space="preserve"> </w:instrText>
          </w:r>
          <w:r>
            <w:instrText xml:space="preserve">PAGEREF _Toc218942513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842C805">
          <w:pPr>
            <w:pStyle w:val="16"/>
            <w:tabs>
              <w:tab w:val="right" w:leader="dot" w:pos="7733"/>
            </w:tabs>
            <w:rPr>
              <w:rFonts w:hint="eastAsia" w:cstheme="minorBidi"/>
              <w:kern w:val="2"/>
              <w:szCs w:val="24"/>
              <w14:ligatures w14:val="standardContextual"/>
            </w:rPr>
          </w:pPr>
          <w:r>
            <w:fldChar w:fldCharType="begin"/>
          </w:r>
          <w:r>
            <w:instrText xml:space="preserve"> HYPERLINK \l "_Toc218942514" </w:instrText>
          </w:r>
          <w:r>
            <w:fldChar w:fldCharType="separate"/>
          </w:r>
          <w:r>
            <w:rPr>
              <w:rStyle w:val="22"/>
              <w:rFonts w:hint="eastAsia" w:ascii="Calibri" w:hAnsi="Calibri" w:eastAsia="楷体_GB2312" w:cs="Calibri"/>
            </w:rPr>
            <w:t xml:space="preserve">1.2 </w:t>
          </w:r>
          <w:r>
            <w:rPr>
              <w:rStyle w:val="22"/>
              <w:rFonts w:hint="eastAsia" w:ascii="Calibri" w:hAnsi="Calibri" w:eastAsia="楷体" w:cs="Calibri"/>
            </w:rPr>
            <w:t>Ownership Structure &amp;Management</w:t>
          </w:r>
          <w:r>
            <w:rPr>
              <w:rFonts w:hint="eastAsia"/>
            </w:rPr>
            <w:tab/>
          </w:r>
          <w:r>
            <w:rPr>
              <w:rFonts w:hint="eastAsia"/>
            </w:rPr>
            <w:fldChar w:fldCharType="begin"/>
          </w:r>
          <w:r>
            <w:rPr>
              <w:rFonts w:hint="eastAsia"/>
            </w:rPr>
            <w:instrText xml:space="preserve"> </w:instrText>
          </w:r>
          <w:r>
            <w:instrText xml:space="preserve">PAGEREF _Toc218942514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5002F14">
          <w:pPr>
            <w:pStyle w:val="16"/>
            <w:tabs>
              <w:tab w:val="right" w:leader="dot" w:pos="7733"/>
            </w:tabs>
            <w:rPr>
              <w:rFonts w:hint="eastAsia" w:cstheme="minorBidi"/>
              <w:kern w:val="2"/>
              <w:szCs w:val="24"/>
              <w14:ligatures w14:val="standardContextual"/>
            </w:rPr>
          </w:pPr>
          <w:r>
            <w:fldChar w:fldCharType="begin"/>
          </w:r>
          <w:r>
            <w:instrText xml:space="preserve"> HYPERLINK \l "_Toc218942515" </w:instrText>
          </w:r>
          <w:r>
            <w:fldChar w:fldCharType="separate"/>
          </w:r>
          <w:r>
            <w:rPr>
              <w:rStyle w:val="22"/>
              <w:rFonts w:hint="eastAsia" w:ascii="Calibri" w:hAnsi="Calibri" w:eastAsia="楷体_GB2312" w:cs="Calibri"/>
            </w:rPr>
            <w:t xml:space="preserve">1.3 </w:t>
          </w:r>
          <w:r>
            <w:rPr>
              <w:rStyle w:val="22"/>
              <w:rFonts w:hint="eastAsia" w:ascii="Calibri" w:hAnsi="Calibri" w:eastAsia="楷体" w:cs="Calibri"/>
            </w:rPr>
            <w:t>Main Products</w:t>
          </w:r>
          <w:r>
            <w:rPr>
              <w:rFonts w:hint="eastAsia"/>
            </w:rPr>
            <w:tab/>
          </w:r>
          <w:r>
            <w:rPr>
              <w:rFonts w:hint="eastAsia"/>
            </w:rPr>
            <w:fldChar w:fldCharType="begin"/>
          </w:r>
          <w:r>
            <w:rPr>
              <w:rFonts w:hint="eastAsia"/>
            </w:rPr>
            <w:instrText xml:space="preserve"> </w:instrText>
          </w:r>
          <w:r>
            <w:instrText xml:space="preserve">PAGEREF _Toc218942515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31ABBC6">
          <w:pPr>
            <w:pStyle w:val="16"/>
            <w:tabs>
              <w:tab w:val="right" w:leader="dot" w:pos="7733"/>
            </w:tabs>
            <w:rPr>
              <w:rFonts w:hint="eastAsia" w:cstheme="minorBidi"/>
              <w:kern w:val="2"/>
              <w:szCs w:val="24"/>
              <w14:ligatures w14:val="standardContextual"/>
            </w:rPr>
          </w:pPr>
          <w:r>
            <w:fldChar w:fldCharType="begin"/>
          </w:r>
          <w:r>
            <w:instrText xml:space="preserve"> HYPERLINK \l "_Toc218942516" </w:instrText>
          </w:r>
          <w:r>
            <w:fldChar w:fldCharType="separate"/>
          </w:r>
          <w:r>
            <w:rPr>
              <w:rStyle w:val="22"/>
              <w:rFonts w:hint="eastAsia" w:ascii="Calibri" w:hAnsi="Calibri" w:eastAsia="楷体_GB2312" w:cs="Calibri"/>
            </w:rPr>
            <w:t xml:space="preserve">1.4 </w:t>
          </w:r>
          <w:r>
            <w:rPr>
              <w:rStyle w:val="22"/>
              <w:rFonts w:hint="eastAsia" w:ascii="Calibri" w:hAnsi="Calibri" w:eastAsia="楷体" w:cs="Calibri"/>
            </w:rPr>
            <w:t>Financial Performance</w:t>
          </w:r>
          <w:r>
            <w:rPr>
              <w:rFonts w:hint="eastAsia"/>
            </w:rPr>
            <w:tab/>
          </w:r>
          <w:r>
            <w:rPr>
              <w:rFonts w:hint="eastAsia"/>
            </w:rPr>
            <w:fldChar w:fldCharType="begin"/>
          </w:r>
          <w:r>
            <w:rPr>
              <w:rFonts w:hint="eastAsia"/>
            </w:rPr>
            <w:instrText xml:space="preserve"> </w:instrText>
          </w:r>
          <w:r>
            <w:instrText xml:space="preserve">PAGEREF _Toc218942516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3A28CE5">
          <w:pPr>
            <w:pStyle w:val="14"/>
            <w:tabs>
              <w:tab w:val="right" w:leader="dot" w:pos="7733"/>
            </w:tabs>
            <w:rPr>
              <w:rFonts w:hint="eastAsia" w:cstheme="minorBidi"/>
              <w:kern w:val="2"/>
              <w:szCs w:val="24"/>
              <w14:ligatures w14:val="standardContextual"/>
            </w:rPr>
          </w:pPr>
          <w:r>
            <w:fldChar w:fldCharType="begin"/>
          </w:r>
          <w:r>
            <w:instrText xml:space="preserve"> HYPERLINK \l "_Toc218942517" </w:instrText>
          </w:r>
          <w:r>
            <w:fldChar w:fldCharType="separate"/>
          </w:r>
          <w:r>
            <w:rPr>
              <w:rStyle w:val="22"/>
              <w:rFonts w:hint="eastAsia" w:ascii="Calibri" w:hAnsi="Calibri" w:eastAsia="楷体_GB2312" w:cs="Calibri"/>
            </w:rPr>
            <w:t xml:space="preserve">2 </w:t>
          </w:r>
          <w:r>
            <w:rPr>
              <w:rStyle w:val="22"/>
              <w:rFonts w:hint="eastAsia" w:ascii="Calibri" w:hAnsi="Calibri" w:eastAsia="楷体" w:cs="Calibri"/>
            </w:rPr>
            <w:t>Steady Growth in Private Jet Demand with Consumer-Oriented Scenarios</w:t>
          </w:r>
          <w:r>
            <w:rPr>
              <w:rFonts w:hint="eastAsia"/>
            </w:rPr>
            <w:tab/>
          </w:r>
          <w:r>
            <w:rPr>
              <w:rFonts w:hint="eastAsia"/>
            </w:rPr>
            <w:fldChar w:fldCharType="begin"/>
          </w:r>
          <w:r>
            <w:rPr>
              <w:rFonts w:hint="eastAsia"/>
            </w:rPr>
            <w:instrText xml:space="preserve"> </w:instrText>
          </w:r>
          <w:r>
            <w:instrText xml:space="preserve">PAGEREF _Toc218942517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E0411AB">
          <w:pPr>
            <w:pStyle w:val="16"/>
            <w:tabs>
              <w:tab w:val="right" w:leader="dot" w:pos="7733"/>
            </w:tabs>
            <w:rPr>
              <w:rFonts w:hint="eastAsia" w:cstheme="minorBidi"/>
              <w:kern w:val="2"/>
              <w:szCs w:val="24"/>
              <w14:ligatures w14:val="standardContextual"/>
            </w:rPr>
          </w:pPr>
          <w:r>
            <w:fldChar w:fldCharType="begin"/>
          </w:r>
          <w:r>
            <w:instrText xml:space="preserve"> HYPERLINK \l "_Toc218942518" </w:instrText>
          </w:r>
          <w:r>
            <w:fldChar w:fldCharType="separate"/>
          </w:r>
          <w:r>
            <w:rPr>
              <w:rStyle w:val="22"/>
              <w:rFonts w:hint="eastAsia" w:ascii="Calibri" w:hAnsi="Calibri" w:eastAsia="楷体_GB2312" w:cs="Calibri"/>
            </w:rPr>
            <w:t xml:space="preserve">2.1 </w:t>
          </w:r>
          <w:r>
            <w:rPr>
              <w:rStyle w:val="22"/>
              <w:rFonts w:hint="eastAsia" w:ascii="Calibri" w:hAnsi="Calibri" w:eastAsia="楷体" w:cs="Calibri"/>
            </w:rPr>
            <w:t>General Aviation Overview</w:t>
          </w:r>
          <w:r>
            <w:rPr>
              <w:rFonts w:hint="eastAsia"/>
            </w:rPr>
            <w:tab/>
          </w:r>
          <w:r>
            <w:rPr>
              <w:rFonts w:hint="eastAsia"/>
            </w:rPr>
            <w:fldChar w:fldCharType="begin"/>
          </w:r>
          <w:r>
            <w:rPr>
              <w:rFonts w:hint="eastAsia"/>
            </w:rPr>
            <w:instrText xml:space="preserve"> </w:instrText>
          </w:r>
          <w:r>
            <w:instrText xml:space="preserve">PAGEREF _Toc218942518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2D26BD37">
          <w:pPr>
            <w:pStyle w:val="16"/>
            <w:tabs>
              <w:tab w:val="right" w:leader="dot" w:pos="7733"/>
            </w:tabs>
            <w:rPr>
              <w:rFonts w:hint="eastAsia" w:cstheme="minorBidi"/>
              <w:kern w:val="2"/>
              <w:szCs w:val="24"/>
              <w14:ligatures w14:val="standardContextual"/>
            </w:rPr>
          </w:pPr>
          <w:r>
            <w:fldChar w:fldCharType="begin"/>
          </w:r>
          <w:r>
            <w:instrText xml:space="preserve"> HYPERLINK \l "_Toc218942519" </w:instrText>
          </w:r>
          <w:r>
            <w:fldChar w:fldCharType="separate"/>
          </w:r>
          <w:r>
            <w:rPr>
              <w:rStyle w:val="22"/>
              <w:rFonts w:hint="eastAsia" w:ascii="Calibri" w:hAnsi="Calibri" w:eastAsia="楷体_GB2312" w:cs="Calibri"/>
            </w:rPr>
            <w:t xml:space="preserve">2.2 </w:t>
          </w:r>
          <w:r>
            <w:rPr>
              <w:rStyle w:val="22"/>
              <w:rFonts w:hint="eastAsia" w:ascii="Calibri" w:hAnsi="Calibri" w:eastAsia="楷体" w:cs="Calibri"/>
            </w:rPr>
            <w:t>Global Private Aircraft Market: Steady Growth in Deliveries with High Industry Concentration</w:t>
          </w:r>
          <w:r>
            <w:rPr>
              <w:rFonts w:hint="eastAsia"/>
            </w:rPr>
            <w:tab/>
          </w:r>
          <w:r>
            <w:rPr>
              <w:rFonts w:hint="eastAsia"/>
            </w:rPr>
            <w:fldChar w:fldCharType="begin"/>
          </w:r>
          <w:r>
            <w:rPr>
              <w:rFonts w:hint="eastAsia"/>
            </w:rPr>
            <w:instrText xml:space="preserve"> </w:instrText>
          </w:r>
          <w:r>
            <w:instrText xml:space="preserve">PAGEREF _Toc218942519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4235B6A1">
          <w:pPr>
            <w:pStyle w:val="14"/>
            <w:tabs>
              <w:tab w:val="right" w:leader="dot" w:pos="7733"/>
            </w:tabs>
            <w:rPr>
              <w:rFonts w:hint="eastAsia" w:cstheme="minorBidi"/>
              <w:kern w:val="2"/>
              <w:szCs w:val="24"/>
              <w14:ligatures w14:val="standardContextual"/>
            </w:rPr>
          </w:pPr>
          <w:r>
            <w:fldChar w:fldCharType="begin"/>
          </w:r>
          <w:r>
            <w:instrText xml:space="preserve"> HYPERLINK \l "_Toc218942520" </w:instrText>
          </w:r>
          <w:r>
            <w:fldChar w:fldCharType="separate"/>
          </w:r>
          <w:r>
            <w:rPr>
              <w:rStyle w:val="22"/>
              <w:rFonts w:hint="eastAsia" w:ascii="Calibri" w:hAnsi="Calibri" w:eastAsia="楷体" w:cs="Calibri"/>
            </w:rPr>
            <w:t>3 High-Safety Products and Maturing Service Ecosystem Build Strong Brand Power</w:t>
          </w:r>
          <w:r>
            <w:rPr>
              <w:rFonts w:hint="eastAsia"/>
            </w:rPr>
            <w:tab/>
          </w:r>
          <w:r>
            <w:rPr>
              <w:rFonts w:hint="eastAsia"/>
            </w:rPr>
            <w:fldChar w:fldCharType="begin"/>
          </w:r>
          <w:r>
            <w:rPr>
              <w:rFonts w:hint="eastAsia"/>
            </w:rPr>
            <w:instrText xml:space="preserve"> </w:instrText>
          </w:r>
          <w:r>
            <w:instrText xml:space="preserve">PAGEREF _Toc218942520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21AC1B8D">
          <w:pPr>
            <w:pStyle w:val="16"/>
            <w:tabs>
              <w:tab w:val="right" w:leader="dot" w:pos="7733"/>
            </w:tabs>
            <w:rPr>
              <w:rFonts w:hint="eastAsia" w:cstheme="minorBidi"/>
              <w:kern w:val="2"/>
              <w:szCs w:val="24"/>
              <w14:ligatures w14:val="standardContextual"/>
            </w:rPr>
          </w:pPr>
          <w:r>
            <w:fldChar w:fldCharType="begin"/>
          </w:r>
          <w:r>
            <w:instrText xml:space="preserve"> HYPERLINK \l "_Toc218942521" </w:instrText>
          </w:r>
          <w:r>
            <w:fldChar w:fldCharType="separate"/>
          </w:r>
          <w:r>
            <w:rPr>
              <w:rStyle w:val="22"/>
              <w:rFonts w:hint="eastAsia" w:ascii="Calibri" w:hAnsi="Calibri" w:eastAsia="楷体_GB2312" w:cs="Calibri"/>
            </w:rPr>
            <w:t>3.1 Product Matrix Covers Full-Spectrum Needs, High Safety Addresses Industry Pain Points</w:t>
          </w:r>
          <w:r>
            <w:rPr>
              <w:rFonts w:hint="eastAsia"/>
            </w:rPr>
            <w:tab/>
          </w:r>
          <w:r>
            <w:rPr>
              <w:rFonts w:hint="eastAsia"/>
            </w:rPr>
            <w:fldChar w:fldCharType="begin"/>
          </w:r>
          <w:r>
            <w:rPr>
              <w:rFonts w:hint="eastAsia"/>
            </w:rPr>
            <w:instrText xml:space="preserve"> </w:instrText>
          </w:r>
          <w:r>
            <w:instrText xml:space="preserve">PAGEREF _Toc218942521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62A9BAA0">
          <w:pPr>
            <w:pStyle w:val="16"/>
            <w:tabs>
              <w:tab w:val="right" w:leader="dot" w:pos="7733"/>
            </w:tabs>
            <w:rPr>
              <w:rFonts w:hint="eastAsia" w:cstheme="minorBidi"/>
              <w:kern w:val="2"/>
              <w:szCs w:val="24"/>
              <w14:ligatures w14:val="standardContextual"/>
            </w:rPr>
          </w:pPr>
          <w:r>
            <w:fldChar w:fldCharType="begin"/>
          </w:r>
          <w:r>
            <w:instrText xml:space="preserve"> HYPERLINK \l "_Toc218942522" </w:instrText>
          </w:r>
          <w:r>
            <w:fldChar w:fldCharType="separate"/>
          </w:r>
          <w:r>
            <w:rPr>
              <w:rStyle w:val="22"/>
              <w:rFonts w:hint="eastAsia" w:ascii="Calibri" w:hAnsi="Calibri" w:eastAsia="楷体_GB2312" w:cs="Calibri"/>
            </w:rPr>
            <w:t xml:space="preserve">3.2 </w:t>
          </w:r>
          <w:r>
            <w:rPr>
              <w:rStyle w:val="22"/>
              <w:rFonts w:hint="eastAsia" w:ascii="Calibri" w:hAnsi="Calibri" w:eastAsia="楷体" w:cs="Calibri"/>
            </w:rPr>
            <w:t>Comprehensive Manufacturing and Service Ecosystem Builds Irreplicable Competitive Strength</w:t>
          </w:r>
          <w:r>
            <w:rPr>
              <w:rFonts w:hint="eastAsia"/>
            </w:rPr>
            <w:tab/>
          </w:r>
          <w:r>
            <w:rPr>
              <w:rFonts w:hint="eastAsia"/>
            </w:rPr>
            <w:fldChar w:fldCharType="begin"/>
          </w:r>
          <w:r>
            <w:rPr>
              <w:rFonts w:hint="eastAsia"/>
            </w:rPr>
            <w:instrText xml:space="preserve"> </w:instrText>
          </w:r>
          <w:r>
            <w:instrText xml:space="preserve">PAGEREF _Toc218942522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24697421">
          <w:pPr>
            <w:pStyle w:val="16"/>
            <w:tabs>
              <w:tab w:val="right" w:leader="dot" w:pos="7733"/>
            </w:tabs>
            <w:rPr>
              <w:rFonts w:hint="eastAsia" w:cstheme="minorBidi"/>
              <w:kern w:val="2"/>
              <w:szCs w:val="24"/>
              <w14:ligatures w14:val="standardContextual"/>
            </w:rPr>
          </w:pPr>
          <w:r>
            <w:fldChar w:fldCharType="begin"/>
          </w:r>
          <w:r>
            <w:instrText xml:space="preserve"> HYPERLINK \l "_Toc218942523" </w:instrText>
          </w:r>
          <w:r>
            <w:fldChar w:fldCharType="separate"/>
          </w:r>
          <w:r>
            <w:rPr>
              <w:rStyle w:val="22"/>
              <w:rFonts w:hint="eastAsia" w:ascii="Calibri" w:hAnsi="Calibri" w:eastAsia="楷体_GB2312" w:cs="Calibri"/>
            </w:rPr>
            <w:t>3.3 Re</w:t>
          </w:r>
          <w:r>
            <w:rPr>
              <w:rStyle w:val="22"/>
              <w:rFonts w:hint="eastAsia" w:ascii="Calibri" w:hAnsi="Calibri" w:eastAsia="楷体" w:cs="Calibri"/>
            </w:rPr>
            <w:t>purchases and Pricing Power Demonstrate Strong Brand Strength</w:t>
          </w:r>
          <w:r>
            <w:rPr>
              <w:rFonts w:hint="eastAsia"/>
            </w:rPr>
            <w:tab/>
          </w:r>
          <w:r>
            <w:rPr>
              <w:rFonts w:hint="eastAsia"/>
            </w:rPr>
            <w:fldChar w:fldCharType="begin"/>
          </w:r>
          <w:r>
            <w:rPr>
              <w:rFonts w:hint="eastAsia"/>
            </w:rPr>
            <w:instrText xml:space="preserve"> </w:instrText>
          </w:r>
          <w:r>
            <w:instrText xml:space="preserve">PAGEREF _Toc218942523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C98CDF5">
          <w:pPr>
            <w:pStyle w:val="14"/>
            <w:tabs>
              <w:tab w:val="right" w:leader="dot" w:pos="7733"/>
            </w:tabs>
            <w:rPr>
              <w:rFonts w:hint="eastAsia" w:cstheme="minorBidi"/>
              <w:kern w:val="2"/>
              <w:szCs w:val="24"/>
              <w14:ligatures w14:val="standardContextual"/>
            </w:rPr>
          </w:pPr>
          <w:r>
            <w:fldChar w:fldCharType="begin"/>
          </w:r>
          <w:r>
            <w:instrText xml:space="preserve"> HYPERLINK \l "_Toc218942524" </w:instrText>
          </w:r>
          <w:r>
            <w:fldChar w:fldCharType="separate"/>
          </w:r>
          <w:r>
            <w:rPr>
              <w:rStyle w:val="22"/>
              <w:rFonts w:hint="eastAsia" w:ascii="Calibri" w:hAnsi="Calibri" w:eastAsia="楷体_GB2312" w:cs="Calibri"/>
            </w:rPr>
            <w:t>4.</w:t>
          </w:r>
          <w:r>
            <w:rPr>
              <w:rStyle w:val="22"/>
              <w:rFonts w:hint="eastAsia" w:ascii="Calibri" w:hAnsi="Calibri" w:cs="Calibri"/>
            </w:rPr>
            <w:t xml:space="preserve"> </w:t>
          </w:r>
          <w:r>
            <w:rPr>
              <w:rStyle w:val="22"/>
              <w:rFonts w:hint="eastAsia" w:ascii="Calibri" w:hAnsi="Calibri" w:eastAsia="楷体" w:cs="Calibri"/>
            </w:rPr>
            <w:t>Future Outlook: Robust Yet Resilient Growth</w:t>
          </w:r>
          <w:r>
            <w:rPr>
              <w:rFonts w:hint="eastAsia"/>
            </w:rPr>
            <w:tab/>
          </w:r>
          <w:r>
            <w:rPr>
              <w:rFonts w:hint="eastAsia"/>
            </w:rPr>
            <w:fldChar w:fldCharType="begin"/>
          </w:r>
          <w:r>
            <w:rPr>
              <w:rFonts w:hint="eastAsia"/>
            </w:rPr>
            <w:instrText xml:space="preserve"> </w:instrText>
          </w:r>
          <w:r>
            <w:instrText xml:space="preserve">PAGEREF _Toc218942524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D222425">
          <w:pPr>
            <w:pStyle w:val="14"/>
            <w:tabs>
              <w:tab w:val="right" w:leader="dot" w:pos="7733"/>
            </w:tabs>
            <w:rPr>
              <w:rFonts w:hint="eastAsia" w:cstheme="minorBidi"/>
              <w:kern w:val="2"/>
              <w:szCs w:val="24"/>
              <w14:ligatures w14:val="standardContextual"/>
            </w:rPr>
          </w:pPr>
          <w:r>
            <w:fldChar w:fldCharType="begin"/>
          </w:r>
          <w:r>
            <w:instrText xml:space="preserve"> HYPERLINK \l "_Toc218942525" </w:instrText>
          </w:r>
          <w:r>
            <w:fldChar w:fldCharType="separate"/>
          </w:r>
          <w:r>
            <w:rPr>
              <w:rStyle w:val="22"/>
              <w:rFonts w:hint="eastAsia" w:ascii="Calibri" w:hAnsi="Calibri" w:eastAsia="楷体_GB2312" w:cs="Calibri"/>
            </w:rPr>
            <w:t>5.</w:t>
          </w:r>
          <w:r>
            <w:rPr>
              <w:rStyle w:val="22"/>
              <w:rFonts w:hint="eastAsia" w:ascii="Calibri" w:hAnsi="Calibri" w:cs="Calibri"/>
            </w:rPr>
            <w:t xml:space="preserve"> </w:t>
          </w:r>
          <w:r>
            <w:rPr>
              <w:rStyle w:val="22"/>
              <w:rFonts w:hint="eastAsia" w:ascii="Calibri" w:hAnsi="Calibri" w:eastAsia="楷体" w:cs="Calibri"/>
            </w:rPr>
            <w:t>Valuation&amp; Recommendation</w:t>
          </w:r>
          <w:r>
            <w:rPr>
              <w:rFonts w:hint="eastAsia"/>
            </w:rPr>
            <w:tab/>
          </w:r>
          <w:r>
            <w:rPr>
              <w:rFonts w:hint="eastAsia"/>
            </w:rPr>
            <w:fldChar w:fldCharType="begin"/>
          </w:r>
          <w:r>
            <w:rPr>
              <w:rFonts w:hint="eastAsia"/>
            </w:rPr>
            <w:instrText xml:space="preserve"> </w:instrText>
          </w:r>
          <w:r>
            <w:instrText xml:space="preserve">PAGEREF _Toc218942525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71D167E5">
          <w:pPr>
            <w:pStyle w:val="14"/>
            <w:tabs>
              <w:tab w:val="right" w:leader="dot" w:pos="7733"/>
            </w:tabs>
            <w:rPr>
              <w:rFonts w:hint="eastAsia" w:cstheme="minorBidi"/>
              <w:kern w:val="2"/>
              <w:szCs w:val="24"/>
              <w14:ligatures w14:val="standardContextual"/>
            </w:rPr>
          </w:pPr>
          <w:r>
            <w:fldChar w:fldCharType="begin"/>
          </w:r>
          <w:r>
            <w:instrText xml:space="preserve"> HYPERLINK \l "_Toc218942526" </w:instrText>
          </w:r>
          <w:r>
            <w:fldChar w:fldCharType="separate"/>
          </w:r>
          <w:r>
            <w:rPr>
              <w:rStyle w:val="22"/>
              <w:rFonts w:hint="eastAsia" w:ascii="Calibri" w:hAnsi="Calibri" w:eastAsia="楷体_GB2312" w:cs="Calibri"/>
            </w:rPr>
            <w:t>6. Risks</w:t>
          </w:r>
          <w:r>
            <w:rPr>
              <w:rFonts w:hint="eastAsia"/>
            </w:rPr>
            <w:tab/>
          </w:r>
          <w:r>
            <w:rPr>
              <w:rFonts w:hint="eastAsia"/>
            </w:rPr>
            <w:fldChar w:fldCharType="begin"/>
          </w:r>
          <w:r>
            <w:rPr>
              <w:rFonts w:hint="eastAsia"/>
            </w:rPr>
            <w:instrText xml:space="preserve"> </w:instrText>
          </w:r>
          <w:r>
            <w:instrText xml:space="preserve">PAGEREF _Toc218942526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0612F9EF">
          <w:pPr>
            <w:rPr>
              <w:rFonts w:cs="Calibri"/>
            </w:rPr>
          </w:pPr>
          <w:r>
            <w:rPr>
              <w:rFonts w:cs="Calibri"/>
              <w:bCs/>
              <w:lang w:val="zh-CN"/>
            </w:rPr>
            <w:fldChar w:fldCharType="end"/>
          </w:r>
        </w:p>
      </w:sdtContent>
    </w:sdt>
    <w:p w14:paraId="210AF5DB">
      <w:pPr>
        <w:pStyle w:val="43"/>
        <w:rPr>
          <w:rFonts w:eastAsia="宋体" w:cs="Calibri"/>
          <w:lang w:eastAsia="zh-CN"/>
        </w:rPr>
      </w:pPr>
    </w:p>
    <w:p w14:paraId="3C869698">
      <w:pPr>
        <w:rPr>
          <w:rFonts w:eastAsiaTheme="minorEastAsia"/>
          <w:lang w:eastAsia="zh-CN"/>
        </w:rPr>
      </w:pPr>
    </w:p>
    <w:p w14:paraId="124C1C5D">
      <w:pPr>
        <w:rPr>
          <w:rFonts w:eastAsiaTheme="minorEastAsia"/>
          <w:lang w:eastAsia="zh-CN"/>
        </w:rPr>
      </w:pPr>
    </w:p>
    <w:p w14:paraId="0CE8D8C8">
      <w:pPr>
        <w:rPr>
          <w:rFonts w:eastAsiaTheme="minorEastAsia"/>
          <w:lang w:eastAsia="zh-CN"/>
        </w:rPr>
      </w:pPr>
    </w:p>
    <w:p w14:paraId="5BD11E96">
      <w:pPr>
        <w:rPr>
          <w:rFonts w:eastAsiaTheme="minorEastAsia"/>
          <w:lang w:eastAsia="zh-CN"/>
        </w:rPr>
      </w:pPr>
    </w:p>
    <w:p w14:paraId="008F4799">
      <w:pPr>
        <w:rPr>
          <w:rFonts w:eastAsiaTheme="minorEastAsia"/>
          <w:lang w:eastAsia="zh-CN"/>
        </w:rPr>
      </w:pPr>
    </w:p>
    <w:p w14:paraId="13BA69AA">
      <w:pPr>
        <w:rPr>
          <w:rFonts w:eastAsiaTheme="minorEastAsia"/>
          <w:lang w:eastAsia="zh-CN"/>
        </w:rPr>
      </w:pPr>
    </w:p>
    <w:p w14:paraId="71745142">
      <w:pPr>
        <w:rPr>
          <w:rFonts w:eastAsiaTheme="minorEastAsia"/>
          <w:lang w:eastAsia="zh-CN"/>
        </w:rPr>
        <w:sectPr>
          <w:headerReference r:id="rId10" w:type="first"/>
          <w:footerReference r:id="rId12" w:type="first"/>
          <w:headerReference r:id="rId9" w:type="default"/>
          <w:footerReference r:id="rId11" w:type="default"/>
          <w:pgSz w:w="11910" w:h="16840"/>
          <w:pgMar w:top="567" w:right="567" w:bottom="1021" w:left="3600" w:header="567" w:footer="919" w:gutter="0"/>
          <w:cols w:space="425" w:num="1"/>
          <w:titlePg/>
          <w:docGrid w:linePitch="299" w:charSpace="0"/>
        </w:sectPr>
      </w:pPr>
    </w:p>
    <w:p w14:paraId="231FEAD4">
      <w:pPr>
        <w:pStyle w:val="2"/>
        <w:spacing w:before="240" w:beforeLines="100" w:after="240" w:afterLines="100"/>
        <w:jc w:val="both"/>
        <w:rPr>
          <w:rFonts w:ascii="Calibri" w:hAnsi="Calibri" w:eastAsia="楷体_GB2312" w:cs="Calibri"/>
          <w:b/>
          <w:bCs/>
          <w:color w:val="215E99"/>
          <w:sz w:val="28"/>
          <w:szCs w:val="28"/>
        </w:rPr>
      </w:pPr>
      <w:bookmarkStart w:id="0" w:name="_Toc218942512"/>
      <w:r>
        <w:rPr>
          <w:rFonts w:hint="eastAsia" w:ascii="Calibri" w:hAnsi="Calibri" w:eastAsia="楷体_GB2312" w:cs="Calibri"/>
          <w:b/>
          <w:bCs/>
          <w:color w:val="215E99"/>
          <w:sz w:val="28"/>
          <w:szCs w:val="28"/>
          <w:lang w:eastAsia="zh-CN"/>
        </w:rPr>
        <w:t>1</w:t>
      </w:r>
      <w:r>
        <w:rPr>
          <w:rFonts w:ascii="Calibri" w:hAnsi="Calibri" w:eastAsia="楷体_GB2312" w:cs="Calibri"/>
          <w:b/>
          <w:bCs/>
          <w:color w:val="215E99"/>
          <w:sz w:val="28"/>
          <w:szCs w:val="28"/>
          <w:lang w:eastAsia="zh-CN"/>
        </w:rPr>
        <w:t xml:space="preserve"> </w:t>
      </w:r>
      <w:r>
        <w:rPr>
          <w:rFonts w:ascii="Calibri" w:hAnsi="Calibri" w:eastAsia="楷体" w:cs="Calibri"/>
          <w:b/>
          <w:bCs/>
          <w:color w:val="215E99"/>
          <w:sz w:val="28"/>
          <w:szCs w:val="28"/>
          <w:lang w:eastAsia="zh-CN"/>
        </w:rPr>
        <w:t>Cirrus Aircraft: A Global Leader in Private Aviation with Over 40 Years of Experience</w:t>
      </w:r>
      <w:bookmarkEnd w:id="0"/>
    </w:p>
    <w:p w14:paraId="1A808702">
      <w:pPr>
        <w:pStyle w:val="76"/>
        <w:jc w:val="both"/>
        <w:rPr>
          <w:rFonts w:ascii="Calibri" w:hAnsi="Calibri" w:eastAsia="楷体_GB2312" w:cs="Calibri"/>
          <w:color w:val="215E99"/>
          <w:sz w:val="24"/>
        </w:rPr>
      </w:pPr>
      <w:bookmarkStart w:id="1" w:name="_Toc218942513"/>
      <w:r>
        <w:rPr>
          <w:rFonts w:hint="eastAsia" w:ascii="Calibri" w:hAnsi="Calibri" w:eastAsia="楷体_GB2312" w:cs="Calibri"/>
          <w:color w:val="215E99"/>
          <w:sz w:val="24"/>
        </w:rPr>
        <w:t>1</w:t>
      </w:r>
      <w:r>
        <w:rPr>
          <w:rFonts w:ascii="Calibri" w:hAnsi="Calibri" w:eastAsia="楷体_GB2312" w:cs="Calibri"/>
          <w:color w:val="215E99"/>
          <w:sz w:val="24"/>
        </w:rPr>
        <w:t xml:space="preserve">.1 </w:t>
      </w:r>
      <w:r>
        <w:rPr>
          <w:rFonts w:ascii="Calibri" w:hAnsi="Calibri" w:eastAsia="楷体" w:cs="Calibri"/>
          <w:color w:val="215E99"/>
          <w:sz w:val="24"/>
        </w:rPr>
        <w:t>Company Overview</w:t>
      </w:r>
      <w:bookmarkEnd w:id="1"/>
    </w:p>
    <w:p w14:paraId="2B752547">
      <w:pPr>
        <w:rPr>
          <w:rFonts w:cs="Calibri" w:eastAsiaTheme="minorEastAsia"/>
          <w:sz w:val="22"/>
          <w:szCs w:val="22"/>
          <w:lang w:eastAsia="zh-CN"/>
        </w:rPr>
      </w:pPr>
      <w:r>
        <w:rPr>
          <w:rFonts w:cs="Calibri" w:eastAsiaTheme="minorEastAsia"/>
          <w:sz w:val="22"/>
          <w:szCs w:val="22"/>
          <w:lang w:eastAsia="zh-CN"/>
        </w:rPr>
        <w:t xml:space="preserve">Cirrus Aircraft Limited was founded in 1984 and is headquartered in Wisconsin, USA. It is a pioneer in the private aviation industry and a global market leader, dedicated to the design, development, manufacturing, and sales of industry-recognized premium aircraft. </w:t>
      </w:r>
    </w:p>
    <w:p w14:paraId="1FE0AE4A">
      <w:pPr>
        <w:rPr>
          <w:rFonts w:cs="Calibri" w:eastAsiaTheme="minorEastAsia"/>
          <w:sz w:val="22"/>
          <w:szCs w:val="22"/>
          <w:lang w:eastAsia="zh-CN"/>
        </w:rPr>
      </w:pPr>
      <w:r>
        <w:rPr>
          <w:rFonts w:cs="Calibri" w:eastAsiaTheme="minorEastAsia"/>
          <w:sz w:val="22"/>
          <w:szCs w:val="22"/>
          <w:lang w:eastAsia="zh-CN"/>
        </w:rPr>
        <w:t>In 1999, the company completed the first delivery of the SR20 aircraft, subsequently launching new models such as the SR22, SR2X, SR22TN, and SR22T.</w:t>
      </w:r>
      <w:r>
        <w:rPr>
          <w:rFonts w:ascii="Arial" w:hAnsi="Arial" w:cs="Arial"/>
          <w:color w:val="000000"/>
          <w:sz w:val="23"/>
          <w:szCs w:val="23"/>
          <w:shd w:val="clear" w:color="auto" w:fill="FCFBFB"/>
        </w:rPr>
        <w:t xml:space="preserve"> </w:t>
      </w:r>
      <w:r>
        <w:rPr>
          <w:rFonts w:cs="Calibri" w:eastAsiaTheme="minorEastAsia"/>
          <w:sz w:val="22"/>
          <w:szCs w:val="22"/>
          <w:lang w:eastAsia="zh-CN"/>
        </w:rPr>
        <w:t>In 2011, following the financial crisis, CAIGA acquired Cirrus Aircraft for a price of $210 million</w:t>
      </w:r>
      <w:r>
        <w:rPr>
          <w:rFonts w:hint="eastAsia" w:cs="Calibri" w:eastAsiaTheme="minorEastAsia"/>
          <w:sz w:val="22"/>
          <w:szCs w:val="22"/>
          <w:lang w:eastAsia="zh-CN"/>
        </w:rPr>
        <w:t>.</w:t>
      </w:r>
      <w:r>
        <w:rPr>
          <w:rFonts w:cs="Calibri" w:eastAsiaTheme="minorEastAsia"/>
          <w:sz w:val="22"/>
          <w:szCs w:val="22"/>
          <w:lang w:eastAsia="zh-CN"/>
        </w:rPr>
        <w:t xml:space="preserve"> In 2016, the company achieved the first delivery of the Vision Jet. In 2017, Cirrus launched its Embark training program, and in 2018, it introduced Cirrus Services.</w:t>
      </w:r>
      <w:r>
        <w:rPr>
          <w:rFonts w:hint="eastAsia" w:cs="Calibri" w:eastAsiaTheme="minorEastAsia"/>
          <w:sz w:val="22"/>
          <w:szCs w:val="22"/>
          <w:lang w:eastAsia="zh-CN"/>
        </w:rPr>
        <w:t xml:space="preserve"> </w:t>
      </w:r>
      <w:r>
        <w:rPr>
          <w:rFonts w:cs="Calibri" w:eastAsiaTheme="minorEastAsia"/>
          <w:sz w:val="22"/>
          <w:szCs w:val="22"/>
          <w:lang w:eastAsia="zh-CN"/>
        </w:rPr>
        <w:t xml:space="preserve">In 2019, the company was incorporated as an exempted company in the Cayman Islands, laying a solid legal foundation for subsequent capital operations and international development. By the end of </w:t>
      </w:r>
      <w:r>
        <w:rPr>
          <w:rFonts w:hint="eastAsia" w:cs="Calibri" w:eastAsiaTheme="minorEastAsia"/>
          <w:sz w:val="22"/>
          <w:szCs w:val="22"/>
          <w:lang w:eastAsia="zh-CN"/>
        </w:rPr>
        <w:t>2025H1</w:t>
      </w:r>
      <w:r>
        <w:rPr>
          <w:rFonts w:cs="Calibri" w:eastAsiaTheme="minorEastAsia"/>
          <w:sz w:val="22"/>
          <w:szCs w:val="22"/>
          <w:lang w:eastAsia="zh-CN"/>
        </w:rPr>
        <w:t>, the company had delivered over 10,000 SR2X series aircraft and over 600 Vision Jets.</w:t>
      </w:r>
    </w:p>
    <w:p w14:paraId="21FD1743">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FB5005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BBDE988">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cs="Calibri"/>
                <w:b/>
                <w:sz w:val="20"/>
                <w:szCs w:val="20"/>
              </w:rPr>
              <w:t>Cirrus Aircraft</w:t>
            </w:r>
            <w:r>
              <w:rPr>
                <w:rFonts w:cs="Calibri"/>
                <w:b/>
                <w:sz w:val="20"/>
                <w:szCs w:val="20"/>
              </w:rPr>
              <w:t>’</w:t>
            </w:r>
            <w:r>
              <w:rPr>
                <w:rFonts w:hint="eastAsia" w:cs="Calibri"/>
                <w:b/>
                <w:sz w:val="20"/>
                <w:szCs w:val="20"/>
              </w:rPr>
              <w:t xml:space="preserve">s </w:t>
            </w:r>
            <w:r>
              <w:rPr>
                <w:rFonts w:cs="Calibri"/>
                <w:b/>
                <w:sz w:val="20"/>
                <w:szCs w:val="20"/>
              </w:rPr>
              <w:t>Milestone Event</w:t>
            </w:r>
            <w:r>
              <w:rPr>
                <w:rFonts w:hint="eastAsia" w:cs="Calibri"/>
                <w:b/>
                <w:sz w:val="20"/>
                <w:szCs w:val="20"/>
              </w:rPr>
              <w:t>s</w:t>
            </w:r>
          </w:p>
        </w:tc>
      </w:tr>
      <w:tr w14:paraId="0670ECB3">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018"/>
              <w:gridCol w:w="6102"/>
            </w:tblGrid>
            <w:tr w14:paraId="53C2C221">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shd w:val="clear" w:color="auto" w:fill="4472C4"/>
                  <w:noWrap/>
                  <w:vAlign w:val="center"/>
                </w:tcPr>
                <w:p w14:paraId="0DB33561">
                  <w:pPr>
                    <w:rPr>
                      <w:rFonts w:hint="eastAsia" w:ascii="微软雅黑" w:hAnsi="微软雅黑" w:eastAsia="微软雅黑" w:cs="宋体"/>
                      <w:b/>
                      <w:bCs/>
                      <w:snapToGrid/>
                      <w:color w:val="FFFFFF" w:themeColor="background1"/>
                      <w:sz w:val="14"/>
                      <w:szCs w:val="14"/>
                      <w:lang w:eastAsia="zh-CN"/>
                      <w14:textFill>
                        <w14:solidFill>
                          <w14:schemeClr w14:val="bg1"/>
                        </w14:solidFill>
                      </w14:textFill>
                    </w:rPr>
                  </w:pPr>
                  <w:r>
                    <w:rPr>
                      <w:rFonts w:hint="eastAsia" w:ascii="微软雅黑" w:hAnsi="微软雅黑" w:eastAsia="微软雅黑" w:cs="宋体"/>
                      <w:b/>
                      <w:bCs/>
                      <w:snapToGrid/>
                      <w:color w:val="FFFFFF" w:themeColor="background1"/>
                      <w:sz w:val="14"/>
                      <w:szCs w:val="14"/>
                      <w:lang w:eastAsia="zh-CN"/>
                      <w14:textFill>
                        <w14:solidFill>
                          <w14:schemeClr w14:val="bg1"/>
                        </w14:solidFill>
                      </w14:textFill>
                    </w:rPr>
                    <w:t>Year</w:t>
                  </w:r>
                </w:p>
              </w:tc>
              <w:tc>
                <w:tcPr>
                  <w:tcW w:w="6102" w:type="dxa"/>
                  <w:tcBorders>
                    <w:top w:val="nil"/>
                    <w:left w:val="nil"/>
                    <w:bottom w:val="single" w:color="auto" w:sz="4" w:space="0"/>
                    <w:right w:val="single" w:color="auto" w:sz="4" w:space="0"/>
                  </w:tcBorders>
                  <w:shd w:val="clear" w:color="auto" w:fill="4472C4"/>
                  <w:noWrap/>
                  <w:vAlign w:val="center"/>
                </w:tcPr>
                <w:p w14:paraId="2F13874E">
                  <w:pPr>
                    <w:rPr>
                      <w:rFonts w:hint="eastAsia" w:ascii="微软雅黑" w:hAnsi="微软雅黑" w:eastAsia="微软雅黑" w:cs="宋体"/>
                      <w:snapToGrid/>
                      <w:color w:val="FFFFFF" w:themeColor="background1"/>
                      <w:sz w:val="14"/>
                      <w:szCs w:val="14"/>
                      <w:lang w:eastAsia="zh-CN"/>
                      <w14:textFill>
                        <w14:solidFill>
                          <w14:schemeClr w14:val="bg1"/>
                        </w14:solidFill>
                      </w14:textFill>
                    </w:rPr>
                  </w:pPr>
                  <w:r>
                    <w:rPr>
                      <w:rFonts w:hint="eastAsia" w:ascii="微软雅黑" w:hAnsi="微软雅黑" w:eastAsia="微软雅黑" w:cs="宋体"/>
                      <w:snapToGrid/>
                      <w:color w:val="FFFFFF" w:themeColor="background1"/>
                      <w:sz w:val="14"/>
                      <w:szCs w:val="14"/>
                      <w:lang w:eastAsia="zh-CN"/>
                      <w14:textFill>
                        <w14:solidFill>
                          <w14:schemeClr w14:val="bg1"/>
                        </w14:solidFill>
                      </w14:textFill>
                    </w:rPr>
                    <w:t>　</w:t>
                  </w:r>
                  <w:r>
                    <w:rPr>
                      <w:rFonts w:ascii="微软雅黑" w:hAnsi="微软雅黑" w:eastAsia="微软雅黑" w:cs="宋体"/>
                      <w:b/>
                      <w:bCs/>
                      <w:snapToGrid/>
                      <w:color w:val="FFFFFF" w:themeColor="background1"/>
                      <w:sz w:val="14"/>
                      <w:szCs w:val="14"/>
                      <w:lang w:eastAsia="zh-CN"/>
                      <w14:textFill>
                        <w14:solidFill>
                          <w14:schemeClr w14:val="bg1"/>
                        </w14:solidFill>
                      </w14:textFill>
                    </w:rPr>
                    <w:t>Milestone Event</w:t>
                  </w:r>
                  <w:r>
                    <w:rPr>
                      <w:rFonts w:hint="eastAsia" w:ascii="微软雅黑" w:hAnsi="微软雅黑" w:eastAsia="微软雅黑" w:cs="宋体"/>
                      <w:b/>
                      <w:bCs/>
                      <w:snapToGrid/>
                      <w:color w:val="FFFFFF" w:themeColor="background1"/>
                      <w:sz w:val="14"/>
                      <w:szCs w:val="14"/>
                      <w:lang w:eastAsia="zh-CN"/>
                      <w14:textFill>
                        <w14:solidFill>
                          <w14:schemeClr w14:val="bg1"/>
                        </w14:solidFill>
                      </w14:textFill>
                    </w:rPr>
                    <w:t>s</w:t>
                  </w:r>
                </w:p>
              </w:tc>
            </w:tr>
            <w:tr w14:paraId="63FDF66A">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719E4154">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1984</w:t>
                  </w:r>
                </w:p>
              </w:tc>
              <w:tc>
                <w:tcPr>
                  <w:tcW w:w="6102" w:type="dxa"/>
                  <w:tcBorders>
                    <w:top w:val="nil"/>
                    <w:left w:val="nil"/>
                    <w:bottom w:val="single" w:color="auto" w:sz="4" w:space="0"/>
                    <w:right w:val="single" w:color="auto" w:sz="4" w:space="0"/>
                  </w:tcBorders>
                  <w:noWrap/>
                  <w:vAlign w:val="center"/>
                </w:tcPr>
                <w:p w14:paraId="5F3D2F72">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Cirrus Design Corporation was founded.</w:t>
                  </w:r>
                </w:p>
              </w:tc>
            </w:tr>
            <w:tr w14:paraId="6A3491E1">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20E33C5E">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1988</w:t>
                  </w:r>
                </w:p>
              </w:tc>
              <w:tc>
                <w:tcPr>
                  <w:tcW w:w="6102" w:type="dxa"/>
                  <w:tcBorders>
                    <w:top w:val="nil"/>
                    <w:left w:val="nil"/>
                    <w:bottom w:val="single" w:color="auto" w:sz="4" w:space="0"/>
                    <w:right w:val="single" w:color="auto" w:sz="4" w:space="0"/>
                  </w:tcBorders>
                  <w:noWrap/>
                  <w:vAlign w:val="center"/>
                </w:tcPr>
                <w:p w14:paraId="488F9F4A">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Successful maiden flight of the VK-30.</w:t>
                  </w:r>
                </w:p>
              </w:tc>
            </w:tr>
            <w:tr w14:paraId="504D13DC">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7DCD5CEB">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1999</w:t>
                  </w:r>
                </w:p>
              </w:tc>
              <w:tc>
                <w:tcPr>
                  <w:tcW w:w="6102" w:type="dxa"/>
                  <w:tcBorders>
                    <w:top w:val="nil"/>
                    <w:left w:val="nil"/>
                    <w:bottom w:val="single" w:color="auto" w:sz="4" w:space="0"/>
                    <w:right w:val="single" w:color="auto" w:sz="4" w:space="0"/>
                  </w:tcBorders>
                  <w:noWrap/>
                  <w:vAlign w:val="center"/>
                </w:tcPr>
                <w:p w14:paraId="4A72B10F">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First SR20 aircraft delivered to a customer.</w:t>
                  </w:r>
                </w:p>
              </w:tc>
            </w:tr>
            <w:tr w14:paraId="11A3EC69">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37FFBD55">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2001</w:t>
                  </w:r>
                </w:p>
              </w:tc>
              <w:tc>
                <w:tcPr>
                  <w:tcW w:w="6102" w:type="dxa"/>
                  <w:tcBorders>
                    <w:top w:val="nil"/>
                    <w:left w:val="nil"/>
                    <w:bottom w:val="single" w:color="auto" w:sz="4" w:space="0"/>
                    <w:right w:val="single" w:color="auto" w:sz="4" w:space="0"/>
                  </w:tcBorders>
                  <w:noWrap/>
                  <w:vAlign w:val="center"/>
                </w:tcPr>
                <w:p w14:paraId="690F3A9F">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First SR22 aircraft delivered to a customer.</w:t>
                  </w:r>
                </w:p>
              </w:tc>
            </w:tr>
            <w:tr w14:paraId="54B00CE4">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58B126D3">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2004-2006</w:t>
                  </w:r>
                </w:p>
              </w:tc>
              <w:tc>
                <w:tcPr>
                  <w:tcW w:w="6102" w:type="dxa"/>
                  <w:tcBorders>
                    <w:top w:val="nil"/>
                    <w:left w:val="nil"/>
                    <w:bottom w:val="single" w:color="auto" w:sz="4" w:space="0"/>
                    <w:right w:val="single" w:color="auto" w:sz="4" w:space="0"/>
                  </w:tcBorders>
                  <w:noWrap/>
                  <w:vAlign w:val="center"/>
                </w:tcPr>
                <w:p w14:paraId="1F2B4CB6">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Launched SR2X Generation 2 models; First</w:t>
                  </w:r>
                  <w:r>
                    <w:rPr>
                      <w:rFonts w:hint="eastAsia" w:ascii="微软雅黑" w:hAnsi="微软雅黑" w:eastAsia="微软雅黑" w:cs="宋体"/>
                      <w:snapToGrid/>
                      <w:color w:val="000000"/>
                      <w:sz w:val="14"/>
                      <w:szCs w:val="14"/>
                      <w:lang w:eastAsia="zh-CN"/>
                    </w:rPr>
                    <w:t xml:space="preserve"> </w:t>
                  </w:r>
                  <w:r>
                    <w:rPr>
                      <w:rFonts w:ascii="微软雅黑" w:hAnsi="微软雅黑" w:eastAsia="微软雅黑" w:cs="宋体"/>
                      <w:snapToGrid/>
                      <w:color w:val="000000"/>
                      <w:sz w:val="14"/>
                      <w:szCs w:val="14"/>
                      <w:lang w:eastAsia="zh-CN"/>
                    </w:rPr>
                    <w:t>SR22TN delivered to a customer.</w:t>
                  </w:r>
                </w:p>
              </w:tc>
            </w:tr>
            <w:tr w14:paraId="3760B71A">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00EB6132">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2007-2010</w:t>
                  </w:r>
                </w:p>
              </w:tc>
              <w:tc>
                <w:tcPr>
                  <w:tcW w:w="6102" w:type="dxa"/>
                  <w:tcBorders>
                    <w:top w:val="nil"/>
                    <w:left w:val="nil"/>
                    <w:bottom w:val="single" w:color="auto" w:sz="4" w:space="0"/>
                    <w:right w:val="single" w:color="auto" w:sz="4" w:space="0"/>
                  </w:tcBorders>
                  <w:noWrap/>
                  <w:vAlign w:val="center"/>
                </w:tcPr>
                <w:p w14:paraId="60FC70E3">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Launched SR2X Generation 3 models; First SR22T delivered to a customer</w:t>
                  </w:r>
                </w:p>
              </w:tc>
            </w:tr>
            <w:tr w14:paraId="27747F22">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145D24EF">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2013</w:t>
                  </w:r>
                </w:p>
              </w:tc>
              <w:tc>
                <w:tcPr>
                  <w:tcW w:w="6102" w:type="dxa"/>
                  <w:tcBorders>
                    <w:top w:val="nil"/>
                    <w:left w:val="nil"/>
                    <w:bottom w:val="single" w:color="auto" w:sz="4" w:space="0"/>
                    <w:right w:val="single" w:color="auto" w:sz="4" w:space="0"/>
                  </w:tcBorders>
                  <w:noWrap/>
                  <w:vAlign w:val="center"/>
                </w:tcPr>
                <w:p w14:paraId="545E990C">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Launched SR2X Generation 5 models.</w:t>
                  </w:r>
                </w:p>
              </w:tc>
            </w:tr>
            <w:tr w14:paraId="076F7ED5">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3B3E0A40">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2016</w:t>
                  </w:r>
                </w:p>
              </w:tc>
              <w:tc>
                <w:tcPr>
                  <w:tcW w:w="6102" w:type="dxa"/>
                  <w:tcBorders>
                    <w:top w:val="nil"/>
                    <w:left w:val="nil"/>
                    <w:bottom w:val="single" w:color="auto" w:sz="4" w:space="0"/>
                    <w:right w:val="single" w:color="auto" w:sz="4" w:space="0"/>
                  </w:tcBorders>
                  <w:noWrap/>
                  <w:vAlign w:val="center"/>
                </w:tcPr>
                <w:p w14:paraId="561C1D5A">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First Vision Jet delivered to a customer.</w:t>
                  </w:r>
                </w:p>
              </w:tc>
            </w:tr>
            <w:tr w14:paraId="3B842832">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5B616707">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2017</w:t>
                  </w:r>
                </w:p>
              </w:tc>
              <w:tc>
                <w:tcPr>
                  <w:tcW w:w="6102" w:type="dxa"/>
                  <w:tcBorders>
                    <w:top w:val="nil"/>
                    <w:left w:val="nil"/>
                    <w:bottom w:val="single" w:color="auto" w:sz="4" w:space="0"/>
                    <w:right w:val="single" w:color="auto" w:sz="4" w:space="0"/>
                  </w:tcBorders>
                  <w:noWrap/>
                  <w:vAlign w:val="center"/>
                </w:tcPr>
                <w:p w14:paraId="42BA537B">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Vision Jet received FAA Production Certificate; Launched SR2X Generation 6 models.</w:t>
                  </w:r>
                </w:p>
              </w:tc>
            </w:tr>
            <w:tr w14:paraId="69DF5438">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noWrap/>
                  <w:vAlign w:val="center"/>
                </w:tcPr>
                <w:p w14:paraId="5806C793">
                  <w:pPr>
                    <w:rPr>
                      <w:rFonts w:hint="eastAsia" w:ascii="微软雅黑" w:hAnsi="微软雅黑" w:eastAsia="微软雅黑" w:cs="宋体"/>
                      <w:snapToGrid/>
                      <w:color w:val="000000"/>
                      <w:sz w:val="14"/>
                      <w:szCs w:val="14"/>
                      <w:lang w:eastAsia="zh-CN"/>
                    </w:rPr>
                  </w:pPr>
                  <w:r>
                    <w:rPr>
                      <w:rFonts w:ascii="微软雅黑" w:hAnsi="微软雅黑" w:eastAsia="微软雅黑" w:cs="宋体"/>
                      <w:b/>
                      <w:bCs/>
                      <w:snapToGrid/>
                      <w:color w:val="000000"/>
                      <w:sz w:val="14"/>
                      <w:szCs w:val="14"/>
                      <w:lang w:eastAsia="zh-CN"/>
                    </w:rPr>
                    <w:t>2019</w:t>
                  </w:r>
                </w:p>
              </w:tc>
              <w:tc>
                <w:tcPr>
                  <w:tcW w:w="6102" w:type="dxa"/>
                  <w:tcBorders>
                    <w:top w:val="nil"/>
                    <w:left w:val="nil"/>
                    <w:bottom w:val="single" w:color="auto" w:sz="4" w:space="0"/>
                    <w:right w:val="single" w:color="auto" w:sz="4" w:space="0"/>
                  </w:tcBorders>
                  <w:noWrap/>
                  <w:vAlign w:val="center"/>
                </w:tcPr>
                <w:p w14:paraId="17234233">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Incorporated as an exempted company in the Cayman Islands; Launched Vision Jet</w:t>
                  </w:r>
                  <w:r>
                    <w:rPr>
                      <w:rFonts w:hint="eastAsia" w:ascii="微软雅黑" w:hAnsi="微软雅黑" w:eastAsia="微软雅黑" w:cs="宋体"/>
                      <w:snapToGrid/>
                      <w:color w:val="000000"/>
                      <w:sz w:val="14"/>
                      <w:szCs w:val="14"/>
                      <w:lang w:eastAsia="zh-CN"/>
                    </w:rPr>
                    <w:t xml:space="preserve"> </w:t>
                  </w:r>
                  <w:r>
                    <w:rPr>
                      <w:rFonts w:ascii="微软雅黑" w:hAnsi="微软雅黑" w:eastAsia="微软雅黑" w:cs="宋体"/>
                      <w:snapToGrid/>
                      <w:color w:val="000000"/>
                      <w:sz w:val="14"/>
                      <w:szCs w:val="14"/>
                      <w:lang w:eastAsia="zh-CN"/>
                    </w:rPr>
                    <w:t>Generation 2.</w:t>
                  </w:r>
                </w:p>
              </w:tc>
            </w:tr>
            <w:tr w14:paraId="2F126DEC">
              <w:tblPrEx>
                <w:tblCellMar>
                  <w:top w:w="0" w:type="dxa"/>
                  <w:left w:w="108" w:type="dxa"/>
                  <w:bottom w:w="0" w:type="dxa"/>
                  <w:right w:w="108" w:type="dxa"/>
                </w:tblCellMar>
              </w:tblPrEx>
              <w:trPr>
                <w:trHeight w:val="278" w:hRule="atLeast"/>
              </w:trPr>
              <w:tc>
                <w:tcPr>
                  <w:tcW w:w="1018" w:type="dxa"/>
                  <w:tcBorders>
                    <w:top w:val="nil"/>
                    <w:left w:val="single" w:color="auto" w:sz="4" w:space="0"/>
                    <w:bottom w:val="single" w:color="auto" w:sz="4" w:space="0"/>
                    <w:right w:val="single" w:color="auto" w:sz="4" w:space="0"/>
                  </w:tcBorders>
                  <w:shd w:val="clear" w:color="auto" w:fill="DAE9F7" w:themeFill="text2" w:themeFillTint="1A"/>
                  <w:noWrap/>
                  <w:vAlign w:val="center"/>
                </w:tcPr>
                <w:p w14:paraId="2F3F05A6">
                  <w:pPr>
                    <w:rPr>
                      <w:rFonts w:hint="eastAsia" w:ascii="微软雅黑" w:hAnsi="微软雅黑" w:eastAsia="微软雅黑" w:cs="宋体"/>
                      <w:b/>
                      <w:bCs/>
                      <w:snapToGrid/>
                      <w:color w:val="000000"/>
                      <w:sz w:val="14"/>
                      <w:szCs w:val="14"/>
                      <w:lang w:eastAsia="zh-CN"/>
                    </w:rPr>
                  </w:pPr>
                  <w:r>
                    <w:rPr>
                      <w:rFonts w:ascii="微软雅黑" w:hAnsi="微软雅黑" w:eastAsia="微软雅黑" w:cs="宋体"/>
                      <w:b/>
                      <w:bCs/>
                      <w:snapToGrid/>
                      <w:color w:val="000000"/>
                      <w:sz w:val="14"/>
                      <w:szCs w:val="14"/>
                      <w:lang w:eastAsia="zh-CN"/>
                    </w:rPr>
                    <w:t>2024</w:t>
                  </w:r>
                </w:p>
              </w:tc>
              <w:tc>
                <w:tcPr>
                  <w:tcW w:w="6102" w:type="dxa"/>
                  <w:tcBorders>
                    <w:top w:val="nil"/>
                    <w:left w:val="nil"/>
                    <w:bottom w:val="single" w:color="auto" w:sz="4" w:space="0"/>
                    <w:right w:val="single" w:color="auto" w:sz="4" w:space="0"/>
                  </w:tcBorders>
                  <w:shd w:val="clear" w:color="auto" w:fill="DAE9F7" w:themeFill="text2" w:themeFillTint="1A"/>
                  <w:noWrap/>
                  <w:vAlign w:val="center"/>
                </w:tcPr>
                <w:p w14:paraId="1FC88048">
                  <w:pPr>
                    <w:rPr>
                      <w:rFonts w:hint="eastAsia" w:ascii="微软雅黑" w:hAnsi="微软雅黑" w:eastAsia="微软雅黑" w:cs="宋体"/>
                      <w:snapToGrid/>
                      <w:color w:val="000000"/>
                      <w:sz w:val="14"/>
                      <w:szCs w:val="14"/>
                      <w:lang w:eastAsia="zh-CN"/>
                    </w:rPr>
                  </w:pPr>
                  <w:r>
                    <w:rPr>
                      <w:rFonts w:ascii="微软雅黑" w:hAnsi="微软雅黑" w:eastAsia="微软雅黑" w:cs="宋体"/>
                      <w:snapToGrid/>
                      <w:color w:val="000000"/>
                      <w:sz w:val="14"/>
                      <w:szCs w:val="14"/>
                      <w:lang w:eastAsia="zh-CN"/>
                    </w:rPr>
                    <w:t>Listed on the Hong Kong Stock Exchange (HKEX).</w:t>
                  </w:r>
                </w:p>
              </w:tc>
            </w:tr>
          </w:tbl>
          <w:p w14:paraId="710FCE79">
            <w:pPr>
              <w:spacing w:before="48" w:beforeLines="20" w:after="48" w:afterLines="20"/>
              <w:jc w:val="center"/>
              <w:textAlignment w:val="center"/>
              <w:rPr>
                <w:rFonts w:eastAsia="宋体" w:cs="Calibri"/>
                <w:b/>
                <w:bCs/>
                <w:sz w:val="20"/>
                <w:szCs w:val="20"/>
                <w:lang w:eastAsia="zh-CN"/>
              </w:rPr>
            </w:pPr>
          </w:p>
        </w:tc>
      </w:tr>
      <w:tr w14:paraId="5745208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5354281">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Wind</w:t>
            </w:r>
            <w:r>
              <w:rPr>
                <w:rFonts w:hint="eastAsia" w:eastAsia="楷体_GB2312" w:cs="Calibri"/>
                <w:sz w:val="20"/>
                <w:szCs w:val="20"/>
              </w:rPr>
              <w:t>, HFI</w:t>
            </w:r>
          </w:p>
        </w:tc>
      </w:tr>
    </w:tbl>
    <w:p w14:paraId="048B36B1">
      <w:pPr>
        <w:rPr>
          <w:rFonts w:cs="Calibri" w:eastAsiaTheme="minorEastAsia"/>
          <w:sz w:val="22"/>
          <w:szCs w:val="22"/>
          <w:lang w:eastAsia="zh-CN"/>
        </w:rPr>
      </w:pPr>
    </w:p>
    <w:p w14:paraId="4018AA22">
      <w:pPr>
        <w:pStyle w:val="76"/>
        <w:jc w:val="both"/>
        <w:rPr>
          <w:rFonts w:ascii="Calibri" w:hAnsi="Calibri" w:eastAsia="楷体_GB2312" w:cs="Calibri"/>
          <w:color w:val="215E99"/>
          <w:sz w:val="24"/>
        </w:rPr>
      </w:pPr>
      <w:bookmarkStart w:id="2" w:name="_Toc218942514"/>
      <w:r>
        <w:rPr>
          <w:rFonts w:hint="eastAsia" w:ascii="Calibri" w:hAnsi="Calibri" w:eastAsia="楷体_GB2312" w:cs="Calibri"/>
          <w:color w:val="215E99"/>
          <w:sz w:val="24"/>
        </w:rPr>
        <w:t>1</w:t>
      </w:r>
      <w:r>
        <w:rPr>
          <w:rFonts w:ascii="Calibri" w:hAnsi="Calibri" w:eastAsia="楷体_GB2312" w:cs="Calibri"/>
          <w:color w:val="215E99"/>
          <w:sz w:val="24"/>
        </w:rPr>
        <w:t>.</w:t>
      </w:r>
      <w:r>
        <w:rPr>
          <w:rFonts w:hint="eastAsia" w:ascii="Calibri" w:hAnsi="Calibri" w:eastAsia="楷体_GB2312" w:cs="Calibri"/>
          <w:color w:val="215E99"/>
          <w:sz w:val="24"/>
        </w:rPr>
        <w:t>2</w:t>
      </w:r>
      <w:r>
        <w:rPr>
          <w:rFonts w:ascii="Calibri" w:hAnsi="Calibri" w:eastAsia="楷体_GB2312" w:cs="Calibri"/>
          <w:color w:val="215E99"/>
          <w:sz w:val="24"/>
        </w:rPr>
        <w:t xml:space="preserve"> </w:t>
      </w:r>
      <w:r>
        <w:rPr>
          <w:rFonts w:ascii="Calibri" w:hAnsi="Calibri" w:eastAsia="楷体" w:cs="Calibri"/>
          <w:color w:val="215E99"/>
          <w:sz w:val="24"/>
        </w:rPr>
        <w:t>Ownership Structure</w:t>
      </w:r>
      <w:r>
        <w:rPr>
          <w:rFonts w:hint="eastAsia" w:ascii="Calibri" w:hAnsi="Calibri" w:eastAsia="楷体" w:cs="Calibri"/>
          <w:color w:val="215E99"/>
          <w:sz w:val="24"/>
        </w:rPr>
        <w:t xml:space="preserve"> &amp;Management</w:t>
      </w:r>
      <w:bookmarkEnd w:id="2"/>
    </w:p>
    <w:p w14:paraId="3CC37324">
      <w:pPr>
        <w:rPr>
          <w:rFonts w:cs="Calibri" w:eastAsiaTheme="minorEastAsia"/>
          <w:sz w:val="22"/>
          <w:szCs w:val="22"/>
          <w:lang w:eastAsia="zh-CN"/>
        </w:rPr>
      </w:pPr>
      <w:r>
        <w:rPr>
          <w:rFonts w:cs="Calibri" w:eastAsiaTheme="minorEastAsia"/>
          <w:b/>
          <w:bCs/>
          <w:sz w:val="22"/>
          <w:szCs w:val="22"/>
          <w:lang w:eastAsia="zh-CN"/>
        </w:rPr>
        <w:t xml:space="preserve">Cirrus Aircraft is ultimately controlled by the Aviation Industry Corporation of China (AVIC). </w:t>
      </w:r>
      <w:r>
        <w:rPr>
          <w:rFonts w:cs="Calibri" w:eastAsiaTheme="minorEastAsia"/>
          <w:sz w:val="22"/>
          <w:szCs w:val="22"/>
          <w:lang w:eastAsia="zh-CN"/>
        </w:rPr>
        <w:t xml:space="preserve">AVIC holds a 73.39% stake in AVIC General Aviation, which in turn owns the direct controlling shareholder, AVIC General Aviation Hong Kong. Consequently, AVIC indirectly controls </w:t>
      </w:r>
      <w:r>
        <w:rPr>
          <w:rFonts w:hint="eastAsia" w:cs="Calibri" w:eastAsiaTheme="minorEastAsia"/>
          <w:sz w:val="22"/>
          <w:szCs w:val="22"/>
          <w:lang w:eastAsia="zh-CN"/>
        </w:rPr>
        <w:t>58.71%</w:t>
      </w:r>
      <w:r>
        <w:rPr>
          <w:rFonts w:cs="Calibri" w:eastAsiaTheme="minorEastAsia"/>
          <w:sz w:val="22"/>
          <w:szCs w:val="22"/>
          <w:lang w:eastAsia="zh-CN"/>
        </w:rPr>
        <w:t xml:space="preserve"> of Cirrus Aircraft's issued shares.</w:t>
      </w:r>
    </w:p>
    <w:p w14:paraId="71AEF914">
      <w:pPr>
        <w:widowControl w:val="0"/>
        <w:jc w:val="both"/>
        <w:rPr>
          <w:rFonts w:hint="eastAsia" w:eastAsia="楷体" w:asciiTheme="minorHAnsi" w:hAnsiTheme="minorHAnsi" w:cstheme="minorHAnsi"/>
          <w:kern w:val="2"/>
          <w:sz w:val="22"/>
          <w:szCs w:val="22"/>
          <w:lang w:eastAsia="zh-CN"/>
        </w:rPr>
      </w:pPr>
    </w:p>
    <w:p w14:paraId="5075D862">
      <w:pPr>
        <w:widowControl w:val="0"/>
        <w:jc w:val="both"/>
        <w:rPr>
          <w:rFonts w:hint="eastAsia" w:eastAsia="楷体" w:asciiTheme="minorHAnsi" w:hAnsiTheme="minorHAnsi" w:cstheme="minorHAnsi"/>
          <w:kern w:val="2"/>
          <w:sz w:val="22"/>
          <w:szCs w:val="22"/>
          <w:lang w:eastAsia="zh-CN"/>
        </w:rPr>
      </w:pPr>
    </w:p>
    <w:p w14:paraId="64CD0837">
      <w:pPr>
        <w:widowControl w:val="0"/>
        <w:jc w:val="both"/>
        <w:rPr>
          <w:rFonts w:hint="eastAsia" w:eastAsia="楷体" w:asciiTheme="minorHAnsi" w:hAnsiTheme="minorHAnsi" w:cstheme="minorHAnsi"/>
          <w:kern w:val="2"/>
          <w:sz w:val="22"/>
          <w:szCs w:val="22"/>
          <w:lang w:eastAsia="zh-CN"/>
        </w:rPr>
      </w:pPr>
    </w:p>
    <w:p w14:paraId="3E9057B0">
      <w:pPr>
        <w:widowControl w:val="0"/>
        <w:jc w:val="both"/>
        <w:rPr>
          <w:rFonts w:hint="eastAsia" w:eastAsia="楷体" w:asciiTheme="minorHAnsi" w:hAnsiTheme="minorHAnsi" w:cstheme="minorHAnsi"/>
          <w:kern w:val="2"/>
          <w:sz w:val="22"/>
          <w:szCs w:val="22"/>
          <w:lang w:eastAsia="zh-CN"/>
        </w:rPr>
      </w:pPr>
    </w:p>
    <w:p w14:paraId="43C4B556">
      <w:pPr>
        <w:widowControl w:val="0"/>
        <w:jc w:val="both"/>
        <w:rPr>
          <w:rFonts w:hint="eastAsia" w:eastAsia="楷体" w:asciiTheme="minorHAnsi" w:hAnsiTheme="minorHAnsi" w:cstheme="minorHAnsi"/>
          <w:kern w:val="2"/>
          <w:sz w:val="22"/>
          <w:szCs w:val="22"/>
          <w:lang w:eastAsia="zh-CN"/>
        </w:rPr>
      </w:pPr>
    </w:p>
    <w:p w14:paraId="29BF5B09">
      <w:pPr>
        <w:widowControl w:val="0"/>
        <w:jc w:val="both"/>
        <w:rPr>
          <w:rFonts w:hint="eastAsia" w:eastAsia="楷体" w:asciiTheme="minorHAnsi" w:hAnsiTheme="minorHAnsi" w:cstheme="minorHAnsi"/>
          <w:kern w:val="2"/>
          <w:sz w:val="22"/>
          <w:szCs w:val="22"/>
          <w:lang w:eastAsia="zh-CN"/>
        </w:rPr>
      </w:pPr>
    </w:p>
    <w:p w14:paraId="4DF428C2">
      <w:pPr>
        <w:widowControl w:val="0"/>
        <w:jc w:val="both"/>
        <w:rPr>
          <w:rFonts w:hint="eastAsia" w:eastAsia="楷体" w:asciiTheme="minorHAnsi" w:hAnsiTheme="minorHAnsi" w:cstheme="minorHAns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5ABC09B">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0966BA0">
            <w:pPr>
              <w:spacing w:before="48" w:beforeLines="20" w:after="48" w:afterLines="20"/>
              <w:jc w:val="both"/>
              <w:textAlignment w:val="center"/>
              <w:rPr>
                <w:rFonts w:cs="Calibri"/>
                <w:sz w:val="20"/>
                <w:szCs w:val="20"/>
                <w:lang w:eastAsia="zh-CN"/>
              </w:rPr>
            </w:pPr>
            <w:bookmarkStart w:id="3" w:name="_Hlk216641008"/>
            <w:r>
              <w:rPr>
                <w:rFonts w:eastAsia="楷体_GB2312" w:cs="Calibri"/>
                <w:b/>
                <w:sz w:val="20"/>
                <w:szCs w:val="20"/>
              </w:rPr>
              <w:t xml:space="preserve">Figure: </w:t>
            </w:r>
            <w:r>
              <w:rPr>
                <w:rFonts w:hint="eastAsia" w:eastAsia="楷体_GB2312" w:cs="Calibri"/>
                <w:b/>
                <w:sz w:val="20"/>
                <w:szCs w:val="20"/>
                <w:lang w:eastAsia="zh-CN"/>
              </w:rPr>
              <w:t>Cirrus</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Ownership Structure</w:t>
            </w:r>
          </w:p>
        </w:tc>
      </w:tr>
      <w:tr w14:paraId="4C1CB3E8">
        <w:trPr>
          <w:trHeight w:val="856" w:hRule="atLeast"/>
        </w:trPr>
        <w:tc>
          <w:tcPr>
            <w:tcW w:w="7466" w:type="dxa"/>
            <w:tcBorders>
              <w:top w:val="single" w:color="auto" w:sz="4" w:space="0"/>
              <w:bottom w:val="single" w:color="auto" w:sz="4" w:space="0"/>
            </w:tcBorders>
            <w:vAlign w:val="center"/>
          </w:tcPr>
          <w:p w14:paraId="2908A7DE">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219960"/>
                  <wp:effectExtent l="0" t="0" r="6350" b="8890"/>
                  <wp:docPr id="1506881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81443" name="图片 1"/>
                          <pic:cNvPicPr>
                            <a:picLocks noChangeAspect="1"/>
                          </pic:cNvPicPr>
                        </pic:nvPicPr>
                        <pic:blipFill>
                          <a:blip r:embed="rId22"/>
                          <a:stretch>
                            <a:fillRect/>
                          </a:stretch>
                        </pic:blipFill>
                        <pic:spPr>
                          <a:xfrm>
                            <a:off x="0" y="0"/>
                            <a:ext cx="4603750" cy="2219960"/>
                          </a:xfrm>
                          <a:prstGeom prst="rect">
                            <a:avLst/>
                          </a:prstGeom>
                        </pic:spPr>
                      </pic:pic>
                    </a:graphicData>
                  </a:graphic>
                </wp:inline>
              </w:drawing>
            </w:r>
          </w:p>
        </w:tc>
      </w:tr>
      <w:tr w14:paraId="0F3BE883">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42EB755">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hint="eastAsia" w:eastAsia="楷体_GB2312" w:cs="Calibri"/>
                <w:sz w:val="20"/>
                <w:szCs w:val="20"/>
              </w:rPr>
              <w:t>HFI</w:t>
            </w:r>
          </w:p>
        </w:tc>
      </w:tr>
      <w:bookmarkEnd w:id="3"/>
    </w:tbl>
    <w:p w14:paraId="085398A6">
      <w:pPr>
        <w:widowControl w:val="0"/>
        <w:jc w:val="both"/>
        <w:rPr>
          <w:rFonts w:hint="eastAsia" w:eastAsia="楷体" w:asciiTheme="minorHAnsi" w:hAnsiTheme="minorHAnsi" w:cstheme="minorHAnsi"/>
          <w:kern w:val="2"/>
          <w:sz w:val="22"/>
          <w:szCs w:val="22"/>
          <w:lang w:eastAsia="zh-CN"/>
        </w:rPr>
      </w:pPr>
    </w:p>
    <w:p w14:paraId="09EEC4E5">
      <w:pPr>
        <w:widowControl w:val="0"/>
        <w:jc w:val="both"/>
        <w:rPr>
          <w:rFonts w:eastAsia="楷体" w:cs="Calibri"/>
          <w:kern w:val="2"/>
          <w:sz w:val="22"/>
          <w:szCs w:val="22"/>
        </w:rPr>
      </w:pPr>
      <w:r>
        <w:rPr>
          <w:rFonts w:eastAsia="楷体" w:cs="Calibri"/>
          <w:b/>
          <w:bCs/>
          <w:kern w:val="2"/>
          <w:sz w:val="22"/>
          <w:szCs w:val="22"/>
        </w:rPr>
        <w:t xml:space="preserve">The corporate governance team is stable and employs a localized management approach. </w:t>
      </w:r>
      <w:r>
        <w:rPr>
          <w:rFonts w:eastAsia="楷体" w:cs="Calibri"/>
          <w:kern w:val="2"/>
          <w:sz w:val="22"/>
          <w:szCs w:val="22"/>
        </w:rPr>
        <w:t>Cirrus has retained its core technical personnel and workforce, maintaining a 100% localization rate for its US employees. The US team possesses significant decision-making autonomy. This localized model ensures a high level of business familiarity, which is conducive to the company's long-term operational development.</w:t>
      </w:r>
    </w:p>
    <w:p w14:paraId="564B9F70">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5567574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61DEF04">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S</w:t>
            </w:r>
            <w:r>
              <w:rPr>
                <w:rFonts w:eastAsia="楷体_GB2312" w:cs="Calibri"/>
                <w:b/>
                <w:sz w:val="20"/>
                <w:szCs w:val="20"/>
                <w:lang w:eastAsia="zh-CN"/>
              </w:rPr>
              <w:t xml:space="preserve">enior </w:t>
            </w:r>
            <w:r>
              <w:rPr>
                <w:rFonts w:hint="eastAsia" w:eastAsia="楷体_GB2312" w:cs="Calibri"/>
                <w:b/>
                <w:sz w:val="20"/>
                <w:szCs w:val="20"/>
                <w:lang w:eastAsia="zh-CN"/>
              </w:rPr>
              <w:t>M</w:t>
            </w:r>
            <w:r>
              <w:rPr>
                <w:rFonts w:eastAsia="楷体_GB2312" w:cs="Calibri"/>
                <w:b/>
                <w:sz w:val="20"/>
                <w:szCs w:val="20"/>
                <w:lang w:eastAsia="zh-CN"/>
              </w:rPr>
              <w:t xml:space="preserve">anagement </w:t>
            </w:r>
            <w:r>
              <w:rPr>
                <w:rFonts w:hint="eastAsia" w:eastAsia="楷体_GB2312" w:cs="Calibri"/>
                <w:b/>
                <w:sz w:val="20"/>
                <w:szCs w:val="20"/>
                <w:lang w:eastAsia="zh-CN"/>
              </w:rPr>
              <w:t>P</w:t>
            </w:r>
            <w:r>
              <w:rPr>
                <w:rFonts w:eastAsia="楷体_GB2312" w:cs="Calibri"/>
                <w:b/>
                <w:sz w:val="20"/>
                <w:szCs w:val="20"/>
                <w:lang w:eastAsia="zh-CN"/>
              </w:rPr>
              <w:t>ersonnel of the Group</w:t>
            </w:r>
          </w:p>
        </w:tc>
      </w:tr>
      <w:tr w14:paraId="543501F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88CFF8F">
            <w:pPr>
              <w:spacing w:before="48" w:beforeLines="20" w:after="48" w:afterLines="20"/>
              <w:jc w:val="center"/>
              <w:textAlignment w:val="center"/>
              <w:rPr>
                <w:rFonts w:eastAsia="宋体" w:cs="Calibri"/>
                <w:b/>
                <w:bCs/>
                <w:sz w:val="20"/>
                <w:szCs w:val="20"/>
                <w:lang w:eastAsia="zh-CN"/>
              </w:rPr>
            </w:pPr>
            <w:r>
              <w:rPr>
                <w:rFonts w:eastAsia="宋体" w:cs="Calibri"/>
                <w:b/>
                <w:bCs/>
                <w:sz w:val="20"/>
                <w:szCs w:val="20"/>
                <w:lang w:eastAsia="zh-CN"/>
              </w:rPr>
              <w:drawing>
                <wp:inline distT="0" distB="0" distL="0" distR="0">
                  <wp:extent cx="4599305" cy="1190625"/>
                  <wp:effectExtent l="0" t="0" r="0" b="9525"/>
                  <wp:docPr id="4399172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7208" name="图片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599305" cy="1190625"/>
                          </a:xfrm>
                          <a:prstGeom prst="rect">
                            <a:avLst/>
                          </a:prstGeom>
                          <a:noFill/>
                          <a:ln>
                            <a:noFill/>
                          </a:ln>
                        </pic:spPr>
                      </pic:pic>
                    </a:graphicData>
                  </a:graphic>
                </wp:inline>
              </w:drawing>
            </w:r>
          </w:p>
        </w:tc>
      </w:tr>
      <w:tr w14:paraId="3E6BD7B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0985119">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hint="eastAsia" w:eastAsia="楷体_GB2312" w:cs="Calibri"/>
                <w:sz w:val="20"/>
                <w:szCs w:val="20"/>
              </w:rPr>
              <w:t>HFI</w:t>
            </w:r>
          </w:p>
        </w:tc>
      </w:tr>
    </w:tbl>
    <w:p w14:paraId="2C378D9B">
      <w:pPr>
        <w:pStyle w:val="76"/>
        <w:jc w:val="both"/>
        <w:rPr>
          <w:rFonts w:ascii="Calibri" w:hAnsi="Calibri" w:eastAsia="楷体_GB2312" w:cs="Calibri"/>
          <w:color w:val="215E99"/>
          <w:sz w:val="24"/>
        </w:rPr>
      </w:pPr>
      <w:bookmarkStart w:id="4" w:name="_Toc218942515"/>
      <w:r>
        <w:rPr>
          <w:rFonts w:hint="eastAsia" w:ascii="Calibri" w:hAnsi="Calibri" w:eastAsia="楷体_GB2312" w:cs="Calibri"/>
          <w:color w:val="215E99"/>
          <w:sz w:val="24"/>
        </w:rPr>
        <w:t>1</w:t>
      </w:r>
      <w:r>
        <w:rPr>
          <w:rFonts w:ascii="Calibri" w:hAnsi="Calibri" w:eastAsia="楷体_GB2312" w:cs="Calibri"/>
          <w:color w:val="215E99"/>
          <w:sz w:val="24"/>
        </w:rPr>
        <w:t>.</w:t>
      </w:r>
      <w:r>
        <w:rPr>
          <w:rFonts w:hint="eastAsia" w:ascii="Calibri" w:hAnsi="Calibri" w:eastAsia="楷体_GB2312" w:cs="Calibri"/>
          <w:color w:val="215E99"/>
          <w:sz w:val="24"/>
        </w:rPr>
        <w:t>3</w:t>
      </w:r>
      <w:r>
        <w:rPr>
          <w:rFonts w:ascii="Calibri" w:hAnsi="Calibri" w:eastAsia="楷体_GB2312" w:cs="Calibri"/>
          <w:color w:val="215E99"/>
          <w:sz w:val="24"/>
        </w:rPr>
        <w:t xml:space="preserve"> </w:t>
      </w:r>
      <w:r>
        <w:rPr>
          <w:rFonts w:ascii="Calibri" w:hAnsi="Calibri" w:eastAsia="楷体" w:cs="Calibri"/>
          <w:color w:val="215E99"/>
          <w:sz w:val="24"/>
        </w:rPr>
        <w:t>Main Products</w:t>
      </w:r>
      <w:bookmarkEnd w:id="4"/>
    </w:p>
    <w:p w14:paraId="0C78EC22">
      <w:pPr>
        <w:widowControl w:val="0"/>
        <w:jc w:val="both"/>
        <w:rPr>
          <w:rFonts w:eastAsia="楷体" w:cs="Calibri"/>
          <w:kern w:val="2"/>
          <w:sz w:val="22"/>
          <w:szCs w:val="22"/>
        </w:rPr>
      </w:pPr>
      <w:r>
        <w:rPr>
          <w:rFonts w:eastAsia="楷体" w:cs="Calibri"/>
          <w:kern w:val="2"/>
          <w:sz w:val="22"/>
          <w:szCs w:val="22"/>
        </w:rPr>
        <w:t>Cirrus's core products include the SR2X series single-engine piston aircraft and the Vision Jet.</w:t>
      </w:r>
    </w:p>
    <w:p w14:paraId="16079445">
      <w:pPr>
        <w:widowControl w:val="0"/>
        <w:numPr>
          <w:ilvl w:val="0"/>
          <w:numId w:val="2"/>
        </w:numPr>
        <w:jc w:val="both"/>
        <w:rPr>
          <w:rFonts w:eastAsia="楷体" w:cs="Calibri"/>
          <w:kern w:val="2"/>
          <w:sz w:val="22"/>
          <w:szCs w:val="22"/>
        </w:rPr>
      </w:pPr>
      <w:r>
        <w:rPr>
          <w:rFonts w:eastAsia="楷体" w:cs="Calibri"/>
          <w:kern w:val="2"/>
          <w:sz w:val="22"/>
          <w:szCs w:val="22"/>
        </w:rPr>
        <w:t xml:space="preserve">The </w:t>
      </w:r>
      <w:r>
        <w:rPr>
          <w:rFonts w:eastAsia="楷体" w:cs="Calibri"/>
          <w:b/>
          <w:bCs/>
          <w:kern w:val="2"/>
          <w:sz w:val="22"/>
          <w:szCs w:val="22"/>
        </w:rPr>
        <w:t>SR2X series</w:t>
      </w:r>
      <w:r>
        <w:rPr>
          <w:rFonts w:eastAsia="楷体" w:cs="Calibri"/>
          <w:kern w:val="2"/>
          <w:sz w:val="22"/>
          <w:szCs w:val="22"/>
        </w:rPr>
        <w:t xml:space="preserve"> is one of Cirrus's core products, comprising three models: the SR20, SR22, and SR22T. This series is positioned as an entry-level single-engine piston aircraft, suitable for various uses such as private flying and flight training. Individual unit prices </w:t>
      </w:r>
      <w:r>
        <w:rPr>
          <w:rFonts w:hint="eastAsia" w:eastAsia="楷体" w:cs="Calibri"/>
          <w:kern w:val="2"/>
          <w:sz w:val="22"/>
          <w:szCs w:val="22"/>
          <w:lang w:eastAsia="zh-CN"/>
        </w:rPr>
        <w:t xml:space="preserve">of these series </w:t>
      </w:r>
      <w:r>
        <w:rPr>
          <w:rFonts w:eastAsia="楷体" w:cs="Calibri"/>
          <w:kern w:val="2"/>
          <w:sz w:val="22"/>
          <w:szCs w:val="22"/>
        </w:rPr>
        <w:t>vary from $600,000 to upwards of $1 million US dollars.</w:t>
      </w:r>
    </w:p>
    <w:p w14:paraId="3BCFCC38">
      <w:pPr>
        <w:widowControl w:val="0"/>
        <w:numPr>
          <w:ilvl w:val="0"/>
          <w:numId w:val="2"/>
        </w:numPr>
        <w:jc w:val="both"/>
        <w:rPr>
          <w:rFonts w:eastAsia="楷体" w:cs="Calibri"/>
          <w:kern w:val="2"/>
          <w:sz w:val="22"/>
          <w:szCs w:val="22"/>
        </w:rPr>
      </w:pPr>
      <w:r>
        <w:rPr>
          <w:rFonts w:eastAsia="楷体" w:cs="Calibri"/>
          <w:kern w:val="2"/>
          <w:sz w:val="22"/>
          <w:szCs w:val="22"/>
        </w:rPr>
        <w:t xml:space="preserve">The </w:t>
      </w:r>
      <w:r>
        <w:rPr>
          <w:rFonts w:eastAsia="楷体" w:cs="Calibri"/>
          <w:b/>
          <w:bCs/>
          <w:kern w:val="2"/>
          <w:sz w:val="22"/>
          <w:szCs w:val="22"/>
        </w:rPr>
        <w:t>Vision Jet</w:t>
      </w:r>
      <w:r>
        <w:rPr>
          <w:rFonts w:eastAsia="楷体" w:cs="Calibri"/>
          <w:kern w:val="2"/>
          <w:sz w:val="22"/>
          <w:szCs w:val="22"/>
        </w:rPr>
        <w:t xml:space="preserve"> represents Cirrus's high-end product line. As the world's first single-engine jet aircraft to receive certification from the Federal Aviation Administration (FAA), it is marketed towards the premium private aviation segment. </w:t>
      </w:r>
    </w:p>
    <w:p w14:paraId="4BCFF34B">
      <w:pPr>
        <w:widowControl w:val="0"/>
        <w:jc w:val="both"/>
        <w:rPr>
          <w:rFonts w:eastAsia="楷体" w:cs="Calibri"/>
          <w:kern w:val="2"/>
          <w:sz w:val="22"/>
          <w:szCs w:val="22"/>
          <w:lang w:eastAsia="zh-CN"/>
        </w:rPr>
      </w:pPr>
    </w:p>
    <w:p w14:paraId="63093F95">
      <w:pPr>
        <w:widowControl w:val="0"/>
        <w:jc w:val="both"/>
        <w:rPr>
          <w:rFonts w:eastAsia="楷体" w:cs="Calibri"/>
          <w:kern w:val="2"/>
          <w:sz w:val="22"/>
          <w:szCs w:val="22"/>
          <w:lang w:eastAsia="zh-CN"/>
        </w:rPr>
      </w:pPr>
    </w:p>
    <w:p w14:paraId="4686AA9A">
      <w:pPr>
        <w:widowControl w:val="0"/>
        <w:jc w:val="both"/>
        <w:rPr>
          <w:rFonts w:eastAsia="楷体" w:cs="Calibri"/>
          <w:kern w:val="2"/>
          <w:sz w:val="22"/>
          <w:szCs w:val="22"/>
          <w:lang w:eastAsia="zh-CN"/>
        </w:rPr>
      </w:pPr>
    </w:p>
    <w:p w14:paraId="6DC60223">
      <w:pPr>
        <w:widowControl w:val="0"/>
        <w:jc w:val="both"/>
        <w:rPr>
          <w:rFonts w:eastAsia="楷体" w:cs="Calibri"/>
          <w:kern w:val="2"/>
          <w:sz w:val="22"/>
          <w:szCs w:val="22"/>
          <w:lang w:eastAsia="zh-CN"/>
        </w:rPr>
      </w:pPr>
    </w:p>
    <w:p w14:paraId="681021C2">
      <w:pPr>
        <w:widowControl w:val="0"/>
        <w:jc w:val="both"/>
        <w:rPr>
          <w:rFonts w:hint="eastAsia" w:eastAsia="楷体" w:cs="Calibri"/>
          <w:kern w:val="2"/>
          <w:sz w:val="22"/>
          <w:szCs w:val="22"/>
          <w:lang w:eastAsia="zh-CN"/>
        </w:rPr>
      </w:pPr>
    </w:p>
    <w:p w14:paraId="023B750A">
      <w:pPr>
        <w:widowControl w:val="0"/>
        <w:jc w:val="both"/>
        <w:rPr>
          <w:rFonts w:eastAsia="楷体" w:cs="Calibri"/>
          <w:kern w:val="2"/>
          <w:sz w:val="22"/>
          <w:szCs w:val="22"/>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08F28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auto" w:sz="4" w:space="0"/>
            </w:tcBorders>
          </w:tcPr>
          <w:p w14:paraId="2553550D">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等线" w:hAnsi="等线"/>
              </w:rPr>
              <w:t xml:space="preserve"> </w:t>
            </w:r>
            <w:r>
              <w:rPr>
                <w:rFonts w:ascii="Calibri" w:hAnsi="Calibri" w:cs="Calibri"/>
                <w:bCs w:val="0"/>
                <w:snapToGrid w:val="0"/>
                <w:sz w:val="20"/>
                <w:szCs w:val="20"/>
              </w:rPr>
              <w:t>Cirrus’s Main Products</w:t>
            </w:r>
          </w:p>
        </w:tc>
      </w:tr>
      <w:tr w14:paraId="734C3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auto" w:sz="4" w:space="0"/>
              <w:bottom w:val="single" w:color="auto" w:sz="4" w:space="0"/>
            </w:tcBorders>
            <w:vAlign w:val="center"/>
          </w:tcPr>
          <w:p w14:paraId="5C16D73D">
            <w:pPr>
              <w:pStyle w:val="74"/>
              <w:keepNext/>
              <w:jc w:val="center"/>
              <w:rPr>
                <w:rFonts w:hint="eastAsia" w:ascii="等线" w:hAnsi="等线"/>
              </w:rPr>
            </w:pPr>
            <w:r>
              <w:rPr>
                <w:rFonts w:ascii="等线" w:hAnsi="等线"/>
              </w:rPr>
              <w:drawing>
                <wp:inline distT="0" distB="0" distL="0" distR="0">
                  <wp:extent cx="6343650" cy="3994150"/>
                  <wp:effectExtent l="0" t="0" r="0"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343650" cy="3994150"/>
                          </a:xfrm>
                          <a:prstGeom prst="rect">
                            <a:avLst/>
                          </a:prstGeom>
                          <a:noFill/>
                        </pic:spPr>
                      </pic:pic>
                    </a:graphicData>
                  </a:graphic>
                </wp:inline>
              </w:drawing>
            </w:r>
          </w:p>
        </w:tc>
      </w:tr>
      <w:tr w14:paraId="48FA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auto" w:sz="4" w:space="0"/>
            </w:tcBorders>
          </w:tcPr>
          <w:p w14:paraId="4D86D735">
            <w:pPr>
              <w:pStyle w:val="75"/>
              <w:rPr>
                <w:rFonts w:hint="eastAsia" w:ascii="等线" w:hAnsi="等线"/>
              </w:rPr>
            </w:pPr>
            <w:r>
              <w:rPr>
                <w:rFonts w:hint="eastAsia" w:ascii="Calibri" w:hAnsi="Calibri" w:cs="Calibri"/>
                <w:b/>
                <w:bCs/>
                <w:snapToGrid w:val="0"/>
                <w:sz w:val="20"/>
                <w:szCs w:val="20"/>
              </w:rPr>
              <w:t>Source</w:t>
            </w:r>
            <w:r>
              <w:rPr>
                <w:rFonts w:hint="eastAsia" w:ascii="Calibri" w:hAnsi="Calibri" w:cs="Calibri"/>
                <w:b/>
                <w:bCs/>
                <w:snapToGrid w:val="0"/>
                <w:sz w:val="20"/>
                <w:szCs w:val="20"/>
                <w:lang w:eastAsia="ja-JP"/>
              </w:rPr>
              <w:t>：Company Announcements, HFI</w:t>
            </w:r>
          </w:p>
        </w:tc>
      </w:tr>
    </w:tbl>
    <w:p w14:paraId="0A13CE7B">
      <w:pPr>
        <w:widowControl w:val="0"/>
        <w:jc w:val="both"/>
        <w:rPr>
          <w:rFonts w:eastAsia="楷体" w:cs="Calibri"/>
          <w:kern w:val="2"/>
          <w:sz w:val="22"/>
          <w:szCs w:val="22"/>
          <w:lang w:eastAsia="zh-CN"/>
        </w:rPr>
      </w:pPr>
    </w:p>
    <w:p w14:paraId="50F118F8">
      <w:pPr>
        <w:pStyle w:val="76"/>
        <w:jc w:val="both"/>
        <w:rPr>
          <w:rFonts w:ascii="Calibri" w:hAnsi="Calibri" w:eastAsia="楷体_GB2312" w:cs="Calibri"/>
          <w:color w:val="215E99"/>
          <w:kern w:val="2"/>
        </w:rPr>
      </w:pPr>
      <w:bookmarkStart w:id="5" w:name="_Toc218942516"/>
      <w:r>
        <w:rPr>
          <w:rFonts w:ascii="Calibri" w:hAnsi="Calibri" w:eastAsia="楷体_GB2312" w:cs="Calibri"/>
          <w:color w:val="215E99"/>
          <w:sz w:val="24"/>
        </w:rPr>
        <w:t>1.</w:t>
      </w:r>
      <w:r>
        <w:rPr>
          <w:rFonts w:hint="eastAsia" w:ascii="Calibri" w:hAnsi="Calibri" w:eastAsia="楷体_GB2312" w:cs="Calibri"/>
          <w:color w:val="215E99"/>
          <w:sz w:val="24"/>
        </w:rPr>
        <w:t>4</w:t>
      </w:r>
      <w:r>
        <w:rPr>
          <w:rFonts w:ascii="Calibri" w:hAnsi="Calibri" w:eastAsia="楷体_GB2312" w:cs="Calibri"/>
          <w:color w:val="215E99"/>
          <w:sz w:val="24"/>
        </w:rPr>
        <w:t xml:space="preserve"> </w:t>
      </w:r>
      <w:r>
        <w:rPr>
          <w:rFonts w:hint="eastAsia" w:ascii="Calibri" w:hAnsi="Calibri" w:eastAsia="楷体" w:cs="Calibri"/>
          <w:color w:val="215E99"/>
          <w:sz w:val="24"/>
        </w:rPr>
        <w:t>Financial Performance</w:t>
      </w:r>
      <w:bookmarkEnd w:id="5"/>
    </w:p>
    <w:p w14:paraId="5D196E43">
      <w:pPr>
        <w:widowControl w:val="0"/>
        <w:jc w:val="both"/>
        <w:rPr>
          <w:rFonts w:eastAsia="楷体" w:cs="Calibri"/>
          <w:kern w:val="2"/>
          <w:sz w:val="22"/>
          <w:szCs w:val="22"/>
        </w:rPr>
      </w:pPr>
      <w:r>
        <w:rPr>
          <w:rFonts w:eastAsia="楷体" w:cs="Calibri"/>
          <w:b/>
          <w:bCs/>
          <w:kern w:val="2"/>
          <w:sz w:val="22"/>
          <w:szCs w:val="22"/>
        </w:rPr>
        <w:t xml:space="preserve">Cirrus demonstrated strong revenue expansion capability between 2020 and 2024. </w:t>
      </w:r>
      <w:r>
        <w:rPr>
          <w:rFonts w:eastAsia="楷体" w:cs="Calibri"/>
          <w:kern w:val="2"/>
          <w:sz w:val="22"/>
          <w:szCs w:val="22"/>
        </w:rPr>
        <w:t xml:space="preserve">Total revenue surged from $587 million in 2020 to $1.197 billion in 2024, achieving a Compound Annual Growth Rate (CAGR) of 19.4%. </w:t>
      </w:r>
      <w:r>
        <w:rPr>
          <w:rFonts w:hint="eastAsia" w:eastAsia="楷体" w:cs="Calibri"/>
          <w:kern w:val="2"/>
          <w:sz w:val="22"/>
          <w:szCs w:val="22"/>
          <w:lang w:eastAsia="zh-CN"/>
        </w:rPr>
        <w:t>More specifically,</w:t>
      </w:r>
      <w:r>
        <w:rPr>
          <w:rFonts w:eastAsia="楷体" w:cs="Calibri"/>
          <w:kern w:val="2"/>
          <w:sz w:val="22"/>
          <w:szCs w:val="22"/>
        </w:rPr>
        <w:t xml:space="preserve"> in 2021, benefiting from the rebound in aviation demand post-pandemic, the growth rate reached 26.2%; in 2022-2023, affected by supply chain disruptions, the growth rate slowed down to around 20%; </w:t>
      </w:r>
      <w:r>
        <w:rPr>
          <w:rFonts w:hint="eastAsia" w:eastAsia="楷体" w:cs="Calibri"/>
          <w:kern w:val="2"/>
          <w:sz w:val="22"/>
          <w:szCs w:val="22"/>
          <w:lang w:eastAsia="zh-CN"/>
        </w:rPr>
        <w:t>i</w:t>
      </w:r>
      <w:r>
        <w:rPr>
          <w:rFonts w:eastAsia="楷体" w:cs="Calibri"/>
          <w:kern w:val="2"/>
          <w:sz w:val="22"/>
          <w:szCs w:val="22"/>
        </w:rPr>
        <w:t>n 2024, through product structure optimization, the company achieved a year-on-year growth rate of 12.1%, which slowed compared to the previous year. The main reasons include: a natural pullback following the post-pandemic demand peak, high financing costs, and labor shortages.</w:t>
      </w:r>
    </w:p>
    <w:p w14:paraId="0EBEF119">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B277456">
        <w:trPr>
          <w:trHeight w:val="302" w:hRule="atLeast"/>
        </w:trPr>
        <w:tc>
          <w:tcPr>
            <w:tcW w:w="7466" w:type="dxa"/>
            <w:tcBorders>
              <w:bottom w:val="single" w:color="auto" w:sz="4" w:space="0"/>
            </w:tcBorders>
            <w:tcMar>
              <w:left w:w="0" w:type="dxa"/>
              <w:right w:w="28" w:type="dxa"/>
            </w:tcMar>
          </w:tcPr>
          <w:p w14:paraId="33A7E5CB">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Cirrus Aircraft Revenue and Growth Rate (in million USD)</w:t>
            </w:r>
          </w:p>
        </w:tc>
      </w:tr>
      <w:tr w14:paraId="7606FDE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3A6EE0B">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970655" cy="1990090"/>
                  <wp:effectExtent l="0" t="0" r="0" b="0"/>
                  <wp:docPr id="60206683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14:paraId="43293C3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5485673">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Wind</w:t>
            </w:r>
            <w:r>
              <w:rPr>
                <w:rFonts w:hint="eastAsia" w:eastAsia="楷体_GB2312" w:cs="Calibri"/>
                <w:sz w:val="20"/>
                <w:szCs w:val="20"/>
              </w:rPr>
              <w:t>, HFI</w:t>
            </w:r>
          </w:p>
        </w:tc>
      </w:tr>
    </w:tbl>
    <w:p w14:paraId="1FF8CE6C">
      <w:pPr>
        <w:rPr>
          <w:rFonts w:cs="Calibri" w:eastAsiaTheme="minorEastAsia"/>
          <w:sz w:val="22"/>
          <w:szCs w:val="22"/>
          <w:lang w:eastAsia="zh-CN"/>
        </w:rPr>
      </w:pPr>
    </w:p>
    <w:p w14:paraId="4A465EBF">
      <w:pPr>
        <w:widowControl w:val="0"/>
        <w:jc w:val="both"/>
        <w:rPr>
          <w:rFonts w:eastAsia="楷体" w:cs="Calibri"/>
          <w:kern w:val="2"/>
          <w:sz w:val="22"/>
          <w:szCs w:val="22"/>
        </w:rPr>
      </w:pPr>
      <w:bookmarkStart w:id="6" w:name="_Hlk216641762"/>
      <w:r>
        <w:rPr>
          <w:rFonts w:eastAsia="楷体" w:cs="Calibri"/>
          <w:b/>
          <w:bCs/>
          <w:kern w:val="2"/>
          <w:sz w:val="22"/>
          <w:szCs w:val="22"/>
        </w:rPr>
        <w:t>Regarding the business structure,</w:t>
      </w:r>
      <w:r>
        <w:rPr>
          <w:rFonts w:eastAsia="楷体" w:cs="Calibri"/>
          <w:kern w:val="2"/>
          <w:sz w:val="22"/>
          <w:szCs w:val="22"/>
        </w:rPr>
        <w:t xml:space="preserve"> aircraft manufacturing consistently maintained its dominant position, with its revenue contribution slightly increasing from 83.3% in 2020 to 85.5% in 2024. While the absolute value of the services business grew by 13.8%, its proportion decreased from 16.7% to 14.5%.</w:t>
      </w:r>
    </w:p>
    <w:p w14:paraId="49C5787B">
      <w:pPr>
        <w:widowControl w:val="0"/>
        <w:jc w:val="both"/>
        <w:rPr>
          <w:rFonts w:eastAsia="楷体" w:cs="Calibri"/>
          <w:kern w:val="2"/>
          <w:sz w:val="22"/>
          <w:szCs w:val="22"/>
          <w:lang w:eastAsia="zh-CN"/>
        </w:rPr>
      </w:pPr>
    </w:p>
    <w:p w14:paraId="3681B5AA">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5F554B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09CAF14">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Cirrus Aircraft Segment Revenue and Growth Rates (</w:t>
            </w:r>
            <w:r>
              <w:rPr>
                <w:rFonts w:hint="eastAsia" w:eastAsia="楷体_GB2312" w:cs="Calibri"/>
                <w:b/>
                <w:sz w:val="20"/>
                <w:szCs w:val="20"/>
                <w:lang w:eastAsia="zh-CN"/>
              </w:rPr>
              <w:t>mn</w:t>
            </w:r>
            <w:r>
              <w:rPr>
                <w:rFonts w:eastAsia="楷体_GB2312" w:cs="Calibri"/>
                <w:b/>
                <w:sz w:val="20"/>
                <w:szCs w:val="20"/>
                <w:lang w:eastAsia="zh-CN"/>
              </w:rPr>
              <w:t xml:space="preserve"> USD)</w:t>
            </w:r>
          </w:p>
        </w:tc>
      </w:tr>
      <w:tr w14:paraId="5DAA4F2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FC041D5">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963670" cy="1701800"/>
                  <wp:effectExtent l="0" t="0" r="0" b="0"/>
                  <wp:docPr id="157680269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2109F29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9ACB0DD">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Wind</w:t>
            </w:r>
            <w:r>
              <w:rPr>
                <w:rFonts w:hint="eastAsia" w:eastAsia="楷体_GB2312" w:cs="Calibri"/>
                <w:sz w:val="20"/>
                <w:szCs w:val="20"/>
              </w:rPr>
              <w:t>, HFI</w:t>
            </w:r>
          </w:p>
        </w:tc>
      </w:tr>
    </w:tbl>
    <w:p w14:paraId="31DE7AEC">
      <w:pPr>
        <w:widowControl w:val="0"/>
        <w:jc w:val="both"/>
        <w:rPr>
          <w:rFonts w:eastAsia="楷体" w:cs="Calibri"/>
          <w:kern w:val="2"/>
          <w:sz w:val="22"/>
          <w:szCs w:val="22"/>
          <w:lang w:eastAsia="zh-CN"/>
        </w:rPr>
      </w:pPr>
    </w:p>
    <w:p w14:paraId="7D17AEDF">
      <w:pPr>
        <w:widowControl w:val="0"/>
        <w:jc w:val="both"/>
        <w:rPr>
          <w:rFonts w:eastAsia="楷体" w:cs="Calibri"/>
          <w:kern w:val="2"/>
          <w:sz w:val="22"/>
          <w:szCs w:val="22"/>
          <w:lang w:eastAsia="zh-CN"/>
        </w:rPr>
      </w:pPr>
    </w:p>
    <w:p w14:paraId="2ED16CEC">
      <w:pPr>
        <w:pStyle w:val="36"/>
        <w:widowControl w:val="0"/>
        <w:numPr>
          <w:ilvl w:val="0"/>
          <w:numId w:val="3"/>
        </w:numPr>
        <w:jc w:val="both"/>
        <w:rPr>
          <w:rFonts w:eastAsia="楷体" w:cs="Calibri"/>
          <w:kern w:val="2"/>
          <w:sz w:val="22"/>
          <w:szCs w:val="22"/>
        </w:rPr>
      </w:pPr>
      <w:r>
        <w:rPr>
          <w:rFonts w:hint="eastAsia" w:eastAsia="楷体" w:cs="Calibri"/>
          <w:b/>
          <w:bCs/>
          <w:kern w:val="2"/>
          <w:sz w:val="22"/>
          <w:szCs w:val="22"/>
          <w:lang w:eastAsia="zh-CN"/>
        </w:rPr>
        <w:t xml:space="preserve">For the </w:t>
      </w:r>
      <w:r>
        <w:rPr>
          <w:rFonts w:eastAsia="楷体" w:cs="Calibri"/>
          <w:b/>
          <w:bCs/>
          <w:kern w:val="2"/>
          <w:sz w:val="22"/>
          <w:szCs w:val="22"/>
          <w:lang w:eastAsia="zh-CN"/>
        </w:rPr>
        <w:t>aircraft</w:t>
      </w:r>
      <w:r>
        <w:rPr>
          <w:rFonts w:hint="eastAsia" w:eastAsia="楷体" w:cs="Calibri"/>
          <w:b/>
          <w:bCs/>
          <w:kern w:val="2"/>
          <w:sz w:val="22"/>
          <w:szCs w:val="22"/>
          <w:lang w:eastAsia="zh-CN"/>
        </w:rPr>
        <w:t xml:space="preserve"> part: </w:t>
      </w:r>
      <w:r>
        <w:rPr>
          <w:rFonts w:hint="eastAsia" w:eastAsia="楷体" w:cs="Calibri"/>
          <w:kern w:val="2"/>
          <w:sz w:val="22"/>
          <w:szCs w:val="22"/>
          <w:lang w:eastAsia="zh-CN"/>
        </w:rPr>
        <w:t>f</w:t>
      </w:r>
      <w:r>
        <w:rPr>
          <w:rFonts w:eastAsia="楷体" w:cs="Calibri"/>
          <w:kern w:val="2"/>
          <w:sz w:val="22"/>
          <w:szCs w:val="22"/>
        </w:rPr>
        <w:t>rom 2021 to 202</w:t>
      </w:r>
      <w:r>
        <w:rPr>
          <w:rFonts w:hint="eastAsia" w:eastAsia="楷体" w:cs="Calibri"/>
          <w:kern w:val="2"/>
          <w:sz w:val="22"/>
          <w:szCs w:val="22"/>
          <w:lang w:eastAsia="zh-CN"/>
        </w:rPr>
        <w:t>4</w:t>
      </w:r>
      <w:r>
        <w:rPr>
          <w:rFonts w:eastAsia="楷体" w:cs="Calibri"/>
          <w:kern w:val="2"/>
          <w:sz w:val="22"/>
          <w:szCs w:val="22"/>
        </w:rPr>
        <w:t xml:space="preserve">, Cirrus's total </w:t>
      </w:r>
      <w:r>
        <w:rPr>
          <w:rFonts w:hint="eastAsia" w:eastAsia="楷体" w:cs="Calibri"/>
          <w:kern w:val="2"/>
          <w:sz w:val="22"/>
          <w:szCs w:val="22"/>
          <w:lang w:eastAsia="zh-CN"/>
        </w:rPr>
        <w:t>aircraft</w:t>
      </w:r>
      <w:r>
        <w:rPr>
          <w:rFonts w:eastAsia="楷体" w:cs="Calibri"/>
          <w:kern w:val="2"/>
          <w:sz w:val="22"/>
          <w:szCs w:val="22"/>
        </w:rPr>
        <w:t xml:space="preserve"> revenue increased from USD </w:t>
      </w:r>
      <w:r>
        <w:rPr>
          <w:rFonts w:hint="eastAsia" w:eastAsia="楷体" w:cs="Calibri"/>
          <w:kern w:val="2"/>
          <w:sz w:val="22"/>
          <w:szCs w:val="22"/>
          <w:lang w:eastAsia="zh-CN"/>
        </w:rPr>
        <w:t>619.61</w:t>
      </w:r>
      <w:r>
        <w:rPr>
          <w:rFonts w:eastAsia="楷体" w:cs="Calibri"/>
          <w:kern w:val="2"/>
          <w:sz w:val="22"/>
          <w:szCs w:val="22"/>
        </w:rPr>
        <w:t xml:space="preserve"> million to USD </w:t>
      </w:r>
      <w:r>
        <w:rPr>
          <w:rFonts w:hint="eastAsia" w:eastAsia="楷体" w:cs="Calibri"/>
          <w:kern w:val="2"/>
          <w:sz w:val="22"/>
          <w:szCs w:val="22"/>
          <w:lang w:eastAsia="zh-CN"/>
        </w:rPr>
        <w:t>915.65</w:t>
      </w:r>
      <w:r>
        <w:rPr>
          <w:rFonts w:eastAsia="楷体" w:cs="Calibri"/>
          <w:kern w:val="2"/>
          <w:sz w:val="22"/>
          <w:szCs w:val="22"/>
        </w:rPr>
        <w:t xml:space="preserve"> million.</w:t>
      </w:r>
      <w:r>
        <w:rPr>
          <w:rFonts w:hint="eastAsia" w:eastAsia="楷体" w:cs="Calibri"/>
          <w:kern w:val="2"/>
          <w:sz w:val="22"/>
          <w:szCs w:val="22"/>
          <w:lang w:eastAsia="zh-CN"/>
        </w:rPr>
        <w:t xml:space="preserve"> At the end of 2024,</w:t>
      </w:r>
      <w:r>
        <w:rPr>
          <w:rFonts w:eastAsia="楷体" w:cs="Calibri"/>
          <w:kern w:val="2"/>
          <w:sz w:val="22"/>
          <w:szCs w:val="22"/>
        </w:rPr>
        <w:t xml:space="preserve"> </w:t>
      </w:r>
      <w:r>
        <w:rPr>
          <w:rFonts w:hint="eastAsia" w:eastAsia="楷体" w:cs="Calibri"/>
          <w:kern w:val="2"/>
          <w:sz w:val="22"/>
          <w:szCs w:val="22"/>
          <w:lang w:eastAsia="zh-CN"/>
        </w:rPr>
        <w:t>d</w:t>
      </w:r>
      <w:r>
        <w:rPr>
          <w:rFonts w:eastAsia="楷体" w:cs="Calibri"/>
          <w:kern w:val="2"/>
          <w:sz w:val="22"/>
          <w:szCs w:val="22"/>
        </w:rPr>
        <w:t xml:space="preserve">eliveries of the SR2X series and Vision Jet increased </w:t>
      </w:r>
      <w:r>
        <w:rPr>
          <w:rFonts w:hint="eastAsia" w:eastAsia="楷体" w:cs="Calibri"/>
          <w:kern w:val="2"/>
          <w:sz w:val="22"/>
          <w:szCs w:val="22"/>
          <w:lang w:eastAsia="zh-CN"/>
        </w:rPr>
        <w:t>to</w:t>
      </w:r>
      <w:r>
        <w:rPr>
          <w:rFonts w:eastAsia="楷体" w:cs="Calibri"/>
          <w:kern w:val="2"/>
          <w:sz w:val="22"/>
          <w:szCs w:val="22"/>
        </w:rPr>
        <w:t xml:space="preserve"> </w:t>
      </w:r>
      <w:r>
        <w:rPr>
          <w:rFonts w:hint="eastAsia" w:eastAsia="楷体" w:cs="Calibri"/>
          <w:kern w:val="2"/>
          <w:sz w:val="22"/>
          <w:szCs w:val="22"/>
          <w:lang w:eastAsia="zh-CN"/>
        </w:rPr>
        <w:t>630 units</w:t>
      </w:r>
      <w:r>
        <w:rPr>
          <w:rFonts w:eastAsia="楷体" w:cs="Calibri"/>
          <w:kern w:val="2"/>
          <w:sz w:val="22"/>
          <w:szCs w:val="22"/>
        </w:rPr>
        <w:t xml:space="preserve"> and </w:t>
      </w:r>
      <w:r>
        <w:rPr>
          <w:rFonts w:hint="eastAsia" w:eastAsia="楷体" w:cs="Calibri"/>
          <w:kern w:val="2"/>
          <w:sz w:val="22"/>
          <w:szCs w:val="22"/>
          <w:lang w:eastAsia="zh-CN"/>
        </w:rPr>
        <w:t>101 units</w:t>
      </w:r>
      <w:r>
        <w:rPr>
          <w:rFonts w:eastAsia="楷体" w:cs="Calibri"/>
          <w:kern w:val="2"/>
          <w:sz w:val="22"/>
          <w:szCs w:val="22"/>
        </w:rPr>
        <w:t xml:space="preserve"> respectively, while their average selling prices rose by 9.</w:t>
      </w:r>
      <w:r>
        <w:rPr>
          <w:rFonts w:hint="eastAsia" w:eastAsia="楷体" w:cs="Calibri"/>
          <w:kern w:val="2"/>
          <w:sz w:val="22"/>
          <w:szCs w:val="22"/>
          <w:lang w:eastAsia="zh-CN"/>
        </w:rPr>
        <w:t>7</w:t>
      </w:r>
      <w:r>
        <w:rPr>
          <w:rFonts w:eastAsia="楷体" w:cs="Calibri"/>
          <w:kern w:val="2"/>
          <w:sz w:val="22"/>
          <w:szCs w:val="22"/>
        </w:rPr>
        <w:t>% and 8.0% respectively.</w:t>
      </w:r>
    </w:p>
    <w:bookmarkEnd w:id="6"/>
    <w:p w14:paraId="164FEFA8">
      <w:pPr>
        <w:widowControl w:val="0"/>
        <w:jc w:val="both"/>
        <w:rPr>
          <w:rFonts w:eastAsia="楷体_GB2312" w:cs="Calibri"/>
          <w:kern w:val="2"/>
          <w:sz w:val="20"/>
          <w:szCs w:val="20"/>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EDC43DF">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55DF4FC5">
            <w:pPr>
              <w:spacing w:before="48" w:beforeLines="20" w:after="48" w:afterLines="20"/>
              <w:jc w:val="both"/>
              <w:textAlignment w:val="center"/>
              <w:rPr>
                <w:rFonts w:eastAsia="楷体_GB2312" w:cs="Calibri"/>
                <w:b/>
                <w:sz w:val="20"/>
                <w:szCs w:val="20"/>
                <w:highlight w:val="yellow"/>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Cirrus Aircraft Segment Revenu</w:t>
            </w:r>
            <w:r>
              <w:rPr>
                <w:rFonts w:hint="eastAsia" w:eastAsia="楷体_GB2312" w:cs="Calibri"/>
                <w:b/>
                <w:sz w:val="20"/>
                <w:szCs w:val="20"/>
                <w:lang w:eastAsia="zh-CN"/>
              </w:rPr>
              <w:t>e</w:t>
            </w:r>
            <w:r>
              <w:rPr>
                <w:rFonts w:eastAsia="楷体_GB2312" w:cs="Calibri"/>
                <w:b/>
                <w:sz w:val="20"/>
                <w:szCs w:val="20"/>
                <w:lang w:eastAsia="zh-CN"/>
              </w:rPr>
              <w:t xml:space="preserve"> (</w:t>
            </w:r>
            <w:r>
              <w:rPr>
                <w:rFonts w:hint="eastAsia" w:eastAsia="楷体_GB2312" w:cs="Calibri"/>
                <w:b/>
                <w:sz w:val="20"/>
                <w:szCs w:val="20"/>
                <w:lang w:eastAsia="zh-CN"/>
              </w:rPr>
              <w:t>mn</w:t>
            </w:r>
            <w:r>
              <w:rPr>
                <w:rFonts w:eastAsia="楷体_GB2312" w:cs="Calibri"/>
                <w:b/>
                <w:sz w:val="20"/>
                <w:szCs w:val="20"/>
                <w:lang w:eastAsia="zh-CN"/>
              </w:rPr>
              <w:t xml:space="preserve"> USD)</w:t>
            </w:r>
          </w:p>
        </w:tc>
        <w:tc>
          <w:tcPr>
            <w:tcW w:w="241" w:type="dxa"/>
            <w:tcMar>
              <w:left w:w="0" w:type="dxa"/>
              <w:right w:w="28" w:type="dxa"/>
            </w:tcMar>
          </w:tcPr>
          <w:p w14:paraId="730412DA">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7E5430AC">
            <w:pPr>
              <w:spacing w:before="48" w:beforeLines="20" w:after="48" w:afterLines="20"/>
              <w:jc w:val="both"/>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Cirrus Aircraft Volume Breakdown (</w:t>
            </w:r>
            <w:r>
              <w:rPr>
                <w:rFonts w:hint="eastAsia" w:eastAsia="楷体_GB2312" w:cs="Calibri"/>
                <w:b/>
                <w:sz w:val="20"/>
                <w:szCs w:val="20"/>
                <w:lang w:eastAsia="zh-CN"/>
              </w:rPr>
              <w:t>mn</w:t>
            </w:r>
            <w:r>
              <w:rPr>
                <w:rFonts w:eastAsia="楷体_GB2312" w:cs="Calibri"/>
                <w:b/>
                <w:sz w:val="20"/>
                <w:szCs w:val="20"/>
                <w:lang w:eastAsia="zh-CN"/>
              </w:rPr>
              <w:t xml:space="preserve"> </w:t>
            </w:r>
            <w:r>
              <w:rPr>
                <w:rFonts w:hint="eastAsia" w:eastAsia="楷体_GB2312" w:cs="Calibri"/>
                <w:b/>
                <w:sz w:val="20"/>
                <w:szCs w:val="20"/>
                <w:lang w:eastAsia="zh-CN"/>
              </w:rPr>
              <w:t>units</w:t>
            </w:r>
            <w:r>
              <w:rPr>
                <w:rFonts w:eastAsia="楷体_GB2312" w:cs="Calibri"/>
                <w:b/>
                <w:sz w:val="20"/>
                <w:szCs w:val="20"/>
                <w:lang w:eastAsia="zh-CN"/>
              </w:rPr>
              <w:t>)</w:t>
            </w:r>
          </w:p>
        </w:tc>
      </w:tr>
      <w:tr w14:paraId="7A448F6B">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24B8EC">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241" w:type="dxa"/>
          </w:tcPr>
          <w:p w14:paraId="12D719C4">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1043A7C">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14:paraId="5DE0129B">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33EFD0C">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c>
          <w:tcPr>
            <w:tcW w:w="241" w:type="dxa"/>
            <w:tcMar>
              <w:left w:w="0" w:type="dxa"/>
              <w:right w:w="28" w:type="dxa"/>
            </w:tcMar>
          </w:tcPr>
          <w:p w14:paraId="127E94E5">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1D22DF5F">
            <w:pPr>
              <w:spacing w:before="48" w:beforeLines="20" w:after="48" w:afterLines="20"/>
              <w:jc w:val="both"/>
              <w:rPr>
                <w:rFonts w:eastAsia="楷体_GB2312"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r>
    </w:tbl>
    <w:p w14:paraId="1A6AFE01">
      <w:pPr>
        <w:widowControl w:val="0"/>
        <w:jc w:val="both"/>
        <w:rPr>
          <w:rFonts w:eastAsia="楷体_GB2312" w:cs="Calibri"/>
          <w:kern w:val="2"/>
          <w:sz w:val="20"/>
          <w:szCs w:val="20"/>
          <w:lang w:eastAsia="zh-CN"/>
        </w:rPr>
      </w:pPr>
    </w:p>
    <w:p w14:paraId="3F1E830E">
      <w:pPr>
        <w:pStyle w:val="36"/>
        <w:numPr>
          <w:ilvl w:val="0"/>
          <w:numId w:val="3"/>
        </w:numPr>
        <w:jc w:val="both"/>
        <w:rPr>
          <w:rFonts w:eastAsia="楷体" w:cs="Calibri"/>
          <w:kern w:val="2"/>
          <w:sz w:val="22"/>
          <w:szCs w:val="22"/>
        </w:rPr>
      </w:pPr>
      <w:bookmarkStart w:id="7" w:name="_Hlk216642019"/>
      <w:r>
        <w:rPr>
          <w:rFonts w:hint="eastAsia" w:eastAsia="楷体" w:cs="Calibri"/>
          <w:b/>
          <w:bCs/>
          <w:kern w:val="2"/>
          <w:sz w:val="22"/>
          <w:szCs w:val="22"/>
          <w:lang w:eastAsia="zh-CN"/>
        </w:rPr>
        <w:t>For the service part:</w:t>
      </w:r>
      <w:r>
        <w:rPr>
          <w:rFonts w:hint="eastAsia" w:eastAsia="楷体" w:cs="Calibri"/>
          <w:kern w:val="2"/>
          <w:sz w:val="22"/>
          <w:szCs w:val="22"/>
          <w:lang w:eastAsia="zh-CN"/>
        </w:rPr>
        <w:t xml:space="preserve"> f</w:t>
      </w:r>
      <w:r>
        <w:rPr>
          <w:rFonts w:eastAsia="楷体" w:cs="Calibri"/>
          <w:kern w:val="2"/>
          <w:sz w:val="22"/>
          <w:szCs w:val="22"/>
        </w:rPr>
        <w:t>rom 2021 to 2023, Cirrus's total service revenue increased from USD 118.5 million to USD 152.1 million, with the proportion of aftermarket parts/maintenance rising from 40.5% to 53.1%, and the proportion of pre-owned aircraft sales increasing from 8.7% to 17.5%.</w:t>
      </w:r>
    </w:p>
    <w:p w14:paraId="10968954">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67A81D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A1F1BCD">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Figure: 2021-2023 Cirrus After-Sales Service Revenue Breakdown</w:t>
            </w:r>
          </w:p>
        </w:tc>
      </w:tr>
      <w:tr w14:paraId="73D5691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4D393AE">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572000" cy="2743200"/>
                  <wp:effectExtent l="0" t="0" r="0" b="0"/>
                  <wp:docPr id="11434648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14:paraId="495E5F6F">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D2E040D">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hint="eastAsia" w:eastAsia="楷体_GB2312" w:cs="Calibri"/>
                <w:sz w:val="20"/>
                <w:szCs w:val="20"/>
              </w:rPr>
              <w:t>HFI</w:t>
            </w:r>
          </w:p>
        </w:tc>
      </w:tr>
    </w:tbl>
    <w:p w14:paraId="447FF0B4">
      <w:pPr>
        <w:jc w:val="both"/>
        <w:rPr>
          <w:rFonts w:eastAsia="楷体" w:cs="Calibri"/>
          <w:b/>
          <w:bCs/>
          <w:kern w:val="2"/>
          <w:sz w:val="22"/>
          <w:szCs w:val="22"/>
          <w:lang w:eastAsia="zh-CN"/>
        </w:rPr>
      </w:pPr>
    </w:p>
    <w:p w14:paraId="645D10EE">
      <w:pPr>
        <w:widowControl w:val="0"/>
        <w:jc w:val="both"/>
        <w:rPr>
          <w:rFonts w:eastAsia="楷体" w:cs="Calibri"/>
          <w:b/>
          <w:bCs/>
          <w:kern w:val="2"/>
          <w:sz w:val="22"/>
          <w:szCs w:val="22"/>
          <w:lang w:eastAsia="zh-CN"/>
        </w:rPr>
      </w:pPr>
      <w:r>
        <w:rPr>
          <w:rFonts w:eastAsia="楷体" w:cs="Calibri"/>
          <w:b/>
          <w:bCs/>
          <w:kern w:val="2"/>
          <w:sz w:val="22"/>
          <w:szCs w:val="22"/>
        </w:rPr>
        <w:t>The company's profitability has continued to improve</w:t>
      </w:r>
      <w:r>
        <w:rPr>
          <w:rFonts w:hint="eastAsia" w:eastAsia="楷体" w:cs="Calibri"/>
          <w:b/>
          <w:bCs/>
          <w:kern w:val="2"/>
          <w:sz w:val="22"/>
          <w:szCs w:val="22"/>
          <w:lang w:eastAsia="zh-CN"/>
        </w:rPr>
        <w:t xml:space="preserve"> from 2020 to 2024. </w:t>
      </w:r>
    </w:p>
    <w:p w14:paraId="5C28882A">
      <w:pPr>
        <w:widowControl w:val="0"/>
        <w:jc w:val="both"/>
        <w:rPr>
          <w:rFonts w:eastAsia="楷体" w:cs="Calibri"/>
          <w:b/>
          <w:bCs/>
          <w:kern w:val="2"/>
          <w:sz w:val="22"/>
          <w:szCs w:val="22"/>
          <w:lang w:eastAsia="zh-CN"/>
        </w:rPr>
      </w:pPr>
      <w:r>
        <w:rPr>
          <w:rFonts w:hint="eastAsia" w:eastAsia="楷体" w:cs="Calibri"/>
          <w:b/>
          <w:bCs/>
          <w:kern w:val="2"/>
          <w:sz w:val="22"/>
          <w:szCs w:val="22"/>
          <w:lang w:eastAsia="zh-CN"/>
        </w:rPr>
        <w:t xml:space="preserve">1) </w:t>
      </w:r>
      <w:r>
        <w:rPr>
          <w:rFonts w:eastAsia="楷体" w:cs="Calibri"/>
          <w:b/>
          <w:bCs/>
          <w:kern w:val="2"/>
          <w:sz w:val="22"/>
          <w:szCs w:val="22"/>
        </w:rPr>
        <w:t>From the perspective of gross profit and gross margin:</w:t>
      </w:r>
      <w:r>
        <w:rPr>
          <w:rFonts w:eastAsia="楷体" w:cs="Calibri"/>
          <w:kern w:val="2"/>
          <w:sz w:val="22"/>
          <w:szCs w:val="22"/>
        </w:rPr>
        <w:t xml:space="preserve"> From 2020 to 2024, the company's gross profit increased from $185 million to $414 million, with a compound annual growth rate (CAGR) of 22.3% for gross profit. The gross margin rose from 31.6% in 2020 to 34.6% in 2024.</w:t>
      </w:r>
    </w:p>
    <w:p w14:paraId="19FC8ADA">
      <w:pPr>
        <w:widowControl w:val="0"/>
        <w:jc w:val="both"/>
        <w:rPr>
          <w:rFonts w:eastAsia="楷体" w:cs="Calibri"/>
          <w:kern w:val="2"/>
          <w:sz w:val="22"/>
          <w:szCs w:val="22"/>
        </w:rPr>
      </w:pPr>
      <w:r>
        <w:rPr>
          <w:rFonts w:hint="eastAsia" w:eastAsia="楷体" w:cs="Calibri"/>
          <w:b/>
          <w:bCs/>
          <w:kern w:val="2"/>
          <w:sz w:val="22"/>
          <w:szCs w:val="22"/>
          <w:lang w:eastAsia="zh-CN"/>
        </w:rPr>
        <w:t xml:space="preserve">2) </w:t>
      </w:r>
      <w:r>
        <w:rPr>
          <w:rFonts w:eastAsia="楷体" w:cs="Calibri"/>
          <w:b/>
          <w:bCs/>
          <w:kern w:val="2"/>
          <w:sz w:val="22"/>
          <w:szCs w:val="22"/>
        </w:rPr>
        <w:t>From the perspective of net profit and net margin:</w:t>
      </w:r>
      <w:r>
        <w:rPr>
          <w:rFonts w:eastAsia="楷体" w:cs="Calibri"/>
          <w:kern w:val="2"/>
          <w:sz w:val="22"/>
          <w:szCs w:val="22"/>
        </w:rPr>
        <w:t xml:space="preserve"> Net profit surged from $36</w:t>
      </w:r>
      <w:r>
        <w:rPr>
          <w:rFonts w:hint="eastAsia" w:eastAsia="楷体" w:cs="Calibri"/>
          <w:kern w:val="2"/>
          <w:sz w:val="22"/>
          <w:szCs w:val="22"/>
          <w:lang w:eastAsia="zh-CN"/>
        </w:rPr>
        <w:t xml:space="preserve"> </w:t>
      </w:r>
      <w:r>
        <w:rPr>
          <w:rFonts w:eastAsia="楷体" w:cs="Calibri"/>
          <w:kern w:val="2"/>
          <w:sz w:val="22"/>
          <w:szCs w:val="22"/>
        </w:rPr>
        <w:t>million in 2020 to $121 million in 2024, achieving a net profit CAGR as high as 32.3%. The net margin improved from 6.2% in 2020 to 10.1% in 2024.</w:t>
      </w:r>
    </w:p>
    <w:p w14:paraId="08678DA3">
      <w:pPr>
        <w:widowControl w:val="0"/>
        <w:jc w:val="both"/>
        <w:rPr>
          <w:rFonts w:eastAsia="楷体" w:cs="Calibri"/>
          <w:kern w:val="2"/>
          <w:sz w:val="22"/>
          <w:szCs w:val="22"/>
        </w:rPr>
      </w:pPr>
      <w:r>
        <w:rPr>
          <w:rFonts w:eastAsia="楷体" w:cs="Calibri"/>
          <w:kern w:val="2"/>
          <w:sz w:val="22"/>
          <w:szCs w:val="22"/>
        </w:rPr>
        <w:t>The substantial enhancement in profitability was primarily driven by the product pricing strategy (with the average price of the SR2X series increasing by 9.8% annually), the rising proportion of high-gross-margin business (with the Vision Jet contributing 29.9% of revenue), and production efficiency improvements brought about by the Cirrus Operating System (COS).</w:t>
      </w:r>
    </w:p>
    <w:p w14:paraId="22FA6E80">
      <w:pPr>
        <w:widowControl w:val="0"/>
        <w:jc w:val="both"/>
        <w:rPr>
          <w:rFonts w:eastAsia="楷体" w:cs="Calibri"/>
          <w:b/>
          <w:bCs/>
          <w:kern w:val="2"/>
          <w:sz w:val="22"/>
          <w:szCs w:val="22"/>
          <w:lang w:eastAsia="zh-CN"/>
        </w:rPr>
      </w:pPr>
      <w:r>
        <w:rPr>
          <w:rFonts w:hint="eastAsia" w:eastAsia="楷体" w:cs="Calibri"/>
          <w:b/>
          <w:bCs/>
          <w:kern w:val="2"/>
          <w:sz w:val="22"/>
          <w:szCs w:val="22"/>
          <w:lang w:eastAsia="zh-CN"/>
        </w:rPr>
        <w:t>3)</w:t>
      </w:r>
      <w:r>
        <w:rPr>
          <w:rFonts w:ascii="Roboto" w:hAnsi="Roboto"/>
          <w:b/>
          <w:bCs/>
          <w:spacing w:val="-2"/>
          <w:sz w:val="21"/>
          <w:szCs w:val="21"/>
          <w:shd w:val="clear" w:color="auto" w:fill="FCFCFC"/>
        </w:rPr>
        <w:t xml:space="preserve"> </w:t>
      </w:r>
      <w:r>
        <w:rPr>
          <w:rFonts w:eastAsia="楷体" w:cs="Calibri"/>
          <w:b/>
          <w:bCs/>
          <w:kern w:val="2"/>
          <w:sz w:val="22"/>
          <w:szCs w:val="22"/>
          <w:lang w:eastAsia="zh-CN"/>
        </w:rPr>
        <w:t>Expense Ratios Remained Stable</w:t>
      </w:r>
      <w:r>
        <w:rPr>
          <w:rFonts w:hint="eastAsia" w:eastAsia="楷体" w:cs="Calibri"/>
          <w:b/>
          <w:bCs/>
          <w:kern w:val="2"/>
          <w:sz w:val="22"/>
          <w:szCs w:val="22"/>
          <w:lang w:eastAsia="zh-CN"/>
        </w:rPr>
        <w:t>:</w:t>
      </w:r>
      <w:r>
        <w:rPr>
          <w:rFonts w:ascii="宋体" w:hAnsi="宋体" w:eastAsia="宋体" w:cs="宋体"/>
          <w:sz w:val="24"/>
        </w:rPr>
        <w:t xml:space="preserve"> </w:t>
      </w:r>
      <w:r>
        <w:rPr>
          <w:rFonts w:eastAsia="楷体" w:cs="Calibri"/>
          <w:kern w:val="2"/>
          <w:sz w:val="22"/>
          <w:szCs w:val="22"/>
          <w:lang w:eastAsia="zh-CN"/>
        </w:rPr>
        <w:t>Cirrus Aircraft's selling expense ratio remains at around 12%, administrative expense ratio stays at 10%, and financial expense ratio is maintained at 0.4%</w:t>
      </w:r>
      <w:r>
        <w:rPr>
          <w:rFonts w:hint="eastAsia" w:eastAsia="楷体" w:cs="Calibri"/>
          <w:kern w:val="2"/>
          <w:sz w:val="22"/>
          <w:szCs w:val="22"/>
          <w:lang w:eastAsia="zh-CN"/>
        </w:rPr>
        <w:t>.</w:t>
      </w:r>
    </w:p>
    <w:p w14:paraId="5097058C">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D5BBF16">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CBCA553">
            <w:pPr>
              <w:spacing w:before="48" w:beforeLines="20" w:after="48" w:afterLines="20"/>
              <w:jc w:val="both"/>
              <w:textAlignment w:val="center"/>
              <w:rPr>
                <w:rFonts w:eastAsia="楷体_GB2312" w:cs="Calibri"/>
                <w:b/>
                <w:sz w:val="20"/>
                <w:szCs w:val="20"/>
                <w:highlight w:val="yellow"/>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Cirrus Aircraft Net Profit/Gross Profit and Growth Rates (in million USD)</w:t>
            </w:r>
          </w:p>
        </w:tc>
        <w:tc>
          <w:tcPr>
            <w:tcW w:w="241" w:type="dxa"/>
            <w:tcMar>
              <w:left w:w="0" w:type="dxa"/>
              <w:right w:w="28" w:type="dxa"/>
            </w:tcMar>
          </w:tcPr>
          <w:p w14:paraId="7C1F3658">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5474BBF6">
            <w:pPr>
              <w:spacing w:before="48" w:beforeLines="20" w:after="48" w:afterLines="20"/>
              <w:jc w:val="both"/>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Cirrus Aircraft Net Profit Margin / Gross Profit Margin</w:t>
            </w:r>
          </w:p>
        </w:tc>
      </w:tr>
      <w:tr w14:paraId="69BDA179">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BE65FD">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52140" cy="1854835"/>
                  <wp:effectExtent l="0" t="0" r="0" b="0"/>
                  <wp:docPr id="42070718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241" w:type="dxa"/>
          </w:tcPr>
          <w:p w14:paraId="1A5B8131">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4377E5F4">
            <w:pPr>
              <w:spacing w:before="48" w:beforeLines="20" w:after="48" w:afterLines="20"/>
              <w:jc w:val="both"/>
              <w:rPr>
                <w:rFonts w:eastAsia="楷体_GB2312" w:cs="Calibri"/>
                <w:b/>
                <w:sz w:val="20"/>
                <w:szCs w:val="20"/>
              </w:rPr>
            </w:pPr>
            <w:r>
              <w:rPr>
                <w:snapToGrid/>
              </w:rPr>
              <w:drawing>
                <wp:inline distT="0" distB="0" distL="0" distR="0">
                  <wp:extent cx="3132455" cy="1837055"/>
                  <wp:effectExtent l="0" t="0" r="0" b="0"/>
                  <wp:docPr id="172831743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14:paraId="04D208A4">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AE88503">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c>
          <w:tcPr>
            <w:tcW w:w="241" w:type="dxa"/>
            <w:tcMar>
              <w:left w:w="0" w:type="dxa"/>
              <w:right w:w="28" w:type="dxa"/>
            </w:tcMar>
          </w:tcPr>
          <w:p w14:paraId="354386B4">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7A936D38">
            <w:pPr>
              <w:spacing w:before="48" w:beforeLines="20" w:after="48" w:afterLines="20"/>
              <w:jc w:val="both"/>
              <w:rPr>
                <w:rFonts w:eastAsia="楷体_GB2312"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r>
    </w:tbl>
    <w:p w14:paraId="08A22278">
      <w:pPr>
        <w:widowControl w:val="0"/>
        <w:jc w:val="both"/>
        <w:rPr>
          <w:rFonts w:hint="eastAsia" w:eastAsia="楷体" w:asciiTheme="minorHAnsi" w:hAnsiTheme="minorHAnsi" w:cstheme="minorHAnsi"/>
          <w:kern w:val="2"/>
          <w:sz w:val="22"/>
          <w:szCs w:val="22"/>
          <w:lang w:eastAsia="zh-CN"/>
        </w:rPr>
      </w:pPr>
    </w:p>
    <w:p w14:paraId="1018A8E9">
      <w:pPr>
        <w:widowControl w:val="0"/>
        <w:jc w:val="both"/>
        <w:rPr>
          <w:rFonts w:hint="eastAsia" w:eastAsia="楷体" w:asciiTheme="minorHAnsi" w:hAnsiTheme="minorHAnsi" w:cstheme="minorHAns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55650E21">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8A036DA">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 xml:space="preserve">Cirrus Aircraft </w:t>
            </w:r>
            <w:r>
              <w:rPr>
                <w:rFonts w:hint="eastAsia" w:eastAsia="楷体_GB2312" w:cs="Calibri"/>
                <w:b/>
                <w:sz w:val="20"/>
                <w:szCs w:val="20"/>
                <w:lang w:eastAsia="zh-CN"/>
              </w:rPr>
              <w:t>Expense Ratio</w:t>
            </w:r>
          </w:p>
        </w:tc>
      </w:tr>
      <w:tr w14:paraId="2F144C7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0DBE607">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572000" cy="2150745"/>
                  <wp:effectExtent l="0" t="0" r="0" b="1905"/>
                  <wp:docPr id="11586768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r w14:paraId="0D53D01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8C58A34">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Wind</w:t>
            </w:r>
            <w:r>
              <w:rPr>
                <w:rFonts w:hint="eastAsia" w:eastAsia="楷体_GB2312" w:cs="Calibri"/>
                <w:sz w:val="20"/>
                <w:szCs w:val="20"/>
              </w:rPr>
              <w:t>, HFI</w:t>
            </w:r>
          </w:p>
        </w:tc>
      </w:tr>
    </w:tbl>
    <w:p w14:paraId="51C1BB2B">
      <w:pPr>
        <w:widowControl w:val="0"/>
        <w:jc w:val="both"/>
        <w:rPr>
          <w:rFonts w:hint="eastAsia" w:eastAsia="楷体" w:asciiTheme="minorHAnsi" w:hAnsiTheme="minorHAnsi" w:cstheme="minorHAnsi"/>
          <w:kern w:val="2"/>
          <w:sz w:val="22"/>
          <w:szCs w:val="22"/>
          <w:lang w:eastAsia="zh-CN"/>
        </w:rPr>
      </w:pPr>
    </w:p>
    <w:bookmarkEnd w:id="7"/>
    <w:p w14:paraId="6252D73A">
      <w:pPr>
        <w:pStyle w:val="2"/>
        <w:spacing w:before="240" w:beforeLines="100" w:after="240" w:afterLines="100"/>
        <w:jc w:val="both"/>
        <w:rPr>
          <w:rFonts w:ascii="Calibri" w:hAnsi="Calibri" w:eastAsia="楷体_GB2312" w:cs="Calibri"/>
          <w:b/>
          <w:bCs/>
          <w:color w:val="215E99"/>
          <w:sz w:val="28"/>
          <w:szCs w:val="28"/>
        </w:rPr>
      </w:pPr>
      <w:bookmarkStart w:id="8" w:name="_Toc218942517"/>
      <w:bookmarkStart w:id="9" w:name="_Hlk216642041"/>
      <w:bookmarkStart w:id="10" w:name="_Toc186105500"/>
      <w:r>
        <w:rPr>
          <w:rFonts w:ascii="Calibri" w:hAnsi="Calibri" w:eastAsia="楷体_GB2312" w:cs="Calibri"/>
          <w:b/>
          <w:bCs/>
          <w:color w:val="215E99"/>
          <w:sz w:val="28"/>
          <w:szCs w:val="28"/>
          <w:lang w:eastAsia="zh-CN"/>
        </w:rPr>
        <w:t xml:space="preserve">2 </w:t>
      </w:r>
      <w:r>
        <w:rPr>
          <w:rFonts w:ascii="Calibri" w:hAnsi="Calibri" w:eastAsia="楷体" w:cs="Calibri"/>
          <w:b/>
          <w:bCs/>
          <w:color w:val="215E99"/>
          <w:sz w:val="28"/>
          <w:szCs w:val="28"/>
          <w:lang w:eastAsia="zh-CN"/>
        </w:rPr>
        <w:t>Steady Growth in Private Jet Demand with Consumer-Oriented Scenarios</w:t>
      </w:r>
      <w:bookmarkEnd w:id="8"/>
    </w:p>
    <w:p w14:paraId="1F17C575">
      <w:pPr>
        <w:pStyle w:val="76"/>
        <w:jc w:val="both"/>
        <w:rPr>
          <w:rFonts w:ascii="Calibri" w:hAnsi="Calibri" w:eastAsia="楷体_GB2312" w:cs="Calibri"/>
          <w:color w:val="215E99"/>
          <w:sz w:val="24"/>
        </w:rPr>
      </w:pPr>
      <w:bookmarkStart w:id="11" w:name="_Toc218942518"/>
      <w:r>
        <w:rPr>
          <w:rFonts w:ascii="Calibri" w:hAnsi="Calibri" w:eastAsia="楷体_GB2312" w:cs="Calibri"/>
          <w:color w:val="215E99"/>
          <w:sz w:val="24"/>
        </w:rPr>
        <w:t xml:space="preserve">2.1 </w:t>
      </w:r>
      <w:r>
        <w:rPr>
          <w:rFonts w:ascii="Calibri" w:hAnsi="Calibri" w:eastAsia="楷体" w:cs="Calibri"/>
          <w:color w:val="215E99"/>
          <w:sz w:val="24"/>
        </w:rPr>
        <w:t>General Aviation Overview</w:t>
      </w:r>
      <w:bookmarkEnd w:id="11"/>
    </w:p>
    <w:bookmarkEnd w:id="9"/>
    <w:p w14:paraId="078FB0E1">
      <w:pPr>
        <w:widowControl w:val="0"/>
        <w:jc w:val="both"/>
        <w:rPr>
          <w:rFonts w:eastAsia="楷体" w:cs="Calibri"/>
          <w:b/>
          <w:bCs/>
          <w:kern w:val="2"/>
          <w:sz w:val="22"/>
          <w:szCs w:val="22"/>
        </w:rPr>
      </w:pPr>
      <w:r>
        <w:rPr>
          <w:rFonts w:eastAsia="楷体" w:cs="Calibri"/>
          <w:b/>
          <w:bCs/>
          <w:kern w:val="2"/>
          <w:sz w:val="22"/>
          <w:szCs w:val="22"/>
        </w:rPr>
        <w:t>General aviation encompasses all aviation activities except military and scheduled commercial flights, including private and professional aviation.</w:t>
      </w:r>
    </w:p>
    <w:p w14:paraId="2E815645">
      <w:pPr>
        <w:widowControl w:val="0"/>
        <w:jc w:val="both"/>
        <w:rPr>
          <w:rFonts w:eastAsia="楷体" w:cs="Calibri"/>
          <w:kern w:val="2"/>
          <w:sz w:val="22"/>
          <w:szCs w:val="22"/>
        </w:rPr>
      </w:pPr>
      <w:r>
        <w:rPr>
          <w:rFonts w:eastAsia="楷体" w:cs="Calibri"/>
          <w:b/>
          <w:bCs/>
          <w:kern w:val="2"/>
          <w:sz w:val="22"/>
          <w:szCs w:val="22"/>
        </w:rPr>
        <w:t>Private aviation</w:t>
      </w:r>
      <w:r>
        <w:rPr>
          <w:rFonts w:eastAsia="楷体" w:cs="Calibri"/>
          <w:kern w:val="2"/>
          <w:sz w:val="22"/>
          <w:szCs w:val="22"/>
        </w:rPr>
        <w:t xml:space="preserve"> refers to non-commercial operations of fixed-wing general aviation aircraft, such as personal flying and flight training, targeting individual owners, instructors, and enthusiasts. These aircraft</w:t>
      </w:r>
      <w:r>
        <w:rPr>
          <w:rFonts w:hint="eastAsia" w:eastAsia="楷体" w:cs="Calibri"/>
          <w:kern w:val="2"/>
          <w:sz w:val="22"/>
          <w:szCs w:val="22"/>
          <w:lang w:eastAsia="zh-CN"/>
        </w:rPr>
        <w:t>s</w:t>
      </w:r>
      <w:r>
        <w:rPr>
          <w:rFonts w:eastAsia="楷体" w:cs="Calibri"/>
          <w:kern w:val="2"/>
          <w:sz w:val="22"/>
          <w:szCs w:val="22"/>
        </w:rPr>
        <w:t xml:space="preserve"> typically cost under $7 million and accounted for 76% of general aviation deliveries.</w:t>
      </w:r>
    </w:p>
    <w:p w14:paraId="3B14A23A">
      <w:pPr>
        <w:widowControl w:val="0"/>
        <w:jc w:val="both"/>
        <w:rPr>
          <w:rFonts w:eastAsia="楷体" w:cs="Calibri"/>
          <w:kern w:val="2"/>
          <w:sz w:val="22"/>
          <w:szCs w:val="22"/>
        </w:rPr>
      </w:pPr>
      <w:r>
        <w:rPr>
          <w:rFonts w:eastAsia="楷体" w:cs="Calibri"/>
          <w:b/>
          <w:bCs/>
          <w:kern w:val="2"/>
          <w:sz w:val="22"/>
          <w:szCs w:val="22"/>
        </w:rPr>
        <w:t>Professional aviation</w:t>
      </w:r>
      <w:r>
        <w:rPr>
          <w:rFonts w:eastAsia="楷体" w:cs="Calibri"/>
          <w:kern w:val="2"/>
          <w:sz w:val="22"/>
          <w:szCs w:val="22"/>
        </w:rPr>
        <w:t xml:space="preserve"> includes aircraft used for corporate/charter services and specialized applications</w:t>
      </w:r>
      <w:r>
        <w:rPr>
          <w:rFonts w:hint="eastAsia" w:eastAsia="楷体" w:cs="Calibri"/>
          <w:kern w:val="2"/>
          <w:sz w:val="22"/>
          <w:szCs w:val="22"/>
          <w:lang w:eastAsia="zh-CN"/>
        </w:rPr>
        <w:t xml:space="preserve">. </w:t>
      </w:r>
      <w:r>
        <w:rPr>
          <w:rFonts w:eastAsia="楷体" w:cs="Calibri"/>
          <w:kern w:val="2"/>
          <w:sz w:val="22"/>
          <w:szCs w:val="22"/>
        </w:rPr>
        <w:t>These aircraft</w:t>
      </w:r>
      <w:r>
        <w:rPr>
          <w:rFonts w:hint="eastAsia" w:eastAsia="楷体" w:cs="Calibri"/>
          <w:kern w:val="2"/>
          <w:sz w:val="22"/>
          <w:szCs w:val="22"/>
          <w:lang w:eastAsia="zh-CN"/>
        </w:rPr>
        <w:t>s often have the c</w:t>
      </w:r>
      <w:r>
        <w:rPr>
          <w:rFonts w:eastAsia="楷体" w:cs="Calibri"/>
          <w:kern w:val="2"/>
          <w:sz w:val="22"/>
          <w:szCs w:val="22"/>
          <w:lang w:eastAsia="zh-CN"/>
        </w:rPr>
        <w:t>apab</w:t>
      </w:r>
      <w:r>
        <w:rPr>
          <w:rFonts w:hint="eastAsia" w:eastAsia="楷体" w:cs="Calibri"/>
          <w:kern w:val="2"/>
          <w:sz w:val="22"/>
          <w:szCs w:val="22"/>
          <w:lang w:eastAsia="zh-CN"/>
        </w:rPr>
        <w:t>ility</w:t>
      </w:r>
      <w:r>
        <w:rPr>
          <w:rFonts w:eastAsia="楷体" w:cs="Calibri"/>
          <w:kern w:val="2"/>
          <w:sz w:val="22"/>
          <w:szCs w:val="22"/>
          <w:lang w:eastAsia="zh-CN"/>
        </w:rPr>
        <w:t xml:space="preserve"> of long-range, transcontinental, and intercontinental flights with advanced technology and multiple engines for high-speed travel</w:t>
      </w:r>
      <w:r>
        <w:rPr>
          <w:rFonts w:hint="eastAsia" w:eastAsia="楷体" w:cs="Calibri"/>
          <w:kern w:val="2"/>
          <w:sz w:val="22"/>
          <w:szCs w:val="22"/>
          <w:lang w:eastAsia="zh-CN"/>
        </w:rPr>
        <w:t>.</w:t>
      </w:r>
    </w:p>
    <w:p w14:paraId="5E218BC4">
      <w:pPr>
        <w:widowControl w:val="0"/>
        <w:jc w:val="both"/>
        <w:rPr>
          <w:rFonts w:eastAsia="楷体" w:cs="Calibri"/>
          <w:kern w:val="2"/>
          <w:sz w:val="22"/>
          <w:szCs w:val="22"/>
          <w:lang w:eastAsia="zh-CN"/>
        </w:rPr>
      </w:pPr>
    </w:p>
    <w:p w14:paraId="740932DA">
      <w:pPr>
        <w:widowControl w:val="0"/>
        <w:jc w:val="both"/>
        <w:rPr>
          <w:rFonts w:eastAsia="楷体" w:cs="Calibri"/>
          <w:kern w:val="2"/>
          <w:sz w:val="22"/>
          <w:szCs w:val="22"/>
          <w:lang w:eastAsia="zh-CN"/>
        </w:rPr>
      </w:pPr>
    </w:p>
    <w:p w14:paraId="71B0E468">
      <w:pPr>
        <w:widowControl w:val="0"/>
        <w:jc w:val="both"/>
        <w:rPr>
          <w:rFonts w:eastAsia="楷体" w:cs="Calibri"/>
          <w:kern w:val="2"/>
          <w:sz w:val="22"/>
          <w:szCs w:val="22"/>
          <w:lang w:eastAsia="zh-CN"/>
        </w:rPr>
      </w:pPr>
    </w:p>
    <w:p w14:paraId="2A5720D1">
      <w:pPr>
        <w:widowControl w:val="0"/>
        <w:jc w:val="both"/>
        <w:rPr>
          <w:rFonts w:eastAsia="楷体" w:cs="Calibri"/>
          <w:kern w:val="2"/>
          <w:sz w:val="22"/>
          <w:szCs w:val="22"/>
          <w:lang w:eastAsia="zh-CN"/>
        </w:rPr>
      </w:pPr>
    </w:p>
    <w:p w14:paraId="768F332E">
      <w:pPr>
        <w:widowControl w:val="0"/>
        <w:jc w:val="both"/>
        <w:rPr>
          <w:rFonts w:hint="eastAsia" w:eastAsia="楷体" w:cs="Calibri"/>
          <w:kern w:val="2"/>
          <w:sz w:val="22"/>
          <w:szCs w:val="22"/>
          <w:lang w:eastAsia="zh-CN"/>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4D30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44CE3FC">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Private Aviation Aircraft Vs. Profession Aviation Aircraft</w:t>
            </w:r>
          </w:p>
        </w:tc>
      </w:tr>
      <w:tr w14:paraId="49B63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0DF34BF9">
            <w:pPr>
              <w:pStyle w:val="74"/>
              <w:keepNext/>
              <w:jc w:val="center"/>
              <w:rPr>
                <w:rFonts w:hint="eastAsia" w:ascii="等线" w:hAnsi="等线"/>
              </w:rPr>
            </w:pPr>
            <w:r>
              <w:rPr>
                <w:rFonts w:hint="eastAsia" w:ascii="等线" w:hAnsi="等线"/>
              </w:rPr>
              <w:drawing>
                <wp:inline distT="0" distB="0" distL="0" distR="0">
                  <wp:extent cx="6341745" cy="2118360"/>
                  <wp:effectExtent l="0" t="0" r="1905" b="0"/>
                  <wp:docPr id="12751019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193" name="图片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341745" cy="2118360"/>
                          </a:xfrm>
                          <a:prstGeom prst="rect">
                            <a:avLst/>
                          </a:prstGeom>
                          <a:noFill/>
                          <a:ln>
                            <a:noFill/>
                          </a:ln>
                        </pic:spPr>
                      </pic:pic>
                    </a:graphicData>
                  </a:graphic>
                </wp:inline>
              </w:drawing>
            </w:r>
          </w:p>
        </w:tc>
      </w:tr>
      <w:tr w14:paraId="6AA97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F4CA6D7">
            <w:pPr>
              <w:pStyle w:val="75"/>
              <w:rPr>
                <w:rFonts w:hint="eastAsia" w:ascii="等线" w:hAnsi="等线"/>
              </w:rPr>
            </w:pPr>
            <w:r>
              <w:rPr>
                <w:rFonts w:hint="eastAsia" w:ascii="Calibri" w:hAnsi="Calibri" w:cs="Calibri"/>
                <w:b/>
                <w:bCs/>
                <w:snapToGrid w:val="0"/>
                <w:sz w:val="20"/>
                <w:szCs w:val="20"/>
              </w:rPr>
              <w:t>Source</w:t>
            </w:r>
            <w:r>
              <w:rPr>
                <w:rFonts w:hint="eastAsia" w:ascii="Calibri" w:hAnsi="Calibri" w:cs="Calibri"/>
                <w:b/>
                <w:bCs/>
                <w:snapToGrid w:val="0"/>
                <w:sz w:val="20"/>
                <w:szCs w:val="20"/>
                <w:lang w:eastAsia="ja-JP"/>
              </w:rPr>
              <w:t>：Company Announcements, HFI</w:t>
            </w:r>
          </w:p>
        </w:tc>
      </w:tr>
    </w:tbl>
    <w:p w14:paraId="0847BDFD">
      <w:pPr>
        <w:widowControl w:val="0"/>
        <w:jc w:val="both"/>
        <w:rPr>
          <w:rFonts w:eastAsia="楷体" w:cs="Calibri"/>
          <w:kern w:val="2"/>
          <w:sz w:val="22"/>
          <w:szCs w:val="22"/>
          <w:lang w:eastAsia="zh-CN"/>
        </w:rPr>
      </w:pPr>
    </w:p>
    <w:p w14:paraId="38D12EE2">
      <w:pPr>
        <w:widowControl w:val="0"/>
        <w:jc w:val="both"/>
        <w:rPr>
          <w:rFonts w:eastAsia="楷体" w:cs="Calibri"/>
          <w:b/>
          <w:bCs/>
          <w:kern w:val="2"/>
          <w:sz w:val="22"/>
          <w:szCs w:val="22"/>
        </w:rPr>
      </w:pPr>
      <w:r>
        <w:rPr>
          <w:rFonts w:eastAsia="楷体" w:cs="Calibri"/>
          <w:b/>
          <w:bCs/>
          <w:kern w:val="2"/>
          <w:sz w:val="22"/>
          <w:szCs w:val="22"/>
        </w:rPr>
        <w:t>Current mainstream aircraft types include piston-engine and turbine-engine models.</w:t>
      </w:r>
    </w:p>
    <w:p w14:paraId="142A2D1E">
      <w:pPr>
        <w:pStyle w:val="36"/>
        <w:widowControl w:val="0"/>
        <w:numPr>
          <w:ilvl w:val="0"/>
          <w:numId w:val="4"/>
        </w:numPr>
        <w:jc w:val="both"/>
        <w:rPr>
          <w:rFonts w:eastAsia="楷体" w:cs="Calibri"/>
          <w:kern w:val="2"/>
          <w:sz w:val="22"/>
          <w:szCs w:val="22"/>
          <w:lang w:eastAsia="zh-CN"/>
        </w:rPr>
      </w:pPr>
      <w:r>
        <w:rPr>
          <w:rFonts w:eastAsia="楷体" w:cs="Calibri"/>
          <w:b/>
          <w:bCs/>
          <w:kern w:val="2"/>
          <w:sz w:val="22"/>
          <w:szCs w:val="22"/>
        </w:rPr>
        <w:t xml:space="preserve">Piston-engine aircraft </w:t>
      </w:r>
      <w:r>
        <w:rPr>
          <w:rFonts w:eastAsia="楷体" w:cs="Calibri"/>
          <w:kern w:val="2"/>
          <w:sz w:val="22"/>
          <w:szCs w:val="22"/>
        </w:rPr>
        <w:t>use traditional reciprocating engines, where fuel-air mixture combustion drives pistons to power the propeller, generating thrust. They are economical and suited for low-speed, short-range flights</w:t>
      </w:r>
      <w:r>
        <w:rPr>
          <w:rFonts w:hint="eastAsia" w:eastAsia="楷体" w:cs="Calibri"/>
          <w:kern w:val="2"/>
          <w:sz w:val="22"/>
          <w:szCs w:val="22"/>
          <w:lang w:eastAsia="zh-CN"/>
        </w:rPr>
        <w:t>,</w:t>
      </w:r>
      <w:r>
        <w:t xml:space="preserve"> </w:t>
      </w:r>
      <w:r>
        <w:rPr>
          <w:rFonts w:hint="eastAsia" w:eastAsia="楷体" w:cs="Calibri"/>
          <w:kern w:val="2"/>
          <w:sz w:val="22"/>
          <w:szCs w:val="22"/>
          <w:lang w:eastAsia="zh-CN"/>
        </w:rPr>
        <w:t xml:space="preserve">and </w:t>
      </w:r>
      <w:r>
        <w:rPr>
          <w:rFonts w:eastAsia="楷体" w:cs="Calibri"/>
          <w:kern w:val="2"/>
          <w:sz w:val="22"/>
          <w:szCs w:val="22"/>
          <w:lang w:eastAsia="zh-CN"/>
        </w:rPr>
        <w:t>merge</w:t>
      </w:r>
      <w:r>
        <w:rPr>
          <w:rFonts w:hint="eastAsia" w:eastAsia="楷体" w:cs="Calibri"/>
          <w:kern w:val="2"/>
          <w:sz w:val="22"/>
          <w:szCs w:val="22"/>
          <w:lang w:eastAsia="zh-CN"/>
        </w:rPr>
        <w:t>d</w:t>
      </w:r>
      <w:r>
        <w:rPr>
          <w:rFonts w:eastAsia="楷体" w:cs="Calibri"/>
          <w:kern w:val="2"/>
          <w:sz w:val="22"/>
          <w:szCs w:val="22"/>
          <w:lang w:eastAsia="zh-CN"/>
        </w:rPr>
        <w:t xml:space="preserve"> as the top choice for short-distance transportation, flight training, and personal use</w:t>
      </w:r>
      <w:r>
        <w:rPr>
          <w:rFonts w:hint="eastAsia" w:eastAsia="楷体" w:cs="Calibri"/>
          <w:kern w:val="2"/>
          <w:sz w:val="22"/>
          <w:szCs w:val="22"/>
          <w:lang w:eastAsia="zh-CN"/>
        </w:rPr>
        <w:t>.</w:t>
      </w:r>
    </w:p>
    <w:p w14:paraId="1597C3B5">
      <w:pPr>
        <w:pStyle w:val="36"/>
        <w:widowControl w:val="0"/>
        <w:ind w:left="36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C25DD61">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BA9CCE2">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Types and History of p</w:t>
            </w:r>
            <w:r>
              <w:rPr>
                <w:rFonts w:eastAsia="楷体" w:cs="Calibri"/>
                <w:b/>
                <w:bCs/>
                <w:kern w:val="2"/>
                <w:sz w:val="22"/>
                <w:szCs w:val="22"/>
              </w:rPr>
              <w:t>iston-engine aircraft</w:t>
            </w:r>
          </w:p>
        </w:tc>
      </w:tr>
      <w:tr w14:paraId="5978005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3AAC5ED">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301875"/>
                  <wp:effectExtent l="0" t="0" r="6350" b="3175"/>
                  <wp:docPr id="189922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5492" name="图片 1"/>
                          <pic:cNvPicPr>
                            <a:picLocks noChangeAspect="1"/>
                          </pic:cNvPicPr>
                        </pic:nvPicPr>
                        <pic:blipFill>
                          <a:blip r:embed="rId34"/>
                          <a:stretch>
                            <a:fillRect/>
                          </a:stretch>
                        </pic:blipFill>
                        <pic:spPr>
                          <a:xfrm>
                            <a:off x="0" y="0"/>
                            <a:ext cx="4603750" cy="2301875"/>
                          </a:xfrm>
                          <a:prstGeom prst="rect">
                            <a:avLst/>
                          </a:prstGeom>
                        </pic:spPr>
                      </pic:pic>
                    </a:graphicData>
                  </a:graphic>
                </wp:inline>
              </w:drawing>
            </w:r>
          </w:p>
        </w:tc>
      </w:tr>
      <w:tr w14:paraId="05464DF3">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BB120DA">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 w:cs="Calibri"/>
                <w:kern w:val="2"/>
                <w:sz w:val="22"/>
                <w:szCs w:val="22"/>
                <w:lang w:eastAsia="zh-CN"/>
              </w:rPr>
              <w:t>T</w:t>
            </w:r>
            <w:r>
              <w:rPr>
                <w:rFonts w:eastAsia="楷体" w:cs="Calibri"/>
                <w:kern w:val="2"/>
                <w:sz w:val="22"/>
                <w:szCs w:val="22"/>
              </w:rPr>
              <w:t>sunami</w:t>
            </w:r>
            <w:r>
              <w:rPr>
                <w:rFonts w:hint="eastAsia" w:eastAsia="楷体" w:cs="Calibri"/>
                <w:kern w:val="2"/>
                <w:sz w:val="22"/>
                <w:szCs w:val="22"/>
                <w:lang w:eastAsia="zh-CN"/>
              </w:rPr>
              <w:t xml:space="preserve"> A</w:t>
            </w:r>
            <w:r>
              <w:rPr>
                <w:rFonts w:eastAsia="楷体" w:cs="Calibri"/>
                <w:kern w:val="2"/>
                <w:sz w:val="22"/>
                <w:szCs w:val="22"/>
              </w:rPr>
              <w:t>ir</w:t>
            </w:r>
            <w:r>
              <w:rPr>
                <w:rFonts w:hint="eastAsia" w:eastAsia="楷体_GB2312" w:cs="Calibri"/>
                <w:sz w:val="20"/>
                <w:szCs w:val="20"/>
                <w:lang w:eastAsia="zh-CN"/>
              </w:rPr>
              <w:t xml:space="preserve">, </w:t>
            </w:r>
            <w:r>
              <w:rPr>
                <w:rFonts w:hint="eastAsia" w:eastAsia="楷体_GB2312" w:cs="Calibri"/>
                <w:sz w:val="20"/>
                <w:szCs w:val="20"/>
              </w:rPr>
              <w:t>HFI</w:t>
            </w:r>
          </w:p>
        </w:tc>
      </w:tr>
    </w:tbl>
    <w:p w14:paraId="27A616C7">
      <w:pPr>
        <w:widowControl w:val="0"/>
        <w:jc w:val="both"/>
        <w:rPr>
          <w:rFonts w:eastAsia="楷体" w:cs="Calibri"/>
          <w:kern w:val="2"/>
          <w:sz w:val="22"/>
          <w:szCs w:val="22"/>
          <w:lang w:eastAsia="zh-CN"/>
        </w:rPr>
      </w:pPr>
    </w:p>
    <w:p w14:paraId="7BCC3420">
      <w:pPr>
        <w:pStyle w:val="36"/>
        <w:widowControl w:val="0"/>
        <w:numPr>
          <w:ilvl w:val="0"/>
          <w:numId w:val="4"/>
        </w:numPr>
        <w:jc w:val="both"/>
        <w:rPr>
          <w:rFonts w:eastAsia="楷体" w:cs="Calibri"/>
          <w:b/>
          <w:bCs/>
          <w:kern w:val="2"/>
          <w:sz w:val="22"/>
          <w:szCs w:val="22"/>
          <w:lang w:eastAsia="zh-CN"/>
        </w:rPr>
      </w:pPr>
      <w:r>
        <w:rPr>
          <w:rFonts w:eastAsia="楷体" w:cs="Calibri"/>
          <w:b/>
          <w:bCs/>
          <w:kern w:val="2"/>
          <w:sz w:val="22"/>
          <w:szCs w:val="22"/>
        </w:rPr>
        <w:t>Turbine-engine aircraft are classified into four main types</w:t>
      </w:r>
      <w:r>
        <w:rPr>
          <w:rFonts w:hint="eastAsia" w:eastAsia="楷体" w:cs="Calibri"/>
          <w:b/>
          <w:bCs/>
          <w:kern w:val="2"/>
          <w:sz w:val="22"/>
          <w:szCs w:val="22"/>
          <w:lang w:eastAsia="zh-CN"/>
        </w:rPr>
        <w:t>, in which t</w:t>
      </w:r>
      <w:r>
        <w:rPr>
          <w:rFonts w:eastAsia="楷体" w:cs="Calibri"/>
          <w:b/>
          <w:bCs/>
          <w:kern w:val="2"/>
          <w:sz w:val="22"/>
          <w:szCs w:val="22"/>
          <w:lang w:eastAsia="zh-CN"/>
        </w:rPr>
        <w:t xml:space="preserve">urboprop and </w:t>
      </w:r>
      <w:r>
        <w:rPr>
          <w:rFonts w:hint="eastAsia" w:eastAsia="楷体" w:cs="Calibri"/>
          <w:b/>
          <w:bCs/>
          <w:kern w:val="2"/>
          <w:sz w:val="22"/>
          <w:szCs w:val="22"/>
          <w:lang w:eastAsia="zh-CN"/>
        </w:rPr>
        <w:t>t</w:t>
      </w:r>
      <w:r>
        <w:rPr>
          <w:rFonts w:eastAsia="楷体" w:cs="Calibri"/>
          <w:b/>
          <w:bCs/>
          <w:kern w:val="2"/>
          <w:sz w:val="22"/>
          <w:szCs w:val="22"/>
          <w:lang w:eastAsia="zh-CN"/>
        </w:rPr>
        <w:t xml:space="preserve">urbojet </w:t>
      </w:r>
      <w:r>
        <w:rPr>
          <w:rFonts w:hint="eastAsia" w:eastAsia="楷体" w:cs="Calibri"/>
          <w:b/>
          <w:bCs/>
          <w:kern w:val="2"/>
          <w:sz w:val="22"/>
          <w:szCs w:val="22"/>
          <w:lang w:eastAsia="zh-CN"/>
        </w:rPr>
        <w:t>a</w:t>
      </w:r>
      <w:r>
        <w:rPr>
          <w:rFonts w:eastAsia="楷体" w:cs="Calibri"/>
          <w:b/>
          <w:bCs/>
          <w:kern w:val="2"/>
          <w:sz w:val="22"/>
          <w:szCs w:val="22"/>
          <w:lang w:eastAsia="zh-CN"/>
        </w:rPr>
        <w:t xml:space="preserve">ircraft </w:t>
      </w:r>
      <w:r>
        <w:rPr>
          <w:rFonts w:hint="eastAsia" w:eastAsia="楷体" w:cs="Calibri"/>
          <w:b/>
          <w:bCs/>
          <w:kern w:val="2"/>
          <w:sz w:val="22"/>
          <w:szCs w:val="22"/>
          <w:lang w:eastAsia="zh-CN"/>
        </w:rPr>
        <w:t>d</w:t>
      </w:r>
      <w:r>
        <w:rPr>
          <w:rFonts w:eastAsia="楷体" w:cs="Calibri"/>
          <w:b/>
          <w:bCs/>
          <w:kern w:val="2"/>
          <w:sz w:val="22"/>
          <w:szCs w:val="22"/>
          <w:lang w:eastAsia="zh-CN"/>
        </w:rPr>
        <w:t xml:space="preserve">ominate the </w:t>
      </w:r>
      <w:r>
        <w:rPr>
          <w:rFonts w:hint="eastAsia" w:eastAsia="楷体" w:cs="Calibri"/>
          <w:b/>
          <w:bCs/>
          <w:kern w:val="2"/>
          <w:sz w:val="22"/>
          <w:szCs w:val="22"/>
          <w:lang w:eastAsia="zh-CN"/>
        </w:rPr>
        <w:t>m</w:t>
      </w:r>
      <w:r>
        <w:rPr>
          <w:rFonts w:eastAsia="楷体" w:cs="Calibri"/>
          <w:b/>
          <w:bCs/>
          <w:kern w:val="2"/>
          <w:sz w:val="22"/>
          <w:szCs w:val="22"/>
          <w:lang w:eastAsia="zh-CN"/>
        </w:rPr>
        <w:t>ainstream</w:t>
      </w:r>
      <w:r>
        <w:rPr>
          <w:rFonts w:hint="eastAsia" w:eastAsia="楷体" w:cs="Calibri"/>
          <w:b/>
          <w:bCs/>
          <w:kern w:val="2"/>
          <w:sz w:val="22"/>
          <w:szCs w:val="22"/>
          <w:lang w:eastAsia="zh-CN"/>
        </w:rPr>
        <w:t xml:space="preserve">. </w:t>
      </w:r>
      <w:r>
        <w:rPr>
          <w:rFonts w:eastAsia="楷体" w:cs="Calibri"/>
          <w:kern w:val="2"/>
          <w:sz w:val="22"/>
          <w:szCs w:val="22"/>
        </w:rPr>
        <w:t>From cost and performance perspectives, turboprop and turbojet aircraft demonstrate superior adaptability and reliability in medium- to long-range flights, high-altitude operations, and complex weather conditions, making them widely used in business travel, emergency rescue, and specialized industrial tasks.</w:t>
      </w:r>
    </w:p>
    <w:p w14:paraId="63F89EF7">
      <w:pPr>
        <w:pStyle w:val="36"/>
        <w:widowControl w:val="0"/>
        <w:numPr>
          <w:ilvl w:val="0"/>
          <w:numId w:val="5"/>
        </w:numPr>
        <w:jc w:val="both"/>
        <w:rPr>
          <w:rFonts w:eastAsia="楷体" w:cs="Calibri"/>
          <w:kern w:val="2"/>
          <w:sz w:val="22"/>
          <w:szCs w:val="22"/>
        </w:rPr>
      </w:pPr>
      <w:r>
        <w:rPr>
          <w:rFonts w:eastAsia="楷体" w:cs="Calibri"/>
          <w:b/>
          <w:bCs/>
          <w:kern w:val="2"/>
          <w:sz w:val="22"/>
          <w:szCs w:val="22"/>
        </w:rPr>
        <w:t>Turbojet</w:t>
      </w:r>
      <w:r>
        <w:rPr>
          <w:rFonts w:eastAsia="楷体" w:cs="Calibri"/>
          <w:kern w:val="2"/>
          <w:sz w:val="22"/>
          <w:szCs w:val="22"/>
        </w:rPr>
        <w:t>: Produces thrust via high-speed exhaust gases; ideal for high-altitude, high-speed flight. However, high fuel consumption has led to limited use in modern civil aviation.</w:t>
      </w:r>
    </w:p>
    <w:p w14:paraId="53F766EF">
      <w:pPr>
        <w:widowControl w:val="0"/>
        <w:numPr>
          <w:ilvl w:val="0"/>
          <w:numId w:val="5"/>
        </w:numPr>
        <w:jc w:val="both"/>
        <w:rPr>
          <w:rFonts w:eastAsia="楷体" w:cs="Calibri"/>
          <w:kern w:val="2"/>
          <w:sz w:val="22"/>
          <w:szCs w:val="22"/>
        </w:rPr>
      </w:pPr>
      <w:r>
        <w:rPr>
          <w:rFonts w:eastAsia="楷体" w:cs="Calibri"/>
          <w:b/>
          <w:bCs/>
          <w:kern w:val="2"/>
          <w:sz w:val="22"/>
          <w:szCs w:val="22"/>
        </w:rPr>
        <w:t>Turbofan</w:t>
      </w:r>
      <w:r>
        <w:rPr>
          <w:rFonts w:eastAsia="楷体" w:cs="Calibri"/>
          <w:kern w:val="2"/>
          <w:sz w:val="22"/>
          <w:szCs w:val="22"/>
        </w:rPr>
        <w:t>: Adds a fan to bypass some air around the core, improving propulsion efficiency, fuel economy, and reducing noise. It is the primary choice for commercial airliners and military transports.</w:t>
      </w:r>
    </w:p>
    <w:p w14:paraId="5534CCAB">
      <w:pPr>
        <w:widowControl w:val="0"/>
        <w:numPr>
          <w:ilvl w:val="0"/>
          <w:numId w:val="5"/>
        </w:numPr>
        <w:jc w:val="both"/>
        <w:rPr>
          <w:rFonts w:eastAsia="楷体" w:cs="Calibri"/>
          <w:kern w:val="2"/>
          <w:sz w:val="22"/>
          <w:szCs w:val="22"/>
        </w:rPr>
      </w:pPr>
      <w:r>
        <w:rPr>
          <w:rFonts w:eastAsia="楷体" w:cs="Calibri"/>
          <w:b/>
          <w:bCs/>
          <w:kern w:val="2"/>
          <w:sz w:val="22"/>
          <w:szCs w:val="22"/>
        </w:rPr>
        <w:t>Turboprop</w:t>
      </w:r>
      <w:r>
        <w:rPr>
          <w:rFonts w:eastAsia="楷体" w:cs="Calibri"/>
          <w:kern w:val="2"/>
          <w:sz w:val="22"/>
          <w:szCs w:val="22"/>
        </w:rPr>
        <w:t>: Drives a propeller via turbine, converting jet power to mechanical energy; offers high fuel efficiency and is widely used in regional airliners and military transports, though limited in high-speed performance.</w:t>
      </w:r>
    </w:p>
    <w:p w14:paraId="6217DAD2">
      <w:pPr>
        <w:widowControl w:val="0"/>
        <w:numPr>
          <w:ilvl w:val="0"/>
          <w:numId w:val="5"/>
        </w:numPr>
        <w:jc w:val="both"/>
        <w:rPr>
          <w:rFonts w:eastAsia="楷体" w:cs="Calibri"/>
          <w:kern w:val="2"/>
          <w:sz w:val="22"/>
          <w:szCs w:val="22"/>
        </w:rPr>
      </w:pPr>
      <w:r>
        <w:rPr>
          <w:rFonts w:eastAsia="楷体" w:cs="Calibri"/>
          <w:b/>
          <w:bCs/>
          <w:kern w:val="2"/>
          <w:sz w:val="22"/>
          <w:szCs w:val="22"/>
        </w:rPr>
        <w:t>Turboshaft</w:t>
      </w:r>
      <w:r>
        <w:rPr>
          <w:rFonts w:eastAsia="楷体" w:cs="Calibri"/>
          <w:kern w:val="2"/>
          <w:sz w:val="22"/>
          <w:szCs w:val="22"/>
        </w:rPr>
        <w:t>: Fully converts jet power to shaft power; used in helicopters and other rotorcraft, enabling vertical takeoff, landing, and hovering.</w:t>
      </w:r>
    </w:p>
    <w:p w14:paraId="1BD43CC7">
      <w:pPr>
        <w:widowControl w:val="0"/>
        <w:ind w:left="360"/>
        <w:jc w:val="both"/>
        <w:rPr>
          <w:rFonts w:eastAsia="楷体" w:cs="Calibri"/>
          <w:b/>
          <w:bCs/>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AE5202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90F4C0C">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eastAsia="楷体_GB2312" w:cs="Calibri"/>
                <w:b/>
                <w:sz w:val="20"/>
                <w:szCs w:val="20"/>
                <w:lang w:eastAsia="zh-CN"/>
              </w:rPr>
              <w:t>Comparison of</w:t>
            </w:r>
            <w:r>
              <w:rPr>
                <w:rFonts w:hint="eastAsia" w:eastAsia="楷体_GB2312" w:cs="Calibri"/>
                <w:b/>
                <w:sz w:val="20"/>
                <w:szCs w:val="20"/>
                <w:lang w:eastAsia="zh-CN"/>
              </w:rPr>
              <w:t xml:space="preserve"> </w:t>
            </w:r>
            <w:r>
              <w:rPr>
                <w:rFonts w:eastAsia="楷体" w:cs="Calibri"/>
                <w:b/>
                <w:bCs/>
                <w:kern w:val="2"/>
                <w:sz w:val="22"/>
                <w:szCs w:val="22"/>
              </w:rPr>
              <w:t xml:space="preserve">Turbine-engine </w:t>
            </w:r>
            <w:r>
              <w:rPr>
                <w:rFonts w:hint="eastAsia" w:eastAsia="楷体" w:cs="Calibri"/>
                <w:b/>
                <w:bCs/>
                <w:kern w:val="2"/>
                <w:sz w:val="22"/>
                <w:szCs w:val="22"/>
                <w:lang w:eastAsia="zh-CN"/>
              </w:rPr>
              <w:t>A</w:t>
            </w:r>
            <w:r>
              <w:rPr>
                <w:rFonts w:eastAsia="楷体" w:cs="Calibri"/>
                <w:b/>
                <w:bCs/>
                <w:kern w:val="2"/>
                <w:sz w:val="22"/>
                <w:szCs w:val="22"/>
              </w:rPr>
              <w:t>ircraft</w:t>
            </w:r>
          </w:p>
        </w:tc>
      </w:tr>
      <w:tr w14:paraId="67E2638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3106AEA">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41850" cy="2200910"/>
                  <wp:effectExtent l="0" t="0" r="6350" b="8890"/>
                  <wp:docPr id="65638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8737" name="图片 1"/>
                          <pic:cNvPicPr>
                            <a:picLocks noChangeAspect="1"/>
                          </pic:cNvPicPr>
                        </pic:nvPicPr>
                        <pic:blipFill>
                          <a:blip r:embed="rId35"/>
                          <a:stretch>
                            <a:fillRect/>
                          </a:stretch>
                        </pic:blipFill>
                        <pic:spPr>
                          <a:xfrm>
                            <a:off x="0" y="0"/>
                            <a:ext cx="4708782" cy="2233002"/>
                          </a:xfrm>
                          <a:prstGeom prst="rect">
                            <a:avLst/>
                          </a:prstGeom>
                        </pic:spPr>
                      </pic:pic>
                    </a:graphicData>
                  </a:graphic>
                </wp:inline>
              </w:drawing>
            </w:r>
          </w:p>
        </w:tc>
      </w:tr>
      <w:tr w14:paraId="19C3EDD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312228A">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 w:cs="Calibri"/>
                <w:kern w:val="2"/>
                <w:sz w:val="22"/>
                <w:szCs w:val="22"/>
                <w:lang w:eastAsia="zh-CN"/>
              </w:rPr>
              <w:t>Boldmethod</w:t>
            </w:r>
            <w:r>
              <w:rPr>
                <w:rFonts w:hint="eastAsia" w:eastAsia="楷体_GB2312" w:cs="Calibri"/>
                <w:sz w:val="20"/>
                <w:szCs w:val="20"/>
                <w:lang w:eastAsia="zh-CN"/>
              </w:rPr>
              <w:t xml:space="preserve">, </w:t>
            </w:r>
            <w:r>
              <w:rPr>
                <w:rFonts w:hint="eastAsia" w:eastAsia="楷体_GB2312" w:cs="Calibri"/>
                <w:sz w:val="20"/>
                <w:szCs w:val="20"/>
              </w:rPr>
              <w:t>HFI</w:t>
            </w:r>
          </w:p>
        </w:tc>
      </w:tr>
    </w:tbl>
    <w:p w14:paraId="15A6639D">
      <w:pPr>
        <w:jc w:val="both"/>
        <w:rPr>
          <w:rFonts w:eastAsia="楷体" w:cs="Calibri"/>
          <w:kern w:val="2"/>
          <w:sz w:val="22"/>
          <w:szCs w:val="22"/>
        </w:rPr>
      </w:pPr>
      <w:r>
        <w:rPr>
          <w:rFonts w:eastAsia="楷体" w:cs="Calibri"/>
          <w:b/>
          <w:bCs/>
          <w:kern w:val="2"/>
          <w:sz w:val="22"/>
          <w:szCs w:val="22"/>
        </w:rPr>
        <w:t xml:space="preserve">Global general aviation aircraft deliveries have shown steady growth. </w:t>
      </w:r>
      <w:r>
        <w:rPr>
          <w:rFonts w:eastAsia="楷体" w:cs="Calibri"/>
          <w:kern w:val="2"/>
          <w:sz w:val="22"/>
          <w:szCs w:val="22"/>
        </w:rPr>
        <w:t xml:space="preserve">From 2019 to 2023, deliveries increased from 2,657 units to 3,050 units, representing a </w:t>
      </w:r>
      <w:r>
        <w:rPr>
          <w:rFonts w:hint="eastAsia" w:eastAsia="楷体" w:cs="Calibri"/>
          <w:kern w:val="2"/>
          <w:sz w:val="22"/>
          <w:szCs w:val="22"/>
          <w:lang w:eastAsia="zh-CN"/>
        </w:rPr>
        <w:t>5</w:t>
      </w:r>
      <w:r>
        <w:rPr>
          <w:rFonts w:eastAsia="楷体" w:cs="Calibri"/>
          <w:kern w:val="2"/>
          <w:sz w:val="22"/>
          <w:szCs w:val="22"/>
        </w:rPr>
        <w:t xml:space="preserve">-year CAGR of 3.5%. The corresponding delivery value remained relatively stable, at $23.6 billion in 2019 and $23.4 billion in 2023. According to forecasts from the General Aviation Manufacturers Association (GAMA), the </w:t>
      </w:r>
      <w:r>
        <w:rPr>
          <w:rFonts w:hint="eastAsia" w:eastAsia="楷体" w:cs="Calibri"/>
          <w:kern w:val="2"/>
          <w:sz w:val="22"/>
          <w:szCs w:val="22"/>
          <w:lang w:eastAsia="zh-CN"/>
        </w:rPr>
        <w:t>4</w:t>
      </w:r>
      <w:r>
        <w:rPr>
          <w:rFonts w:eastAsia="楷体" w:cs="Calibri"/>
          <w:kern w:val="2"/>
          <w:sz w:val="22"/>
          <w:szCs w:val="22"/>
        </w:rPr>
        <w:t>-year CAGR for both deliveries and delivery value from 2024 to 2028 is expected to exceed 6%, with deliveries projected to reach 3,779 units and delivery value to reach $34.24 billion by 2028.</w:t>
      </w:r>
    </w:p>
    <w:p w14:paraId="5398FBE6">
      <w:pPr>
        <w:jc w:val="both"/>
        <w:rPr>
          <w:rFonts w:eastAsia="楷体" w:cs="Calibri"/>
          <w:b/>
          <w:bCs/>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A54FEB6">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9957E48">
            <w:pPr>
              <w:spacing w:before="48" w:beforeLines="20" w:after="48" w:afterLines="20"/>
              <w:jc w:val="both"/>
              <w:textAlignment w:val="center"/>
              <w:rPr>
                <w:rFonts w:eastAsia="楷体_GB2312" w:cs="Calibri"/>
                <w:b/>
                <w:sz w:val="20"/>
                <w:szCs w:val="20"/>
                <w:highlight w:val="yellow"/>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Worldwide General Aviation Aircraft Deliveries (</w:t>
            </w:r>
            <w:r>
              <w:rPr>
                <w:rFonts w:hint="eastAsia" w:eastAsia="楷体_GB2312" w:cs="Calibri"/>
                <w:b/>
                <w:sz w:val="20"/>
                <w:szCs w:val="20"/>
                <w:lang w:eastAsia="zh-CN"/>
              </w:rPr>
              <w:t>units</w:t>
            </w:r>
            <w:r>
              <w:rPr>
                <w:rFonts w:eastAsia="楷体_GB2312" w:cs="Calibri"/>
                <w:b/>
                <w:sz w:val="20"/>
                <w:szCs w:val="20"/>
                <w:lang w:eastAsia="zh-CN"/>
              </w:rPr>
              <w:t>)</w:t>
            </w:r>
          </w:p>
        </w:tc>
        <w:tc>
          <w:tcPr>
            <w:tcW w:w="241" w:type="dxa"/>
            <w:tcMar>
              <w:left w:w="0" w:type="dxa"/>
              <w:right w:w="28" w:type="dxa"/>
            </w:tcMar>
          </w:tcPr>
          <w:p w14:paraId="671A4C19">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76E640E8">
            <w:pPr>
              <w:spacing w:before="48" w:beforeLines="20" w:after="48" w:afterLines="20"/>
              <w:jc w:val="both"/>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Worldwide General Aviation Aircraft Deliveries (USD value)</w:t>
            </w:r>
          </w:p>
        </w:tc>
      </w:tr>
      <w:tr w14:paraId="18891ED2">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29BC84D4">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60550"/>
                  <wp:effectExtent l="0" t="0" r="0" b="0"/>
                  <wp:docPr id="177124111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241" w:type="dxa"/>
          </w:tcPr>
          <w:p w14:paraId="40408478">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0626C611">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0" b="0"/>
                  <wp:docPr id="159740261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14:paraId="69AA31F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5F700AF2">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c>
          <w:tcPr>
            <w:tcW w:w="241" w:type="dxa"/>
            <w:tcMar>
              <w:left w:w="0" w:type="dxa"/>
              <w:right w:w="28" w:type="dxa"/>
            </w:tcMar>
          </w:tcPr>
          <w:p w14:paraId="6860C9A4">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4248FB6">
            <w:pPr>
              <w:spacing w:before="48" w:beforeLines="20" w:after="48" w:afterLines="20"/>
              <w:jc w:val="both"/>
              <w:rPr>
                <w:rFonts w:eastAsia="楷体_GB2312"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r>
    </w:tbl>
    <w:p w14:paraId="7F10AA2D">
      <w:pPr>
        <w:jc w:val="both"/>
        <w:rPr>
          <w:rFonts w:eastAsia="楷体" w:cs="Calibri"/>
          <w:b/>
          <w:bCs/>
          <w:kern w:val="2"/>
          <w:sz w:val="22"/>
          <w:szCs w:val="22"/>
          <w:lang w:eastAsia="zh-CN"/>
        </w:rPr>
      </w:pPr>
    </w:p>
    <w:p w14:paraId="22951A0E">
      <w:pPr>
        <w:jc w:val="both"/>
        <w:rPr>
          <w:rFonts w:hint="eastAsia" w:eastAsia="楷体" w:cs="Calibri"/>
          <w:kern w:val="2"/>
          <w:sz w:val="22"/>
          <w:szCs w:val="22"/>
          <w:lang w:eastAsia="zh-CN"/>
        </w:rPr>
      </w:pPr>
      <w:r>
        <w:rPr>
          <w:rFonts w:eastAsia="楷体" w:cs="Calibri"/>
          <w:b/>
          <w:bCs/>
          <w:kern w:val="2"/>
          <w:sz w:val="22"/>
          <w:szCs w:val="22"/>
        </w:rPr>
        <w:t>The global general aviation market exhibits growth centered on North America</w:t>
      </w:r>
      <w:r>
        <w:rPr>
          <w:rFonts w:eastAsia="楷体" w:cs="Calibri"/>
          <w:kern w:val="2"/>
          <w:sz w:val="22"/>
          <w:szCs w:val="22"/>
        </w:rPr>
        <w:t>, with Europe remaining stable, Asia-Pacific facing adjustment pressures, and Latin America/Middle East &amp; Africa at lower levels.</w:t>
      </w:r>
      <w:r>
        <w:rPr>
          <w:rFonts w:hint="eastAsia" w:eastAsia="楷体" w:cs="Calibri"/>
          <w:kern w:val="2"/>
          <w:sz w:val="22"/>
          <w:szCs w:val="22"/>
          <w:lang w:eastAsia="zh-CN"/>
        </w:rPr>
        <w:t xml:space="preserve"> </w:t>
      </w:r>
      <w:r>
        <w:rPr>
          <w:rFonts w:eastAsia="楷体" w:cs="Calibri"/>
          <w:kern w:val="2"/>
          <w:sz w:val="22"/>
          <w:szCs w:val="22"/>
        </w:rPr>
        <w:t>In the future, as national policies take effect—particularly China's continued push in low-altitude economy and general aviation—the Asia-Pacific region's market share is expected to rebound. Meanwhile, advancements in multimodal transportation and airspace management reforms will inject new momentum into the long-term development of the global general aviation industry.</w:t>
      </w:r>
    </w:p>
    <w:tbl>
      <w:tblPr>
        <w:tblStyle w:val="19"/>
        <w:tblW w:w="7466" w:type="dxa"/>
        <w:tblInd w:w="0" w:type="dxa"/>
        <w:tblLayout w:type="fixed"/>
        <w:tblCellMar>
          <w:top w:w="0" w:type="dxa"/>
          <w:left w:w="108" w:type="dxa"/>
          <w:bottom w:w="0" w:type="dxa"/>
          <w:right w:w="108" w:type="dxa"/>
        </w:tblCellMar>
      </w:tblPr>
      <w:tblGrid>
        <w:gridCol w:w="7466"/>
      </w:tblGrid>
      <w:tr w14:paraId="666E860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2E8CB0FC">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eastAsia="楷体_GB2312" w:cs="Calibri"/>
                <w:b/>
                <w:sz w:val="20"/>
                <w:szCs w:val="20"/>
                <w:lang w:eastAsia="zh-CN"/>
              </w:rPr>
              <w:t>Global General Aviation Aircraft Deliveries by Region (in units)</w:t>
            </w:r>
          </w:p>
        </w:tc>
      </w:tr>
      <w:tr w14:paraId="15EC1D5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9192D50">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298700"/>
                  <wp:effectExtent l="0" t="0" r="6350" b="6350"/>
                  <wp:docPr id="162098646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14:paraId="57C61F5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E2DA2AA">
            <w:pPr>
              <w:spacing w:line="240" w:lineRule="atLeast"/>
              <w:jc w:val="both"/>
              <w:textAlignment w:val="center"/>
              <w:rPr>
                <w:rFonts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hint="eastAsia" w:eastAsia="楷体_GB2312" w:cs="Calibri"/>
                <w:sz w:val="20"/>
                <w:szCs w:val="20"/>
              </w:rPr>
              <w:t>HFI</w:t>
            </w:r>
          </w:p>
        </w:tc>
      </w:tr>
    </w:tbl>
    <w:p w14:paraId="66ADF0D3">
      <w:pPr>
        <w:rPr>
          <w:rFonts w:hint="eastAsia" w:eastAsia="楷体" w:asciiTheme="minorHAnsi" w:hAnsiTheme="minorHAnsi" w:cstheme="minorHAnsi"/>
          <w:kern w:val="2"/>
          <w:sz w:val="22"/>
          <w:szCs w:val="22"/>
        </w:rPr>
      </w:pPr>
    </w:p>
    <w:p w14:paraId="39FCB7C7">
      <w:pPr>
        <w:pStyle w:val="76"/>
        <w:jc w:val="both"/>
        <w:rPr>
          <w:rFonts w:ascii="Calibri" w:hAnsi="Calibri" w:eastAsia="楷体" w:cs="Calibri"/>
          <w:b w:val="0"/>
          <w:bCs w:val="0"/>
          <w:color w:val="215E99"/>
          <w:kern w:val="2"/>
          <w:sz w:val="22"/>
          <w:szCs w:val="22"/>
        </w:rPr>
      </w:pPr>
      <w:bookmarkStart w:id="12" w:name="_Toc218942519"/>
      <w:r>
        <w:rPr>
          <w:rFonts w:ascii="Calibri" w:hAnsi="Calibri" w:eastAsia="楷体_GB2312" w:cs="Calibri"/>
          <w:color w:val="215E99"/>
          <w:sz w:val="24"/>
        </w:rPr>
        <w:t xml:space="preserve">2.2 </w:t>
      </w:r>
      <w:r>
        <w:rPr>
          <w:rFonts w:ascii="Calibri" w:hAnsi="Calibri" w:eastAsia="楷体" w:cs="Calibri"/>
          <w:color w:val="215E99"/>
          <w:sz w:val="24"/>
        </w:rPr>
        <w:t>Global Private Aircraft Market</w:t>
      </w:r>
      <w:r>
        <w:rPr>
          <w:rFonts w:hint="eastAsia" w:ascii="Calibri" w:hAnsi="Calibri" w:eastAsia="楷体" w:cs="Calibri"/>
          <w:color w:val="215E99"/>
          <w:sz w:val="24"/>
        </w:rPr>
        <w:t xml:space="preserve">: </w:t>
      </w:r>
      <w:r>
        <w:rPr>
          <w:rFonts w:ascii="Calibri" w:hAnsi="Calibri" w:eastAsia="楷体" w:cs="Calibri"/>
          <w:color w:val="215E99"/>
          <w:sz w:val="24"/>
        </w:rPr>
        <w:t>Steady Growth in Deliveries with High Industry Concentration</w:t>
      </w:r>
      <w:bookmarkEnd w:id="12"/>
    </w:p>
    <w:p w14:paraId="6E1571CF">
      <w:pPr>
        <w:rPr>
          <w:rFonts w:eastAsia="楷体" w:cs="Calibri"/>
          <w:b/>
          <w:bCs/>
          <w:kern w:val="2"/>
          <w:sz w:val="22"/>
          <w:szCs w:val="22"/>
        </w:rPr>
      </w:pPr>
      <w:r>
        <w:rPr>
          <w:rFonts w:eastAsia="楷体" w:cs="Calibri"/>
          <w:b/>
          <w:bCs/>
          <w:kern w:val="2"/>
          <w:sz w:val="22"/>
          <w:szCs w:val="22"/>
        </w:rPr>
        <w:t>The global private aircraft market has seen steady growth in deliveries and value, with average selling prices also trending upward.</w:t>
      </w:r>
      <w:r>
        <w:rPr>
          <w:rFonts w:hint="eastAsia" w:eastAsia="楷体" w:cs="Calibri"/>
          <w:b/>
          <w:bCs/>
          <w:kern w:val="2"/>
          <w:sz w:val="22"/>
          <w:szCs w:val="22"/>
          <w:lang w:eastAsia="zh-CN"/>
        </w:rPr>
        <w:t xml:space="preserve"> </w:t>
      </w:r>
      <w:r>
        <w:rPr>
          <w:rFonts w:eastAsia="楷体" w:cs="Calibri"/>
          <w:kern w:val="2"/>
          <w:sz w:val="22"/>
          <w:szCs w:val="22"/>
        </w:rPr>
        <w:t>Private aircraft are increasingly favored for their high flexibility, privacy, safety, time efficiency, and year-round usability. Global deliveries rose from 1,894 units in 2019 to 2,215 in 2023 (</w:t>
      </w:r>
      <w:r>
        <w:rPr>
          <w:rFonts w:hint="eastAsia" w:eastAsia="楷体" w:cs="Calibri"/>
          <w:kern w:val="2"/>
          <w:sz w:val="22"/>
          <w:szCs w:val="22"/>
          <w:lang w:eastAsia="zh-CN"/>
        </w:rPr>
        <w:t>4</w:t>
      </w:r>
      <w:r>
        <w:rPr>
          <w:rFonts w:eastAsia="楷体" w:cs="Calibri"/>
          <w:kern w:val="2"/>
          <w:sz w:val="22"/>
          <w:szCs w:val="22"/>
        </w:rPr>
        <w:t>-year CAGR: 4%), while delivery value increased from $2.7 billion to $3.7 billion (</w:t>
      </w:r>
      <w:r>
        <w:rPr>
          <w:rFonts w:hint="eastAsia" w:eastAsia="楷体" w:cs="Calibri"/>
          <w:kern w:val="2"/>
          <w:sz w:val="22"/>
          <w:szCs w:val="22"/>
          <w:lang w:eastAsia="zh-CN"/>
        </w:rPr>
        <w:t>4</w:t>
      </w:r>
      <w:r>
        <w:rPr>
          <w:rFonts w:eastAsia="楷体" w:cs="Calibri"/>
          <w:kern w:val="2"/>
          <w:sz w:val="22"/>
          <w:szCs w:val="22"/>
        </w:rPr>
        <w:t>-year CAGR: 8.5%).</w:t>
      </w:r>
      <w:r>
        <w:rPr>
          <w:rFonts w:hint="eastAsia" w:eastAsia="楷体" w:cs="Calibri"/>
          <w:b/>
          <w:bCs/>
          <w:kern w:val="2"/>
          <w:sz w:val="22"/>
          <w:szCs w:val="22"/>
          <w:lang w:eastAsia="zh-CN"/>
        </w:rPr>
        <w:t xml:space="preserve"> </w:t>
      </w:r>
      <w:r>
        <w:rPr>
          <w:rFonts w:eastAsia="楷体" w:cs="Calibri"/>
          <w:kern w:val="2"/>
          <w:sz w:val="22"/>
          <w:szCs w:val="22"/>
        </w:rPr>
        <w:t>Average selling prices climbed from $1.43 million in 2019 to $1.67 million in 2023, driven mainly by rising raw material and labor costs, as well as increased R&amp;D investment in premium models by manufacturers.</w:t>
      </w:r>
    </w:p>
    <w:p w14:paraId="06502ED8">
      <w:pPr>
        <w:rPr>
          <w:rFonts w:eastAsia="楷体" w:cs="Calibri"/>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52E53D4E">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1F9ED9D5">
            <w:pPr>
              <w:spacing w:before="48" w:beforeLines="20" w:after="48" w:afterLines="20"/>
              <w:jc w:val="both"/>
              <w:textAlignment w:val="center"/>
              <w:rPr>
                <w:rFonts w:eastAsia="楷体_GB2312" w:cs="Calibri"/>
                <w:b/>
                <w:sz w:val="20"/>
                <w:szCs w:val="20"/>
                <w:highlight w:val="yellow"/>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 xml:space="preserve">Worldwide </w:t>
            </w:r>
            <w:r>
              <w:rPr>
                <w:rFonts w:hint="eastAsia" w:eastAsia="楷体_GB2312" w:cs="Calibri"/>
                <w:b/>
                <w:sz w:val="20"/>
                <w:szCs w:val="20"/>
                <w:lang w:eastAsia="zh-CN"/>
              </w:rPr>
              <w:t>Private</w:t>
            </w:r>
            <w:r>
              <w:rPr>
                <w:rFonts w:eastAsia="楷体_GB2312" w:cs="Calibri"/>
                <w:b/>
                <w:sz w:val="20"/>
                <w:szCs w:val="20"/>
                <w:lang w:eastAsia="zh-CN"/>
              </w:rPr>
              <w:t xml:space="preserve"> Aircraft Deliveries (</w:t>
            </w:r>
            <w:r>
              <w:rPr>
                <w:rFonts w:hint="eastAsia" w:eastAsia="楷体_GB2312" w:cs="Calibri"/>
                <w:b/>
                <w:sz w:val="20"/>
                <w:szCs w:val="20"/>
                <w:lang w:eastAsia="zh-CN"/>
              </w:rPr>
              <w:t>units</w:t>
            </w:r>
            <w:r>
              <w:rPr>
                <w:rFonts w:eastAsia="楷体_GB2312" w:cs="Calibri"/>
                <w:b/>
                <w:sz w:val="20"/>
                <w:szCs w:val="20"/>
                <w:lang w:eastAsia="zh-CN"/>
              </w:rPr>
              <w:t>)</w:t>
            </w:r>
          </w:p>
        </w:tc>
        <w:tc>
          <w:tcPr>
            <w:tcW w:w="241" w:type="dxa"/>
            <w:tcMar>
              <w:left w:w="0" w:type="dxa"/>
              <w:right w:w="28" w:type="dxa"/>
            </w:tcMar>
          </w:tcPr>
          <w:p w14:paraId="2C1770C9">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1A4E8F89">
            <w:pPr>
              <w:spacing w:before="48" w:beforeLines="20" w:after="48" w:afterLines="20"/>
              <w:jc w:val="both"/>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 xml:space="preserve">Worldwide </w:t>
            </w:r>
            <w:r>
              <w:rPr>
                <w:rFonts w:hint="eastAsia" w:eastAsia="楷体_GB2312" w:cs="Calibri"/>
                <w:b/>
                <w:sz w:val="20"/>
                <w:szCs w:val="20"/>
                <w:lang w:eastAsia="zh-CN"/>
              </w:rPr>
              <w:t>Private</w:t>
            </w:r>
            <w:r>
              <w:rPr>
                <w:rFonts w:eastAsia="楷体_GB2312" w:cs="Calibri"/>
                <w:b/>
                <w:sz w:val="20"/>
                <w:szCs w:val="20"/>
                <w:lang w:eastAsia="zh-CN"/>
              </w:rPr>
              <w:t xml:space="preserve"> Aircraft Deliveries (USD value)</w:t>
            </w:r>
          </w:p>
        </w:tc>
      </w:tr>
      <w:tr w14:paraId="06B38261">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F6DBE90">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60550"/>
                  <wp:effectExtent l="0" t="0" r="3810" b="6350"/>
                  <wp:docPr id="9766143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241" w:type="dxa"/>
          </w:tcPr>
          <w:p w14:paraId="7034835C">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29A05397">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0" b="6350"/>
                  <wp:docPr id="208048281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14:paraId="4BAA46C7">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2F9D7165">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c>
          <w:tcPr>
            <w:tcW w:w="241" w:type="dxa"/>
            <w:tcMar>
              <w:left w:w="0" w:type="dxa"/>
              <w:right w:w="28" w:type="dxa"/>
            </w:tcMar>
          </w:tcPr>
          <w:p w14:paraId="46140556">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91D7F53">
            <w:pPr>
              <w:spacing w:before="48" w:beforeLines="20" w:after="48" w:afterLines="20"/>
              <w:jc w:val="both"/>
              <w:rPr>
                <w:rFonts w:eastAsia="楷体_GB2312"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r>
    </w:tbl>
    <w:p w14:paraId="4538659C">
      <w:pPr>
        <w:rPr>
          <w:rFonts w:eastAsia="楷体" w:cs="Calibri"/>
          <w:kern w:val="2"/>
          <w:sz w:val="22"/>
          <w:szCs w:val="22"/>
          <w:lang w:eastAsia="zh-CN"/>
        </w:rPr>
      </w:pPr>
    </w:p>
    <w:p w14:paraId="4854EF33">
      <w:pPr>
        <w:rPr>
          <w:rFonts w:eastAsia="楷体" w:cs="Calibri"/>
          <w:kern w:val="2"/>
          <w:sz w:val="22"/>
          <w:szCs w:val="22"/>
          <w:lang w:eastAsia="zh-CN"/>
        </w:rPr>
      </w:pPr>
    </w:p>
    <w:p w14:paraId="4F4333B6">
      <w:pPr>
        <w:rPr>
          <w:rFonts w:eastAsia="楷体" w:cs="Calibri"/>
          <w:kern w:val="2"/>
          <w:sz w:val="22"/>
          <w:szCs w:val="22"/>
          <w:lang w:eastAsia="zh-CN"/>
        </w:rPr>
      </w:pPr>
    </w:p>
    <w:p w14:paraId="559D3616">
      <w:pPr>
        <w:rPr>
          <w:rFonts w:eastAsia="楷体" w:cs="Calibri"/>
          <w:kern w:val="2"/>
          <w:sz w:val="22"/>
          <w:szCs w:val="22"/>
          <w:lang w:eastAsia="zh-CN"/>
        </w:rPr>
      </w:pPr>
    </w:p>
    <w:p w14:paraId="685CD97B">
      <w:pPr>
        <w:rPr>
          <w:rFonts w:eastAsia="楷体" w:cs="Calibri"/>
          <w:kern w:val="2"/>
          <w:sz w:val="22"/>
          <w:szCs w:val="22"/>
          <w:lang w:eastAsia="zh-CN"/>
        </w:rPr>
      </w:pPr>
    </w:p>
    <w:p w14:paraId="01294E40">
      <w:pPr>
        <w:rPr>
          <w:rFonts w:eastAsia="楷体" w:cs="Calibri"/>
          <w:kern w:val="2"/>
          <w:sz w:val="22"/>
          <w:szCs w:val="22"/>
          <w:lang w:eastAsia="zh-CN"/>
        </w:rPr>
      </w:pPr>
    </w:p>
    <w:p w14:paraId="5850B320">
      <w:pPr>
        <w:rPr>
          <w:rFonts w:eastAsia="楷体" w:cs="Calibri"/>
          <w:kern w:val="2"/>
          <w:sz w:val="22"/>
          <w:szCs w:val="22"/>
          <w:lang w:eastAsia="zh-CN"/>
        </w:rPr>
      </w:pPr>
    </w:p>
    <w:p w14:paraId="0A05D64C">
      <w:pPr>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C80A281">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18DEB17">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Historical Trend of Average Selling Price for Private Aircraft (in million USD)</w:t>
            </w:r>
          </w:p>
        </w:tc>
      </w:tr>
      <w:tr w14:paraId="21A4E5D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DE6FDD6">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459605" cy="1965960"/>
                  <wp:effectExtent l="0" t="0" r="0" b="0"/>
                  <wp:docPr id="6375226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14:paraId="08A2799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E114C21">
            <w:pPr>
              <w:spacing w:line="240" w:lineRule="atLeast"/>
              <w:jc w:val="both"/>
              <w:textAlignment w:val="center"/>
              <w:rPr>
                <w:rFonts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hint="eastAsia" w:eastAsia="楷体_GB2312" w:cs="Calibri"/>
                <w:sz w:val="20"/>
                <w:szCs w:val="20"/>
              </w:rPr>
              <w:t>HFI</w:t>
            </w:r>
          </w:p>
        </w:tc>
      </w:tr>
    </w:tbl>
    <w:p w14:paraId="7190F8B7">
      <w:pPr>
        <w:jc w:val="both"/>
        <w:rPr>
          <w:rFonts w:eastAsia="楷体" w:cs="Calibri"/>
          <w:b/>
          <w:bCs/>
          <w:kern w:val="2"/>
          <w:sz w:val="22"/>
          <w:szCs w:val="22"/>
          <w:lang w:eastAsia="zh-CN"/>
        </w:rPr>
      </w:pPr>
    </w:p>
    <w:p w14:paraId="34EE4CAC">
      <w:pPr>
        <w:jc w:val="both"/>
        <w:rPr>
          <w:rFonts w:eastAsia="楷体" w:cs="Calibri"/>
          <w:b/>
          <w:bCs/>
          <w:kern w:val="2"/>
          <w:sz w:val="22"/>
          <w:szCs w:val="22"/>
          <w:lang w:eastAsia="zh-CN"/>
        </w:rPr>
      </w:pPr>
      <w:r>
        <w:rPr>
          <w:rFonts w:eastAsia="楷体" w:cs="Calibri"/>
          <w:b/>
          <w:bCs/>
          <w:kern w:val="2"/>
          <w:sz w:val="22"/>
          <w:szCs w:val="22"/>
        </w:rPr>
        <w:t>The sustained growth in global private aircraft deliveries is driven by the expansion of high-net-worth individuals (HNWIs) and flight students, on the one hand, and by ongoing infrastructure development, on the other.</w:t>
      </w:r>
      <w:r>
        <w:rPr>
          <w:rFonts w:hint="eastAsia" w:eastAsia="楷体" w:cs="Calibri"/>
          <w:b/>
          <w:bCs/>
          <w:kern w:val="2"/>
          <w:sz w:val="22"/>
          <w:szCs w:val="22"/>
          <w:lang w:eastAsia="zh-CN"/>
        </w:rPr>
        <w:t xml:space="preserve"> </w:t>
      </w:r>
    </w:p>
    <w:p w14:paraId="621A7039">
      <w:pPr>
        <w:jc w:val="both"/>
        <w:rPr>
          <w:rFonts w:ascii="Arial" w:hAnsi="Arial" w:cs="Arial" w:eastAsiaTheme="minorEastAsia"/>
          <w:color w:val="000000"/>
          <w:sz w:val="23"/>
          <w:szCs w:val="23"/>
          <w:shd w:val="clear" w:color="auto" w:fill="FCFBFB"/>
          <w:lang w:eastAsia="zh-CN"/>
        </w:rPr>
      </w:pPr>
      <w:r>
        <w:rPr>
          <w:rFonts w:hint="eastAsia" w:eastAsia="楷体" w:cs="Calibri"/>
          <w:kern w:val="2"/>
          <w:sz w:val="22"/>
          <w:szCs w:val="22"/>
          <w:lang w:eastAsia="zh-CN"/>
        </w:rPr>
        <w:t xml:space="preserve">1) </w:t>
      </w:r>
      <w:r>
        <w:rPr>
          <w:rFonts w:eastAsia="楷体" w:cs="Calibri"/>
          <w:kern w:val="2"/>
          <w:sz w:val="22"/>
          <w:szCs w:val="22"/>
        </w:rPr>
        <w:t>Private aircraft are a popular choice for HNWIs in short-haul commuting, sightseeing, and recreational activities. From 2018 to 2023, the global HNWI population grew from 52 million to 74 million (CAGR: 7.2%)</w:t>
      </w:r>
      <w:r>
        <w:rPr>
          <w:rFonts w:hint="eastAsia" w:eastAsia="楷体" w:cs="Calibri"/>
          <w:kern w:val="2"/>
          <w:sz w:val="22"/>
          <w:szCs w:val="22"/>
          <w:lang w:eastAsia="zh-CN"/>
        </w:rPr>
        <w:t>, and is p</w:t>
      </w:r>
      <w:r>
        <w:rPr>
          <w:rFonts w:eastAsia="楷体" w:cs="Calibri"/>
          <w:kern w:val="2"/>
          <w:sz w:val="22"/>
          <w:szCs w:val="22"/>
          <w:lang w:eastAsia="zh-CN"/>
        </w:rPr>
        <w:t>rojected to reach 120 million people by 2028, with a compound annual growth rate (CAGR) of 10.6% from 2024 to 2028.</w:t>
      </w:r>
      <w:r>
        <w:rPr>
          <w:rFonts w:ascii="Arial" w:hAnsi="Arial" w:cs="Arial"/>
          <w:color w:val="000000"/>
          <w:sz w:val="23"/>
          <w:szCs w:val="23"/>
          <w:shd w:val="clear" w:color="auto" w:fill="FCFBFB"/>
        </w:rPr>
        <w:t xml:space="preserve"> </w:t>
      </w:r>
    </w:p>
    <w:p w14:paraId="58E4E1F9">
      <w:pPr>
        <w:jc w:val="both"/>
        <w:rPr>
          <w:rFonts w:eastAsia="楷体" w:cs="Calibri"/>
          <w:kern w:val="2"/>
          <w:sz w:val="22"/>
          <w:szCs w:val="22"/>
          <w:lang w:eastAsia="zh-CN"/>
        </w:rPr>
      </w:pPr>
      <w:r>
        <w:rPr>
          <w:rFonts w:hint="eastAsia" w:eastAsia="楷体" w:cs="Calibri"/>
          <w:kern w:val="2"/>
          <w:sz w:val="22"/>
          <w:szCs w:val="22"/>
          <w:lang w:eastAsia="zh-CN"/>
        </w:rPr>
        <w:t xml:space="preserve">2) </w:t>
      </w:r>
      <w:r>
        <w:rPr>
          <w:rFonts w:eastAsia="楷体" w:cs="Calibri"/>
          <w:kern w:val="2"/>
          <w:sz w:val="22"/>
          <w:szCs w:val="22"/>
          <w:lang w:eastAsia="zh-CN"/>
        </w:rPr>
        <w:t>The number of flight students in the United States increased from 197,700 in 2019 to 316,500 in 2023, with a Compound Annual Growth Rate (CAGR) of 12.5%</w:t>
      </w:r>
      <w:r>
        <w:rPr>
          <w:rFonts w:hint="eastAsia" w:eastAsia="楷体" w:cs="Calibri"/>
          <w:kern w:val="2"/>
          <w:sz w:val="22"/>
          <w:szCs w:val="22"/>
          <w:lang w:eastAsia="zh-CN"/>
        </w:rPr>
        <w:t>.</w:t>
      </w:r>
    </w:p>
    <w:p w14:paraId="2A29D7D5">
      <w:pPr>
        <w:jc w:val="both"/>
        <w:rPr>
          <w:rFonts w:eastAsia="楷体" w:cs="Calibri"/>
          <w:kern w:val="2"/>
          <w:sz w:val="22"/>
          <w:szCs w:val="22"/>
        </w:rPr>
      </w:pPr>
      <w:r>
        <w:rPr>
          <w:rFonts w:hint="eastAsia" w:eastAsia="楷体" w:cs="Calibri"/>
          <w:kern w:val="2"/>
          <w:sz w:val="22"/>
          <w:szCs w:val="22"/>
          <w:lang w:eastAsia="zh-CN"/>
        </w:rPr>
        <w:t>3) I</w:t>
      </w:r>
      <w:r>
        <w:rPr>
          <w:rFonts w:eastAsia="楷体" w:cs="Calibri"/>
          <w:kern w:val="2"/>
          <w:sz w:val="22"/>
          <w:szCs w:val="22"/>
        </w:rPr>
        <w:t xml:space="preserve">nfrastructure expansion has laid a solid foundation: according to </w:t>
      </w:r>
      <w:r>
        <w:rPr>
          <w:rFonts w:hint="eastAsia" w:eastAsia="楷体" w:cs="Calibri"/>
          <w:kern w:val="2"/>
          <w:sz w:val="22"/>
          <w:szCs w:val="22"/>
          <w:lang w:eastAsia="zh-CN"/>
        </w:rPr>
        <w:t>Statista</w:t>
      </w:r>
      <w:r>
        <w:rPr>
          <w:rFonts w:eastAsia="楷体" w:cs="Calibri"/>
          <w:kern w:val="2"/>
          <w:sz w:val="22"/>
          <w:szCs w:val="22"/>
        </w:rPr>
        <w:t>, the U.S. had 14,</w:t>
      </w:r>
      <w:r>
        <w:rPr>
          <w:rFonts w:hint="eastAsia" w:eastAsia="楷体" w:cs="Calibri"/>
          <w:kern w:val="2"/>
          <w:sz w:val="22"/>
          <w:szCs w:val="22"/>
          <w:lang w:eastAsia="zh-CN"/>
        </w:rPr>
        <w:t>776</w:t>
      </w:r>
      <w:r>
        <w:rPr>
          <w:rFonts w:eastAsia="楷体" w:cs="Calibri"/>
          <w:kern w:val="2"/>
          <w:sz w:val="22"/>
          <w:szCs w:val="22"/>
        </w:rPr>
        <w:t xml:space="preserve"> private-use airports in 202</w:t>
      </w:r>
      <w:r>
        <w:rPr>
          <w:rFonts w:hint="eastAsia" w:eastAsia="楷体" w:cs="Calibri"/>
          <w:kern w:val="2"/>
          <w:sz w:val="22"/>
          <w:szCs w:val="22"/>
          <w:lang w:eastAsia="zh-CN"/>
        </w:rPr>
        <w:t>2</w:t>
      </w:r>
      <w:r>
        <w:rPr>
          <w:rFonts w:eastAsia="楷体" w:cs="Calibri"/>
          <w:kern w:val="2"/>
          <w:sz w:val="22"/>
          <w:szCs w:val="22"/>
        </w:rPr>
        <w:t xml:space="preserve">, an increase of </w:t>
      </w:r>
      <w:r>
        <w:rPr>
          <w:rFonts w:hint="eastAsia" w:eastAsia="楷体" w:cs="Calibri"/>
          <w:kern w:val="2"/>
          <w:sz w:val="22"/>
          <w:szCs w:val="22"/>
          <w:lang w:eastAsia="zh-CN"/>
        </w:rPr>
        <w:t>13863</w:t>
      </w:r>
      <w:r>
        <w:rPr>
          <w:rFonts w:eastAsia="楷体" w:cs="Calibri"/>
          <w:kern w:val="2"/>
          <w:sz w:val="22"/>
          <w:szCs w:val="22"/>
        </w:rPr>
        <w:t xml:space="preserve"> since 2014.</w:t>
      </w:r>
    </w:p>
    <w:p w14:paraId="6B720152">
      <w:pPr>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9ED51B1">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D0BD4BD">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bCs/>
                <w:sz w:val="20"/>
                <w:szCs w:val="20"/>
              </w:rPr>
              <w:t>Number of private airports in the United States from 1990 to 2022</w:t>
            </w:r>
          </w:p>
        </w:tc>
      </w:tr>
      <w:tr w14:paraId="013D1EA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063D708">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554220" cy="2737485"/>
                  <wp:effectExtent l="0" t="0" r="0" b="5715"/>
                  <wp:docPr id="386766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66548" name="图片 1"/>
                          <pic:cNvPicPr>
                            <a:picLocks noChangeAspect="1"/>
                          </pic:cNvPicPr>
                        </pic:nvPicPr>
                        <pic:blipFill>
                          <a:blip r:embed="rId42"/>
                          <a:stretch>
                            <a:fillRect/>
                          </a:stretch>
                        </pic:blipFill>
                        <pic:spPr>
                          <a:xfrm>
                            <a:off x="0" y="0"/>
                            <a:ext cx="4555803" cy="2738509"/>
                          </a:xfrm>
                          <a:prstGeom prst="rect">
                            <a:avLst/>
                          </a:prstGeom>
                        </pic:spPr>
                      </pic:pic>
                    </a:graphicData>
                  </a:graphic>
                </wp:inline>
              </w:drawing>
            </w:r>
          </w:p>
        </w:tc>
      </w:tr>
      <w:tr w14:paraId="3869B81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0CECBB6">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 w:cs="Calibri"/>
                <w:kern w:val="2"/>
                <w:sz w:val="22"/>
                <w:szCs w:val="22"/>
                <w:lang w:eastAsia="zh-CN"/>
              </w:rPr>
              <w:t>S</w:t>
            </w:r>
            <w:r>
              <w:rPr>
                <w:rFonts w:eastAsia="楷体" w:cs="Calibri"/>
                <w:kern w:val="2"/>
                <w:sz w:val="22"/>
                <w:szCs w:val="22"/>
              </w:rPr>
              <w:t>tatista</w:t>
            </w:r>
            <w:r>
              <w:rPr>
                <w:rFonts w:hint="eastAsia" w:eastAsia="楷体_GB2312" w:cs="Calibri"/>
                <w:sz w:val="20"/>
                <w:szCs w:val="20"/>
                <w:lang w:eastAsia="zh-CN"/>
              </w:rPr>
              <w:t xml:space="preserve">, </w:t>
            </w:r>
            <w:r>
              <w:rPr>
                <w:rFonts w:hint="eastAsia" w:eastAsia="楷体_GB2312" w:cs="Calibri"/>
                <w:sz w:val="20"/>
                <w:szCs w:val="20"/>
              </w:rPr>
              <w:t>HFI</w:t>
            </w:r>
          </w:p>
        </w:tc>
      </w:tr>
    </w:tbl>
    <w:p w14:paraId="31395888">
      <w:pPr>
        <w:jc w:val="both"/>
        <w:rPr>
          <w:rFonts w:eastAsia="楷体" w:cs="Calibri"/>
          <w:kern w:val="2"/>
          <w:sz w:val="22"/>
          <w:szCs w:val="22"/>
          <w:lang w:eastAsia="zh-CN"/>
        </w:rPr>
      </w:pPr>
    </w:p>
    <w:p w14:paraId="5722F99A">
      <w:pPr>
        <w:rPr>
          <w:rFonts w:eastAsia="楷体" w:cs="Calibri"/>
          <w:b/>
          <w:bCs/>
          <w:kern w:val="2"/>
          <w:sz w:val="22"/>
          <w:szCs w:val="22"/>
          <w:lang w:eastAsia="zh-CN"/>
        </w:rPr>
      </w:pPr>
      <w:r>
        <w:rPr>
          <w:rFonts w:eastAsia="楷体" w:cs="Calibri"/>
          <w:b/>
          <w:bCs/>
          <w:kern w:val="2"/>
          <w:sz w:val="22"/>
          <w:szCs w:val="22"/>
        </w:rPr>
        <w:t>The industry exhibits high concentration, with Cirrus holding a leading position.</w:t>
      </w:r>
      <w:r>
        <w:rPr>
          <w:rFonts w:hint="eastAsia" w:eastAsia="楷体" w:cs="Calibri"/>
          <w:b/>
          <w:bCs/>
          <w:kern w:val="2"/>
          <w:sz w:val="22"/>
          <w:szCs w:val="22"/>
          <w:lang w:eastAsia="zh-CN"/>
        </w:rPr>
        <w:t xml:space="preserve"> </w:t>
      </w:r>
      <w:r>
        <w:rPr>
          <w:rFonts w:eastAsia="楷体" w:cs="Calibri"/>
          <w:kern w:val="2"/>
          <w:sz w:val="22"/>
          <w:szCs w:val="22"/>
        </w:rPr>
        <w:t>In the global private aircraft market, Cirrus, Cessna (owned by Textron Aviation since 2014), and Diamond Aircraft are the primary manufacturer</w:t>
      </w:r>
      <w:r>
        <w:rPr>
          <w:rFonts w:hint="eastAsia" w:eastAsia="楷体" w:cs="Calibri"/>
          <w:kern w:val="2"/>
          <w:sz w:val="22"/>
          <w:szCs w:val="22"/>
          <w:lang w:eastAsia="zh-CN"/>
        </w:rPr>
        <w:t xml:space="preserve">s. </w:t>
      </w:r>
      <w:r>
        <w:rPr>
          <w:rFonts w:eastAsia="楷体" w:cs="Calibri"/>
          <w:kern w:val="2"/>
          <w:sz w:val="22"/>
          <w:szCs w:val="22"/>
        </w:rPr>
        <w:t>According to GAMA reports, in 202</w:t>
      </w:r>
      <w:r>
        <w:rPr>
          <w:rFonts w:hint="eastAsia" w:eastAsia="楷体" w:cs="Calibri"/>
          <w:kern w:val="2"/>
          <w:sz w:val="22"/>
          <w:szCs w:val="22"/>
          <w:lang w:eastAsia="zh-CN"/>
        </w:rPr>
        <w:t>3</w:t>
      </w:r>
      <w:r>
        <w:rPr>
          <w:rFonts w:eastAsia="楷体" w:cs="Calibri"/>
          <w:kern w:val="2"/>
          <w:sz w:val="22"/>
          <w:szCs w:val="22"/>
        </w:rPr>
        <w:t>, deliveries by Cirrus, Cessna, and Diamond were 7</w:t>
      </w:r>
      <w:r>
        <w:rPr>
          <w:rFonts w:hint="eastAsia" w:eastAsia="楷体" w:cs="Calibri"/>
          <w:kern w:val="2"/>
          <w:sz w:val="22"/>
          <w:szCs w:val="22"/>
          <w:lang w:eastAsia="zh-CN"/>
        </w:rPr>
        <w:t>08</w:t>
      </w:r>
      <w:r>
        <w:rPr>
          <w:rFonts w:eastAsia="楷体" w:cs="Calibri"/>
          <w:kern w:val="2"/>
          <w:sz w:val="22"/>
          <w:szCs w:val="22"/>
        </w:rPr>
        <w:t xml:space="preserve">, </w:t>
      </w:r>
      <w:r>
        <w:rPr>
          <w:rFonts w:hint="eastAsia" w:eastAsia="楷体" w:cs="Calibri"/>
          <w:kern w:val="2"/>
          <w:sz w:val="22"/>
          <w:szCs w:val="22"/>
          <w:lang w:eastAsia="zh-CN"/>
        </w:rPr>
        <w:t>618</w:t>
      </w:r>
      <w:r>
        <w:rPr>
          <w:rFonts w:eastAsia="楷体" w:cs="Calibri"/>
          <w:kern w:val="2"/>
          <w:sz w:val="22"/>
          <w:szCs w:val="22"/>
        </w:rPr>
        <w:t xml:space="preserve">, and </w:t>
      </w:r>
      <w:r>
        <w:rPr>
          <w:rFonts w:hint="eastAsia" w:eastAsia="楷体" w:cs="Calibri"/>
          <w:kern w:val="2"/>
          <w:sz w:val="22"/>
          <w:szCs w:val="22"/>
          <w:lang w:eastAsia="zh-CN"/>
        </w:rPr>
        <w:t xml:space="preserve">273 </w:t>
      </w:r>
      <w:r>
        <w:rPr>
          <w:rFonts w:eastAsia="楷体" w:cs="Calibri"/>
          <w:kern w:val="2"/>
          <w:sz w:val="22"/>
          <w:szCs w:val="22"/>
        </w:rPr>
        <w:t xml:space="preserve">units respectively. The three companies combined accounted for </w:t>
      </w:r>
      <w:r>
        <w:rPr>
          <w:rFonts w:hint="eastAsia" w:eastAsia="楷体" w:cs="Calibri"/>
          <w:kern w:val="2"/>
          <w:sz w:val="22"/>
          <w:szCs w:val="22"/>
          <w:lang w:eastAsia="zh-CN"/>
        </w:rPr>
        <w:t>47.6</w:t>
      </w:r>
      <w:r>
        <w:rPr>
          <w:rFonts w:eastAsia="楷体" w:cs="Calibri"/>
          <w:kern w:val="2"/>
          <w:sz w:val="22"/>
          <w:szCs w:val="22"/>
        </w:rPr>
        <w:t xml:space="preserve">% of total sales market share, with Cirrus holding </w:t>
      </w:r>
      <w:r>
        <w:rPr>
          <w:rFonts w:hint="eastAsia" w:eastAsia="楷体" w:cs="Calibri"/>
          <w:kern w:val="2"/>
          <w:sz w:val="22"/>
          <w:szCs w:val="22"/>
          <w:lang w:eastAsia="zh-CN"/>
        </w:rPr>
        <w:t>23.2</w:t>
      </w:r>
      <w:r>
        <w:rPr>
          <w:rFonts w:eastAsia="楷体" w:cs="Calibri"/>
          <w:kern w:val="2"/>
          <w:sz w:val="22"/>
          <w:szCs w:val="22"/>
        </w:rPr>
        <w:t>%</w:t>
      </w:r>
      <w:r>
        <w:rPr>
          <w:rFonts w:hint="eastAsia" w:eastAsia="楷体" w:cs="Calibri"/>
          <w:kern w:val="2"/>
          <w:sz w:val="22"/>
          <w:szCs w:val="22"/>
          <w:lang w:eastAsia="zh-CN"/>
        </w:rPr>
        <w:t>.</w:t>
      </w:r>
    </w:p>
    <w:tbl>
      <w:tblPr>
        <w:tblStyle w:val="19"/>
        <w:tblW w:w="7466" w:type="dxa"/>
        <w:tblInd w:w="0" w:type="dxa"/>
        <w:tblLayout w:type="fixed"/>
        <w:tblCellMar>
          <w:top w:w="0" w:type="dxa"/>
          <w:left w:w="108" w:type="dxa"/>
          <w:bottom w:w="0" w:type="dxa"/>
          <w:right w:w="108" w:type="dxa"/>
        </w:tblCellMar>
      </w:tblPr>
      <w:tblGrid>
        <w:gridCol w:w="7466"/>
      </w:tblGrid>
      <w:tr w14:paraId="0209BEA1">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BC43AA0">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Aircraft Manufacturer Ranking</w:t>
            </w:r>
          </w:p>
        </w:tc>
      </w:tr>
      <w:tr w14:paraId="7E434E3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AE2EA4C">
            <w:pPr>
              <w:spacing w:before="48" w:beforeLines="20" w:after="48" w:afterLines="20"/>
              <w:jc w:val="center"/>
              <w:textAlignment w:val="center"/>
              <w:rPr>
                <w:rFonts w:eastAsia="宋体" w:cs="Calibri"/>
                <w:b/>
                <w:bCs/>
                <w:sz w:val="20"/>
                <w:szCs w:val="20"/>
                <w:lang w:eastAsia="zh-CN"/>
              </w:rPr>
            </w:pPr>
            <w:r>
              <w:rPr>
                <w:rFonts w:eastAsia="宋体" w:cs="Calibri"/>
                <w:b/>
                <w:bCs/>
                <w:sz w:val="20"/>
                <w:szCs w:val="20"/>
                <w:lang w:eastAsia="zh-CN"/>
              </w:rPr>
              <w:drawing>
                <wp:inline distT="0" distB="0" distL="0" distR="0">
                  <wp:extent cx="4603750" cy="2910840"/>
                  <wp:effectExtent l="0" t="0" r="6350" b="3810"/>
                  <wp:docPr id="14016158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15865" name="图片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603750" cy="2910840"/>
                          </a:xfrm>
                          <a:prstGeom prst="rect">
                            <a:avLst/>
                          </a:prstGeom>
                          <a:noFill/>
                          <a:ln>
                            <a:noFill/>
                          </a:ln>
                        </pic:spPr>
                      </pic:pic>
                    </a:graphicData>
                  </a:graphic>
                </wp:inline>
              </w:drawing>
            </w:r>
          </w:p>
        </w:tc>
      </w:tr>
      <w:tr w14:paraId="13E83A1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71C4DF9">
            <w:pPr>
              <w:spacing w:line="240" w:lineRule="atLeast"/>
              <w:jc w:val="both"/>
              <w:textAlignment w:val="center"/>
              <w:rPr>
                <w:rFonts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hint="eastAsia" w:eastAsia="楷体_GB2312" w:cs="Calibri"/>
                <w:sz w:val="20"/>
                <w:szCs w:val="20"/>
              </w:rPr>
              <w:t>HFI</w:t>
            </w:r>
          </w:p>
        </w:tc>
      </w:tr>
    </w:tbl>
    <w:p w14:paraId="769FE041">
      <w:pPr>
        <w:rPr>
          <w:rFonts w:hint="eastAsia" w:eastAsia="楷体" w:asciiTheme="minorHAnsi" w:hAnsiTheme="minorHAnsi" w:cstheme="minorHAnsi"/>
          <w:kern w:val="2"/>
          <w:sz w:val="22"/>
          <w:szCs w:val="22"/>
          <w:lang w:eastAsia="zh-CN"/>
        </w:rPr>
      </w:pPr>
    </w:p>
    <w:p w14:paraId="622781F2">
      <w:pPr>
        <w:rPr>
          <w:rFonts w:eastAsia="楷体" w:cs="Calibri"/>
          <w:b/>
          <w:bCs/>
          <w:kern w:val="2"/>
          <w:sz w:val="22"/>
          <w:szCs w:val="22"/>
        </w:rPr>
      </w:pPr>
      <w:r>
        <w:rPr>
          <w:rFonts w:eastAsia="楷体" w:cs="Calibri"/>
          <w:b/>
          <w:bCs/>
          <w:kern w:val="2"/>
          <w:sz w:val="22"/>
          <w:szCs w:val="22"/>
        </w:rPr>
        <w:t>Cirrus holds a prominent leading position in piston-engine aircraft,</w:t>
      </w:r>
      <w:r>
        <w:rPr>
          <w:rFonts w:hint="eastAsia" w:eastAsia="楷体" w:cs="Calibri"/>
          <w:b/>
          <w:bCs/>
          <w:kern w:val="2"/>
          <w:sz w:val="22"/>
          <w:szCs w:val="22"/>
          <w:lang w:eastAsia="zh-CN"/>
        </w:rPr>
        <w:t xml:space="preserve"> and</w:t>
      </w:r>
      <w:r>
        <w:rPr>
          <w:rFonts w:eastAsia="楷体" w:cs="Calibri"/>
          <w:b/>
          <w:bCs/>
          <w:kern w:val="2"/>
          <w:sz w:val="22"/>
          <w:szCs w:val="22"/>
        </w:rPr>
        <w:t xml:space="preserve"> its two major model lines show</w:t>
      </w:r>
      <w:r>
        <w:rPr>
          <w:rFonts w:hint="eastAsia" w:eastAsia="楷体" w:cs="Calibri"/>
          <w:b/>
          <w:bCs/>
          <w:kern w:val="2"/>
          <w:sz w:val="22"/>
          <w:szCs w:val="22"/>
          <w:lang w:eastAsia="zh-CN"/>
        </w:rPr>
        <w:t>ed</w:t>
      </w:r>
      <w:r>
        <w:rPr>
          <w:rFonts w:eastAsia="楷体" w:cs="Calibri"/>
          <w:b/>
          <w:bCs/>
          <w:kern w:val="2"/>
          <w:sz w:val="22"/>
          <w:szCs w:val="22"/>
        </w:rPr>
        <w:t xml:space="preserve"> upward trends in market share.</w:t>
      </w:r>
    </w:p>
    <w:p w14:paraId="00553755">
      <w:pPr>
        <w:rPr>
          <w:rFonts w:hint="eastAsia" w:eastAsia="楷体" w:asciiTheme="minorHAnsi" w:hAnsiTheme="minorHAnsi" w:cstheme="minorHAnsi"/>
          <w:kern w:val="2"/>
          <w:sz w:val="22"/>
          <w:szCs w:val="22"/>
        </w:rPr>
      </w:pPr>
      <w:r>
        <w:rPr>
          <w:rFonts w:hint="eastAsia" w:eastAsia="楷体" w:cs="Calibri"/>
          <w:b/>
          <w:bCs/>
          <w:kern w:val="2"/>
          <w:sz w:val="22"/>
          <w:szCs w:val="22"/>
          <w:lang w:eastAsia="zh-CN"/>
        </w:rPr>
        <w:t>1）</w:t>
      </w:r>
      <w:r>
        <w:rPr>
          <w:rFonts w:eastAsia="楷体" w:cs="Calibri"/>
          <w:b/>
          <w:bCs/>
          <w:kern w:val="2"/>
          <w:sz w:val="22"/>
          <w:szCs w:val="22"/>
        </w:rPr>
        <w:t xml:space="preserve">Piston-engine aircraft: </w:t>
      </w:r>
      <w:r>
        <w:rPr>
          <w:rFonts w:eastAsia="楷体" w:cs="Calibri"/>
          <w:kern w:val="2"/>
          <w:sz w:val="22"/>
          <w:szCs w:val="22"/>
        </w:rPr>
        <w:t>From a shipment perspective, in 2024, the top five global piston-engine aircraft manufacturers accounted for a combined share of 84.6%, with Cirrus leading at 31.9% (up from approximately 24.1% in 2020).</w:t>
      </w:r>
      <w:r>
        <w:rPr>
          <w:rFonts w:hint="eastAsia" w:eastAsia="楷体" w:cs="Calibri"/>
          <w:kern w:val="2"/>
          <w:sz w:val="22"/>
          <w:szCs w:val="22"/>
          <w:lang w:eastAsia="zh-CN"/>
        </w:rPr>
        <w:t xml:space="preserve"> </w:t>
      </w:r>
      <w:r>
        <w:rPr>
          <w:rFonts w:eastAsia="楷体" w:cs="Calibri"/>
          <w:kern w:val="2"/>
          <w:sz w:val="22"/>
          <w:szCs w:val="22"/>
        </w:rPr>
        <w:t xml:space="preserve">Cirrus is positioned in the premium segment and leads in shipment volume. </w:t>
      </w:r>
      <w:r>
        <w:rPr>
          <w:rFonts w:eastAsia="楷体" w:cs="Calibri"/>
          <w:kern w:val="2"/>
          <w:sz w:val="22"/>
          <w:szCs w:val="22"/>
        </w:rPr>
        <w:br w:type="textWrapping"/>
      </w:r>
    </w:p>
    <w:tbl>
      <w:tblPr>
        <w:tblStyle w:val="19"/>
        <w:tblW w:w="7466" w:type="dxa"/>
        <w:tblInd w:w="0" w:type="dxa"/>
        <w:tblLayout w:type="fixed"/>
        <w:tblCellMar>
          <w:top w:w="0" w:type="dxa"/>
          <w:left w:w="108" w:type="dxa"/>
          <w:bottom w:w="0" w:type="dxa"/>
          <w:right w:w="108" w:type="dxa"/>
        </w:tblCellMar>
      </w:tblPr>
      <w:tblGrid>
        <w:gridCol w:w="7466"/>
      </w:tblGrid>
      <w:tr w14:paraId="6D5EEC0B">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0385D44">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Market Share of Global Piston Aircraft Deliveries</w:t>
            </w:r>
            <w:r>
              <w:rPr>
                <w:rFonts w:hint="eastAsia" w:eastAsia="楷体_GB2312" w:cs="Calibri"/>
                <w:b/>
                <w:sz w:val="20"/>
                <w:szCs w:val="20"/>
                <w:lang w:eastAsia="zh-CN"/>
              </w:rPr>
              <w:t xml:space="preserve"> (in units)</w:t>
            </w:r>
          </w:p>
        </w:tc>
      </w:tr>
      <w:tr w14:paraId="21446D8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D925143">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621280"/>
                  <wp:effectExtent l="0" t="0" r="6350" b="7620"/>
                  <wp:docPr id="150364654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14:paraId="2FB47A8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929B292">
            <w:pPr>
              <w:spacing w:line="240" w:lineRule="atLeast"/>
              <w:jc w:val="both"/>
              <w:textAlignment w:val="center"/>
              <w:rPr>
                <w:rFonts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hint="eastAsia" w:eastAsia="楷体_GB2312" w:cs="Calibri"/>
                <w:sz w:val="20"/>
                <w:szCs w:val="20"/>
              </w:rPr>
              <w:t>HFI</w:t>
            </w:r>
          </w:p>
        </w:tc>
      </w:tr>
    </w:tbl>
    <w:p w14:paraId="39CD9809">
      <w:pPr>
        <w:rPr>
          <w:rFonts w:hint="eastAsia" w:eastAsia="楷体" w:asciiTheme="minorHAnsi" w:hAnsiTheme="minorHAnsi" w:cstheme="minorHAnsi"/>
          <w:kern w:val="2"/>
          <w:sz w:val="22"/>
          <w:szCs w:val="22"/>
        </w:rPr>
      </w:pPr>
    </w:p>
    <w:p w14:paraId="2D8A2C10">
      <w:pPr>
        <w:rPr>
          <w:rFonts w:eastAsia="楷体" w:cs="Calibri"/>
          <w:kern w:val="2"/>
          <w:sz w:val="22"/>
          <w:szCs w:val="22"/>
        </w:rPr>
      </w:pPr>
      <w:r>
        <w:rPr>
          <w:rFonts w:hint="eastAsia" w:eastAsia="楷体" w:cs="Calibri"/>
          <w:b/>
          <w:bCs/>
          <w:kern w:val="2"/>
          <w:sz w:val="22"/>
          <w:szCs w:val="22"/>
          <w:lang w:eastAsia="zh-CN"/>
        </w:rPr>
        <w:t>2）</w:t>
      </w:r>
      <w:r>
        <w:rPr>
          <w:rFonts w:eastAsia="楷体" w:cs="Calibri"/>
          <w:b/>
          <w:bCs/>
          <w:kern w:val="2"/>
          <w:sz w:val="22"/>
          <w:szCs w:val="22"/>
        </w:rPr>
        <w:t>Jet aircraft:</w:t>
      </w:r>
      <w:r>
        <w:rPr>
          <w:rFonts w:hint="eastAsia" w:eastAsia="楷体" w:cs="Calibri"/>
          <w:b/>
          <w:bCs/>
          <w:kern w:val="2"/>
          <w:sz w:val="22"/>
          <w:szCs w:val="22"/>
          <w:lang w:eastAsia="zh-CN"/>
        </w:rPr>
        <w:t xml:space="preserve"> </w:t>
      </w:r>
      <w:r>
        <w:rPr>
          <w:rFonts w:eastAsia="楷体" w:cs="Calibri"/>
          <w:kern w:val="2"/>
          <w:sz w:val="22"/>
          <w:szCs w:val="22"/>
        </w:rPr>
        <w:t>In 202</w:t>
      </w:r>
      <w:r>
        <w:rPr>
          <w:rFonts w:hint="eastAsia" w:eastAsia="楷体" w:cs="Calibri"/>
          <w:kern w:val="2"/>
          <w:sz w:val="22"/>
          <w:szCs w:val="22"/>
          <w:lang w:eastAsia="zh-CN"/>
        </w:rPr>
        <w:t>4</w:t>
      </w:r>
      <w:r>
        <w:rPr>
          <w:rFonts w:eastAsia="楷体" w:cs="Calibri"/>
          <w:kern w:val="2"/>
          <w:sz w:val="22"/>
          <w:szCs w:val="22"/>
        </w:rPr>
        <w:t>, the top five global jet aircraft manufacturers accounted for a combined share of 86.</w:t>
      </w:r>
      <w:r>
        <w:rPr>
          <w:rFonts w:hint="eastAsia" w:eastAsia="楷体" w:cs="Calibri"/>
          <w:kern w:val="2"/>
          <w:sz w:val="22"/>
          <w:szCs w:val="22"/>
          <w:lang w:eastAsia="zh-CN"/>
        </w:rPr>
        <w:t>91</w:t>
      </w:r>
      <w:r>
        <w:rPr>
          <w:rFonts w:eastAsia="楷体" w:cs="Calibri"/>
          <w:kern w:val="2"/>
          <w:sz w:val="22"/>
          <w:szCs w:val="22"/>
        </w:rPr>
        <w:t>%, with Cirrus ranking fifth at approximately 13.2</w:t>
      </w:r>
      <w:r>
        <w:rPr>
          <w:rFonts w:hint="eastAsia" w:eastAsia="楷体" w:cs="Calibri"/>
          <w:kern w:val="2"/>
          <w:sz w:val="22"/>
          <w:szCs w:val="22"/>
          <w:lang w:eastAsia="zh-CN"/>
        </w:rPr>
        <w:t>2</w:t>
      </w:r>
      <w:r>
        <w:rPr>
          <w:rFonts w:eastAsia="楷体" w:cs="Calibri"/>
          <w:kern w:val="2"/>
          <w:sz w:val="22"/>
          <w:szCs w:val="22"/>
        </w:rPr>
        <w:t>% (up from about 10.0% in 2019).</w:t>
      </w:r>
    </w:p>
    <w:p w14:paraId="0DEEEB4E">
      <w:pPr>
        <w:rPr>
          <w:rFonts w:eastAsia="楷体" w:cs="Calibri"/>
          <w:kern w:val="2"/>
          <w:sz w:val="22"/>
          <w:szCs w:val="22"/>
          <w:lang w:eastAsia="zh-CN"/>
        </w:rPr>
      </w:pPr>
    </w:p>
    <w:p w14:paraId="3A52F388">
      <w:pPr>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EE39D3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24593F71">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 xml:space="preserve">Market Share of Global </w:t>
            </w:r>
            <w:r>
              <w:rPr>
                <w:rFonts w:hint="eastAsia" w:eastAsia="楷体_GB2312" w:cs="Calibri"/>
                <w:b/>
                <w:sz w:val="20"/>
                <w:szCs w:val="20"/>
                <w:lang w:eastAsia="zh-CN"/>
              </w:rPr>
              <w:t>Jet</w:t>
            </w:r>
            <w:r>
              <w:rPr>
                <w:rFonts w:eastAsia="楷体_GB2312" w:cs="Calibri"/>
                <w:b/>
                <w:sz w:val="20"/>
                <w:szCs w:val="20"/>
                <w:lang w:eastAsia="zh-CN"/>
              </w:rPr>
              <w:t xml:space="preserve"> Aircraft Deliveries</w:t>
            </w:r>
            <w:r>
              <w:rPr>
                <w:rFonts w:hint="eastAsia" w:eastAsia="楷体_GB2312" w:cs="Calibri"/>
                <w:b/>
                <w:sz w:val="20"/>
                <w:szCs w:val="20"/>
                <w:lang w:eastAsia="zh-CN"/>
              </w:rPr>
              <w:t xml:space="preserve"> (in units)</w:t>
            </w:r>
          </w:p>
        </w:tc>
      </w:tr>
      <w:tr w14:paraId="61B0C45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4D12B4D9">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572000" cy="2512060"/>
                  <wp:effectExtent l="0" t="0" r="0" b="2540"/>
                  <wp:docPr id="146199010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r w14:paraId="1DB77B85">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5684F4F">
            <w:pPr>
              <w:spacing w:line="240" w:lineRule="atLeast"/>
              <w:jc w:val="both"/>
              <w:textAlignment w:val="center"/>
              <w:rPr>
                <w:rFonts w:cs="Calibri"/>
                <w:sz w:val="20"/>
                <w:szCs w:val="20"/>
              </w:rPr>
            </w:pPr>
            <w:r>
              <w:rPr>
                <w:rFonts w:eastAsia="楷体_GB2312" w:cs="Calibri"/>
                <w:b/>
                <w:bCs/>
                <w:sz w:val="20"/>
                <w:szCs w:val="20"/>
              </w:rPr>
              <w:t xml:space="preserve">Source: </w:t>
            </w:r>
            <w:r>
              <w:rPr>
                <w:rFonts w:eastAsia="楷体" w:cs="Calibri"/>
                <w:kern w:val="2"/>
                <w:sz w:val="22"/>
                <w:szCs w:val="22"/>
              </w:rPr>
              <w:t>GAMA</w:t>
            </w:r>
            <w:r>
              <w:rPr>
                <w:rFonts w:hint="eastAsia" w:eastAsia="楷体_GB2312" w:cs="Calibri"/>
                <w:sz w:val="20"/>
                <w:szCs w:val="20"/>
                <w:lang w:eastAsia="zh-CN"/>
              </w:rPr>
              <w:t xml:space="preserve">, Wind, </w:t>
            </w:r>
            <w:r>
              <w:rPr>
                <w:rFonts w:hint="eastAsia" w:eastAsia="楷体_GB2312" w:cs="Calibri"/>
                <w:sz w:val="20"/>
                <w:szCs w:val="20"/>
              </w:rPr>
              <w:t>HFI</w:t>
            </w:r>
          </w:p>
        </w:tc>
      </w:tr>
    </w:tbl>
    <w:p w14:paraId="2316607B">
      <w:pPr>
        <w:rPr>
          <w:rFonts w:hint="eastAsia" w:eastAsia="楷体" w:asciiTheme="minorHAnsi" w:hAnsiTheme="minorHAnsi" w:cstheme="minorHAnsi"/>
          <w:kern w:val="2"/>
          <w:sz w:val="22"/>
          <w:szCs w:val="22"/>
          <w:lang w:eastAsia="zh-CN"/>
        </w:rPr>
      </w:pPr>
    </w:p>
    <w:p w14:paraId="6E6B1AE5">
      <w:pPr>
        <w:pStyle w:val="2"/>
        <w:spacing w:before="240" w:beforeLines="100" w:after="240" w:afterLines="100"/>
        <w:jc w:val="both"/>
        <w:rPr>
          <w:rFonts w:ascii="Calibri" w:hAnsi="Calibri" w:eastAsia="楷体_GB2312" w:cs="Calibri"/>
          <w:b/>
          <w:bCs/>
          <w:color w:val="215E99"/>
          <w:sz w:val="28"/>
          <w:szCs w:val="28"/>
        </w:rPr>
      </w:pPr>
      <w:bookmarkStart w:id="13" w:name="_Toc218942520"/>
      <w:r>
        <w:rPr>
          <w:rFonts w:ascii="Calibri" w:hAnsi="Calibri" w:eastAsia="楷体" w:cs="Calibri"/>
          <w:b/>
          <w:bCs/>
          <w:color w:val="215E99"/>
          <w:sz w:val="28"/>
          <w:szCs w:val="28"/>
          <w:lang w:eastAsia="zh-CN"/>
        </w:rPr>
        <w:t>3 High-Safety Products and Maturing Service Ecosystem Build Strong Brand Power</w:t>
      </w:r>
      <w:bookmarkEnd w:id="13"/>
    </w:p>
    <w:p w14:paraId="1DF3A8B9">
      <w:pPr>
        <w:pStyle w:val="76"/>
        <w:jc w:val="both"/>
        <w:rPr>
          <w:rFonts w:ascii="Calibri" w:hAnsi="Calibri" w:eastAsia="楷体_GB2312" w:cs="Calibri"/>
          <w:color w:val="215E99"/>
          <w:sz w:val="24"/>
        </w:rPr>
      </w:pPr>
      <w:bookmarkStart w:id="14" w:name="_Toc218942521"/>
      <w:r>
        <w:rPr>
          <w:rFonts w:ascii="Calibri" w:hAnsi="Calibri" w:eastAsia="楷体_GB2312" w:cs="Calibri"/>
          <w:color w:val="215E99"/>
          <w:sz w:val="24"/>
        </w:rPr>
        <w:t>3.1 Product Matrix Covers Full-Spectrum Needs, High Safety Addresses Industry Pain Points</w:t>
      </w:r>
      <w:bookmarkEnd w:id="14"/>
    </w:p>
    <w:p w14:paraId="0FBE3B57">
      <w:pPr>
        <w:jc w:val="both"/>
        <w:rPr>
          <w:rFonts w:eastAsia="楷体" w:cs="Calibri"/>
          <w:b/>
          <w:bCs/>
          <w:kern w:val="2"/>
          <w:sz w:val="22"/>
          <w:szCs w:val="22"/>
        </w:rPr>
      </w:pPr>
      <w:r>
        <w:rPr>
          <w:rFonts w:eastAsia="楷体" w:cs="Calibri"/>
          <w:b/>
          <w:bCs/>
          <w:kern w:val="2"/>
          <w:sz w:val="22"/>
          <w:szCs w:val="22"/>
        </w:rPr>
        <w:t>The "entry-level → advanced → flagship" product matrix covers the full spectrum of needs from novice to high-net-worth clients, enabling precise market segmentation and revenue diversification.</w:t>
      </w:r>
      <w:r>
        <w:rPr>
          <w:rFonts w:hint="eastAsia" w:eastAsia="楷体" w:cs="Calibri"/>
          <w:b/>
          <w:bCs/>
          <w:kern w:val="2"/>
          <w:sz w:val="22"/>
          <w:szCs w:val="22"/>
          <w:lang w:eastAsia="zh-CN"/>
        </w:rPr>
        <w:t xml:space="preserve"> </w:t>
      </w:r>
      <w:r>
        <w:rPr>
          <w:rFonts w:eastAsia="楷体" w:cs="Calibri"/>
          <w:kern w:val="2"/>
          <w:sz w:val="22"/>
          <w:szCs w:val="22"/>
        </w:rPr>
        <w:t xml:space="preserve">At the core of Cirrus Aircraft's product strategy is the SR2X series (SR20, SR22, and SR22T), forming a graduated lineup from entry-level to high-performance single-engine piston aircraft: the SR20 targets the basic segment, while the SR22/SR22T address </w:t>
      </w:r>
      <w:r>
        <w:rPr>
          <w:rFonts w:hint="eastAsia" w:eastAsia="楷体" w:cs="Calibri"/>
          <w:kern w:val="2"/>
          <w:sz w:val="22"/>
          <w:szCs w:val="22"/>
          <w:lang w:eastAsia="zh-CN"/>
        </w:rPr>
        <w:t xml:space="preserve">more </w:t>
      </w:r>
      <w:r>
        <w:rPr>
          <w:rFonts w:eastAsia="楷体" w:cs="Calibri"/>
          <w:kern w:val="2"/>
          <w:sz w:val="22"/>
          <w:szCs w:val="22"/>
        </w:rPr>
        <w:t>advanced demands through ongoing performance upgrades, with the entire series standardly accommodating 4 adults + 1 child.</w:t>
      </w:r>
    </w:p>
    <w:p w14:paraId="0FF72E8F">
      <w:pPr>
        <w:jc w:val="both"/>
        <w:rPr>
          <w:rFonts w:eastAsia="楷体" w:cs="Calibri"/>
          <w:kern w:val="2"/>
          <w:sz w:val="22"/>
          <w:szCs w:val="22"/>
        </w:rPr>
      </w:pPr>
      <w:r>
        <w:rPr>
          <w:rFonts w:eastAsia="楷体" w:cs="Calibri"/>
          <w:kern w:val="2"/>
          <w:sz w:val="22"/>
          <w:szCs w:val="22"/>
        </w:rPr>
        <w:t>Complementing this is the premium-positioned Vision Jet, offering superior flight performance, advanced technology, and a larger cabin (5 adults + 2 children) at a higher price point.</w:t>
      </w:r>
    </w:p>
    <w:p w14:paraId="659E4922">
      <w:pPr>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51B4B44">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D760E9B">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Main Products</w:t>
            </w:r>
          </w:p>
        </w:tc>
      </w:tr>
      <w:tr w14:paraId="2C36664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3234C63">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359275" cy="2368550"/>
                  <wp:effectExtent l="0" t="0" r="3175"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6"/>
                          <a:stretch>
                            <a:fillRect/>
                          </a:stretch>
                        </pic:blipFill>
                        <pic:spPr>
                          <a:xfrm>
                            <a:off x="0" y="0"/>
                            <a:ext cx="4368424" cy="2373411"/>
                          </a:xfrm>
                          <a:prstGeom prst="rect">
                            <a:avLst/>
                          </a:prstGeom>
                        </pic:spPr>
                      </pic:pic>
                    </a:graphicData>
                  </a:graphic>
                </wp:inline>
              </w:drawing>
            </w:r>
          </w:p>
        </w:tc>
      </w:tr>
      <w:tr w14:paraId="46372B05">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DFDA1DB">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hint="eastAsia" w:eastAsia="楷体_GB2312" w:cs="Calibri"/>
                <w:sz w:val="20"/>
                <w:szCs w:val="20"/>
              </w:rPr>
              <w:t>HFI</w:t>
            </w:r>
          </w:p>
        </w:tc>
      </w:tr>
    </w:tbl>
    <w:p w14:paraId="36C9D928">
      <w:pPr>
        <w:jc w:val="both"/>
        <w:rPr>
          <w:rFonts w:eastAsia="楷体" w:cs="Calibri"/>
          <w:kern w:val="2"/>
          <w:sz w:val="22"/>
          <w:szCs w:val="22"/>
          <w:lang w:eastAsia="zh-CN"/>
        </w:rPr>
      </w:pPr>
    </w:p>
    <w:p w14:paraId="4AA0115C">
      <w:pPr>
        <w:jc w:val="both"/>
        <w:rPr>
          <w:rFonts w:eastAsia="楷体" w:cs="Calibri"/>
          <w:b/>
          <w:bCs/>
          <w:kern w:val="2"/>
          <w:sz w:val="22"/>
          <w:szCs w:val="22"/>
        </w:rPr>
      </w:pPr>
      <w:r>
        <w:rPr>
          <w:rFonts w:eastAsia="楷体" w:cs="Calibri"/>
          <w:b/>
          <w:bCs/>
          <w:kern w:val="2"/>
          <w:sz w:val="22"/>
          <w:szCs w:val="22"/>
        </w:rPr>
        <w:t xml:space="preserve">Compared to industry peers, Cirrus's two main product lines have distinct strategic positioning: the SR series targets the premium piston-engine segment, while the Vision Jet serves as a cost-effective option in the </w:t>
      </w:r>
      <w:r>
        <w:rPr>
          <w:rFonts w:hint="eastAsia" w:eastAsia="楷体" w:cs="Calibri"/>
          <w:b/>
          <w:bCs/>
          <w:kern w:val="2"/>
          <w:sz w:val="22"/>
          <w:szCs w:val="22"/>
          <w:lang w:eastAsia="zh-CN"/>
        </w:rPr>
        <w:t>t</w:t>
      </w:r>
      <w:r>
        <w:rPr>
          <w:rFonts w:eastAsia="楷体" w:cs="Calibri"/>
          <w:b/>
          <w:bCs/>
          <w:kern w:val="2"/>
          <w:sz w:val="22"/>
          <w:szCs w:val="22"/>
        </w:rPr>
        <w:t>urbine-engined category.</w:t>
      </w:r>
    </w:p>
    <w:p w14:paraId="31FCD808">
      <w:pPr>
        <w:jc w:val="both"/>
        <w:rPr>
          <w:rFonts w:eastAsia="楷体" w:cs="Calibri"/>
          <w:kern w:val="2"/>
          <w:sz w:val="22"/>
          <w:szCs w:val="22"/>
        </w:rPr>
      </w:pPr>
      <w:r>
        <w:rPr>
          <w:rFonts w:hint="eastAsia" w:eastAsia="楷体" w:cs="Calibri"/>
          <w:b/>
          <w:bCs/>
          <w:kern w:val="2"/>
          <w:sz w:val="22"/>
          <w:szCs w:val="22"/>
          <w:lang w:eastAsia="zh-CN"/>
        </w:rPr>
        <w:t>1）</w:t>
      </w:r>
      <w:r>
        <w:rPr>
          <w:rFonts w:eastAsia="楷体" w:cs="Calibri"/>
          <w:b/>
          <w:bCs/>
          <w:kern w:val="2"/>
          <w:sz w:val="22"/>
          <w:szCs w:val="22"/>
        </w:rPr>
        <w:t xml:space="preserve">Piston-engine </w:t>
      </w:r>
      <w:r>
        <w:rPr>
          <w:rFonts w:hint="eastAsia" w:eastAsia="楷体" w:cs="Calibri"/>
          <w:b/>
          <w:bCs/>
          <w:kern w:val="2"/>
          <w:sz w:val="22"/>
          <w:szCs w:val="22"/>
          <w:lang w:eastAsia="zh-CN"/>
        </w:rPr>
        <w:t>A</w:t>
      </w:r>
      <w:r>
        <w:rPr>
          <w:rFonts w:eastAsia="楷体" w:cs="Calibri"/>
          <w:b/>
          <w:bCs/>
          <w:kern w:val="2"/>
          <w:sz w:val="22"/>
          <w:szCs w:val="22"/>
        </w:rPr>
        <w:t>ircraft</w:t>
      </w:r>
      <w:r>
        <w:rPr>
          <w:rFonts w:hint="eastAsia" w:eastAsia="楷体" w:cs="Calibri"/>
          <w:kern w:val="2"/>
          <w:sz w:val="22"/>
          <w:szCs w:val="22"/>
          <w:lang w:eastAsia="zh-CN"/>
        </w:rPr>
        <w:t xml:space="preserve">: </w:t>
      </w:r>
      <w:r>
        <w:rPr>
          <w:rFonts w:eastAsia="楷体" w:cs="Calibri"/>
          <w:kern w:val="2"/>
          <w:sz w:val="22"/>
          <w:szCs w:val="22"/>
        </w:rPr>
        <w:t>In terms of average price</w:t>
      </w:r>
      <w:r>
        <w:rPr>
          <w:rFonts w:hint="eastAsia" w:eastAsia="楷体" w:cs="Calibri"/>
          <w:kern w:val="2"/>
          <w:sz w:val="22"/>
          <w:szCs w:val="22"/>
          <w:lang w:eastAsia="zh-CN"/>
        </w:rPr>
        <w:t xml:space="preserve"> </w:t>
      </w:r>
      <w:r>
        <w:rPr>
          <w:rFonts w:eastAsia="楷体" w:cs="Calibri"/>
          <w:kern w:val="2"/>
          <w:sz w:val="22"/>
          <w:szCs w:val="22"/>
        </w:rPr>
        <w:t>comparison, Cirrus's three main models—SR20, SR22, and SR22T—have base prices of $630,000, $840,000, and $960,000 respectively, higher than the industry average delivery price of $760,000 for piston-engine aircraft.</w:t>
      </w:r>
    </w:p>
    <w:p w14:paraId="077A8A1D">
      <w:pPr>
        <w:rPr>
          <w:rFonts w:eastAsia="楷体" w:cs="Calibri"/>
          <w:kern w:val="2"/>
          <w:sz w:val="22"/>
          <w:szCs w:val="22"/>
        </w:rPr>
      </w:pPr>
      <w:r>
        <w:rPr>
          <w:rFonts w:hint="eastAsia" w:eastAsia="楷体" w:cs="Calibri"/>
          <w:b/>
          <w:bCs/>
          <w:kern w:val="2"/>
          <w:sz w:val="22"/>
          <w:szCs w:val="22"/>
          <w:lang w:eastAsia="zh-CN"/>
        </w:rPr>
        <w:t>2）</w:t>
      </w:r>
      <w:r>
        <w:rPr>
          <w:rFonts w:eastAsia="楷体" w:cs="Calibri"/>
          <w:b/>
          <w:bCs/>
          <w:kern w:val="2"/>
          <w:sz w:val="22"/>
          <w:szCs w:val="22"/>
        </w:rPr>
        <w:t xml:space="preserve">Turbine-engined </w:t>
      </w:r>
      <w:r>
        <w:rPr>
          <w:rFonts w:hint="eastAsia" w:eastAsia="楷体" w:cs="Calibri"/>
          <w:b/>
          <w:bCs/>
          <w:kern w:val="2"/>
          <w:sz w:val="22"/>
          <w:szCs w:val="22"/>
          <w:lang w:eastAsia="zh-CN"/>
        </w:rPr>
        <w:t>A</w:t>
      </w:r>
      <w:r>
        <w:rPr>
          <w:rFonts w:eastAsia="楷体" w:cs="Calibri"/>
          <w:b/>
          <w:bCs/>
          <w:kern w:val="2"/>
          <w:sz w:val="22"/>
          <w:szCs w:val="22"/>
        </w:rPr>
        <w:t>ircraft:</w:t>
      </w:r>
      <w:r>
        <w:rPr>
          <w:rFonts w:eastAsia="楷体" w:cs="Calibri"/>
          <w:kern w:val="2"/>
          <w:sz w:val="22"/>
          <w:szCs w:val="22"/>
        </w:rPr>
        <w:t xml:space="preserve"> Cirrus is positioned for high cost-performance, with its single Vision Jet model (7-seater) having a base price of $3.24 million. For comparison: Piper M600 (6-seater) at $3.52 million, Epic E1000 (6-seater) at $4.19 million, Daher TBM960 (6-seater) at $4.78 million, Pilatus PC-12 NGX (11-seater) at $5.72 million, and Textron Citation M2 (7-seater) at $5.86 million.</w:t>
      </w:r>
    </w:p>
    <w:p w14:paraId="255E56CA">
      <w:pPr>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56EA47F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DD531F4">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bCs/>
                <w:sz w:val="20"/>
                <w:szCs w:val="20"/>
                <w:lang w:eastAsia="zh-CN"/>
              </w:rPr>
              <w:t>Comparison of Cirrus Products with Competitors in Terms of Price, Performance, and Specifications</w:t>
            </w:r>
          </w:p>
        </w:tc>
      </w:tr>
      <w:tr w14:paraId="0EF7EB6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4D79EE7">
            <w:pPr>
              <w:spacing w:before="48" w:beforeLines="20" w:after="48" w:afterLines="20"/>
              <w:jc w:val="center"/>
              <w:textAlignment w:val="center"/>
              <w:rPr>
                <w:rFonts w:eastAsia="宋体" w:cs="Calibri"/>
                <w:b/>
                <w:bCs/>
                <w:sz w:val="20"/>
                <w:szCs w:val="20"/>
                <w:lang w:eastAsia="zh-CN"/>
              </w:rPr>
            </w:pPr>
            <w:r>
              <w:rPr>
                <w:rFonts w:eastAsia="宋体" w:cs="Calibri"/>
                <w:b/>
                <w:bCs/>
                <w:sz w:val="20"/>
                <w:szCs w:val="20"/>
                <w:lang w:eastAsia="zh-CN"/>
              </w:rPr>
              <w:drawing>
                <wp:inline distT="0" distB="0" distL="0" distR="0">
                  <wp:extent cx="4599305" cy="1960245"/>
                  <wp:effectExtent l="0" t="0" r="0" b="1905"/>
                  <wp:docPr id="18951348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34874" name="图片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599305" cy="1960245"/>
                          </a:xfrm>
                          <a:prstGeom prst="rect">
                            <a:avLst/>
                          </a:prstGeom>
                          <a:noFill/>
                          <a:ln>
                            <a:noFill/>
                          </a:ln>
                        </pic:spPr>
                      </pic:pic>
                    </a:graphicData>
                  </a:graphic>
                </wp:inline>
              </w:drawing>
            </w:r>
          </w:p>
        </w:tc>
      </w:tr>
      <w:tr w14:paraId="38FA0C2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80E55AF">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hint="eastAsia" w:eastAsia="楷体_GB2312" w:cs="Calibri"/>
                <w:sz w:val="20"/>
                <w:szCs w:val="20"/>
              </w:rPr>
              <w:t>HFI</w:t>
            </w:r>
          </w:p>
        </w:tc>
      </w:tr>
    </w:tbl>
    <w:p w14:paraId="0B5F3BAF">
      <w:pPr>
        <w:jc w:val="both"/>
        <w:rPr>
          <w:rFonts w:eastAsia="楷体" w:cs="Calibri"/>
          <w:b/>
          <w:bCs/>
          <w:kern w:val="2"/>
          <w:sz w:val="22"/>
          <w:szCs w:val="22"/>
        </w:rPr>
      </w:pPr>
    </w:p>
    <w:p w14:paraId="69BD8D09">
      <w:pPr>
        <w:jc w:val="both"/>
        <w:rPr>
          <w:rFonts w:eastAsia="楷体" w:cs="Calibri"/>
          <w:kern w:val="2"/>
          <w:sz w:val="22"/>
          <w:szCs w:val="22"/>
          <w:lang w:eastAsia="zh-CN"/>
        </w:rPr>
      </w:pPr>
      <w:r>
        <w:rPr>
          <w:rFonts w:eastAsia="楷体" w:cs="Calibri"/>
          <w:b/>
          <w:bCs/>
          <w:kern w:val="2"/>
          <w:sz w:val="22"/>
          <w:szCs w:val="22"/>
        </w:rPr>
        <w:t xml:space="preserve">Leading </w:t>
      </w:r>
      <w:r>
        <w:rPr>
          <w:rFonts w:hint="eastAsia" w:eastAsia="楷体" w:cs="Calibri"/>
          <w:b/>
          <w:bCs/>
          <w:kern w:val="2"/>
          <w:sz w:val="22"/>
          <w:szCs w:val="22"/>
          <w:lang w:eastAsia="zh-CN"/>
        </w:rPr>
        <w:t>p</w:t>
      </w:r>
      <w:r>
        <w:rPr>
          <w:rFonts w:eastAsia="楷体" w:cs="Calibri"/>
          <w:b/>
          <w:bCs/>
          <w:kern w:val="2"/>
          <w:sz w:val="22"/>
          <w:szCs w:val="22"/>
        </w:rPr>
        <w:t xml:space="preserve">roduct </w:t>
      </w:r>
      <w:r>
        <w:rPr>
          <w:rFonts w:hint="eastAsia" w:eastAsia="楷体" w:cs="Calibri"/>
          <w:b/>
          <w:bCs/>
          <w:kern w:val="2"/>
          <w:sz w:val="22"/>
          <w:szCs w:val="22"/>
          <w:lang w:eastAsia="zh-CN"/>
        </w:rPr>
        <w:t>s</w:t>
      </w:r>
      <w:r>
        <w:rPr>
          <w:rFonts w:eastAsia="楷体" w:cs="Calibri"/>
          <w:b/>
          <w:bCs/>
          <w:kern w:val="2"/>
          <w:sz w:val="22"/>
          <w:szCs w:val="22"/>
        </w:rPr>
        <w:t xml:space="preserve">afety </w:t>
      </w:r>
      <w:r>
        <w:rPr>
          <w:rFonts w:hint="eastAsia" w:eastAsia="楷体" w:cs="Calibri"/>
          <w:b/>
          <w:bCs/>
          <w:kern w:val="2"/>
          <w:sz w:val="22"/>
          <w:szCs w:val="22"/>
          <w:lang w:eastAsia="zh-CN"/>
        </w:rPr>
        <w:t>a</w:t>
      </w:r>
      <w:r>
        <w:rPr>
          <w:rFonts w:eastAsia="楷体" w:cs="Calibri"/>
          <w:b/>
          <w:bCs/>
          <w:kern w:val="2"/>
          <w:sz w:val="22"/>
          <w:szCs w:val="22"/>
        </w:rPr>
        <w:t xml:space="preserve">ddresses the </w:t>
      </w:r>
      <w:r>
        <w:rPr>
          <w:rFonts w:hint="eastAsia" w:eastAsia="楷体" w:cs="Calibri"/>
          <w:b/>
          <w:bCs/>
          <w:kern w:val="2"/>
          <w:sz w:val="22"/>
          <w:szCs w:val="22"/>
          <w:lang w:eastAsia="zh-CN"/>
        </w:rPr>
        <w:t>i</w:t>
      </w:r>
      <w:r>
        <w:rPr>
          <w:rFonts w:eastAsia="楷体" w:cs="Calibri"/>
          <w:b/>
          <w:bCs/>
          <w:kern w:val="2"/>
          <w:sz w:val="22"/>
          <w:szCs w:val="22"/>
        </w:rPr>
        <w:t xml:space="preserve">ndustry's </w:t>
      </w:r>
      <w:r>
        <w:rPr>
          <w:rFonts w:hint="eastAsia" w:eastAsia="楷体" w:cs="Calibri"/>
          <w:b/>
          <w:bCs/>
          <w:kern w:val="2"/>
          <w:sz w:val="22"/>
          <w:szCs w:val="22"/>
          <w:lang w:eastAsia="zh-CN"/>
        </w:rPr>
        <w:t>b</w:t>
      </w:r>
      <w:r>
        <w:rPr>
          <w:rFonts w:eastAsia="楷体" w:cs="Calibri"/>
          <w:b/>
          <w:bCs/>
          <w:kern w:val="2"/>
          <w:sz w:val="22"/>
          <w:szCs w:val="22"/>
        </w:rPr>
        <w:t xml:space="preserve">iggest </w:t>
      </w:r>
      <w:r>
        <w:rPr>
          <w:rFonts w:hint="eastAsia" w:eastAsia="楷体" w:cs="Calibri"/>
          <w:b/>
          <w:bCs/>
          <w:kern w:val="2"/>
          <w:sz w:val="22"/>
          <w:szCs w:val="22"/>
          <w:lang w:eastAsia="zh-CN"/>
        </w:rPr>
        <w:t>p</w:t>
      </w:r>
      <w:r>
        <w:rPr>
          <w:rFonts w:eastAsia="楷体" w:cs="Calibri"/>
          <w:b/>
          <w:bCs/>
          <w:kern w:val="2"/>
          <w:sz w:val="22"/>
          <w:szCs w:val="22"/>
        </w:rPr>
        <w:t xml:space="preserve">ain </w:t>
      </w:r>
      <w:r>
        <w:rPr>
          <w:rFonts w:hint="eastAsia" w:eastAsia="楷体" w:cs="Calibri"/>
          <w:b/>
          <w:bCs/>
          <w:kern w:val="2"/>
          <w:sz w:val="22"/>
          <w:szCs w:val="22"/>
          <w:lang w:eastAsia="zh-CN"/>
        </w:rPr>
        <w:t>p</w:t>
      </w:r>
      <w:r>
        <w:rPr>
          <w:rFonts w:eastAsia="楷体" w:cs="Calibri"/>
          <w:b/>
          <w:bCs/>
          <w:kern w:val="2"/>
          <w:sz w:val="22"/>
          <w:szCs w:val="22"/>
        </w:rPr>
        <w:t>oint</w:t>
      </w:r>
      <w:r>
        <w:rPr>
          <w:rFonts w:hint="eastAsia" w:eastAsia="楷体" w:cs="Calibri"/>
          <w:b/>
          <w:bCs/>
          <w:kern w:val="2"/>
          <w:sz w:val="22"/>
          <w:szCs w:val="22"/>
          <w:lang w:eastAsia="zh-CN"/>
        </w:rPr>
        <w:t xml:space="preserve">. </w:t>
      </w:r>
      <w:r>
        <w:rPr>
          <w:rFonts w:eastAsia="楷体" w:cs="Calibri"/>
          <w:kern w:val="2"/>
          <w:sz w:val="22"/>
          <w:szCs w:val="22"/>
        </w:rPr>
        <w:t>According to Frost &amp; Sullivan, Cirrus achieves a total accident rate three times lower than the general</w:t>
      </w:r>
      <w:r>
        <w:rPr>
          <w:rFonts w:hint="eastAsia" w:eastAsia="楷体" w:cs="Calibri"/>
          <w:kern w:val="2"/>
          <w:sz w:val="22"/>
          <w:szCs w:val="22"/>
          <w:lang w:eastAsia="zh-CN"/>
        </w:rPr>
        <w:t xml:space="preserve"> </w:t>
      </w:r>
      <w:r>
        <w:rPr>
          <w:rFonts w:eastAsia="楷体" w:cs="Calibri"/>
          <w:kern w:val="2"/>
          <w:sz w:val="22"/>
          <w:szCs w:val="22"/>
        </w:rPr>
        <w:t>aviation industry average per 100,000 flight hours.</w:t>
      </w:r>
      <w:r>
        <w:rPr>
          <w:rFonts w:hint="eastAsia" w:eastAsia="楷体" w:cs="Calibri"/>
          <w:kern w:val="2"/>
          <w:sz w:val="22"/>
          <w:szCs w:val="22"/>
          <w:lang w:eastAsia="zh-CN"/>
        </w:rPr>
        <w:t xml:space="preserve"> </w:t>
      </w:r>
      <w:r>
        <w:rPr>
          <w:rFonts w:eastAsia="楷体" w:cs="Calibri"/>
          <w:kern w:val="2"/>
          <w:sz w:val="22"/>
          <w:szCs w:val="22"/>
        </w:rPr>
        <w:t>Cirrus resolves consumer safety concerns through two key differentiating features.</w:t>
      </w:r>
    </w:p>
    <w:p w14:paraId="27D87135">
      <w:pPr>
        <w:pStyle w:val="36"/>
        <w:numPr>
          <w:ilvl w:val="0"/>
          <w:numId w:val="6"/>
        </w:numPr>
        <w:jc w:val="both"/>
        <w:rPr>
          <w:rFonts w:eastAsia="楷体" w:cs="Calibri"/>
          <w:kern w:val="2"/>
          <w:sz w:val="22"/>
          <w:szCs w:val="22"/>
        </w:rPr>
      </w:pPr>
      <w:r>
        <w:rPr>
          <w:rFonts w:eastAsia="楷体" w:cs="Calibri"/>
          <w:b/>
          <w:bCs/>
          <w:kern w:val="2"/>
          <w:sz w:val="22"/>
          <w:szCs w:val="22"/>
        </w:rPr>
        <w:t>Whole-Airframe Parachute System</w:t>
      </w:r>
      <w:r>
        <w:rPr>
          <w:rFonts w:eastAsia="楷体" w:cs="Calibri"/>
          <w:kern w:val="2"/>
          <w:sz w:val="22"/>
          <w:szCs w:val="22"/>
        </w:rPr>
        <w:t>: Patented and standard on every Cirrus aircraft, it has saved over 250 lives since its introduction in 1999.</w:t>
      </w:r>
    </w:p>
    <w:p w14:paraId="7DB23CDF">
      <w:pPr>
        <w:numPr>
          <w:ilvl w:val="0"/>
          <w:numId w:val="6"/>
        </w:numPr>
        <w:jc w:val="both"/>
        <w:rPr>
          <w:rFonts w:eastAsia="楷体" w:cs="Calibri"/>
          <w:kern w:val="2"/>
          <w:sz w:val="22"/>
          <w:szCs w:val="22"/>
        </w:rPr>
      </w:pPr>
      <w:r>
        <w:rPr>
          <w:rFonts w:eastAsia="楷体" w:cs="Calibri"/>
          <w:b/>
          <w:bCs/>
          <w:kern w:val="2"/>
          <w:sz w:val="22"/>
          <w:szCs w:val="22"/>
        </w:rPr>
        <w:t>Safe Return Emergency Autoland</w:t>
      </w:r>
      <w:r>
        <w:rPr>
          <w:rFonts w:eastAsia="楷体" w:cs="Calibri"/>
          <w:kern w:val="2"/>
          <w:sz w:val="22"/>
          <w:szCs w:val="22"/>
        </w:rPr>
        <w:t>: First introduced on the Vision Jet in late 2019 and on the SR Series G7+ in May 2025, this system enables passengers to safely land the aircraft with a single button press if the pilot becomes incapacitated.</w:t>
      </w:r>
    </w:p>
    <w:p w14:paraId="42052574">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3116FE0C">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179C4B1">
            <w:pPr>
              <w:spacing w:before="48" w:beforeLines="20" w:after="48" w:afterLines="20"/>
              <w:jc w:val="both"/>
              <w:textAlignment w:val="center"/>
              <w:rPr>
                <w:rFonts w:eastAsia="楷体_GB2312" w:cs="Calibri"/>
                <w:b/>
                <w:sz w:val="20"/>
                <w:szCs w:val="20"/>
                <w:highlight w:val="yellow"/>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Whole-Airframe Parachute System</w:t>
            </w:r>
          </w:p>
        </w:tc>
        <w:tc>
          <w:tcPr>
            <w:tcW w:w="241" w:type="dxa"/>
            <w:tcMar>
              <w:left w:w="0" w:type="dxa"/>
              <w:right w:w="28" w:type="dxa"/>
            </w:tcMar>
          </w:tcPr>
          <w:p w14:paraId="577B73FF">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361DD23B">
            <w:pPr>
              <w:spacing w:before="48" w:beforeLines="20" w:after="48" w:afterLines="20"/>
              <w:jc w:val="both"/>
              <w:rPr>
                <w:rFonts w:eastAsia="楷体_GB2312" w:cs="Calibri"/>
                <w:b/>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Safe Return Emergency Autoland</w:t>
            </w:r>
          </w:p>
        </w:tc>
      </w:tr>
      <w:tr w14:paraId="042FBD81">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5A1CD951">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8"/>
                          <a:stretch>
                            <a:fillRect/>
                          </a:stretch>
                        </pic:blipFill>
                        <pic:spPr>
                          <a:xfrm>
                            <a:off x="0" y="0"/>
                            <a:ext cx="3112054" cy="2499208"/>
                          </a:xfrm>
                          <a:prstGeom prst="rect">
                            <a:avLst/>
                          </a:prstGeom>
                        </pic:spPr>
                      </pic:pic>
                    </a:graphicData>
                  </a:graphic>
                </wp:inline>
              </w:drawing>
            </w:r>
          </w:p>
        </w:tc>
        <w:tc>
          <w:tcPr>
            <w:tcW w:w="241" w:type="dxa"/>
          </w:tcPr>
          <w:p w14:paraId="1FC9D2CB">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1CA86B79">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9"/>
                          <a:stretch>
                            <a:fillRect/>
                          </a:stretch>
                        </pic:blipFill>
                        <pic:spPr>
                          <a:xfrm>
                            <a:off x="0" y="0"/>
                            <a:ext cx="2985293" cy="2441283"/>
                          </a:xfrm>
                          <a:prstGeom prst="rect">
                            <a:avLst/>
                          </a:prstGeom>
                        </pic:spPr>
                      </pic:pic>
                    </a:graphicData>
                  </a:graphic>
                </wp:inline>
              </w:drawing>
            </w:r>
          </w:p>
        </w:tc>
      </w:tr>
      <w:tr w14:paraId="0C4511F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685A859">
            <w:pPr>
              <w:spacing w:before="48" w:beforeLines="20" w:after="48" w:afterLines="20"/>
              <w:jc w:val="both"/>
              <w:textAlignment w:val="center"/>
              <w:rPr>
                <w:rFonts w:eastAsia="楷体_GB2312" w:cs="Calibri"/>
                <w:sz w:val="20"/>
                <w:szCs w:val="20"/>
              </w:rPr>
            </w:pPr>
            <w:r>
              <w:rPr>
                <w:rFonts w:eastAsia="楷体_GB2312" w:cs="Calibri"/>
                <w:b/>
                <w:bCs/>
                <w:sz w:val="20"/>
                <w:szCs w:val="20"/>
              </w:rPr>
              <w:t>Source:</w:t>
            </w:r>
            <w:r>
              <w:rPr>
                <w:rFonts w:eastAsia="楷体_GB2312" w:cs="Calibri"/>
                <w:sz w:val="20"/>
                <w:szCs w:val="20"/>
                <w:lang w:eastAsia="zh-CN"/>
              </w:rPr>
              <w:t xml:space="preserve"> Company Official Website</w:t>
            </w:r>
            <w:r>
              <w:rPr>
                <w:rFonts w:hint="eastAsia" w:eastAsia="楷体_GB2312" w:cs="Calibri"/>
                <w:sz w:val="20"/>
                <w:szCs w:val="20"/>
                <w:lang w:eastAsia="zh-CN"/>
              </w:rPr>
              <w:t xml:space="preserve">, </w:t>
            </w:r>
            <w:r>
              <w:rPr>
                <w:rFonts w:eastAsia="楷体_GB2312" w:cs="Calibri"/>
                <w:sz w:val="20"/>
                <w:szCs w:val="20"/>
                <w:lang w:eastAsia="zh-CN"/>
              </w:rPr>
              <w:t>H</w:t>
            </w:r>
            <w:r>
              <w:rPr>
                <w:rFonts w:hint="eastAsia" w:eastAsia="楷体_GB2312" w:cs="Calibri"/>
                <w:sz w:val="20"/>
                <w:szCs w:val="20"/>
                <w:lang w:eastAsia="zh-CN"/>
              </w:rPr>
              <w:t>F</w:t>
            </w:r>
            <w:r>
              <w:rPr>
                <w:rFonts w:eastAsia="楷体_GB2312" w:cs="Calibri"/>
                <w:sz w:val="20"/>
                <w:szCs w:val="20"/>
                <w:lang w:eastAsia="zh-CN"/>
              </w:rPr>
              <w:t>I</w:t>
            </w:r>
          </w:p>
        </w:tc>
        <w:tc>
          <w:tcPr>
            <w:tcW w:w="241" w:type="dxa"/>
            <w:tcMar>
              <w:left w:w="0" w:type="dxa"/>
              <w:right w:w="28" w:type="dxa"/>
            </w:tcMar>
          </w:tcPr>
          <w:p w14:paraId="409837CC">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2AA1624E">
            <w:pPr>
              <w:spacing w:before="48" w:beforeLines="20" w:after="48" w:afterLines="20"/>
              <w:jc w:val="both"/>
              <w:rPr>
                <w:rFonts w:eastAsia="楷体_GB2312" w:cs="Calibri"/>
                <w:sz w:val="20"/>
                <w:szCs w:val="20"/>
              </w:rPr>
            </w:pPr>
            <w:r>
              <w:rPr>
                <w:rFonts w:eastAsia="楷体_GB2312" w:cs="Calibri"/>
                <w:b/>
                <w:bCs/>
                <w:sz w:val="20"/>
                <w:szCs w:val="20"/>
              </w:rPr>
              <w:t xml:space="preserve">Source: </w:t>
            </w:r>
            <w:r>
              <w:rPr>
                <w:rFonts w:eastAsia="楷体_GB2312" w:cs="Calibri"/>
                <w:sz w:val="20"/>
                <w:szCs w:val="20"/>
                <w:lang w:eastAsia="zh-CN"/>
              </w:rPr>
              <w:t>Company Official Website</w:t>
            </w:r>
            <w:r>
              <w:rPr>
                <w:rFonts w:hint="eastAsia" w:eastAsia="楷体_GB2312" w:cs="Calibri"/>
                <w:sz w:val="20"/>
                <w:szCs w:val="20"/>
                <w:lang w:eastAsia="zh-CN"/>
              </w:rPr>
              <w:t xml:space="preserve">, </w:t>
            </w:r>
            <w:r>
              <w:rPr>
                <w:rFonts w:eastAsia="楷体_GB2312" w:cs="Calibri"/>
                <w:sz w:val="20"/>
                <w:szCs w:val="20"/>
              </w:rPr>
              <w:t>H</w:t>
            </w:r>
            <w:r>
              <w:rPr>
                <w:rFonts w:hint="eastAsia" w:eastAsia="楷体_GB2312" w:cs="Calibri"/>
                <w:sz w:val="20"/>
                <w:szCs w:val="20"/>
                <w:lang w:eastAsia="zh-CN"/>
              </w:rPr>
              <w:t>F</w:t>
            </w:r>
            <w:r>
              <w:rPr>
                <w:rFonts w:eastAsia="楷体_GB2312" w:cs="Calibri"/>
                <w:sz w:val="20"/>
                <w:szCs w:val="20"/>
              </w:rPr>
              <w:t>I</w:t>
            </w:r>
          </w:p>
        </w:tc>
      </w:tr>
    </w:tbl>
    <w:p w14:paraId="39BC616D">
      <w:pPr>
        <w:rPr>
          <w:rFonts w:hint="eastAsia" w:eastAsia="楷体" w:asciiTheme="minorHAnsi" w:hAnsiTheme="minorHAnsi" w:cstheme="minorHAnsi"/>
          <w:kern w:val="2"/>
          <w:sz w:val="22"/>
          <w:szCs w:val="22"/>
          <w:lang w:eastAsia="zh-CN"/>
        </w:rPr>
      </w:pPr>
    </w:p>
    <w:p w14:paraId="56DACF16">
      <w:pPr>
        <w:rPr>
          <w:rFonts w:hint="eastAsia" w:eastAsia="楷体" w:asciiTheme="minorHAnsi" w:hAnsiTheme="minorHAnsi" w:cstheme="minorHAns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DB5DB7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AB7F16D">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hint="eastAsia" w:eastAsia="楷体_GB2312" w:cs="Calibri"/>
                <w:b/>
                <w:bCs/>
                <w:sz w:val="20"/>
                <w:szCs w:val="20"/>
                <w:lang w:eastAsia="zh-CN"/>
              </w:rPr>
              <w:t>Mitigation Measures Under Different Situations</w:t>
            </w:r>
          </w:p>
        </w:tc>
      </w:tr>
      <w:tr w14:paraId="03136F8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4B0F0D2">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949575"/>
                  <wp:effectExtent l="0" t="0" r="6350" b="3175"/>
                  <wp:docPr id="3697351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5138" name="图片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603750" cy="2949575"/>
                          </a:xfrm>
                          <a:prstGeom prst="rect">
                            <a:avLst/>
                          </a:prstGeom>
                          <a:noFill/>
                        </pic:spPr>
                      </pic:pic>
                    </a:graphicData>
                  </a:graphic>
                </wp:inline>
              </w:drawing>
            </w:r>
          </w:p>
        </w:tc>
      </w:tr>
      <w:tr w14:paraId="0EA080E8">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BAB1DBC">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Wind, </w:t>
            </w:r>
            <w:r>
              <w:rPr>
                <w:rFonts w:hint="eastAsia" w:eastAsia="楷体_GB2312" w:cs="Calibri"/>
                <w:sz w:val="20"/>
                <w:szCs w:val="20"/>
              </w:rPr>
              <w:t>HFI</w:t>
            </w:r>
          </w:p>
        </w:tc>
      </w:tr>
    </w:tbl>
    <w:p w14:paraId="024BBA89">
      <w:pPr>
        <w:rPr>
          <w:rFonts w:hint="eastAsia" w:eastAsia="楷体" w:asciiTheme="minorHAnsi" w:hAnsiTheme="minorHAnsi" w:cstheme="minorHAnsi"/>
          <w:kern w:val="2"/>
          <w:sz w:val="22"/>
          <w:szCs w:val="22"/>
          <w:lang w:eastAsia="zh-CN"/>
        </w:rPr>
      </w:pPr>
    </w:p>
    <w:p w14:paraId="3A6FD0A0">
      <w:pPr>
        <w:pStyle w:val="76"/>
        <w:jc w:val="both"/>
        <w:rPr>
          <w:rFonts w:ascii="Calibri" w:hAnsi="Calibri" w:eastAsia="楷体" w:cs="Calibri"/>
          <w:b w:val="0"/>
          <w:bCs w:val="0"/>
          <w:color w:val="215E99"/>
          <w:kern w:val="2"/>
          <w:sz w:val="22"/>
          <w:szCs w:val="22"/>
        </w:rPr>
      </w:pPr>
      <w:bookmarkStart w:id="15" w:name="_Toc218942522"/>
      <w:r>
        <w:rPr>
          <w:rFonts w:ascii="Calibri" w:hAnsi="Calibri" w:eastAsia="楷体_GB2312" w:cs="Calibri"/>
          <w:color w:val="215E99"/>
          <w:sz w:val="24"/>
        </w:rPr>
        <w:t xml:space="preserve">3.2 </w:t>
      </w:r>
      <w:r>
        <w:rPr>
          <w:rFonts w:ascii="Calibri" w:hAnsi="Calibri" w:eastAsia="楷体" w:cs="Calibri"/>
          <w:color w:val="215E99"/>
          <w:sz w:val="24"/>
        </w:rPr>
        <w:t>Comprehensive Manufacturing and Service Ecosystem Builds Irreplicable Competitive Strength</w:t>
      </w:r>
      <w:bookmarkEnd w:id="15"/>
    </w:p>
    <w:p w14:paraId="3E115028">
      <w:pPr>
        <w:jc w:val="both"/>
        <w:rPr>
          <w:rFonts w:eastAsia="楷体" w:cs="Calibri"/>
          <w:b/>
          <w:bCs/>
          <w:kern w:val="2"/>
          <w:sz w:val="22"/>
          <w:szCs w:val="22"/>
        </w:rPr>
      </w:pPr>
      <w:r>
        <w:rPr>
          <w:rFonts w:eastAsia="楷体" w:cs="Calibri"/>
          <w:b/>
          <w:bCs/>
          <w:kern w:val="2"/>
          <w:sz w:val="22"/>
          <w:szCs w:val="22"/>
        </w:rPr>
        <w:t>Cirrus Aircraft ensures efficient production synergy and supply chain stability through its two core manufacturing bases and long-term partnerships with leading global suppliers.</w:t>
      </w:r>
    </w:p>
    <w:p w14:paraId="7F2207CB">
      <w:pPr>
        <w:jc w:val="both"/>
        <w:rPr>
          <w:rFonts w:eastAsia="楷体" w:cs="Calibri"/>
          <w:b/>
          <w:bCs/>
          <w:kern w:val="2"/>
          <w:sz w:val="22"/>
          <w:szCs w:val="22"/>
          <w:u w:val="single"/>
        </w:rPr>
      </w:pPr>
    </w:p>
    <w:p w14:paraId="4663A0EA">
      <w:pPr>
        <w:pStyle w:val="36"/>
        <w:numPr>
          <w:ilvl w:val="0"/>
          <w:numId w:val="7"/>
        </w:numPr>
        <w:jc w:val="both"/>
        <w:rPr>
          <w:rFonts w:eastAsia="楷体" w:cs="Calibri"/>
          <w:kern w:val="2"/>
          <w:sz w:val="22"/>
          <w:szCs w:val="22"/>
        </w:rPr>
      </w:pPr>
      <w:r>
        <w:rPr>
          <w:rFonts w:hint="eastAsia" w:eastAsia="楷体" w:cs="Calibri"/>
          <w:b/>
          <w:bCs/>
          <w:kern w:val="2"/>
          <w:sz w:val="22"/>
          <w:szCs w:val="22"/>
          <w:lang w:eastAsia="zh-CN"/>
        </w:rPr>
        <w:t>T</w:t>
      </w:r>
      <w:r>
        <w:rPr>
          <w:rFonts w:eastAsia="楷体" w:cs="Calibri"/>
          <w:b/>
          <w:bCs/>
          <w:kern w:val="2"/>
          <w:sz w:val="22"/>
          <w:szCs w:val="22"/>
        </w:rPr>
        <w:t>wo core manufacturing bases</w:t>
      </w:r>
      <w:r>
        <w:rPr>
          <w:rFonts w:hint="eastAsia" w:eastAsia="楷体" w:cs="Calibri"/>
          <w:b/>
          <w:bCs/>
          <w:kern w:val="2"/>
          <w:sz w:val="22"/>
          <w:szCs w:val="22"/>
          <w:lang w:eastAsia="zh-CN"/>
        </w:rPr>
        <w:t xml:space="preserve">: </w:t>
      </w:r>
      <w:r>
        <w:rPr>
          <w:rFonts w:eastAsia="楷体" w:cs="Calibri"/>
          <w:kern w:val="2"/>
          <w:sz w:val="22"/>
          <w:szCs w:val="22"/>
        </w:rPr>
        <w:t>The Grand Forks factory in North Dakota focuses on the research, development, and production of advanced composite material components such as carbon fiber, while the Duluth factory in Minnesota is responsible for aircraft final assembly and testing, achieving efficient collaboration through vertical integration of metal component manufacturing and subsystem production.</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1BFD1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auto" w:sz="4" w:space="0"/>
            </w:tcBorders>
          </w:tcPr>
          <w:p w14:paraId="610F1DF4">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Cirrus Major Properties Overview</w:t>
            </w:r>
          </w:p>
        </w:tc>
      </w:tr>
      <w:tr w14:paraId="2FF56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auto" w:sz="4" w:space="0"/>
              <w:bottom w:val="single" w:color="auto" w:sz="4" w:space="0"/>
            </w:tcBorders>
            <w:vAlign w:val="center"/>
          </w:tcPr>
          <w:p w14:paraId="5673B50C">
            <w:pPr>
              <w:pStyle w:val="74"/>
              <w:keepNext/>
              <w:jc w:val="center"/>
              <w:rPr>
                <w:rFonts w:hint="eastAsia" w:ascii="等线" w:hAnsi="等线"/>
              </w:rPr>
            </w:pPr>
            <w:r>
              <w:rPr>
                <w:rFonts w:ascii="等线" w:hAnsi="等线"/>
              </w:rPr>
              <w:drawing>
                <wp:inline distT="0" distB="0" distL="0" distR="0">
                  <wp:extent cx="6343650" cy="2543175"/>
                  <wp:effectExtent l="0" t="0" r="0" b="952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6343650" cy="2543175"/>
                          </a:xfrm>
                          <a:prstGeom prst="rect">
                            <a:avLst/>
                          </a:prstGeom>
                          <a:noFill/>
                        </pic:spPr>
                      </pic:pic>
                    </a:graphicData>
                  </a:graphic>
                </wp:inline>
              </w:drawing>
            </w:r>
          </w:p>
        </w:tc>
      </w:tr>
      <w:tr w14:paraId="0714D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auto" w:sz="4" w:space="0"/>
            </w:tcBorders>
          </w:tcPr>
          <w:p w14:paraId="75ACF3E0">
            <w:pPr>
              <w:pStyle w:val="75"/>
              <w:rPr>
                <w:rFonts w:hint="eastAsia" w:ascii="等线" w:hAnsi="等线"/>
              </w:rPr>
            </w:pPr>
            <w:r>
              <w:rPr>
                <w:rFonts w:hint="eastAsia" w:ascii="Calibri" w:hAnsi="Calibri" w:cs="Calibri"/>
                <w:b/>
                <w:bCs/>
                <w:snapToGrid w:val="0"/>
                <w:sz w:val="20"/>
                <w:szCs w:val="20"/>
              </w:rPr>
              <w:t>Source</w:t>
            </w:r>
            <w:r>
              <w:rPr>
                <w:rFonts w:hint="eastAsia" w:ascii="Calibri" w:hAnsi="Calibri" w:cs="Calibri"/>
                <w:b/>
                <w:bCs/>
                <w:snapToGrid w:val="0"/>
                <w:sz w:val="20"/>
                <w:szCs w:val="20"/>
                <w:lang w:eastAsia="ja-JP"/>
              </w:rPr>
              <w:t>：</w:t>
            </w:r>
            <w:r>
              <w:rPr>
                <w:rFonts w:hint="eastAsia" w:ascii="Calibri" w:hAnsi="Calibri" w:cs="Calibri"/>
                <w:b/>
                <w:bCs/>
                <w:snapToGrid w:val="0"/>
                <w:sz w:val="20"/>
                <w:szCs w:val="20"/>
              </w:rPr>
              <w:t>Wind</w:t>
            </w:r>
            <w:r>
              <w:rPr>
                <w:rFonts w:hint="eastAsia" w:ascii="Calibri" w:hAnsi="Calibri" w:cs="Calibri"/>
                <w:b/>
                <w:bCs/>
                <w:snapToGrid w:val="0"/>
                <w:sz w:val="20"/>
                <w:szCs w:val="20"/>
                <w:lang w:eastAsia="ja-JP"/>
              </w:rPr>
              <w:t>, HFI</w:t>
            </w:r>
          </w:p>
        </w:tc>
      </w:tr>
    </w:tbl>
    <w:p w14:paraId="15DF926B">
      <w:pPr>
        <w:pStyle w:val="36"/>
        <w:numPr>
          <w:ilvl w:val="0"/>
          <w:numId w:val="7"/>
        </w:numPr>
        <w:jc w:val="both"/>
        <w:rPr>
          <w:rFonts w:eastAsia="楷体" w:cs="Calibri"/>
          <w:kern w:val="2"/>
          <w:sz w:val="22"/>
          <w:szCs w:val="22"/>
        </w:rPr>
      </w:pPr>
      <w:r>
        <w:rPr>
          <w:rFonts w:eastAsia="楷体" w:cs="Calibri"/>
          <w:b/>
          <w:bCs/>
          <w:kern w:val="2"/>
          <w:sz w:val="22"/>
          <w:szCs w:val="22"/>
        </w:rPr>
        <w:t>Cirrus has a comprehensive supply chain management system</w:t>
      </w:r>
      <w:r>
        <w:rPr>
          <w:rFonts w:eastAsia="楷体" w:cs="Calibri"/>
          <w:kern w:val="2"/>
          <w:sz w:val="22"/>
          <w:szCs w:val="22"/>
        </w:rPr>
        <w:t>, primarily ensuring the quality of raw materials and the stability of component supplies by establishing long-term cooperative relationships with globally leading suppliers. The company's suppliers mainly come from manufacturers and developers of avionics systems, composite materials, propulsion systems, as well as cabin and interior systems.</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77CE7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auto" w:sz="4" w:space="0"/>
            </w:tcBorders>
          </w:tcPr>
          <w:p w14:paraId="4E463E3C">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 xml:space="preserve">Cirrus Major </w:t>
            </w:r>
            <w:r>
              <w:rPr>
                <w:rFonts w:hint="eastAsia" w:ascii="Calibri" w:hAnsi="Calibri" w:cs="Calibri"/>
                <w:bCs w:val="0"/>
                <w:snapToGrid w:val="0"/>
                <w:sz w:val="20"/>
                <w:szCs w:val="20"/>
              </w:rPr>
              <w:t>Suppliers</w:t>
            </w:r>
          </w:p>
        </w:tc>
      </w:tr>
      <w:tr w14:paraId="45250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auto" w:sz="4" w:space="0"/>
              <w:bottom w:val="single" w:color="auto" w:sz="4" w:space="0"/>
            </w:tcBorders>
            <w:vAlign w:val="center"/>
          </w:tcPr>
          <w:p w14:paraId="4668FFAB">
            <w:pPr>
              <w:pStyle w:val="74"/>
              <w:keepNext/>
              <w:jc w:val="center"/>
              <w:rPr>
                <w:rFonts w:hint="eastAsia" w:ascii="等线" w:hAnsi="等线"/>
              </w:rPr>
            </w:pPr>
            <w:r>
              <w:rPr>
                <w:rFonts w:ascii="等线" w:hAnsi="等线"/>
              </w:rPr>
              <w:drawing>
                <wp:inline distT="0" distB="0" distL="0" distR="0">
                  <wp:extent cx="6343650" cy="2892425"/>
                  <wp:effectExtent l="0" t="0" r="0" b="31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6343650" cy="2892425"/>
                          </a:xfrm>
                          <a:prstGeom prst="rect">
                            <a:avLst/>
                          </a:prstGeom>
                          <a:noFill/>
                        </pic:spPr>
                      </pic:pic>
                    </a:graphicData>
                  </a:graphic>
                </wp:inline>
              </w:drawing>
            </w:r>
          </w:p>
        </w:tc>
      </w:tr>
      <w:tr w14:paraId="41076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auto" w:sz="4" w:space="0"/>
            </w:tcBorders>
          </w:tcPr>
          <w:p w14:paraId="396DB6B7">
            <w:pPr>
              <w:pStyle w:val="75"/>
              <w:rPr>
                <w:rFonts w:hint="eastAsia" w:ascii="等线" w:hAnsi="等线"/>
              </w:rPr>
            </w:pPr>
            <w:r>
              <w:rPr>
                <w:rFonts w:hint="eastAsia" w:ascii="Calibri" w:hAnsi="Calibri" w:cs="Calibri"/>
                <w:b/>
                <w:bCs/>
                <w:snapToGrid w:val="0"/>
                <w:sz w:val="20"/>
                <w:szCs w:val="20"/>
              </w:rPr>
              <w:t>Source</w:t>
            </w:r>
            <w:r>
              <w:rPr>
                <w:rFonts w:hint="eastAsia" w:ascii="Calibri" w:hAnsi="Calibri" w:cs="Calibri"/>
                <w:b/>
                <w:bCs/>
                <w:snapToGrid w:val="0"/>
                <w:sz w:val="20"/>
                <w:szCs w:val="20"/>
                <w:lang w:eastAsia="ja-JP"/>
              </w:rPr>
              <w:t>：</w:t>
            </w:r>
            <w:r>
              <w:rPr>
                <w:rFonts w:hint="eastAsia" w:ascii="Calibri" w:hAnsi="Calibri" w:cs="Calibri"/>
                <w:b/>
                <w:bCs/>
                <w:snapToGrid w:val="0"/>
                <w:sz w:val="20"/>
                <w:szCs w:val="20"/>
              </w:rPr>
              <w:t>Wind</w:t>
            </w:r>
            <w:r>
              <w:rPr>
                <w:rFonts w:hint="eastAsia" w:ascii="Calibri" w:hAnsi="Calibri" w:cs="Calibri"/>
                <w:b/>
                <w:bCs/>
                <w:snapToGrid w:val="0"/>
                <w:sz w:val="20"/>
                <w:szCs w:val="20"/>
                <w:lang w:eastAsia="ja-JP"/>
              </w:rPr>
              <w:t>, HFI</w:t>
            </w:r>
          </w:p>
        </w:tc>
      </w:tr>
    </w:tbl>
    <w:p w14:paraId="1155754A">
      <w:pPr>
        <w:jc w:val="both"/>
        <w:rPr>
          <w:rFonts w:eastAsia="楷体" w:cs="Calibri"/>
          <w:kern w:val="2"/>
          <w:sz w:val="22"/>
          <w:szCs w:val="22"/>
        </w:rPr>
      </w:pPr>
      <w:r>
        <w:rPr>
          <w:rFonts w:eastAsia="楷体" w:cs="Calibri"/>
          <w:b/>
          <w:bCs/>
          <w:kern w:val="2"/>
          <w:sz w:val="22"/>
          <w:szCs w:val="22"/>
        </w:rPr>
        <w:t xml:space="preserve">Cirrus continuously builds its service ecosystem to enhance customer loyalty, </w:t>
      </w:r>
      <w:r>
        <w:rPr>
          <w:rFonts w:eastAsia="楷体" w:cs="Calibri"/>
          <w:kern w:val="2"/>
          <w:sz w:val="22"/>
          <w:szCs w:val="22"/>
        </w:rPr>
        <w:t xml:space="preserve">offering full-lifecycle services including pilot training centers, flight training, maintenance, aircraft management, and financing/insurance. Using aircraft sales as an entry point, it extends monetization across the ownership cycle, creating a high-stickiness customer relationship loop and marking a strategic shift from pure hardware sales to a "product + service" ecosystem. </w:t>
      </w:r>
    </w:p>
    <w:p w14:paraId="68699F8F">
      <w:pPr>
        <w:jc w:val="both"/>
        <w:rPr>
          <w:rFonts w:eastAsia="楷体" w:cs="Calibri"/>
          <w:kern w:val="2"/>
          <w:sz w:val="22"/>
          <w:szCs w:val="22"/>
        </w:rPr>
      </w:pPr>
    </w:p>
    <w:p w14:paraId="7C22C7C6">
      <w:pPr>
        <w:jc w:val="both"/>
        <w:rPr>
          <w:rFonts w:eastAsia="楷体" w:cs="Calibri"/>
          <w:b/>
          <w:bCs/>
          <w:kern w:val="2"/>
          <w:sz w:val="22"/>
          <w:szCs w:val="22"/>
          <w:lang w:eastAsia="zh-CN"/>
        </w:rPr>
      </w:pPr>
      <w:r>
        <w:rPr>
          <w:rFonts w:hint="eastAsia" w:eastAsia="楷体" w:cs="Calibri"/>
          <w:b/>
          <w:bCs/>
          <w:kern w:val="2"/>
          <w:sz w:val="22"/>
          <w:szCs w:val="22"/>
          <w:lang w:eastAsia="zh-CN"/>
        </w:rPr>
        <w:t>1)</w:t>
      </w:r>
      <w:r>
        <w:rPr>
          <w:rFonts w:eastAsia="楷体" w:cs="Calibri"/>
          <w:b/>
          <w:bCs/>
          <w:kern w:val="2"/>
          <w:sz w:val="22"/>
          <w:szCs w:val="22"/>
        </w:rPr>
        <w:t xml:space="preserve"> </w:t>
      </w:r>
      <w:r>
        <w:rPr>
          <w:rFonts w:eastAsia="楷体" w:cs="Calibri"/>
          <w:b/>
          <w:bCs/>
          <w:kern w:val="2"/>
          <w:sz w:val="22"/>
          <w:szCs w:val="22"/>
          <w:lang w:eastAsia="zh-CN"/>
        </w:rPr>
        <w:t>Aircraft Maintenance &amp; Support Network</w:t>
      </w:r>
    </w:p>
    <w:p w14:paraId="6F1D461B">
      <w:pPr>
        <w:jc w:val="both"/>
        <w:rPr>
          <w:rFonts w:eastAsia="楷体" w:cs="Calibri"/>
          <w:kern w:val="2"/>
          <w:sz w:val="22"/>
          <w:szCs w:val="22"/>
          <w:lang w:eastAsia="zh-CN"/>
        </w:rPr>
      </w:pPr>
      <w:r>
        <w:rPr>
          <w:rFonts w:eastAsia="楷体" w:cs="Calibri"/>
          <w:kern w:val="2"/>
          <w:sz w:val="22"/>
          <w:szCs w:val="22"/>
          <w:lang w:eastAsia="zh-CN"/>
        </w:rPr>
        <w:t>Cirrus operates 4 company-owned service centers and a global network of 242 authorized service centers (distribution: 183 in North America, 29 in Europe, 7 in Asia, etc.), providing 24/7 worldwide AOG (Aircraft on Ground) mobile support.</w:t>
      </w:r>
      <w:r>
        <w:rPr>
          <w:rFonts w:hint="eastAsia" w:eastAsia="楷体" w:cs="Calibri"/>
          <w:kern w:val="2"/>
          <w:sz w:val="22"/>
          <w:szCs w:val="22"/>
          <w:lang w:eastAsia="zh-CN"/>
        </w:rPr>
        <w:t xml:space="preserve"> </w:t>
      </w:r>
      <w:r>
        <w:rPr>
          <w:rFonts w:eastAsia="楷体" w:cs="Calibri"/>
          <w:kern w:val="2"/>
          <w:sz w:val="22"/>
          <w:szCs w:val="22"/>
          <w:lang w:eastAsia="zh-CN"/>
        </w:rPr>
        <w:t>Key maintenance programs include:</w:t>
      </w:r>
      <w:r>
        <w:rPr>
          <w:rFonts w:ascii="宋体" w:hAnsi="宋体" w:eastAsia="宋体" w:cs="宋体"/>
          <w:sz w:val="24"/>
        </w:rPr>
        <w:t xml:space="preserve"> </w:t>
      </w:r>
      <w:r>
        <w:rPr>
          <w:rFonts w:eastAsia="楷体" w:cs="Calibri"/>
          <w:kern w:val="2"/>
          <w:sz w:val="22"/>
          <w:szCs w:val="22"/>
          <w:lang w:eastAsia="zh-CN"/>
        </w:rPr>
        <w:t>JetStream Program: Comprehensive prepaid maintenance plan (covering parts replacement, training, 10-year airframe overhaul, etc.), priced approximately USD 96,000–225,000 per year, with 100% enrollment rate among eligible owners</w:t>
      </w:r>
      <w:r>
        <w:rPr>
          <w:rFonts w:hint="eastAsia" w:eastAsia="楷体" w:cs="Calibri"/>
          <w:kern w:val="2"/>
          <w:sz w:val="22"/>
          <w:szCs w:val="22"/>
          <w:lang w:eastAsia="zh-CN"/>
        </w:rPr>
        <w:t>;</w:t>
      </w:r>
      <w:r>
        <w:rPr>
          <w:rFonts w:ascii="宋体" w:hAnsi="宋体" w:eastAsia="宋体" w:cs="宋体"/>
          <w:sz w:val="24"/>
        </w:rPr>
        <w:t xml:space="preserve"> </w:t>
      </w:r>
      <w:r>
        <w:rPr>
          <w:rFonts w:eastAsia="楷体" w:cs="Calibri"/>
          <w:kern w:val="2"/>
          <w:sz w:val="22"/>
          <w:szCs w:val="22"/>
          <w:lang w:eastAsia="zh-CN"/>
        </w:rPr>
        <w:t>Cirrus ASSIST: Rapid AOG response + interior/exterior upgrades and modifications, charged based on labor hours and parts</w:t>
      </w:r>
      <w:r>
        <w:rPr>
          <w:rFonts w:hint="eastAsia" w:eastAsia="楷体" w:cs="Calibri"/>
          <w:kern w:val="2"/>
          <w:sz w:val="22"/>
          <w:szCs w:val="22"/>
          <w:lang w:eastAsia="zh-CN"/>
        </w:rPr>
        <w:t xml:space="preserve">; </w:t>
      </w:r>
      <w:r>
        <w:rPr>
          <w:rFonts w:eastAsia="楷体" w:cs="Calibri"/>
          <w:kern w:val="2"/>
          <w:sz w:val="22"/>
          <w:szCs w:val="22"/>
          <w:lang w:eastAsia="zh-CN"/>
        </w:rPr>
        <w:t>Cirrus Direct: Online platform allowing customers to directly order parts and upgrades, billed per component.</w:t>
      </w:r>
    </w:p>
    <w:p w14:paraId="3C32D5C7">
      <w:pPr>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8DDC7FE">
        <w:trPr>
          <w:trHeight w:val="302" w:hRule="atLeast"/>
        </w:trPr>
        <w:tc>
          <w:tcPr>
            <w:tcW w:w="7466" w:type="dxa"/>
            <w:tcBorders>
              <w:bottom w:val="single" w:color="auto" w:sz="4" w:space="0"/>
            </w:tcBorders>
            <w:tcMar>
              <w:left w:w="0" w:type="dxa"/>
              <w:right w:w="28" w:type="dxa"/>
            </w:tcMar>
          </w:tcPr>
          <w:p w14:paraId="0862943E">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 w:cs="Calibri"/>
                <w:b/>
                <w:bCs/>
                <w:kern w:val="2"/>
                <w:sz w:val="22"/>
                <w:szCs w:val="22"/>
                <w:lang w:eastAsia="zh-CN"/>
              </w:rPr>
              <w:t>Aircraft Maintenance &amp; Support Network</w:t>
            </w:r>
          </w:p>
        </w:tc>
      </w:tr>
      <w:tr w14:paraId="782CF62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F4E4152">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1758950"/>
                  <wp:effectExtent l="0" t="0" r="6350" b="0"/>
                  <wp:docPr id="67581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579" name="图片 1"/>
                          <pic:cNvPicPr>
                            <a:picLocks noChangeAspect="1"/>
                          </pic:cNvPicPr>
                        </pic:nvPicPr>
                        <pic:blipFill>
                          <a:blip r:embed="rId53"/>
                          <a:stretch>
                            <a:fillRect/>
                          </a:stretch>
                        </pic:blipFill>
                        <pic:spPr>
                          <a:xfrm>
                            <a:off x="0" y="0"/>
                            <a:ext cx="4603750" cy="1758950"/>
                          </a:xfrm>
                          <a:prstGeom prst="rect">
                            <a:avLst/>
                          </a:prstGeom>
                        </pic:spPr>
                      </pic:pic>
                    </a:graphicData>
                  </a:graphic>
                </wp:inline>
              </w:drawing>
            </w:r>
          </w:p>
        </w:tc>
      </w:tr>
      <w:tr w14:paraId="28B3DE2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FEB15E5">
            <w:pPr>
              <w:spacing w:line="240" w:lineRule="atLeast"/>
              <w:jc w:val="both"/>
              <w:textAlignment w:val="center"/>
              <w:rPr>
                <w:rFonts w:cs="Calibri"/>
                <w:sz w:val="20"/>
                <w:szCs w:val="20"/>
              </w:rPr>
            </w:pPr>
            <w:r>
              <w:rPr>
                <w:rFonts w:eastAsia="楷体_GB2312" w:cs="Calibri"/>
                <w:b/>
                <w:bCs/>
                <w:sz w:val="20"/>
                <w:szCs w:val="20"/>
              </w:rPr>
              <w:t xml:space="preserve">Source: </w:t>
            </w:r>
            <w:r>
              <w:rPr>
                <w:rFonts w:hint="eastAsia" w:eastAsia="楷体_GB2312" w:cs="Calibri"/>
                <w:sz w:val="20"/>
                <w:szCs w:val="20"/>
                <w:lang w:eastAsia="zh-CN"/>
              </w:rPr>
              <w:t xml:space="preserve">Company Official Website, </w:t>
            </w:r>
            <w:r>
              <w:rPr>
                <w:rFonts w:hint="eastAsia" w:eastAsia="楷体_GB2312" w:cs="Calibri"/>
                <w:sz w:val="20"/>
                <w:szCs w:val="20"/>
              </w:rPr>
              <w:t>HFI</w:t>
            </w:r>
          </w:p>
        </w:tc>
      </w:tr>
    </w:tbl>
    <w:p w14:paraId="179075AF">
      <w:pPr>
        <w:jc w:val="both"/>
        <w:rPr>
          <w:rFonts w:eastAsia="楷体" w:cs="Calibri"/>
          <w:kern w:val="2"/>
          <w:sz w:val="22"/>
          <w:szCs w:val="22"/>
          <w:lang w:eastAsia="zh-CN"/>
        </w:rPr>
      </w:pPr>
    </w:p>
    <w:p w14:paraId="0CF80C8B">
      <w:pPr>
        <w:jc w:val="both"/>
        <w:rPr>
          <w:rFonts w:eastAsia="楷体" w:cs="Calibri"/>
          <w:b/>
          <w:bCs/>
          <w:kern w:val="2"/>
          <w:sz w:val="22"/>
          <w:szCs w:val="22"/>
          <w:lang w:eastAsia="zh-CN"/>
        </w:rPr>
      </w:pPr>
      <w:r>
        <w:rPr>
          <w:rFonts w:hint="eastAsia" w:eastAsia="楷体" w:cs="Calibri"/>
          <w:b/>
          <w:bCs/>
          <w:kern w:val="2"/>
          <w:sz w:val="22"/>
          <w:szCs w:val="22"/>
          <w:lang w:eastAsia="zh-CN"/>
        </w:rPr>
        <w:t>2）</w:t>
      </w:r>
      <w:r>
        <w:rPr>
          <w:rFonts w:eastAsia="楷体" w:cs="Calibri"/>
          <w:b/>
          <w:bCs/>
          <w:kern w:val="2"/>
          <w:sz w:val="22"/>
          <w:szCs w:val="22"/>
          <w:lang w:eastAsia="zh-CN"/>
        </w:rPr>
        <w:t>Pre-Owned Aircraft Business</w:t>
      </w:r>
    </w:p>
    <w:p w14:paraId="3396F198">
      <w:pPr>
        <w:jc w:val="both"/>
        <w:rPr>
          <w:rFonts w:eastAsia="楷体" w:cs="Calibri"/>
          <w:kern w:val="2"/>
          <w:sz w:val="22"/>
          <w:szCs w:val="22"/>
          <w:lang w:eastAsia="zh-CN"/>
        </w:rPr>
      </w:pPr>
      <w:r>
        <w:rPr>
          <w:rFonts w:eastAsia="楷体" w:cs="Calibri"/>
          <w:kern w:val="2"/>
          <w:sz w:val="22"/>
          <w:szCs w:val="22"/>
          <w:lang w:eastAsia="zh-CN"/>
        </w:rPr>
        <w:t>Cirrus operates the world's largest and most active pre-owned Cirrus aircraft trading platform. The company acquires used aircraft as inventory and resells them at a markup to earn the price difference (without charging any additional specific service fees).</w:t>
      </w:r>
    </w:p>
    <w:p w14:paraId="3D732E3E">
      <w:pPr>
        <w:jc w:val="both"/>
        <w:rPr>
          <w:rFonts w:eastAsia="楷体" w:cs="Calibri"/>
          <w:kern w:val="2"/>
          <w:sz w:val="22"/>
          <w:szCs w:val="22"/>
          <w:lang w:eastAsia="zh-CN"/>
        </w:rPr>
      </w:pPr>
    </w:p>
    <w:p w14:paraId="75F2C722">
      <w:pPr>
        <w:pStyle w:val="36"/>
        <w:numPr>
          <w:ilvl w:val="0"/>
          <w:numId w:val="7"/>
        </w:numPr>
        <w:rPr>
          <w:rFonts w:eastAsia="楷体" w:cs="Calibri"/>
          <w:b/>
          <w:bCs/>
          <w:kern w:val="2"/>
          <w:sz w:val="22"/>
          <w:szCs w:val="22"/>
          <w:lang w:eastAsia="zh-CN"/>
        </w:rPr>
      </w:pPr>
      <w:r>
        <w:rPr>
          <w:rFonts w:hint="eastAsia" w:eastAsia="楷体" w:cs="Calibri"/>
          <w:b/>
          <w:bCs/>
          <w:kern w:val="2"/>
          <w:sz w:val="22"/>
          <w:szCs w:val="22"/>
          <w:lang w:eastAsia="zh-CN"/>
        </w:rPr>
        <w:t>Flight Training Services</w:t>
      </w:r>
    </w:p>
    <w:p w14:paraId="20F37F29">
      <w:pPr>
        <w:rPr>
          <w:rFonts w:eastAsia="楷体" w:cs="Calibri"/>
          <w:kern w:val="2"/>
          <w:sz w:val="22"/>
          <w:szCs w:val="22"/>
          <w:lang w:eastAsia="zh-CN"/>
        </w:rPr>
      </w:pPr>
      <w:r>
        <w:rPr>
          <w:b/>
          <w:bCs/>
        </w:rPr>
        <w:t xml:space="preserve"> </w:t>
      </w:r>
      <w:r>
        <w:rPr>
          <w:rFonts w:eastAsia="楷体" w:cs="Calibri"/>
          <w:kern w:val="2"/>
          <w:sz w:val="22"/>
          <w:szCs w:val="22"/>
          <w:lang w:eastAsia="zh-CN"/>
        </w:rPr>
        <w:t>As of December 31, 2023, the company operates four factory training centers in Tennessee, Arizona, Texas, and Florida in the United States, and has 118 authorized training centers across 13 countries (of which 94 are in the United States and 16 in Europe)</w:t>
      </w:r>
      <w:r>
        <w:rPr>
          <w:rFonts w:hint="eastAsia" w:eastAsia="楷体" w:cs="Calibri"/>
          <w:kern w:val="2"/>
          <w:sz w:val="22"/>
          <w:szCs w:val="22"/>
          <w:lang w:eastAsia="zh-CN"/>
        </w:rPr>
        <w:t>.</w:t>
      </w:r>
      <w:r>
        <w:rPr>
          <w:rFonts w:ascii="宋体" w:hAnsi="宋体" w:eastAsia="宋体" w:cs="宋体"/>
          <w:sz w:val="24"/>
        </w:rPr>
        <w:t xml:space="preserve"> </w:t>
      </w:r>
      <w:r>
        <w:rPr>
          <w:rFonts w:eastAsia="楷体" w:cs="Calibri"/>
          <w:kern w:val="2"/>
          <w:sz w:val="22"/>
          <w:szCs w:val="22"/>
          <w:lang w:eastAsia="zh-CN"/>
        </w:rPr>
        <w:t>Key programs</w:t>
      </w:r>
      <w:r>
        <w:rPr>
          <w:rFonts w:hint="eastAsia" w:eastAsia="楷体" w:cs="Calibri"/>
          <w:kern w:val="2"/>
          <w:sz w:val="22"/>
          <w:szCs w:val="22"/>
          <w:lang w:eastAsia="zh-CN"/>
        </w:rPr>
        <w:t xml:space="preserve"> include: </w:t>
      </w:r>
      <w:r>
        <w:rPr>
          <w:rFonts w:eastAsia="楷体" w:cs="Calibri"/>
          <w:kern w:val="2"/>
          <w:sz w:val="22"/>
          <w:szCs w:val="22"/>
          <w:lang w:eastAsia="zh-CN"/>
        </w:rPr>
        <w:t>On-site simulator &amp; transition training</w:t>
      </w:r>
      <w:r>
        <w:rPr>
          <w:rFonts w:hint="eastAsia" w:eastAsia="楷体" w:cs="Calibri"/>
          <w:kern w:val="2"/>
          <w:sz w:val="22"/>
          <w:szCs w:val="22"/>
          <w:lang w:eastAsia="zh-CN"/>
        </w:rPr>
        <w:t>;</w:t>
      </w:r>
      <w:r>
        <w:rPr>
          <w:rFonts w:ascii="宋体" w:hAnsi="宋体" w:eastAsia="宋体" w:cs="宋体"/>
          <w:sz w:val="24"/>
        </w:rPr>
        <w:t xml:space="preserve"> </w:t>
      </w:r>
      <w:r>
        <w:rPr>
          <w:rFonts w:eastAsia="楷体" w:cs="Calibri"/>
          <w:kern w:val="2"/>
          <w:sz w:val="22"/>
          <w:szCs w:val="22"/>
          <w:lang w:eastAsia="zh-CN"/>
        </w:rPr>
        <w:t>Cirrus Approach — Online courses for SR2X series &amp; Vision Jet</w:t>
      </w:r>
      <w:r>
        <w:rPr>
          <w:rFonts w:hint="eastAsia" w:eastAsia="楷体" w:cs="Calibri"/>
          <w:kern w:val="2"/>
          <w:sz w:val="22"/>
          <w:szCs w:val="22"/>
          <w:lang w:eastAsia="zh-CN"/>
        </w:rPr>
        <w:t>;</w:t>
      </w:r>
      <w:r>
        <w:rPr>
          <w:rFonts w:ascii="宋体" w:hAnsi="宋体" w:eastAsia="宋体" w:cs="宋体"/>
          <w:sz w:val="24"/>
        </w:rPr>
        <w:t xml:space="preserve"> </w:t>
      </w:r>
      <w:r>
        <w:rPr>
          <w:rFonts w:eastAsia="楷体" w:cs="Calibri"/>
          <w:kern w:val="2"/>
          <w:sz w:val="22"/>
          <w:szCs w:val="22"/>
          <w:lang w:eastAsia="zh-CN"/>
        </w:rPr>
        <w:t>Cirrus Embark — Free transition training for pre-owned SR2X / Vision Jet buyers</w:t>
      </w:r>
      <w:r>
        <w:rPr>
          <w:rFonts w:hint="eastAsia" w:eastAsia="楷体" w:cs="Calibri"/>
          <w:kern w:val="2"/>
          <w:sz w:val="22"/>
          <w:szCs w:val="22"/>
          <w:lang w:eastAsia="zh-CN"/>
        </w:rPr>
        <w:t xml:space="preserve">; </w:t>
      </w:r>
      <w:r>
        <w:rPr>
          <w:rFonts w:eastAsia="楷体" w:cs="Calibri"/>
          <w:kern w:val="2"/>
          <w:sz w:val="22"/>
          <w:szCs w:val="22"/>
          <w:lang w:eastAsia="zh-CN"/>
        </w:rPr>
        <w:t>Private pilot license training (including enhanced SR22 courses)</w:t>
      </w:r>
    </w:p>
    <w:p w14:paraId="2410001C">
      <w:pPr>
        <w:rPr>
          <w:rFonts w:eastAsia="楷体" w:cs="Calibri"/>
          <w:kern w:val="2"/>
          <w:sz w:val="22"/>
          <w:szCs w:val="22"/>
          <w:lang w:eastAsia="zh-CN"/>
        </w:rPr>
      </w:pPr>
    </w:p>
    <w:p w14:paraId="3BB74DF2">
      <w:pPr>
        <w:rPr>
          <w:rFonts w:eastAsia="楷体" w:cs="Calibri"/>
          <w:kern w:val="2"/>
          <w:sz w:val="22"/>
          <w:szCs w:val="22"/>
          <w:lang w:eastAsia="zh-CN"/>
        </w:rPr>
      </w:pPr>
    </w:p>
    <w:p w14:paraId="6F3665BE">
      <w:pPr>
        <w:rPr>
          <w:rFonts w:eastAsia="楷体" w:cs="Calibri"/>
          <w:kern w:val="2"/>
          <w:sz w:val="22"/>
          <w:szCs w:val="22"/>
          <w:lang w:eastAsia="zh-CN"/>
        </w:rPr>
      </w:pPr>
    </w:p>
    <w:p w14:paraId="72216CD5">
      <w:pPr>
        <w:rPr>
          <w:rFonts w:eastAsia="楷体" w:cs="Calibri"/>
          <w:kern w:val="2"/>
          <w:sz w:val="22"/>
          <w:szCs w:val="22"/>
          <w:lang w:eastAsia="zh-CN"/>
        </w:rPr>
      </w:pPr>
    </w:p>
    <w:p w14:paraId="0048085D">
      <w:pPr>
        <w:rPr>
          <w:rFonts w:eastAsia="楷体" w:cs="Calibri"/>
          <w:kern w:val="2"/>
          <w:sz w:val="22"/>
          <w:szCs w:val="22"/>
          <w:lang w:eastAsia="zh-CN"/>
        </w:rPr>
      </w:pPr>
    </w:p>
    <w:p w14:paraId="453E8898">
      <w:pPr>
        <w:rPr>
          <w:rFonts w:eastAsia="楷体" w:cs="Calibri"/>
          <w:kern w:val="2"/>
          <w:sz w:val="22"/>
          <w:szCs w:val="22"/>
          <w:lang w:eastAsia="zh-CN"/>
        </w:rPr>
      </w:pPr>
    </w:p>
    <w:p w14:paraId="3F594DCA">
      <w:pPr>
        <w:rPr>
          <w:rFonts w:eastAsia="楷体" w:cs="Calibri"/>
          <w:kern w:val="2"/>
          <w:sz w:val="22"/>
          <w:szCs w:val="22"/>
          <w:lang w:eastAsia="zh-CN"/>
        </w:rPr>
      </w:pPr>
    </w:p>
    <w:p w14:paraId="7C47CBC9">
      <w:pPr>
        <w:rPr>
          <w:rFonts w:eastAsia="楷体" w:cs="Calibri"/>
          <w:kern w:val="2"/>
          <w:sz w:val="22"/>
          <w:szCs w:val="22"/>
          <w:lang w:eastAsia="zh-CN"/>
        </w:rPr>
      </w:pPr>
    </w:p>
    <w:p w14:paraId="67528803">
      <w:pPr>
        <w:rPr>
          <w:rFonts w:eastAsia="楷体" w:cs="Calibri"/>
          <w:kern w:val="2"/>
          <w:sz w:val="22"/>
          <w:szCs w:val="22"/>
          <w:lang w:eastAsia="zh-CN"/>
        </w:rPr>
      </w:pPr>
    </w:p>
    <w:p w14:paraId="3A4CE654">
      <w:pPr>
        <w:rPr>
          <w:rFonts w:eastAsia="楷体" w:cs="Calibri"/>
          <w:kern w:val="2"/>
          <w:sz w:val="22"/>
          <w:szCs w:val="22"/>
          <w:lang w:eastAsia="zh-CN"/>
        </w:rPr>
      </w:pPr>
    </w:p>
    <w:p w14:paraId="49DD22F0">
      <w:pPr>
        <w:rPr>
          <w:rFonts w:eastAsia="楷体" w:cs="Calibri"/>
          <w:kern w:val="2"/>
          <w:sz w:val="22"/>
          <w:szCs w:val="22"/>
          <w:lang w:eastAsia="zh-CN"/>
        </w:rPr>
      </w:pPr>
    </w:p>
    <w:p w14:paraId="5B35C9F2">
      <w:pPr>
        <w:rPr>
          <w:rFonts w:hint="eastAsia" w:eastAsia="楷体" w:cs="Calibri"/>
          <w:kern w:val="2"/>
          <w:sz w:val="22"/>
          <w:szCs w:val="22"/>
          <w:lang w:eastAsia="zh-CN"/>
        </w:rPr>
      </w:pPr>
    </w:p>
    <w:p w14:paraId="6FEEEFB5">
      <w:pPr>
        <w:rPr>
          <w:rFonts w:eastAsia="楷体" w:cs="Calibri"/>
          <w:kern w:val="2"/>
          <w:sz w:val="22"/>
          <w:szCs w:val="22"/>
          <w:lang w:eastAsia="zh-CN"/>
        </w:rPr>
      </w:pPr>
    </w:p>
    <w:p w14:paraId="03A87E01">
      <w:pPr>
        <w:rPr>
          <w:rFonts w:eastAsia="楷体" w:cs="Calibri"/>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FE5A287">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F127C56">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Cirrus Training Center</w:t>
            </w:r>
          </w:p>
        </w:tc>
        <w:tc>
          <w:tcPr>
            <w:tcW w:w="241" w:type="dxa"/>
            <w:tcMar>
              <w:left w:w="0" w:type="dxa"/>
              <w:right w:w="28" w:type="dxa"/>
            </w:tcMar>
          </w:tcPr>
          <w:p w14:paraId="1338D4A0">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641A863">
            <w:pPr>
              <w:spacing w:before="48" w:beforeLines="20" w:after="48" w:afterLines="20"/>
              <w:jc w:val="both"/>
              <w:rPr>
                <w:rFonts w:eastAsia="楷体_GB2312" w:cs="Calibri"/>
                <w:b/>
                <w:sz w:val="20"/>
                <w:szCs w:val="20"/>
              </w:rPr>
            </w:pPr>
            <w:r>
              <w:rPr>
                <w:rFonts w:eastAsia="楷体_GB2312" w:cs="Calibri"/>
                <w:b/>
                <w:sz w:val="20"/>
                <w:szCs w:val="20"/>
              </w:rPr>
              <w:t>Figure:</w:t>
            </w:r>
            <w:r>
              <w:rPr>
                <w:rFonts w:eastAsia="楷体_GB2312" w:cs="Calibri"/>
                <w:b/>
                <w:sz w:val="20"/>
                <w:szCs w:val="20"/>
                <w:lang w:eastAsia="zh-CN"/>
              </w:rPr>
              <w:t xml:space="preserve"> </w:t>
            </w:r>
            <w:r>
              <w:rPr>
                <w:rFonts w:hint="eastAsia" w:eastAsia="楷体_GB2312" w:cs="Calibri"/>
                <w:b/>
                <w:sz w:val="20"/>
                <w:szCs w:val="20"/>
                <w:lang w:eastAsia="zh-CN"/>
              </w:rPr>
              <w:t>Cirrus A</w:t>
            </w:r>
            <w:r>
              <w:rPr>
                <w:rFonts w:eastAsia="楷体_GB2312" w:cs="Calibri"/>
                <w:b/>
                <w:sz w:val="20"/>
                <w:szCs w:val="20"/>
                <w:lang w:eastAsia="zh-CN"/>
              </w:rPr>
              <w:t>uthorized</w:t>
            </w:r>
            <w:r>
              <w:rPr>
                <w:rFonts w:hint="eastAsia" w:eastAsia="楷体_GB2312" w:cs="Calibri"/>
                <w:b/>
                <w:sz w:val="20"/>
                <w:szCs w:val="20"/>
                <w:lang w:eastAsia="zh-CN"/>
              </w:rPr>
              <w:t xml:space="preserve"> Training Center</w:t>
            </w:r>
          </w:p>
        </w:tc>
      </w:tr>
      <w:tr w14:paraId="6E24531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798D03C">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916430"/>
                  <wp:effectExtent l="0" t="0" r="3810" b="762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4"/>
                          <a:stretch>
                            <a:fillRect/>
                          </a:stretch>
                        </pic:blipFill>
                        <pic:spPr>
                          <a:xfrm>
                            <a:off x="0" y="0"/>
                            <a:ext cx="3101340" cy="1916430"/>
                          </a:xfrm>
                          <a:prstGeom prst="rect">
                            <a:avLst/>
                          </a:prstGeom>
                        </pic:spPr>
                      </pic:pic>
                    </a:graphicData>
                  </a:graphic>
                </wp:inline>
              </w:drawing>
            </w:r>
          </w:p>
        </w:tc>
        <w:tc>
          <w:tcPr>
            <w:tcW w:w="241" w:type="dxa"/>
          </w:tcPr>
          <w:p w14:paraId="4C797AAB">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B63C909">
            <w:pPr>
              <w:spacing w:before="48" w:beforeLines="20" w:after="48" w:afterLines="20"/>
              <w:jc w:val="both"/>
              <w:rPr>
                <w:rFonts w:eastAsia="楷体_GB2312" w:cs="Calibri"/>
                <w:b/>
                <w:sz w:val="20"/>
                <w:szCs w:val="20"/>
              </w:rPr>
            </w:pPr>
            <w:r>
              <w:rPr>
                <w:snapToGrid/>
              </w:rPr>
              <w:drawing>
                <wp:inline distT="0" distB="0" distL="0" distR="0">
                  <wp:extent cx="3132455" cy="1972945"/>
                  <wp:effectExtent l="0" t="0" r="0" b="8255"/>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5"/>
                          <a:stretch>
                            <a:fillRect/>
                          </a:stretch>
                        </pic:blipFill>
                        <pic:spPr>
                          <a:xfrm>
                            <a:off x="0" y="0"/>
                            <a:ext cx="3132455" cy="1972945"/>
                          </a:xfrm>
                          <a:prstGeom prst="rect">
                            <a:avLst/>
                          </a:prstGeom>
                        </pic:spPr>
                      </pic:pic>
                    </a:graphicData>
                  </a:graphic>
                </wp:inline>
              </w:drawing>
            </w:r>
          </w:p>
        </w:tc>
      </w:tr>
      <w:tr w14:paraId="13BB0F7C">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2942D5E">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Company </w:t>
            </w:r>
            <w:r>
              <w:rPr>
                <w:rFonts w:hint="eastAsia" w:eastAsia="楷体_GB2312" w:cs="Calibri"/>
                <w:b/>
                <w:bCs/>
                <w:sz w:val="20"/>
                <w:szCs w:val="20"/>
                <w:lang w:eastAsia="zh-CN"/>
              </w:rPr>
              <w:t>Official Website</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c>
          <w:tcPr>
            <w:tcW w:w="241" w:type="dxa"/>
            <w:tcMar>
              <w:left w:w="0" w:type="dxa"/>
              <w:right w:w="28" w:type="dxa"/>
            </w:tcMar>
          </w:tcPr>
          <w:p w14:paraId="099D0F72">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96646E8">
            <w:pPr>
              <w:spacing w:before="48" w:beforeLines="20" w:after="48" w:afterLines="20"/>
              <w:jc w:val="both"/>
              <w:rPr>
                <w:rFonts w:eastAsia="楷体_GB2312" w:cs="Calibri"/>
                <w:sz w:val="20"/>
                <w:szCs w:val="20"/>
              </w:rPr>
            </w:pPr>
            <w:r>
              <w:rPr>
                <w:rFonts w:eastAsia="楷体_GB2312" w:cs="Calibri"/>
                <w:b/>
                <w:bCs/>
                <w:sz w:val="20"/>
                <w:szCs w:val="20"/>
              </w:rPr>
              <w:t xml:space="preserve">Source: Company </w:t>
            </w:r>
            <w:r>
              <w:rPr>
                <w:rFonts w:hint="eastAsia" w:eastAsia="楷体_GB2312" w:cs="Calibri"/>
                <w:b/>
                <w:bCs/>
                <w:sz w:val="20"/>
                <w:szCs w:val="20"/>
                <w:lang w:eastAsia="zh-CN"/>
              </w:rPr>
              <w:t>Official Website</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r>
    </w:tbl>
    <w:p w14:paraId="083730F7">
      <w:pPr>
        <w:rPr>
          <w:rFonts w:eastAsia="楷体" w:cs="Calibri"/>
          <w:b/>
          <w:bCs/>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575684A">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76550AE9">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Cirrus Aircraft Campuses</w:t>
            </w:r>
          </w:p>
        </w:tc>
        <w:tc>
          <w:tcPr>
            <w:tcW w:w="241" w:type="dxa"/>
            <w:tcMar>
              <w:left w:w="0" w:type="dxa"/>
              <w:right w:w="28" w:type="dxa"/>
            </w:tcMar>
          </w:tcPr>
          <w:p w14:paraId="37908B46">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3F3BD55F">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Instructors(CSIPs)</w:t>
            </w:r>
          </w:p>
        </w:tc>
      </w:tr>
      <w:tr w14:paraId="0A7D45E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42EC35D">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2177415"/>
                  <wp:effectExtent l="0" t="0" r="381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6"/>
                          <a:stretch>
                            <a:fillRect/>
                          </a:stretch>
                        </pic:blipFill>
                        <pic:spPr>
                          <a:xfrm>
                            <a:off x="0" y="0"/>
                            <a:ext cx="3103921" cy="2179459"/>
                          </a:xfrm>
                          <a:prstGeom prst="rect">
                            <a:avLst/>
                          </a:prstGeom>
                        </pic:spPr>
                      </pic:pic>
                    </a:graphicData>
                  </a:graphic>
                </wp:inline>
              </w:drawing>
            </w:r>
          </w:p>
        </w:tc>
        <w:tc>
          <w:tcPr>
            <w:tcW w:w="241" w:type="dxa"/>
          </w:tcPr>
          <w:p w14:paraId="01099098">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6FCC778">
            <w:pPr>
              <w:spacing w:before="48" w:beforeLines="20" w:after="48" w:afterLines="20"/>
              <w:jc w:val="both"/>
              <w:rPr>
                <w:rFonts w:eastAsia="楷体_GB2312" w:cs="Calibri"/>
                <w:b/>
                <w:sz w:val="20"/>
                <w:szCs w:val="20"/>
              </w:rPr>
            </w:pPr>
            <w:r>
              <w:rPr>
                <w:snapToGrid/>
              </w:rPr>
              <w:drawing>
                <wp:inline distT="0" distB="0" distL="0" distR="0">
                  <wp:extent cx="3132455" cy="2182495"/>
                  <wp:effectExtent l="0" t="0" r="0" b="825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7"/>
                          <a:stretch>
                            <a:fillRect/>
                          </a:stretch>
                        </pic:blipFill>
                        <pic:spPr>
                          <a:xfrm>
                            <a:off x="0" y="0"/>
                            <a:ext cx="3138578" cy="2187199"/>
                          </a:xfrm>
                          <a:prstGeom prst="rect">
                            <a:avLst/>
                          </a:prstGeom>
                        </pic:spPr>
                      </pic:pic>
                    </a:graphicData>
                  </a:graphic>
                </wp:inline>
              </w:drawing>
            </w:r>
          </w:p>
        </w:tc>
      </w:tr>
      <w:tr w14:paraId="20A91CD8">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2EF5ECD">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Company </w:t>
            </w:r>
            <w:r>
              <w:rPr>
                <w:rFonts w:hint="eastAsia" w:eastAsia="楷体_GB2312" w:cs="Calibri"/>
                <w:b/>
                <w:bCs/>
                <w:sz w:val="20"/>
                <w:szCs w:val="20"/>
                <w:lang w:eastAsia="zh-CN"/>
              </w:rPr>
              <w:t>Official Website</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c>
          <w:tcPr>
            <w:tcW w:w="241" w:type="dxa"/>
            <w:tcMar>
              <w:left w:w="0" w:type="dxa"/>
              <w:right w:w="28" w:type="dxa"/>
            </w:tcMar>
          </w:tcPr>
          <w:p w14:paraId="34149492">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1494846E">
            <w:pPr>
              <w:spacing w:before="48" w:beforeLines="20" w:after="48" w:afterLines="20"/>
              <w:jc w:val="both"/>
              <w:rPr>
                <w:rFonts w:eastAsia="楷体_GB2312" w:cs="Calibri"/>
                <w:sz w:val="20"/>
                <w:szCs w:val="20"/>
              </w:rPr>
            </w:pPr>
            <w:r>
              <w:rPr>
                <w:rFonts w:eastAsia="楷体_GB2312" w:cs="Calibri"/>
                <w:b/>
                <w:bCs/>
                <w:sz w:val="20"/>
                <w:szCs w:val="20"/>
              </w:rPr>
              <w:t xml:space="preserve">Source: Company </w:t>
            </w:r>
            <w:r>
              <w:rPr>
                <w:rFonts w:hint="eastAsia" w:eastAsia="楷体_GB2312" w:cs="Calibri"/>
                <w:b/>
                <w:bCs/>
                <w:sz w:val="20"/>
                <w:szCs w:val="20"/>
                <w:lang w:eastAsia="zh-CN"/>
              </w:rPr>
              <w:t>Official Website</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r>
    </w:tbl>
    <w:p w14:paraId="5F550AF3">
      <w:pPr>
        <w:rPr>
          <w:rFonts w:eastAsia="楷体" w:cs="Calibri"/>
          <w:b/>
          <w:bCs/>
          <w:kern w:val="2"/>
          <w:sz w:val="22"/>
          <w:szCs w:val="22"/>
          <w:lang w:eastAsia="zh-CN"/>
        </w:rPr>
      </w:pPr>
    </w:p>
    <w:p w14:paraId="1EC95DA9">
      <w:pPr>
        <w:rPr>
          <w:rFonts w:eastAsia="楷体" w:cs="Calibri"/>
          <w:b/>
          <w:bCs/>
          <w:kern w:val="2"/>
          <w:sz w:val="22"/>
          <w:szCs w:val="22"/>
          <w:lang w:eastAsia="zh-CN"/>
        </w:rPr>
      </w:pPr>
      <w:r>
        <w:rPr>
          <w:rFonts w:hint="eastAsia" w:eastAsia="楷体" w:cs="Calibri"/>
          <w:b/>
          <w:bCs/>
          <w:kern w:val="2"/>
          <w:sz w:val="22"/>
          <w:szCs w:val="22"/>
          <w:lang w:eastAsia="zh-CN"/>
        </w:rPr>
        <w:t>4)</w:t>
      </w:r>
      <w:r>
        <w:rPr>
          <w:rFonts w:ascii="宋体" w:hAnsi="宋体" w:eastAsia="宋体" w:cs="宋体"/>
          <w:b/>
          <w:bCs/>
          <w:sz w:val="24"/>
        </w:rPr>
        <w:t xml:space="preserve"> </w:t>
      </w:r>
      <w:r>
        <w:rPr>
          <w:rFonts w:eastAsia="楷体" w:cs="Calibri"/>
          <w:b/>
          <w:bCs/>
          <w:kern w:val="2"/>
          <w:sz w:val="22"/>
          <w:szCs w:val="22"/>
          <w:lang w:eastAsia="zh-CN"/>
        </w:rPr>
        <w:t>Aircraft Management &amp; Value-Added Services</w:t>
      </w:r>
    </w:p>
    <w:p w14:paraId="2A8795A4">
      <w:pPr>
        <w:rPr>
          <w:rFonts w:eastAsia="楷体" w:cs="Calibri"/>
          <w:kern w:val="2"/>
          <w:sz w:val="22"/>
          <w:szCs w:val="22"/>
          <w:lang w:eastAsia="zh-CN"/>
        </w:rPr>
      </w:pPr>
      <w:r>
        <w:rPr>
          <w:rFonts w:eastAsia="楷体" w:cs="Calibri"/>
          <w:kern w:val="2"/>
          <w:sz w:val="22"/>
          <w:szCs w:val="22"/>
          <w:lang w:eastAsia="zh-CN"/>
        </w:rPr>
        <w:t>Cirrus offers Vision</w:t>
      </w:r>
      <w:r>
        <w:rPr>
          <w:rFonts w:hint="eastAsia" w:eastAsia="楷体" w:cs="Calibri"/>
          <w:kern w:val="2"/>
          <w:sz w:val="22"/>
          <w:szCs w:val="22"/>
          <w:lang w:eastAsia="zh-CN"/>
        </w:rPr>
        <w:t xml:space="preserve"> </w:t>
      </w:r>
      <w:r>
        <w:rPr>
          <w:rFonts w:eastAsia="楷体" w:cs="Calibri"/>
          <w:kern w:val="2"/>
          <w:sz w:val="22"/>
          <w:szCs w:val="22"/>
          <w:lang w:eastAsia="zh-CN"/>
        </w:rPr>
        <w:t>Air, a premium full-year management service for Vision Jet owners priced at USD 300,000–485,000 annually, and Cirrus One, a similar program for SR series aircraft starting from USD 1,500 per month (varies by service). Through third-party partners, Cirrus Finance &amp; Insurance provides financing and insurance solutions, generating brokerage commissions of USD 1.6 million in 2021 and 2022, rising to USD 2.7 million in 2023, while cumulatively facilitating over 3,100 financing deals and insurance coverage for more than 900 aircraft.</w:t>
      </w:r>
    </w:p>
    <w:p w14:paraId="0A4DD11B">
      <w:pPr>
        <w:rPr>
          <w:rFonts w:eastAsia="楷体" w:cs="Calibri"/>
          <w:kern w:val="2"/>
          <w:sz w:val="22"/>
          <w:szCs w:val="22"/>
          <w:lang w:eastAsia="zh-CN"/>
        </w:rPr>
      </w:pPr>
    </w:p>
    <w:p w14:paraId="1D396E76">
      <w:pPr>
        <w:rPr>
          <w:rFonts w:eastAsia="楷体" w:cs="Calibri"/>
          <w:kern w:val="2"/>
          <w:sz w:val="22"/>
          <w:szCs w:val="22"/>
          <w:lang w:eastAsia="zh-CN"/>
        </w:rPr>
      </w:pPr>
    </w:p>
    <w:p w14:paraId="64362008">
      <w:pPr>
        <w:rPr>
          <w:rFonts w:eastAsia="楷体" w:cs="Calibri"/>
          <w:kern w:val="2"/>
          <w:sz w:val="22"/>
          <w:szCs w:val="22"/>
          <w:lang w:eastAsia="zh-CN"/>
        </w:rPr>
      </w:pPr>
    </w:p>
    <w:p w14:paraId="0D4CBD78">
      <w:pPr>
        <w:rPr>
          <w:rFonts w:eastAsia="楷体" w:cs="Calibri"/>
          <w:kern w:val="2"/>
          <w:sz w:val="22"/>
          <w:szCs w:val="22"/>
          <w:lang w:eastAsia="zh-CN"/>
        </w:rPr>
      </w:pPr>
    </w:p>
    <w:p w14:paraId="21991DF3">
      <w:pPr>
        <w:rPr>
          <w:rFonts w:eastAsia="楷体" w:cs="Calibri"/>
          <w:kern w:val="2"/>
          <w:sz w:val="22"/>
          <w:szCs w:val="22"/>
          <w:lang w:eastAsia="zh-CN"/>
        </w:rPr>
      </w:pPr>
    </w:p>
    <w:p w14:paraId="59D55366">
      <w:pPr>
        <w:rPr>
          <w:rFonts w:eastAsia="楷体" w:cs="Calibri"/>
          <w:kern w:val="2"/>
          <w:sz w:val="22"/>
          <w:szCs w:val="22"/>
          <w:lang w:eastAsia="zh-CN"/>
        </w:rPr>
      </w:pPr>
    </w:p>
    <w:p w14:paraId="1618DDC7">
      <w:pPr>
        <w:rPr>
          <w:rFonts w:eastAsia="楷体" w:cs="Calibri"/>
          <w:kern w:val="2"/>
          <w:sz w:val="22"/>
          <w:szCs w:val="22"/>
          <w:lang w:eastAsia="zh-CN"/>
        </w:rPr>
      </w:pPr>
    </w:p>
    <w:p w14:paraId="648A04E3">
      <w:pPr>
        <w:rPr>
          <w:rFonts w:eastAsia="楷体" w:cs="Calibri"/>
          <w:kern w:val="2"/>
          <w:sz w:val="22"/>
          <w:szCs w:val="22"/>
          <w:lang w:eastAsia="zh-CN"/>
        </w:rPr>
      </w:pPr>
    </w:p>
    <w:p w14:paraId="441BECB6">
      <w:pPr>
        <w:rPr>
          <w:rFonts w:eastAsia="楷体" w:cs="Calibri"/>
          <w:kern w:val="2"/>
          <w:sz w:val="22"/>
          <w:szCs w:val="22"/>
          <w:lang w:eastAsia="zh-CN"/>
        </w:rPr>
      </w:pPr>
    </w:p>
    <w:p w14:paraId="187B9832">
      <w:pPr>
        <w:rPr>
          <w:rFonts w:eastAsia="楷体" w:cs="Calibri"/>
          <w:kern w:val="2"/>
          <w:sz w:val="22"/>
          <w:szCs w:val="22"/>
          <w:lang w:eastAsia="zh-CN"/>
        </w:rPr>
      </w:pPr>
    </w:p>
    <w:p w14:paraId="53706E51">
      <w:pPr>
        <w:rPr>
          <w:rFonts w:eastAsia="楷体" w:cs="Calibri"/>
          <w:kern w:val="2"/>
          <w:sz w:val="22"/>
          <w:szCs w:val="22"/>
          <w:lang w:eastAsia="zh-CN"/>
        </w:rPr>
      </w:pPr>
    </w:p>
    <w:p w14:paraId="3DF9179A">
      <w:pPr>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4426A39">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DA81536">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eastAsia="楷体_GB2312" w:cs="Calibri"/>
                <w:b/>
                <w:bCs/>
                <w:sz w:val="20"/>
                <w:szCs w:val="20"/>
                <w:lang w:eastAsia="zh-CN"/>
              </w:rPr>
              <w:t>Cirrus IQ App</w:t>
            </w:r>
          </w:p>
        </w:tc>
      </w:tr>
      <w:tr w14:paraId="10D0CC7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2F1C9A1">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8"/>
                          <a:stretch>
                            <a:fillRect/>
                          </a:stretch>
                        </pic:blipFill>
                        <pic:spPr>
                          <a:xfrm>
                            <a:off x="0" y="0"/>
                            <a:ext cx="4603750" cy="2074545"/>
                          </a:xfrm>
                          <a:prstGeom prst="rect">
                            <a:avLst/>
                          </a:prstGeom>
                        </pic:spPr>
                      </pic:pic>
                    </a:graphicData>
                  </a:graphic>
                </wp:inline>
              </w:drawing>
            </w:r>
          </w:p>
        </w:tc>
      </w:tr>
      <w:tr w14:paraId="7D57451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5404301">
            <w:pPr>
              <w:spacing w:line="240" w:lineRule="atLeast"/>
              <w:jc w:val="both"/>
              <w:textAlignment w:val="center"/>
              <w:rPr>
                <w:rFonts w:cs="Calibri"/>
                <w:sz w:val="20"/>
                <w:szCs w:val="20"/>
              </w:rPr>
            </w:pPr>
            <w:r>
              <w:rPr>
                <w:rFonts w:eastAsia="楷体_GB2312" w:cs="Calibri"/>
                <w:b/>
                <w:bCs/>
                <w:sz w:val="20"/>
                <w:szCs w:val="20"/>
              </w:rPr>
              <w:t xml:space="preserve">Source: </w:t>
            </w:r>
            <w:r>
              <w:rPr>
                <w:rFonts w:eastAsia="楷体_GB2312" w:cs="Calibri"/>
                <w:sz w:val="20"/>
                <w:szCs w:val="20"/>
              </w:rPr>
              <w:t xml:space="preserve">Company </w:t>
            </w:r>
            <w:r>
              <w:rPr>
                <w:rFonts w:hint="eastAsia" w:eastAsia="楷体_GB2312" w:cs="Calibri"/>
                <w:sz w:val="20"/>
                <w:szCs w:val="20"/>
                <w:lang w:eastAsia="zh-CN"/>
              </w:rPr>
              <w:t>Announcement</w:t>
            </w:r>
            <w:r>
              <w:rPr>
                <w:rFonts w:eastAsia="楷体_GB2312" w:cs="Calibri"/>
                <w:sz w:val="20"/>
                <w:szCs w:val="20"/>
              </w:rPr>
              <w:t>,</w:t>
            </w:r>
            <w:r>
              <w:rPr>
                <w:rFonts w:hint="eastAsia" w:eastAsia="楷体_GB2312" w:cs="Calibri"/>
                <w:sz w:val="20"/>
                <w:szCs w:val="20"/>
                <w:lang w:eastAsia="zh-CN"/>
              </w:rPr>
              <w:t xml:space="preserve"> </w:t>
            </w:r>
            <w:r>
              <w:rPr>
                <w:rFonts w:hint="eastAsia" w:eastAsia="楷体_GB2312" w:cs="Calibri"/>
                <w:sz w:val="20"/>
                <w:szCs w:val="20"/>
              </w:rPr>
              <w:t>HFI</w:t>
            </w:r>
          </w:p>
        </w:tc>
      </w:tr>
    </w:tbl>
    <w:p w14:paraId="78E10C3B">
      <w:pPr>
        <w:rPr>
          <w:rFonts w:eastAsia="楷体" w:cs="Calibri"/>
          <w:kern w:val="2"/>
          <w:sz w:val="22"/>
          <w:szCs w:val="22"/>
          <w:lang w:eastAsia="zh-CN"/>
        </w:rPr>
      </w:pPr>
    </w:p>
    <w:p w14:paraId="05439B5B">
      <w:pPr>
        <w:pStyle w:val="76"/>
        <w:jc w:val="both"/>
        <w:rPr>
          <w:rFonts w:ascii="Calibri" w:hAnsi="Calibri" w:eastAsia="楷体" w:cs="Calibri"/>
          <w:color w:val="215E99"/>
          <w:sz w:val="24"/>
        </w:rPr>
      </w:pPr>
      <w:bookmarkStart w:id="16" w:name="_Toc218942523"/>
      <w:r>
        <w:rPr>
          <w:rFonts w:ascii="Calibri" w:hAnsi="Calibri" w:eastAsia="楷体" w:cs="Calibri"/>
          <w:color w:val="215E99"/>
          <w:sz w:val="24"/>
        </w:rPr>
        <w:t>3.</w:t>
      </w:r>
      <w:r>
        <w:rPr>
          <w:rFonts w:hint="eastAsia" w:ascii="Calibri" w:hAnsi="Calibri" w:eastAsia="楷体" w:cs="Calibri"/>
          <w:color w:val="215E99"/>
          <w:sz w:val="24"/>
        </w:rPr>
        <w:t>3</w:t>
      </w:r>
      <w:r>
        <w:rPr>
          <w:rFonts w:ascii="Calibri" w:hAnsi="Calibri" w:eastAsia="楷体" w:cs="Calibri"/>
          <w:color w:val="215E99"/>
          <w:sz w:val="24"/>
        </w:rPr>
        <w:t xml:space="preserve"> </w:t>
      </w:r>
      <w:r>
        <w:rPr>
          <w:rFonts w:hint="eastAsia" w:ascii="Calibri" w:hAnsi="Calibri" w:eastAsia="楷体" w:cs="Calibri"/>
          <w:color w:val="215E99"/>
          <w:sz w:val="24"/>
        </w:rPr>
        <w:t>Rep</w:t>
      </w:r>
      <w:r>
        <w:rPr>
          <w:rFonts w:ascii="Calibri" w:hAnsi="Calibri" w:eastAsia="楷体" w:cs="Calibri"/>
          <w:color w:val="215E99"/>
          <w:sz w:val="24"/>
        </w:rPr>
        <w:t>urchases and Pricing Power Demonstrate Strong Brand Strength</w:t>
      </w:r>
      <w:bookmarkEnd w:id="16"/>
    </w:p>
    <w:p w14:paraId="048BBF14">
      <w:pPr>
        <w:jc w:val="both"/>
        <w:rPr>
          <w:rFonts w:eastAsia="楷体" w:cs="Calibri"/>
          <w:b/>
          <w:bCs/>
          <w:kern w:val="2"/>
          <w:sz w:val="22"/>
          <w:szCs w:val="22"/>
          <w:lang w:eastAsia="zh-CN"/>
        </w:rPr>
      </w:pPr>
      <w:r>
        <w:rPr>
          <w:rFonts w:eastAsia="楷体" w:cs="Calibri"/>
          <w:b/>
          <w:bCs/>
          <w:kern w:val="2"/>
          <w:sz w:val="22"/>
          <w:szCs w:val="22"/>
          <w:lang w:eastAsia="zh-CN"/>
        </w:rPr>
        <w:t>Cirrus enjoy</w:t>
      </w:r>
      <w:r>
        <w:rPr>
          <w:rFonts w:hint="eastAsia" w:eastAsia="楷体" w:cs="Calibri"/>
          <w:b/>
          <w:bCs/>
          <w:kern w:val="2"/>
          <w:sz w:val="22"/>
          <w:szCs w:val="22"/>
          <w:lang w:eastAsia="zh-CN"/>
        </w:rPr>
        <w:t>s</w:t>
      </w:r>
      <w:r>
        <w:rPr>
          <w:rFonts w:eastAsia="楷体" w:cs="Calibri"/>
          <w:b/>
          <w:bCs/>
          <w:kern w:val="2"/>
          <w:sz w:val="22"/>
          <w:szCs w:val="22"/>
          <w:lang w:eastAsia="zh-CN"/>
        </w:rPr>
        <w:t xml:space="preserve"> a high repurchase rate and strong pricing power, demonstrating its robust brand strength.</w:t>
      </w:r>
      <w:r>
        <w:rPr>
          <w:rFonts w:hint="eastAsia" w:eastAsia="楷体" w:cs="Calibri"/>
          <w:b/>
          <w:bCs/>
          <w:kern w:val="2"/>
          <w:sz w:val="22"/>
          <w:szCs w:val="22"/>
          <w:lang w:eastAsia="zh-CN"/>
        </w:rPr>
        <w:t xml:space="preserve"> </w:t>
      </w:r>
      <w:r>
        <w:rPr>
          <w:rFonts w:eastAsia="楷体" w:cs="Calibri"/>
          <w:kern w:val="2"/>
          <w:sz w:val="22"/>
          <w:szCs w:val="22"/>
          <w:lang w:eastAsia="zh-CN"/>
        </w:rPr>
        <w:t xml:space="preserve">Cirrus Aircraft's average price CAGR over the past </w:t>
      </w:r>
      <w:r>
        <w:rPr>
          <w:rFonts w:hint="eastAsia" w:eastAsia="楷体" w:cs="Calibri"/>
          <w:kern w:val="2"/>
          <w:sz w:val="22"/>
          <w:szCs w:val="22"/>
          <w:lang w:eastAsia="zh-CN"/>
        </w:rPr>
        <w:t xml:space="preserve">9 </w:t>
      </w:r>
      <w:r>
        <w:rPr>
          <w:rFonts w:eastAsia="楷体" w:cs="Calibri"/>
          <w:kern w:val="2"/>
          <w:sz w:val="22"/>
          <w:szCs w:val="22"/>
          <w:lang w:eastAsia="zh-CN"/>
        </w:rPr>
        <w:t xml:space="preserve">years reached </w:t>
      </w:r>
      <w:r>
        <w:rPr>
          <w:rFonts w:hint="eastAsia" w:eastAsia="楷体" w:cs="Calibri"/>
          <w:kern w:val="2"/>
          <w:sz w:val="22"/>
          <w:szCs w:val="22"/>
          <w:lang w:eastAsia="zh-CN"/>
        </w:rPr>
        <w:t>7.5</w:t>
      </w:r>
      <w:r>
        <w:rPr>
          <w:rFonts w:eastAsia="楷体" w:cs="Calibri"/>
          <w:kern w:val="2"/>
          <w:sz w:val="22"/>
          <w:szCs w:val="22"/>
          <w:lang w:eastAsia="zh-CN"/>
        </w:rPr>
        <w:t xml:space="preserve">%, outperforming U.S. per capita disposable income growth of </w:t>
      </w:r>
      <w:r>
        <w:rPr>
          <w:rFonts w:hint="eastAsia" w:eastAsia="楷体" w:cs="Calibri"/>
          <w:kern w:val="2"/>
          <w:sz w:val="22"/>
          <w:szCs w:val="22"/>
          <w:lang w:eastAsia="zh-CN"/>
        </w:rPr>
        <w:t>5.24</w:t>
      </w:r>
      <w:r>
        <w:rPr>
          <w:rFonts w:eastAsia="楷体" w:cs="Calibri"/>
          <w:kern w:val="2"/>
          <w:sz w:val="22"/>
          <w:szCs w:val="22"/>
          <w:lang w:eastAsia="zh-CN"/>
        </w:rPr>
        <w:t xml:space="preserve">%, </w:t>
      </w:r>
      <w:r>
        <w:rPr>
          <w:rFonts w:hint="eastAsia" w:eastAsia="楷体" w:cs="Calibri"/>
          <w:kern w:val="2"/>
          <w:sz w:val="22"/>
          <w:szCs w:val="22"/>
          <w:lang w:eastAsia="zh-CN"/>
        </w:rPr>
        <w:t xml:space="preserve">and </w:t>
      </w:r>
      <w:r>
        <w:rPr>
          <w:rFonts w:eastAsia="楷体" w:cs="Calibri"/>
          <w:kern w:val="2"/>
          <w:sz w:val="22"/>
          <w:szCs w:val="22"/>
          <w:lang w:eastAsia="zh-CN"/>
        </w:rPr>
        <w:t xml:space="preserve">U.S. CPI growth of </w:t>
      </w:r>
      <w:r>
        <w:rPr>
          <w:rFonts w:hint="eastAsia" w:eastAsia="楷体" w:cs="Calibri"/>
          <w:kern w:val="2"/>
          <w:sz w:val="22"/>
          <w:szCs w:val="22"/>
          <w:lang w:eastAsia="zh-CN"/>
        </w:rPr>
        <w:t>1.38</w:t>
      </w:r>
      <w:r>
        <w:rPr>
          <w:rFonts w:eastAsia="楷体" w:cs="Calibri"/>
          <w:kern w:val="2"/>
          <w:sz w:val="22"/>
          <w:szCs w:val="22"/>
          <w:lang w:eastAsia="zh-CN"/>
        </w:rPr>
        <w:t xml:space="preserve">%, and luxury brand Ferrari's </w:t>
      </w:r>
      <w:r>
        <w:rPr>
          <w:rFonts w:hint="eastAsia" w:eastAsia="楷体" w:cs="Calibri"/>
          <w:kern w:val="2"/>
          <w:sz w:val="22"/>
          <w:szCs w:val="22"/>
          <w:lang w:eastAsia="zh-CN"/>
        </w:rPr>
        <w:t>4</w:t>
      </w:r>
      <w:r>
        <w:rPr>
          <w:rFonts w:eastAsia="楷体" w:cs="Calibri"/>
          <w:kern w:val="2"/>
          <w:sz w:val="22"/>
          <w:szCs w:val="22"/>
          <w:lang w:eastAsia="zh-CN"/>
        </w:rPr>
        <w:t>.8% over the same period, highlighting Cirrus's robust pricing power.</w:t>
      </w:r>
      <w:r>
        <w:rPr>
          <w:rFonts w:hint="eastAsia" w:eastAsia="楷体" w:cs="Calibri"/>
          <w:kern w:val="2"/>
          <w:sz w:val="22"/>
          <w:szCs w:val="22"/>
          <w:lang w:eastAsia="zh-CN"/>
        </w:rPr>
        <w:t xml:space="preserve"> </w:t>
      </w:r>
      <w:r>
        <w:rPr>
          <w:rFonts w:eastAsia="楷体" w:cs="Calibri"/>
          <w:kern w:val="2"/>
          <w:sz w:val="22"/>
          <w:szCs w:val="22"/>
          <w:lang w:eastAsia="zh-CN"/>
        </w:rPr>
        <w:t>From a repeat-purchase perspective, according to the company's prospectus, 75% of Vision Jet sales come from existing customers, further underscoring its powerful brand strength.</w:t>
      </w:r>
    </w:p>
    <w:p w14:paraId="667FD798">
      <w:pPr>
        <w:jc w:val="both"/>
        <w:rPr>
          <w:rFonts w:hint="eastAsia" w:eastAsia="楷体" w:asciiTheme="minorHAnsi" w:hAnsiTheme="minorHAnsi" w:cstheme="minorHAnsi"/>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4D66F69">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55EF0406">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Average Price of Cirrus from 2015 to 2024</w:t>
            </w:r>
          </w:p>
        </w:tc>
        <w:tc>
          <w:tcPr>
            <w:tcW w:w="241" w:type="dxa"/>
            <w:tcMar>
              <w:left w:w="0" w:type="dxa"/>
              <w:right w:w="28" w:type="dxa"/>
            </w:tcMar>
          </w:tcPr>
          <w:p w14:paraId="4D7A318C">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63CB99C1">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Average Price of Ferrari from 2015 to 2024</w:t>
            </w:r>
          </w:p>
        </w:tc>
      </w:tr>
      <w:tr w14:paraId="2BF27324">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017CD103">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781175"/>
                  <wp:effectExtent l="0" t="0" r="0" b="0"/>
                  <wp:docPr id="102268174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41" w:type="dxa"/>
          </w:tcPr>
          <w:p w14:paraId="2C6B069B">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20E929B9">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0" b="0"/>
                  <wp:docPr id="53275731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14:paraId="04EE09F1">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F37EE81">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GAMA</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c>
          <w:tcPr>
            <w:tcW w:w="241" w:type="dxa"/>
            <w:tcMar>
              <w:left w:w="0" w:type="dxa"/>
              <w:right w:w="28" w:type="dxa"/>
            </w:tcMar>
          </w:tcPr>
          <w:p w14:paraId="6FC59274">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9906E8F">
            <w:pPr>
              <w:spacing w:before="48" w:beforeLines="20" w:after="48" w:afterLines="20"/>
              <w:jc w:val="both"/>
              <w:rPr>
                <w:rFonts w:eastAsia="楷体_GB2312" w:cs="Calibri"/>
                <w:sz w:val="20"/>
                <w:szCs w:val="20"/>
              </w:rPr>
            </w:pPr>
            <w:r>
              <w:rPr>
                <w:rFonts w:eastAsia="楷体_GB2312" w:cs="Calibri"/>
                <w:b/>
                <w:bCs/>
                <w:sz w:val="20"/>
                <w:szCs w:val="20"/>
              </w:rPr>
              <w:t xml:space="preserve">Source: Company </w:t>
            </w:r>
            <w:r>
              <w:rPr>
                <w:rFonts w:hint="eastAsia" w:eastAsia="楷体_GB2312" w:cs="Calibri"/>
                <w:b/>
                <w:bCs/>
                <w:sz w:val="20"/>
                <w:szCs w:val="20"/>
                <w:lang w:eastAsia="zh-CN"/>
              </w:rPr>
              <w:t>Official Website</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r>
    </w:tbl>
    <w:p w14:paraId="599F78ED">
      <w:pPr>
        <w:jc w:val="both"/>
        <w:rPr>
          <w:rFonts w:hint="eastAsia" w:eastAsia="楷体" w:asciiTheme="minorHAnsi" w:hAnsiTheme="minorHAnsi" w:cstheme="minorHAnsi"/>
          <w:kern w:val="2"/>
          <w:sz w:val="22"/>
          <w:szCs w:val="22"/>
          <w:lang w:eastAsia="zh-CN"/>
        </w:rPr>
      </w:pPr>
    </w:p>
    <w:p w14:paraId="02D4A5A1">
      <w:pPr>
        <w:jc w:val="both"/>
        <w:rPr>
          <w:rFonts w:hint="eastAsia" w:eastAsia="楷体" w:asciiTheme="minorHAnsi" w:hAnsiTheme="minorHAnsi" w:cstheme="minorHAnsi"/>
          <w:kern w:val="2"/>
          <w:sz w:val="22"/>
          <w:szCs w:val="22"/>
          <w:lang w:eastAsia="zh-CN"/>
        </w:rPr>
      </w:pPr>
    </w:p>
    <w:p w14:paraId="51741038">
      <w:pPr>
        <w:jc w:val="both"/>
        <w:rPr>
          <w:rFonts w:hint="eastAsia" w:eastAsia="楷体" w:asciiTheme="minorHAnsi" w:hAnsiTheme="minorHAnsi" w:cstheme="minorHAnsi"/>
          <w:kern w:val="2"/>
          <w:sz w:val="22"/>
          <w:szCs w:val="22"/>
          <w:lang w:eastAsia="zh-CN"/>
        </w:rPr>
      </w:pPr>
    </w:p>
    <w:p w14:paraId="2BA5619F">
      <w:pPr>
        <w:jc w:val="both"/>
        <w:rPr>
          <w:rFonts w:hint="eastAsia" w:eastAsia="楷体" w:asciiTheme="minorHAnsi" w:hAnsiTheme="minorHAnsi" w:cstheme="minorHAnsi"/>
          <w:kern w:val="2"/>
          <w:sz w:val="22"/>
          <w:szCs w:val="22"/>
          <w:lang w:eastAsia="zh-CN"/>
        </w:rPr>
      </w:pPr>
    </w:p>
    <w:p w14:paraId="21D51313">
      <w:pPr>
        <w:jc w:val="both"/>
        <w:rPr>
          <w:rFonts w:eastAsia="楷体" w:asciiTheme="minorHAnsi" w:hAnsiTheme="minorHAnsi" w:cstheme="minorHAnsi"/>
          <w:kern w:val="2"/>
          <w:sz w:val="22"/>
          <w:szCs w:val="22"/>
          <w:lang w:eastAsia="zh-CN"/>
        </w:rPr>
      </w:pPr>
    </w:p>
    <w:p w14:paraId="0FD538F4">
      <w:pPr>
        <w:jc w:val="both"/>
        <w:rPr>
          <w:rFonts w:eastAsia="楷体" w:asciiTheme="minorHAnsi" w:hAnsiTheme="minorHAnsi" w:cstheme="minorHAnsi"/>
          <w:kern w:val="2"/>
          <w:sz w:val="22"/>
          <w:szCs w:val="22"/>
          <w:lang w:eastAsia="zh-CN"/>
        </w:rPr>
      </w:pPr>
    </w:p>
    <w:p w14:paraId="6C8DDF8B">
      <w:pPr>
        <w:jc w:val="both"/>
        <w:rPr>
          <w:rFonts w:eastAsia="楷体" w:asciiTheme="minorHAnsi" w:hAnsiTheme="minorHAnsi" w:cstheme="minorHAnsi"/>
          <w:kern w:val="2"/>
          <w:sz w:val="22"/>
          <w:szCs w:val="22"/>
          <w:lang w:eastAsia="zh-CN"/>
        </w:rPr>
      </w:pPr>
    </w:p>
    <w:p w14:paraId="52D49A99">
      <w:pPr>
        <w:jc w:val="both"/>
        <w:rPr>
          <w:rFonts w:eastAsia="楷体" w:asciiTheme="minorHAnsi" w:hAnsiTheme="minorHAnsi" w:cstheme="minorHAnsi"/>
          <w:kern w:val="2"/>
          <w:sz w:val="22"/>
          <w:szCs w:val="22"/>
          <w:lang w:eastAsia="zh-CN"/>
        </w:rPr>
      </w:pPr>
    </w:p>
    <w:p w14:paraId="2F3BE841">
      <w:pPr>
        <w:jc w:val="both"/>
        <w:rPr>
          <w:rFonts w:eastAsia="楷体" w:asciiTheme="minorHAnsi" w:hAnsiTheme="minorHAnsi" w:cstheme="minorHAnsi"/>
          <w:kern w:val="2"/>
          <w:sz w:val="22"/>
          <w:szCs w:val="22"/>
          <w:lang w:eastAsia="zh-CN"/>
        </w:rPr>
      </w:pPr>
    </w:p>
    <w:p w14:paraId="3572D249">
      <w:pPr>
        <w:jc w:val="both"/>
        <w:rPr>
          <w:rFonts w:hint="eastAsia" w:eastAsia="楷体" w:asciiTheme="minorHAnsi" w:hAnsiTheme="minorHAnsi" w:cstheme="minorHAnsi"/>
          <w:kern w:val="2"/>
          <w:sz w:val="22"/>
          <w:szCs w:val="22"/>
          <w:lang w:eastAsia="zh-CN"/>
        </w:rPr>
      </w:pPr>
    </w:p>
    <w:p w14:paraId="4B54F37B">
      <w:pPr>
        <w:jc w:val="both"/>
        <w:rPr>
          <w:rFonts w:hint="eastAsia" w:eastAsia="楷体" w:asciiTheme="minorHAnsi" w:hAnsiTheme="minorHAnsi" w:cstheme="minorHAnsi"/>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4F36235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019C9FCD">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 xml:space="preserve">U.S. </w:t>
            </w:r>
            <w:r>
              <w:rPr>
                <w:rFonts w:hint="eastAsia" w:eastAsia="楷体_GB2312" w:cs="Calibri"/>
                <w:b/>
                <w:sz w:val="20"/>
                <w:szCs w:val="20"/>
                <w:lang w:eastAsia="zh-CN"/>
              </w:rPr>
              <w:t>P</w:t>
            </w:r>
            <w:r>
              <w:rPr>
                <w:rFonts w:eastAsia="楷体_GB2312" w:cs="Calibri"/>
                <w:b/>
                <w:sz w:val="20"/>
                <w:szCs w:val="20"/>
                <w:lang w:eastAsia="zh-CN"/>
              </w:rPr>
              <w:t xml:space="preserve">er </w:t>
            </w:r>
            <w:r>
              <w:rPr>
                <w:rFonts w:hint="eastAsia" w:eastAsia="楷体_GB2312" w:cs="Calibri"/>
                <w:b/>
                <w:sz w:val="20"/>
                <w:szCs w:val="20"/>
                <w:lang w:eastAsia="zh-CN"/>
              </w:rPr>
              <w:t>C</w:t>
            </w:r>
            <w:r>
              <w:rPr>
                <w:rFonts w:eastAsia="楷体_GB2312" w:cs="Calibri"/>
                <w:b/>
                <w:sz w:val="20"/>
                <w:szCs w:val="20"/>
                <w:lang w:eastAsia="zh-CN"/>
              </w:rPr>
              <w:t xml:space="preserve">apita </w:t>
            </w:r>
            <w:r>
              <w:rPr>
                <w:rFonts w:hint="eastAsia" w:eastAsia="楷体_GB2312" w:cs="Calibri"/>
                <w:b/>
                <w:sz w:val="20"/>
                <w:szCs w:val="20"/>
                <w:lang w:eastAsia="zh-CN"/>
              </w:rPr>
              <w:t>D</w:t>
            </w:r>
            <w:r>
              <w:rPr>
                <w:rFonts w:eastAsia="楷体_GB2312" w:cs="Calibri"/>
                <w:b/>
                <w:sz w:val="20"/>
                <w:szCs w:val="20"/>
                <w:lang w:eastAsia="zh-CN"/>
              </w:rPr>
              <w:t xml:space="preserve">isposable </w:t>
            </w:r>
            <w:r>
              <w:rPr>
                <w:rFonts w:hint="eastAsia" w:eastAsia="楷体_GB2312" w:cs="Calibri"/>
                <w:b/>
                <w:sz w:val="20"/>
                <w:szCs w:val="20"/>
                <w:lang w:eastAsia="zh-CN"/>
              </w:rPr>
              <w:t>I</w:t>
            </w:r>
            <w:r>
              <w:rPr>
                <w:rFonts w:eastAsia="楷体_GB2312" w:cs="Calibri"/>
                <w:b/>
                <w:sz w:val="20"/>
                <w:szCs w:val="20"/>
                <w:lang w:eastAsia="zh-CN"/>
              </w:rPr>
              <w:t>ncome</w:t>
            </w:r>
            <w:r>
              <w:rPr>
                <w:rFonts w:hint="eastAsia" w:eastAsia="楷体_GB2312" w:cs="Calibri"/>
                <w:b/>
                <w:sz w:val="20"/>
                <w:szCs w:val="20"/>
                <w:lang w:eastAsia="zh-CN"/>
              </w:rPr>
              <w:t xml:space="preserve"> from 2015 to 2024</w:t>
            </w:r>
          </w:p>
        </w:tc>
        <w:tc>
          <w:tcPr>
            <w:tcW w:w="241" w:type="dxa"/>
            <w:tcMar>
              <w:left w:w="0" w:type="dxa"/>
              <w:right w:w="28" w:type="dxa"/>
            </w:tcMar>
          </w:tcPr>
          <w:p w14:paraId="70AB1DCA">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6FA2AF90">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eastAsia="楷体_GB2312" w:cs="Calibri"/>
                <w:b/>
                <w:sz w:val="20"/>
                <w:szCs w:val="20"/>
                <w:lang w:eastAsia="zh-CN"/>
              </w:rPr>
              <w:t xml:space="preserve">U.S. </w:t>
            </w:r>
            <w:r>
              <w:rPr>
                <w:rFonts w:hint="eastAsia" w:eastAsia="楷体_GB2312" w:cs="Calibri"/>
                <w:b/>
                <w:sz w:val="20"/>
                <w:szCs w:val="20"/>
                <w:lang w:eastAsia="zh-CN"/>
              </w:rPr>
              <w:t>CPI from 2015 to 2024</w:t>
            </w:r>
          </w:p>
        </w:tc>
      </w:tr>
      <w:tr w14:paraId="3813A0D2">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AF5CBF1">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60550"/>
                  <wp:effectExtent l="0" t="0" r="3810" b="6350"/>
                  <wp:docPr id="75140771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41" w:type="dxa"/>
          </w:tcPr>
          <w:p w14:paraId="729DBD81">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287BFFDE">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0" b="6350"/>
                  <wp:docPr id="7662865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tc>
      </w:tr>
      <w:tr w14:paraId="377FC3DE">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40D6277">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Wind</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c>
          <w:tcPr>
            <w:tcW w:w="241" w:type="dxa"/>
            <w:tcMar>
              <w:left w:w="0" w:type="dxa"/>
              <w:right w:w="28" w:type="dxa"/>
            </w:tcMar>
          </w:tcPr>
          <w:p w14:paraId="708768B0">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15C812A3">
            <w:pPr>
              <w:spacing w:before="48" w:beforeLines="20" w:after="48" w:afterLines="20"/>
              <w:jc w:val="both"/>
              <w:rPr>
                <w:rFonts w:eastAsia="楷体_GB2312"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Wind</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r>
    </w:tbl>
    <w:p w14:paraId="278AF66C">
      <w:pPr>
        <w:jc w:val="both"/>
        <w:rPr>
          <w:rFonts w:hint="eastAsia" w:eastAsia="楷体" w:asciiTheme="minorHAnsi" w:hAnsiTheme="minorHAnsi" w:cstheme="minorHAnsi"/>
          <w:kern w:val="2"/>
          <w:sz w:val="22"/>
          <w:szCs w:val="22"/>
          <w:lang w:eastAsia="zh-CN"/>
        </w:rPr>
      </w:pPr>
    </w:p>
    <w:p w14:paraId="191C45CF">
      <w:pPr>
        <w:pStyle w:val="2"/>
        <w:spacing w:before="240" w:beforeLines="100" w:after="240" w:afterLines="100"/>
        <w:jc w:val="both"/>
        <w:rPr>
          <w:rFonts w:ascii="Calibri" w:hAnsi="Calibri" w:eastAsia="楷体" w:cs="Calibri"/>
          <w:b/>
          <w:bCs/>
          <w:color w:val="215E99"/>
          <w:sz w:val="30"/>
          <w:lang w:eastAsia="zh-CN"/>
        </w:rPr>
      </w:pPr>
      <w:bookmarkStart w:id="17" w:name="_Toc218942524"/>
      <w:r>
        <w:rPr>
          <w:rFonts w:ascii="Calibri" w:hAnsi="Calibri" w:eastAsia="楷体_GB2312" w:cs="Calibri"/>
          <w:b/>
          <w:bCs/>
          <w:color w:val="215E99"/>
          <w:sz w:val="30"/>
          <w:lang w:eastAsia="zh-CN"/>
        </w:rPr>
        <w:t>4</w:t>
      </w:r>
      <w:r>
        <w:rPr>
          <w:rFonts w:ascii="Calibri" w:hAnsi="Calibri" w:eastAsia="楷体_GB2312" w:cs="Calibri"/>
          <w:b/>
          <w:bCs/>
          <w:color w:val="215E99"/>
          <w:sz w:val="30"/>
        </w:rPr>
        <w:t>.</w:t>
      </w:r>
      <w:r>
        <w:rPr>
          <w:rFonts w:ascii="Calibri" w:hAnsi="Calibri" w:cs="Calibri"/>
          <w:b/>
          <w:bCs/>
          <w:color w:val="215E99"/>
        </w:rPr>
        <w:t xml:space="preserve"> </w:t>
      </w:r>
      <w:bookmarkEnd w:id="10"/>
      <w:r>
        <w:rPr>
          <w:rFonts w:ascii="Calibri" w:hAnsi="Calibri" w:eastAsia="楷体" w:cs="Calibri"/>
          <w:b/>
          <w:bCs/>
          <w:color w:val="215E99"/>
          <w:sz w:val="30"/>
          <w:lang w:eastAsia="zh-CN"/>
        </w:rPr>
        <w:t>Future Outlook: Robust Yet Resilient Growth</w:t>
      </w:r>
      <w:bookmarkEnd w:id="17"/>
    </w:p>
    <w:p w14:paraId="6940848A">
      <w:pPr>
        <w:jc w:val="both"/>
        <w:rPr>
          <w:rFonts w:eastAsia="楷体" w:cs="Calibri"/>
          <w:sz w:val="22"/>
          <w:szCs w:val="22"/>
          <w:lang w:eastAsia="zh-CN"/>
        </w:rPr>
      </w:pPr>
      <w:r>
        <w:rPr>
          <w:rFonts w:eastAsia="楷体" w:cs="Calibri"/>
          <w:b/>
          <w:bCs/>
          <w:sz w:val="22"/>
          <w:szCs w:val="22"/>
          <w:lang w:eastAsia="zh-CN"/>
        </w:rPr>
        <w:t>Strong Order Backlog Ensures Solid Performance Visibility</w:t>
      </w:r>
      <w:r>
        <w:rPr>
          <w:rFonts w:hint="eastAsia" w:eastAsia="楷体" w:cs="Calibri"/>
          <w:b/>
          <w:bCs/>
          <w:sz w:val="22"/>
          <w:szCs w:val="22"/>
          <w:lang w:eastAsia="zh-CN"/>
        </w:rPr>
        <w:t>.</w:t>
      </w:r>
      <w:r>
        <w:rPr>
          <w:rFonts w:eastAsia="楷体" w:cs="Calibri"/>
          <w:b/>
          <w:bCs/>
          <w:sz w:val="22"/>
          <w:szCs w:val="22"/>
          <w:lang w:eastAsia="zh-CN"/>
        </w:rPr>
        <w:t xml:space="preserve"> </w:t>
      </w:r>
      <w:r>
        <w:rPr>
          <w:rFonts w:eastAsia="楷体" w:cs="Calibri"/>
          <w:sz w:val="22"/>
          <w:szCs w:val="22"/>
          <w:lang w:eastAsia="zh-CN"/>
        </w:rPr>
        <w:t>Due to differences in customer ground and configuration preferences, the delivery cycle for each aircraft paid for by customers under order typically ranges from 18 to 24 months.</w:t>
      </w:r>
      <w:r>
        <w:rPr>
          <w:rFonts w:hint="eastAsia" w:eastAsia="楷体" w:cs="Calibri"/>
          <w:sz w:val="22"/>
          <w:szCs w:val="22"/>
          <w:lang w:eastAsia="zh-CN"/>
        </w:rPr>
        <w:t xml:space="preserve"> </w:t>
      </w:r>
      <w:r>
        <w:rPr>
          <w:rFonts w:eastAsia="楷体" w:cs="Calibri"/>
          <w:sz w:val="22"/>
          <w:szCs w:val="22"/>
          <w:lang w:eastAsia="zh-CN"/>
        </w:rPr>
        <w:t>According to GAMA data, Cirrus delivered 555 aircraft in the first three quarters of 2025, with a still ample order backlog that provides strong support for future performance.</w:t>
      </w:r>
    </w:p>
    <w:p w14:paraId="56B45F68">
      <w:pPr>
        <w:jc w:val="both"/>
        <w:rPr>
          <w:rFonts w:eastAsia="楷体" w:cs="Calibri"/>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346346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70E44325">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 xml:space="preserve">Cirrus Aircraft Quarterly </w:t>
            </w:r>
            <w:r>
              <w:rPr>
                <w:rFonts w:hint="eastAsia" w:eastAsia="楷体_GB2312" w:cs="Calibri"/>
                <w:b/>
                <w:sz w:val="20"/>
                <w:szCs w:val="20"/>
                <w:lang w:eastAsia="zh-CN"/>
              </w:rPr>
              <w:t>Shipments</w:t>
            </w:r>
            <w:r>
              <w:rPr>
                <w:rFonts w:eastAsia="楷体_GB2312" w:cs="Calibri"/>
                <w:b/>
                <w:sz w:val="20"/>
                <w:szCs w:val="20"/>
                <w:lang w:eastAsia="zh-CN"/>
              </w:rPr>
              <w:t xml:space="preserve"> (Unit</w:t>
            </w:r>
            <w:r>
              <w:rPr>
                <w:rFonts w:hint="eastAsia" w:eastAsia="楷体_GB2312" w:cs="Calibri"/>
                <w:b/>
                <w:sz w:val="20"/>
                <w:szCs w:val="20"/>
                <w:lang w:eastAsia="zh-CN"/>
              </w:rPr>
              <w:t>s</w:t>
            </w:r>
            <w:r>
              <w:rPr>
                <w:rFonts w:eastAsia="楷体_GB2312" w:cs="Calibri"/>
                <w:b/>
                <w:sz w:val="20"/>
                <w:szCs w:val="20"/>
                <w:lang w:eastAsia="zh-CN"/>
              </w:rPr>
              <w:t>)</w:t>
            </w:r>
          </w:p>
        </w:tc>
        <w:tc>
          <w:tcPr>
            <w:tcW w:w="241" w:type="dxa"/>
            <w:tcMar>
              <w:left w:w="0" w:type="dxa"/>
              <w:right w:w="28" w:type="dxa"/>
            </w:tcMar>
          </w:tcPr>
          <w:p w14:paraId="7FF0E783">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57EE7D35">
            <w:pPr>
              <w:spacing w:before="48" w:beforeLines="20" w:after="48" w:afterLines="20"/>
              <w:jc w:val="both"/>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Cirrus Order and Delivery Statistics</w:t>
            </w:r>
          </w:p>
        </w:tc>
      </w:tr>
      <w:tr w14:paraId="41AAAF8D">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754CDDF">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918335"/>
                  <wp:effectExtent l="0" t="0" r="0" b="5715"/>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c>
          <w:tcPr>
            <w:tcW w:w="241" w:type="dxa"/>
          </w:tcPr>
          <w:p w14:paraId="3B6AD36E">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0C3E00A0">
            <w:pPr>
              <w:spacing w:before="48" w:beforeLines="20" w:after="48" w:afterLines="20"/>
              <w:jc w:val="both"/>
              <w:rPr>
                <w:rFonts w:eastAsia="楷体_GB2312" w:cs="Calibri"/>
                <w:b/>
                <w:sz w:val="20"/>
                <w:szCs w:val="20"/>
              </w:rPr>
            </w:pPr>
            <w:r>
              <w:rPr>
                <w:rFonts w:eastAsia="楷体_GB2312" w:cs="Calibri"/>
                <w:b/>
                <w:sz w:val="20"/>
                <w:szCs w:val="20"/>
              </w:rPr>
              <w:drawing>
                <wp:inline distT="0" distB="0" distL="0" distR="0">
                  <wp:extent cx="3128010" cy="1982470"/>
                  <wp:effectExtent l="0" t="0" r="0" b="0"/>
                  <wp:docPr id="18628174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7486" name="图片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3128010" cy="1982470"/>
                          </a:xfrm>
                          <a:prstGeom prst="rect">
                            <a:avLst/>
                          </a:prstGeom>
                          <a:noFill/>
                          <a:ln>
                            <a:noFill/>
                          </a:ln>
                        </pic:spPr>
                      </pic:pic>
                    </a:graphicData>
                  </a:graphic>
                </wp:inline>
              </w:drawing>
            </w:r>
          </w:p>
        </w:tc>
      </w:tr>
      <w:tr w14:paraId="051ADF06">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4C1D7B41">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GAMA</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c>
          <w:tcPr>
            <w:tcW w:w="241" w:type="dxa"/>
            <w:tcMar>
              <w:left w:w="0" w:type="dxa"/>
              <w:right w:w="28" w:type="dxa"/>
            </w:tcMar>
          </w:tcPr>
          <w:p w14:paraId="220E4DF3">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19D114E2">
            <w:pPr>
              <w:spacing w:before="48" w:beforeLines="20" w:after="48" w:afterLines="20"/>
              <w:jc w:val="both"/>
              <w:rPr>
                <w:rFonts w:eastAsia="楷体_GB2312"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Company Annual Report</w:t>
            </w:r>
            <w:r>
              <w:rPr>
                <w:rFonts w:eastAsia="楷体_GB2312" w:cs="Calibri"/>
                <w:b/>
                <w:bCs/>
                <w:sz w:val="20"/>
                <w:szCs w:val="20"/>
              </w:rPr>
              <w:t xml:space="preserve">, </w:t>
            </w:r>
            <w:r>
              <w:rPr>
                <w:rFonts w:hint="eastAsia" w:eastAsia="楷体_GB2312" w:cs="Calibri"/>
                <w:b/>
                <w:bCs/>
                <w:sz w:val="20"/>
                <w:szCs w:val="20"/>
                <w:lang w:eastAsia="zh-CN"/>
              </w:rPr>
              <w:t>Company</w:t>
            </w:r>
            <w:r>
              <w:rPr>
                <w:rFonts w:eastAsia="楷体_GB2312" w:cs="Calibri"/>
                <w:b/>
                <w:bCs/>
                <w:sz w:val="20"/>
                <w:szCs w:val="20"/>
              </w:rPr>
              <w:t xml:space="preserve"> prospectus</w:t>
            </w:r>
            <w:r>
              <w:rPr>
                <w:rFonts w:hint="eastAsia" w:eastAsia="楷体_GB2312" w:cs="Calibri"/>
                <w:b/>
                <w:bCs/>
                <w:sz w:val="20"/>
                <w:szCs w:val="20"/>
                <w:lang w:eastAsia="zh-CN"/>
              </w:rPr>
              <w:t xml:space="preserve">, </w:t>
            </w:r>
            <w:r>
              <w:rPr>
                <w:rFonts w:eastAsia="楷体_GB2312" w:cs="Calibri"/>
                <w:b/>
                <w:bCs/>
                <w:sz w:val="20"/>
                <w:szCs w:val="20"/>
              </w:rPr>
              <w:t>H</w:t>
            </w:r>
            <w:r>
              <w:rPr>
                <w:rFonts w:hint="eastAsia" w:eastAsia="楷体_GB2312" w:cs="Calibri"/>
                <w:b/>
                <w:bCs/>
                <w:sz w:val="20"/>
                <w:szCs w:val="20"/>
                <w:lang w:eastAsia="zh-CN"/>
              </w:rPr>
              <w:t>F</w:t>
            </w:r>
            <w:r>
              <w:rPr>
                <w:rFonts w:eastAsia="楷体_GB2312" w:cs="Calibri"/>
                <w:b/>
                <w:bCs/>
                <w:sz w:val="20"/>
                <w:szCs w:val="20"/>
              </w:rPr>
              <w:t>I</w:t>
            </w:r>
          </w:p>
        </w:tc>
      </w:tr>
    </w:tbl>
    <w:p w14:paraId="6CAECEFE">
      <w:pPr>
        <w:jc w:val="both"/>
        <w:rPr>
          <w:rFonts w:eastAsia="楷体" w:cs="Calibri"/>
          <w:sz w:val="22"/>
          <w:szCs w:val="22"/>
          <w:lang w:eastAsia="zh-CN"/>
        </w:rPr>
      </w:pPr>
    </w:p>
    <w:p w14:paraId="560BCE29">
      <w:pPr>
        <w:jc w:val="both"/>
        <w:rPr>
          <w:rFonts w:eastAsia="楷体" w:cs="Calibri"/>
          <w:sz w:val="22"/>
          <w:szCs w:val="22"/>
          <w:lang w:eastAsia="zh-CN"/>
        </w:rPr>
      </w:pPr>
      <w:r>
        <w:rPr>
          <w:rFonts w:eastAsia="楷体" w:cs="Calibri"/>
          <w:b/>
          <w:bCs/>
          <w:sz w:val="22"/>
          <w:szCs w:val="22"/>
          <w:lang w:eastAsia="zh-CN"/>
        </w:rPr>
        <w:t xml:space="preserve">Planned </w:t>
      </w:r>
      <w:r>
        <w:rPr>
          <w:rFonts w:hint="eastAsia" w:eastAsia="楷体" w:cs="Calibri"/>
          <w:b/>
          <w:bCs/>
          <w:sz w:val="22"/>
          <w:szCs w:val="22"/>
          <w:lang w:eastAsia="zh-CN"/>
        </w:rPr>
        <w:t>c</w:t>
      </w:r>
      <w:r>
        <w:rPr>
          <w:rFonts w:eastAsia="楷体" w:cs="Calibri"/>
          <w:b/>
          <w:bCs/>
          <w:sz w:val="22"/>
          <w:szCs w:val="22"/>
          <w:lang w:eastAsia="zh-CN"/>
        </w:rPr>
        <w:t xml:space="preserve">apacity </w:t>
      </w:r>
      <w:r>
        <w:rPr>
          <w:rFonts w:hint="eastAsia" w:eastAsia="楷体" w:cs="Calibri"/>
          <w:b/>
          <w:bCs/>
          <w:sz w:val="22"/>
          <w:szCs w:val="22"/>
          <w:lang w:eastAsia="zh-CN"/>
        </w:rPr>
        <w:t>e</w:t>
      </w:r>
      <w:r>
        <w:rPr>
          <w:rFonts w:eastAsia="楷体" w:cs="Calibri"/>
          <w:b/>
          <w:bCs/>
          <w:sz w:val="22"/>
          <w:szCs w:val="22"/>
          <w:lang w:eastAsia="zh-CN"/>
        </w:rPr>
        <w:t xml:space="preserve">xpansion </w:t>
      </w:r>
      <w:r>
        <w:rPr>
          <w:rFonts w:hint="eastAsia" w:eastAsia="楷体" w:cs="Calibri"/>
          <w:b/>
          <w:bCs/>
          <w:sz w:val="22"/>
          <w:szCs w:val="22"/>
          <w:lang w:eastAsia="zh-CN"/>
        </w:rPr>
        <w:t>s</w:t>
      </w:r>
      <w:r>
        <w:rPr>
          <w:rFonts w:eastAsia="楷体" w:cs="Calibri"/>
          <w:b/>
          <w:bCs/>
          <w:sz w:val="22"/>
          <w:szCs w:val="22"/>
          <w:lang w:eastAsia="zh-CN"/>
        </w:rPr>
        <w:t xml:space="preserve">upport </w:t>
      </w:r>
      <w:r>
        <w:rPr>
          <w:rFonts w:hint="eastAsia" w:eastAsia="楷体" w:cs="Calibri"/>
          <w:b/>
          <w:bCs/>
          <w:sz w:val="22"/>
          <w:szCs w:val="22"/>
          <w:lang w:eastAsia="zh-CN"/>
        </w:rPr>
        <w:t>s</w:t>
      </w:r>
      <w:r>
        <w:rPr>
          <w:rFonts w:eastAsia="楷体" w:cs="Calibri"/>
          <w:b/>
          <w:bCs/>
          <w:sz w:val="22"/>
          <w:szCs w:val="22"/>
          <w:lang w:eastAsia="zh-CN"/>
        </w:rPr>
        <w:t xml:space="preserve">teady </w:t>
      </w:r>
      <w:r>
        <w:rPr>
          <w:rFonts w:hint="eastAsia" w:eastAsia="楷体" w:cs="Calibri"/>
          <w:b/>
          <w:bCs/>
          <w:sz w:val="22"/>
          <w:szCs w:val="22"/>
          <w:lang w:eastAsia="zh-CN"/>
        </w:rPr>
        <w:t>g</w:t>
      </w:r>
      <w:r>
        <w:rPr>
          <w:rFonts w:eastAsia="楷体" w:cs="Calibri"/>
          <w:b/>
          <w:bCs/>
          <w:sz w:val="22"/>
          <w:szCs w:val="22"/>
          <w:lang w:eastAsia="zh-CN"/>
        </w:rPr>
        <w:t>rowth</w:t>
      </w:r>
      <w:r>
        <w:rPr>
          <w:rFonts w:hint="eastAsia" w:eastAsia="楷体" w:cs="Calibri"/>
          <w:b/>
          <w:bCs/>
          <w:sz w:val="22"/>
          <w:szCs w:val="22"/>
          <w:lang w:eastAsia="zh-CN"/>
        </w:rPr>
        <w:t xml:space="preserve">. </w:t>
      </w:r>
      <w:r>
        <w:rPr>
          <w:rFonts w:eastAsia="楷体" w:cs="Calibri"/>
          <w:sz w:val="22"/>
          <w:szCs w:val="22"/>
          <w:lang w:eastAsia="zh-CN"/>
        </w:rPr>
        <w:t xml:space="preserve">Historically, Cirrus has scaled annual deliveries from over </w:t>
      </w:r>
      <w:r>
        <w:rPr>
          <w:rFonts w:hint="eastAsia" w:eastAsia="楷体" w:cs="Calibri"/>
          <w:sz w:val="22"/>
          <w:szCs w:val="22"/>
          <w:lang w:eastAsia="zh-CN"/>
        </w:rPr>
        <w:t>5</w:t>
      </w:r>
      <w:r>
        <w:rPr>
          <w:rFonts w:eastAsia="楷体" w:cs="Calibri"/>
          <w:sz w:val="22"/>
          <w:szCs w:val="22"/>
          <w:lang w:eastAsia="zh-CN"/>
        </w:rPr>
        <w:t>00 to over 700 units and is now operating near full capacity. In June 2025, the company announced a $13 million investment to expand its Grand Forks, North Dakota facility, with operations expected to commence in 2026, driving gradual increases in delivery volume.</w:t>
      </w:r>
    </w:p>
    <w:p w14:paraId="3ABDD6D5">
      <w:pPr>
        <w:jc w:val="both"/>
        <w:rPr>
          <w:rFonts w:eastAsia="楷体" w:cs="Calibri"/>
          <w:sz w:val="22"/>
          <w:szCs w:val="22"/>
          <w:lang w:eastAsia="zh-CN"/>
        </w:rPr>
      </w:pPr>
    </w:p>
    <w:p w14:paraId="45A96972">
      <w:pPr>
        <w:jc w:val="both"/>
        <w:rPr>
          <w:rFonts w:eastAsia="楷体" w:cs="Calibri"/>
          <w:sz w:val="22"/>
          <w:szCs w:val="22"/>
          <w:lang w:eastAsia="zh-CN"/>
        </w:rPr>
      </w:pPr>
    </w:p>
    <w:p w14:paraId="00AE4229">
      <w:pPr>
        <w:jc w:val="both"/>
        <w:rPr>
          <w:rFonts w:eastAsia="楷体" w:cs="Calibri"/>
          <w:sz w:val="22"/>
          <w:szCs w:val="22"/>
          <w:lang w:eastAsia="zh-CN"/>
        </w:rPr>
      </w:pPr>
    </w:p>
    <w:p w14:paraId="2C86618E">
      <w:pPr>
        <w:jc w:val="both"/>
        <w:rPr>
          <w:rFonts w:eastAsia="楷体" w:cs="Calibri"/>
          <w:sz w:val="22"/>
          <w:szCs w:val="22"/>
          <w:lang w:eastAsia="zh-CN"/>
        </w:rPr>
      </w:pPr>
    </w:p>
    <w:p w14:paraId="0E972F28">
      <w:pPr>
        <w:jc w:val="both"/>
        <w:rPr>
          <w:rFonts w:eastAsia="楷体" w:cs="Calibri"/>
          <w:sz w:val="22"/>
          <w:szCs w:val="22"/>
          <w:lang w:eastAsia="zh-CN"/>
        </w:rPr>
      </w:pPr>
    </w:p>
    <w:p w14:paraId="5B6E269A">
      <w:pPr>
        <w:jc w:val="both"/>
        <w:rPr>
          <w:rFonts w:eastAsia="楷体" w:cs="Calibri"/>
          <w:sz w:val="22"/>
          <w:szCs w:val="22"/>
          <w:lang w:eastAsia="zh-CN"/>
        </w:rPr>
      </w:pPr>
    </w:p>
    <w:p w14:paraId="45DDF26D">
      <w:pPr>
        <w:jc w:val="both"/>
        <w:rPr>
          <w:rFonts w:eastAsia="楷体" w:cs="Calibri"/>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4AA9F43">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3ADFDA">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 xml:space="preserve">Figure: </w:t>
            </w:r>
            <w:r>
              <w:rPr>
                <w:rFonts w:hint="eastAsia" w:eastAsia="楷体_GB2312" w:cs="Calibri"/>
                <w:b/>
                <w:bCs/>
                <w:sz w:val="20"/>
                <w:szCs w:val="20"/>
                <w:lang w:eastAsia="zh-CN"/>
              </w:rPr>
              <w:t>Production Capacity &amp; Utilization Rate</w:t>
            </w:r>
          </w:p>
        </w:tc>
      </w:tr>
      <w:tr w14:paraId="7B233B0B">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0ACAADB">
            <w:pPr>
              <w:spacing w:before="48" w:beforeLines="20" w:after="48" w:afterLines="20"/>
              <w:jc w:val="center"/>
              <w:textAlignment w:val="center"/>
              <w:rPr>
                <w:rFonts w:eastAsia="宋体" w:cs="Calibri"/>
                <w:b/>
                <w:bCs/>
                <w:sz w:val="20"/>
                <w:szCs w:val="20"/>
                <w:lang w:eastAsia="zh-CN"/>
              </w:rPr>
            </w:pPr>
            <w:r>
              <w:rPr>
                <w:rFonts w:eastAsia="宋体" w:cs="Calibri"/>
                <w:b/>
                <w:bCs/>
                <w:sz w:val="20"/>
                <w:szCs w:val="20"/>
                <w:lang w:eastAsia="zh-CN"/>
              </w:rPr>
              <w:drawing>
                <wp:inline distT="0" distB="0" distL="0" distR="0">
                  <wp:extent cx="4599305" cy="1684020"/>
                  <wp:effectExtent l="0" t="0" r="0" b="0"/>
                  <wp:docPr id="17864019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01975" name="图片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599305" cy="1684020"/>
                          </a:xfrm>
                          <a:prstGeom prst="rect">
                            <a:avLst/>
                          </a:prstGeom>
                          <a:noFill/>
                          <a:ln>
                            <a:noFill/>
                          </a:ln>
                        </pic:spPr>
                      </pic:pic>
                    </a:graphicData>
                  </a:graphic>
                </wp:inline>
              </w:drawing>
            </w:r>
          </w:p>
        </w:tc>
      </w:tr>
      <w:tr w14:paraId="50ADD4F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19D0AA3">
            <w:pPr>
              <w:spacing w:line="240" w:lineRule="atLeast"/>
              <w:jc w:val="both"/>
              <w:textAlignment w:val="center"/>
              <w:rPr>
                <w:rFonts w:cs="Calibri"/>
                <w:sz w:val="20"/>
                <w:szCs w:val="20"/>
              </w:rPr>
            </w:pPr>
            <w:r>
              <w:rPr>
                <w:rFonts w:eastAsia="楷体_GB2312" w:cs="Calibri"/>
                <w:b/>
                <w:bCs/>
                <w:sz w:val="20"/>
                <w:szCs w:val="20"/>
              </w:rPr>
              <w:t xml:space="preserve">Source: Company </w:t>
            </w:r>
            <w:r>
              <w:rPr>
                <w:rFonts w:hint="eastAsia" w:eastAsia="楷体_GB2312" w:cs="Calibri"/>
                <w:b/>
                <w:bCs/>
                <w:sz w:val="20"/>
                <w:szCs w:val="20"/>
                <w:lang w:eastAsia="zh-CN"/>
              </w:rPr>
              <w:t>Announcement</w:t>
            </w:r>
            <w:r>
              <w:rPr>
                <w:rFonts w:eastAsia="楷体_GB2312" w:cs="Calibri"/>
                <w:b/>
                <w:bCs/>
                <w:sz w:val="20"/>
                <w:szCs w:val="20"/>
              </w:rPr>
              <w:t>,</w:t>
            </w:r>
            <w:r>
              <w:rPr>
                <w:rFonts w:hint="eastAsia" w:eastAsia="楷体_GB2312" w:cs="Calibri"/>
                <w:b/>
                <w:bCs/>
                <w:sz w:val="20"/>
                <w:szCs w:val="20"/>
                <w:lang w:eastAsia="zh-CN"/>
              </w:rPr>
              <w:t xml:space="preserve"> </w:t>
            </w:r>
            <w:r>
              <w:rPr>
                <w:rFonts w:hint="eastAsia" w:eastAsia="楷体_GB2312" w:cs="Calibri"/>
                <w:b/>
                <w:bCs/>
                <w:sz w:val="20"/>
                <w:szCs w:val="20"/>
              </w:rPr>
              <w:t>HFI</w:t>
            </w:r>
          </w:p>
        </w:tc>
      </w:tr>
    </w:tbl>
    <w:p w14:paraId="37D0326B">
      <w:pPr>
        <w:rPr>
          <w:rFonts w:eastAsia="楷体" w:cs="Calibri"/>
          <w:kern w:val="2"/>
          <w:sz w:val="22"/>
          <w:szCs w:val="22"/>
          <w:lang w:eastAsia="zh-CN"/>
        </w:rPr>
      </w:pPr>
    </w:p>
    <w:p w14:paraId="36D1634C">
      <w:pPr>
        <w:rPr>
          <w:rFonts w:eastAsia="楷体" w:cs="Calibri"/>
          <w:sz w:val="22"/>
          <w:szCs w:val="22"/>
          <w:lang w:eastAsia="zh-CN"/>
        </w:rPr>
      </w:pPr>
      <w:r>
        <w:rPr>
          <w:rFonts w:eastAsia="楷体" w:cs="Calibri"/>
          <w:b/>
          <w:bCs/>
          <w:sz w:val="22"/>
          <w:szCs w:val="22"/>
          <w:lang w:eastAsia="zh-CN"/>
        </w:rPr>
        <w:t xml:space="preserve">Broad </w:t>
      </w:r>
      <w:r>
        <w:rPr>
          <w:rFonts w:hint="eastAsia" w:eastAsia="楷体" w:cs="Calibri"/>
          <w:b/>
          <w:bCs/>
          <w:sz w:val="22"/>
          <w:szCs w:val="22"/>
          <w:lang w:eastAsia="zh-CN"/>
        </w:rPr>
        <w:t>g</w:t>
      </w:r>
      <w:r>
        <w:rPr>
          <w:rFonts w:eastAsia="楷体" w:cs="Calibri"/>
          <w:b/>
          <w:bCs/>
          <w:sz w:val="22"/>
          <w:szCs w:val="22"/>
          <w:lang w:eastAsia="zh-CN"/>
        </w:rPr>
        <w:t xml:space="preserve">rowth </w:t>
      </w:r>
      <w:r>
        <w:rPr>
          <w:rFonts w:hint="eastAsia" w:eastAsia="楷体" w:cs="Calibri"/>
          <w:b/>
          <w:bCs/>
          <w:sz w:val="22"/>
          <w:szCs w:val="22"/>
          <w:lang w:eastAsia="zh-CN"/>
        </w:rPr>
        <w:t>p</w:t>
      </w:r>
      <w:r>
        <w:rPr>
          <w:rFonts w:eastAsia="楷体" w:cs="Calibri"/>
          <w:b/>
          <w:bCs/>
          <w:sz w:val="22"/>
          <w:szCs w:val="22"/>
          <w:lang w:eastAsia="zh-CN"/>
        </w:rPr>
        <w:t xml:space="preserve">otential in </w:t>
      </w:r>
      <w:r>
        <w:rPr>
          <w:rFonts w:hint="eastAsia" w:eastAsia="楷体" w:cs="Calibri"/>
          <w:b/>
          <w:bCs/>
          <w:sz w:val="22"/>
          <w:szCs w:val="22"/>
          <w:lang w:eastAsia="zh-CN"/>
        </w:rPr>
        <w:t>g</w:t>
      </w:r>
      <w:r>
        <w:rPr>
          <w:rFonts w:eastAsia="楷体" w:cs="Calibri"/>
          <w:b/>
          <w:bCs/>
          <w:sz w:val="22"/>
          <w:szCs w:val="22"/>
          <w:lang w:eastAsia="zh-CN"/>
        </w:rPr>
        <w:t xml:space="preserve">lobal </w:t>
      </w:r>
      <w:r>
        <w:rPr>
          <w:rFonts w:hint="eastAsia" w:eastAsia="楷体" w:cs="Calibri"/>
          <w:b/>
          <w:bCs/>
          <w:sz w:val="22"/>
          <w:szCs w:val="22"/>
          <w:lang w:eastAsia="zh-CN"/>
        </w:rPr>
        <w:t>g</w:t>
      </w:r>
      <w:r>
        <w:rPr>
          <w:rFonts w:eastAsia="楷体" w:cs="Calibri"/>
          <w:b/>
          <w:bCs/>
          <w:sz w:val="22"/>
          <w:szCs w:val="22"/>
          <w:lang w:eastAsia="zh-CN"/>
        </w:rPr>
        <w:t xml:space="preserve">eneral </w:t>
      </w:r>
      <w:r>
        <w:rPr>
          <w:rFonts w:hint="eastAsia" w:eastAsia="楷体" w:cs="Calibri"/>
          <w:b/>
          <w:bCs/>
          <w:sz w:val="22"/>
          <w:szCs w:val="22"/>
          <w:lang w:eastAsia="zh-CN"/>
        </w:rPr>
        <w:t>a</w:t>
      </w:r>
      <w:r>
        <w:rPr>
          <w:rFonts w:eastAsia="楷体" w:cs="Calibri"/>
          <w:b/>
          <w:bCs/>
          <w:sz w:val="22"/>
          <w:szCs w:val="22"/>
          <w:lang w:eastAsia="zh-CN"/>
        </w:rPr>
        <w:t xml:space="preserve">viation </w:t>
      </w:r>
      <w:r>
        <w:rPr>
          <w:rFonts w:hint="eastAsia" w:eastAsia="楷体" w:cs="Calibri"/>
          <w:b/>
          <w:bCs/>
          <w:sz w:val="22"/>
          <w:szCs w:val="22"/>
          <w:lang w:eastAsia="zh-CN"/>
        </w:rPr>
        <w:t>s</w:t>
      </w:r>
      <w:r>
        <w:rPr>
          <w:rFonts w:eastAsia="楷体" w:cs="Calibri"/>
          <w:b/>
          <w:bCs/>
          <w:sz w:val="22"/>
          <w:szCs w:val="22"/>
          <w:lang w:eastAsia="zh-CN"/>
        </w:rPr>
        <w:t xml:space="preserve">ervices </w:t>
      </w:r>
      <w:r>
        <w:rPr>
          <w:rFonts w:hint="eastAsia" w:eastAsia="楷体" w:cs="Calibri"/>
          <w:b/>
          <w:bCs/>
          <w:sz w:val="22"/>
          <w:szCs w:val="22"/>
          <w:lang w:eastAsia="zh-CN"/>
        </w:rPr>
        <w:t>m</w:t>
      </w:r>
      <w:r>
        <w:rPr>
          <w:rFonts w:eastAsia="楷体" w:cs="Calibri"/>
          <w:b/>
          <w:bCs/>
          <w:sz w:val="22"/>
          <w:szCs w:val="22"/>
          <w:lang w:eastAsia="zh-CN"/>
        </w:rPr>
        <w:t>arket</w:t>
      </w:r>
      <w:r>
        <w:rPr>
          <w:rFonts w:hint="eastAsia" w:eastAsia="楷体" w:cs="Calibri"/>
          <w:b/>
          <w:bCs/>
          <w:sz w:val="22"/>
          <w:szCs w:val="22"/>
          <w:lang w:eastAsia="zh-CN"/>
        </w:rPr>
        <w:t xml:space="preserve">. </w:t>
      </w:r>
      <w:r>
        <w:rPr>
          <w:rFonts w:eastAsia="楷体" w:cs="Calibri"/>
          <w:sz w:val="22"/>
          <w:szCs w:val="22"/>
          <w:lang w:eastAsia="zh-CN"/>
        </w:rPr>
        <w:t>The global GA aircraft services market has shown strong growth momentum in recent years, offering Cirrus substantial room for expansion. As the fleet of general aviation aircraft continues to grow—particularly with increased usage by individuals and SMEs—services such as FBO operations, MRO, parts supply, upgrades, pilot training, insurance, and financing are becoming increasingly vital. For leading manufacturers with large, mature fleets, these services typically contribute 35-40% of total revenue. In contrast, Cirrus's aftermarket services accounted for only 14.5% of revenue in 2024. As its in-service fleet expands, significant upside remains in service revenue</w:t>
      </w:r>
      <w:r>
        <w:rPr>
          <w:rFonts w:hint="eastAsia" w:eastAsia="楷体" w:cs="Calibri"/>
          <w:sz w:val="22"/>
          <w:szCs w:val="22"/>
          <w:lang w:eastAsia="zh-CN"/>
        </w:rPr>
        <w:t xml:space="preserve"> </w:t>
      </w:r>
      <w:r>
        <w:rPr>
          <w:rFonts w:eastAsia="楷体" w:cs="Calibri"/>
          <w:sz w:val="22"/>
          <w:szCs w:val="22"/>
          <w:lang w:eastAsia="zh-CN"/>
        </w:rPr>
        <w:t>contribution.</w:t>
      </w:r>
    </w:p>
    <w:p w14:paraId="0BC604EA">
      <w:pPr>
        <w:rPr>
          <w:rFonts w:eastAsia="楷体" w:cs="Calibri"/>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5F801460">
        <w:trPr>
          <w:trHeight w:val="227" w:hRule="atLeast"/>
        </w:trPr>
        <w:tc>
          <w:tcPr>
            <w:tcW w:w="5100" w:type="dxa"/>
            <w:tcBorders>
              <w:bottom w:val="single" w:color="auto" w:sz="4" w:space="0"/>
            </w:tcBorders>
            <w:tcMar>
              <w:left w:w="0" w:type="dxa"/>
              <w:right w:w="28" w:type="dxa"/>
            </w:tcMar>
          </w:tcPr>
          <w:p w14:paraId="1875C7C1">
            <w:pPr>
              <w:spacing w:before="48" w:beforeLines="20" w:after="48" w:afterLines="20"/>
              <w:jc w:val="both"/>
              <w:textAlignment w:val="center"/>
              <w:rPr>
                <w:rFonts w:eastAsia="楷体_GB2312" w:cs="Calibri"/>
                <w:b/>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Cirrus After-Sales Service Revenue Proportion</w:t>
            </w:r>
          </w:p>
        </w:tc>
        <w:tc>
          <w:tcPr>
            <w:tcW w:w="241" w:type="dxa"/>
            <w:tcMar>
              <w:left w:w="0" w:type="dxa"/>
              <w:right w:w="28" w:type="dxa"/>
            </w:tcMar>
          </w:tcPr>
          <w:p w14:paraId="797CFC7E">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4AEF759E">
            <w:pPr>
              <w:spacing w:before="48" w:beforeLines="20" w:after="48" w:afterLines="20"/>
              <w:jc w:val="both"/>
              <w:rPr>
                <w:rFonts w:eastAsia="楷体_GB2312" w:cs="Calibri"/>
                <w:b/>
                <w:sz w:val="20"/>
                <w:szCs w:val="20"/>
                <w:lang w:eastAsia="zh-CN"/>
              </w:rPr>
            </w:pPr>
            <w:r>
              <w:rPr>
                <w:rFonts w:eastAsia="楷体_GB2312" w:cs="Calibri"/>
                <w:b/>
                <w:sz w:val="20"/>
                <w:szCs w:val="20"/>
              </w:rPr>
              <w:t xml:space="preserve">Figure: </w:t>
            </w:r>
            <w:r>
              <w:rPr>
                <w:rFonts w:eastAsia="楷体_GB2312" w:cs="Calibri"/>
                <w:b/>
                <w:sz w:val="20"/>
                <w:szCs w:val="20"/>
                <w:lang w:eastAsia="zh-CN"/>
              </w:rPr>
              <w:t>Reasons for the Growth in Global General Aviation Aircraft Service Demand</w:t>
            </w:r>
          </w:p>
        </w:tc>
      </w:tr>
      <w:tr w14:paraId="2B13DD6D">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F9A88E1">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33395" cy="1804035"/>
                  <wp:effectExtent l="0" t="0" r="0" b="5715"/>
                  <wp:docPr id="209950599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tc>
        <w:tc>
          <w:tcPr>
            <w:tcW w:w="241" w:type="dxa"/>
          </w:tcPr>
          <w:p w14:paraId="7682100E">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76AECDA3">
            <w:pPr>
              <w:spacing w:before="48" w:beforeLines="20" w:after="48" w:afterLines="20"/>
              <w:jc w:val="both"/>
              <w:rPr>
                <w:rFonts w:eastAsia="楷体_GB2312" w:cs="Calibri"/>
                <w:b/>
                <w:sz w:val="20"/>
                <w:szCs w:val="20"/>
              </w:rPr>
            </w:pPr>
            <w:r>
              <w:rPr>
                <w:rFonts w:eastAsia="楷体_GB2312" w:cs="Calibri"/>
                <w:b/>
                <w:sz w:val="20"/>
                <w:szCs w:val="20"/>
              </w:rPr>
              <w:drawing>
                <wp:inline distT="0" distB="0" distL="0" distR="0">
                  <wp:extent cx="3128010" cy="1910080"/>
                  <wp:effectExtent l="0" t="0" r="0" b="0"/>
                  <wp:docPr id="8192998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99883" name="图片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128010" cy="1910080"/>
                          </a:xfrm>
                          <a:prstGeom prst="rect">
                            <a:avLst/>
                          </a:prstGeom>
                          <a:noFill/>
                          <a:ln>
                            <a:noFill/>
                          </a:ln>
                        </pic:spPr>
                      </pic:pic>
                    </a:graphicData>
                  </a:graphic>
                </wp:inline>
              </w:drawing>
            </w:r>
          </w:p>
        </w:tc>
      </w:tr>
      <w:tr w14:paraId="400FD4FA">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4227823">
            <w:pPr>
              <w:spacing w:before="48" w:beforeLines="20" w:after="48" w:afterLines="20"/>
              <w:jc w:val="both"/>
              <w:textAlignment w:val="center"/>
              <w:rPr>
                <w:rFonts w:eastAsia="楷体_GB2312"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Wind</w:t>
            </w:r>
            <w:r>
              <w:rPr>
                <w:rFonts w:eastAsia="楷体_GB2312" w:cs="Calibri"/>
                <w:b/>
                <w:bCs/>
                <w:sz w:val="20"/>
                <w:szCs w:val="20"/>
              </w:rPr>
              <w:t>, H</w:t>
            </w:r>
            <w:r>
              <w:rPr>
                <w:rFonts w:hint="eastAsia" w:eastAsia="楷体_GB2312" w:cs="Calibri"/>
                <w:b/>
                <w:bCs/>
                <w:sz w:val="20"/>
                <w:szCs w:val="20"/>
                <w:lang w:eastAsia="zh-CN"/>
              </w:rPr>
              <w:t>F</w:t>
            </w:r>
            <w:r>
              <w:rPr>
                <w:rFonts w:eastAsia="楷体_GB2312" w:cs="Calibri"/>
                <w:b/>
                <w:bCs/>
                <w:sz w:val="20"/>
                <w:szCs w:val="20"/>
              </w:rPr>
              <w:t>I</w:t>
            </w:r>
          </w:p>
        </w:tc>
        <w:tc>
          <w:tcPr>
            <w:tcW w:w="241" w:type="dxa"/>
            <w:tcMar>
              <w:left w:w="0" w:type="dxa"/>
              <w:right w:w="28" w:type="dxa"/>
            </w:tcMar>
          </w:tcPr>
          <w:p w14:paraId="2967B2E1">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A462541">
            <w:pPr>
              <w:spacing w:before="48" w:beforeLines="20" w:after="48" w:afterLines="20"/>
              <w:jc w:val="both"/>
              <w:rPr>
                <w:rFonts w:eastAsia="楷体_GB2312" w:cs="Calibri"/>
                <w:b/>
                <w:bCs/>
                <w:sz w:val="20"/>
                <w:szCs w:val="20"/>
              </w:rPr>
            </w:pPr>
            <w:r>
              <w:rPr>
                <w:rFonts w:eastAsia="楷体_GB2312" w:cs="Calibri"/>
                <w:b/>
                <w:bCs/>
                <w:sz w:val="20"/>
                <w:szCs w:val="20"/>
              </w:rPr>
              <w:t xml:space="preserve">Source: </w:t>
            </w:r>
            <w:r>
              <w:rPr>
                <w:rFonts w:hint="eastAsia" w:eastAsia="楷体_GB2312" w:cs="Calibri"/>
                <w:b/>
                <w:bCs/>
                <w:sz w:val="20"/>
                <w:szCs w:val="20"/>
                <w:lang w:eastAsia="zh-CN"/>
              </w:rPr>
              <w:t xml:space="preserve">Wind, </w:t>
            </w:r>
            <w:r>
              <w:rPr>
                <w:rFonts w:eastAsia="楷体_GB2312" w:cs="Calibri"/>
                <w:b/>
                <w:bCs/>
                <w:sz w:val="20"/>
                <w:szCs w:val="20"/>
              </w:rPr>
              <w:t>H</w:t>
            </w:r>
            <w:r>
              <w:rPr>
                <w:rFonts w:hint="eastAsia" w:eastAsia="楷体_GB2312" w:cs="Calibri"/>
                <w:b/>
                <w:bCs/>
                <w:sz w:val="20"/>
                <w:szCs w:val="20"/>
                <w:lang w:eastAsia="zh-CN"/>
              </w:rPr>
              <w:t>F</w:t>
            </w:r>
            <w:r>
              <w:rPr>
                <w:rFonts w:eastAsia="楷体_GB2312" w:cs="Calibri"/>
                <w:b/>
                <w:bCs/>
                <w:sz w:val="20"/>
                <w:szCs w:val="20"/>
              </w:rPr>
              <w:t>I</w:t>
            </w:r>
          </w:p>
        </w:tc>
      </w:tr>
    </w:tbl>
    <w:p w14:paraId="44948CA2">
      <w:pPr>
        <w:rPr>
          <w:rFonts w:hint="eastAsia" w:eastAsia="楷体" w:asciiTheme="minorHAnsi" w:hAnsiTheme="minorHAnsi" w:cstheme="minorHAnsi"/>
          <w:sz w:val="22"/>
          <w:szCs w:val="22"/>
          <w:lang w:eastAsia="zh-CN"/>
        </w:rPr>
      </w:pPr>
    </w:p>
    <w:p w14:paraId="0973BEA7">
      <w:pPr>
        <w:rPr>
          <w:rFonts w:hint="eastAsia" w:eastAsia="楷体" w:asciiTheme="minorHAnsi" w:hAnsiTheme="minorHAnsi" w:cstheme="minorHAnsi"/>
          <w:sz w:val="22"/>
          <w:szCs w:val="22"/>
          <w:lang w:eastAsia="zh-CN"/>
        </w:rPr>
      </w:pPr>
    </w:p>
    <w:p w14:paraId="248FFD05">
      <w:pPr>
        <w:jc w:val="both"/>
        <w:rPr>
          <w:rFonts w:eastAsia="宋体" w:cs="Calibri"/>
          <w:lang w:eastAsia="zh-CN"/>
        </w:rPr>
      </w:pPr>
    </w:p>
    <w:p w14:paraId="4393666F">
      <w:pPr>
        <w:jc w:val="both"/>
        <w:rPr>
          <w:rFonts w:eastAsia="宋体" w:cs="Calibri"/>
          <w:lang w:eastAsia="zh-CN"/>
        </w:rPr>
      </w:pPr>
    </w:p>
    <w:p w14:paraId="34F6A910">
      <w:pPr>
        <w:jc w:val="both"/>
        <w:rPr>
          <w:rFonts w:eastAsia="宋体" w:cs="Calibri"/>
          <w:lang w:eastAsia="zh-CN"/>
        </w:rPr>
      </w:pPr>
    </w:p>
    <w:p w14:paraId="79C4547C">
      <w:pPr>
        <w:jc w:val="both"/>
        <w:rPr>
          <w:rFonts w:eastAsia="宋体" w:cs="Calibri"/>
          <w:lang w:eastAsia="zh-CN"/>
        </w:rPr>
      </w:pPr>
    </w:p>
    <w:p w14:paraId="5D730E08">
      <w:pPr>
        <w:jc w:val="both"/>
        <w:rPr>
          <w:rFonts w:eastAsia="宋体" w:cs="Calibri"/>
          <w:lang w:eastAsia="zh-CN"/>
        </w:rPr>
      </w:pPr>
    </w:p>
    <w:p w14:paraId="4A8C2A78">
      <w:pPr>
        <w:jc w:val="both"/>
        <w:rPr>
          <w:rFonts w:eastAsia="宋体" w:cs="Calibri"/>
          <w:lang w:eastAsia="zh-CN"/>
        </w:rPr>
      </w:pPr>
    </w:p>
    <w:p w14:paraId="6185146D">
      <w:pPr>
        <w:jc w:val="both"/>
        <w:rPr>
          <w:rFonts w:eastAsia="宋体" w:cs="Calibri"/>
          <w:lang w:eastAsia="zh-CN"/>
        </w:rPr>
      </w:pPr>
    </w:p>
    <w:p w14:paraId="09D24041">
      <w:pPr>
        <w:jc w:val="both"/>
        <w:rPr>
          <w:rFonts w:eastAsia="宋体" w:cs="Calibri"/>
          <w:lang w:eastAsia="zh-CN"/>
        </w:rPr>
      </w:pPr>
    </w:p>
    <w:p w14:paraId="34579234">
      <w:pPr>
        <w:jc w:val="both"/>
        <w:rPr>
          <w:rFonts w:eastAsia="宋体" w:cs="Calibri"/>
          <w:lang w:eastAsia="zh-CN"/>
        </w:rPr>
      </w:pPr>
    </w:p>
    <w:p w14:paraId="2B6FFCF1">
      <w:pPr>
        <w:jc w:val="both"/>
        <w:rPr>
          <w:rFonts w:eastAsia="宋体" w:cs="Calibri"/>
          <w:lang w:eastAsia="zh-CN"/>
        </w:rPr>
      </w:pPr>
    </w:p>
    <w:p w14:paraId="51082ECD">
      <w:pPr>
        <w:jc w:val="both"/>
        <w:rPr>
          <w:rFonts w:eastAsia="宋体" w:cs="Calibri"/>
          <w:lang w:eastAsia="zh-CN"/>
        </w:rPr>
      </w:pPr>
    </w:p>
    <w:p w14:paraId="6B5A297C">
      <w:pPr>
        <w:jc w:val="both"/>
        <w:rPr>
          <w:rFonts w:eastAsia="宋体" w:cs="Calibri"/>
          <w:lang w:eastAsia="zh-CN"/>
        </w:rPr>
      </w:pPr>
    </w:p>
    <w:p w14:paraId="153C6FAA">
      <w:pPr>
        <w:pStyle w:val="2"/>
        <w:spacing w:before="240" w:beforeLines="100" w:after="240" w:afterLines="100"/>
        <w:jc w:val="both"/>
        <w:rPr>
          <w:rFonts w:ascii="Calibri" w:hAnsi="Calibri" w:eastAsia="楷体" w:cs="Calibri"/>
          <w:b/>
          <w:bCs/>
          <w:color w:val="215E99"/>
          <w:sz w:val="30"/>
          <w:lang w:eastAsia="zh-CN"/>
        </w:rPr>
      </w:pPr>
      <w:bookmarkStart w:id="18" w:name="_Toc218942525"/>
      <w:r>
        <w:rPr>
          <w:rFonts w:hint="eastAsia" w:ascii="Calibri" w:hAnsi="Calibri" w:eastAsia="楷体_GB2312" w:cs="Calibri"/>
          <w:b/>
          <w:bCs/>
          <w:color w:val="215E99"/>
          <w:sz w:val="30"/>
          <w:lang w:eastAsia="zh-CN"/>
        </w:rPr>
        <w:t>5</w:t>
      </w:r>
      <w:r>
        <w:rPr>
          <w:rFonts w:ascii="Calibri" w:hAnsi="Calibri" w:eastAsia="楷体_GB2312" w:cs="Calibri"/>
          <w:b/>
          <w:bCs/>
          <w:color w:val="215E99"/>
          <w:sz w:val="30"/>
        </w:rPr>
        <w:t>.</w:t>
      </w:r>
      <w:r>
        <w:rPr>
          <w:rFonts w:ascii="Calibri" w:hAnsi="Calibri" w:cs="Calibri"/>
          <w:b/>
          <w:bCs/>
          <w:color w:val="215E99"/>
        </w:rPr>
        <w:t xml:space="preserve"> </w:t>
      </w:r>
      <w:r>
        <w:rPr>
          <w:rFonts w:ascii="Calibri" w:hAnsi="Calibri" w:eastAsia="楷体" w:cs="Calibri"/>
          <w:b/>
          <w:bCs/>
          <w:color w:val="215E99"/>
          <w:sz w:val="30"/>
          <w:lang w:eastAsia="zh-CN"/>
        </w:rPr>
        <w:t xml:space="preserve">Valuation&amp; </w:t>
      </w:r>
      <w:r>
        <w:rPr>
          <w:rFonts w:hint="eastAsia" w:ascii="Calibri" w:hAnsi="Calibri" w:eastAsia="楷体" w:cs="Calibri"/>
          <w:b/>
          <w:bCs/>
          <w:color w:val="215E99"/>
          <w:sz w:val="30"/>
          <w:lang w:eastAsia="zh-CN"/>
        </w:rPr>
        <w:t>R</w:t>
      </w:r>
      <w:r>
        <w:rPr>
          <w:rFonts w:ascii="Calibri" w:hAnsi="Calibri" w:eastAsia="楷体" w:cs="Calibri"/>
          <w:b/>
          <w:bCs/>
          <w:color w:val="215E99"/>
          <w:sz w:val="30"/>
          <w:lang w:eastAsia="zh-CN"/>
        </w:rPr>
        <w:t>ecommendation</w:t>
      </w:r>
      <w:bookmarkEnd w:id="18"/>
    </w:p>
    <w:p w14:paraId="3D84EF25">
      <w:pPr>
        <w:pStyle w:val="76"/>
        <w:jc w:val="both"/>
        <w:rPr>
          <w:rFonts w:ascii="Calibri" w:hAnsi="Calibri" w:eastAsia="楷体_GB2312" w:cs="Calibri"/>
          <w:color w:val="215E99"/>
          <w:sz w:val="24"/>
        </w:rPr>
      </w:pPr>
      <w:r>
        <w:rPr>
          <w:rFonts w:ascii="Calibri" w:hAnsi="Calibri" w:eastAsia="楷体_GB2312" w:cs="Calibri"/>
          <w:color w:val="215E99"/>
          <w:sz w:val="24"/>
        </w:rPr>
        <w:t>5.1 Profit Forecast</w:t>
      </w:r>
    </w:p>
    <w:p w14:paraId="5F83C8F0">
      <w:pPr>
        <w:pStyle w:val="36"/>
        <w:numPr>
          <w:ilvl w:val="0"/>
          <w:numId w:val="8"/>
        </w:numPr>
        <w:jc w:val="both"/>
        <w:rPr>
          <w:rFonts w:eastAsia="楷体" w:cs="Calibri"/>
          <w:b/>
          <w:bCs/>
          <w:sz w:val="22"/>
          <w:szCs w:val="22"/>
          <w:lang w:eastAsia="zh-CN"/>
        </w:rPr>
      </w:pPr>
      <w:r>
        <w:rPr>
          <w:rFonts w:eastAsia="楷体" w:cs="Calibri"/>
          <w:b/>
          <w:bCs/>
          <w:sz w:val="22"/>
          <w:szCs w:val="22"/>
          <w:lang w:eastAsia="zh-CN"/>
        </w:rPr>
        <w:t>Total Revenue</w:t>
      </w:r>
    </w:p>
    <w:p w14:paraId="3E76961E">
      <w:pPr>
        <w:jc w:val="both"/>
        <w:rPr>
          <w:rFonts w:eastAsia="楷体" w:cs="Calibri"/>
          <w:sz w:val="22"/>
          <w:szCs w:val="22"/>
          <w:lang w:eastAsia="zh-CN"/>
        </w:rPr>
      </w:pPr>
      <w:r>
        <w:rPr>
          <w:rFonts w:eastAsia="楷体" w:cs="Calibri"/>
          <w:b/>
          <w:bCs/>
          <w:sz w:val="22"/>
          <w:szCs w:val="22"/>
          <w:lang w:eastAsia="zh-CN"/>
        </w:rPr>
        <w:t xml:space="preserve">1) SR Series Aircraft: </w:t>
      </w:r>
      <w:r>
        <w:rPr>
          <w:rFonts w:eastAsia="楷体" w:cs="Calibri"/>
          <w:sz w:val="22"/>
          <w:szCs w:val="22"/>
          <w:lang w:eastAsia="zh-CN"/>
        </w:rPr>
        <w:t>SR2X total revenue is projected to be $823 million/$971 million/$1.143 billion in 2025-2027, representing year-on-year growth of 18.8%/17.97%/17.72%.</w:t>
      </w:r>
    </w:p>
    <w:p w14:paraId="04548E5D">
      <w:pPr>
        <w:jc w:val="both"/>
        <w:rPr>
          <w:rFonts w:eastAsia="楷体" w:cs="Calibri"/>
          <w:sz w:val="22"/>
          <w:szCs w:val="22"/>
          <w:lang w:eastAsia="zh-CN"/>
        </w:rPr>
      </w:pPr>
      <w:r>
        <w:rPr>
          <w:rFonts w:eastAsia="楷体" w:cs="Calibri"/>
          <w:sz w:val="22"/>
          <w:szCs w:val="22"/>
          <w:lang w:eastAsia="zh-CN"/>
        </w:rPr>
        <w:t>Deliveries are projected to be 693/750/810 aircraft, representing an average annual growth of approximately 8%; the average selling price is projected to be $1.19/$1.29/$1.41 million, representing an average annual increase of 8%–9%.</w:t>
      </w:r>
    </w:p>
    <w:p w14:paraId="2D0FF270">
      <w:pPr>
        <w:jc w:val="both"/>
        <w:rPr>
          <w:rFonts w:eastAsia="楷体" w:cs="Calibri"/>
          <w:sz w:val="22"/>
          <w:szCs w:val="22"/>
          <w:lang w:eastAsia="zh-CN"/>
        </w:rPr>
      </w:pPr>
      <w:r>
        <w:rPr>
          <w:rFonts w:eastAsia="楷体" w:cs="Calibri"/>
          <w:b/>
          <w:bCs/>
          <w:sz w:val="22"/>
          <w:szCs w:val="22"/>
          <w:lang w:eastAsia="zh-CN"/>
        </w:rPr>
        <w:t xml:space="preserve">2) Vision Jet Series Aircraft: </w:t>
      </w:r>
      <w:r>
        <w:rPr>
          <w:rFonts w:eastAsia="楷体" w:cs="Calibri"/>
          <w:sz w:val="22"/>
          <w:szCs w:val="22"/>
          <w:lang w:eastAsia="zh-CN"/>
        </w:rPr>
        <w:t>Total revenue is projected to be $404 million/$444 million/$514 million in 2025-2027. Deliveries are projected to be 110/114/120 aircraft, representing an average annual growth of approximately 6%; the average selling price is projected to be $3.67/$3.97/$4.28 million, representing an average annual increase of 8%.</w:t>
      </w:r>
    </w:p>
    <w:p w14:paraId="0B5A3FAF">
      <w:pPr>
        <w:jc w:val="both"/>
        <w:rPr>
          <w:rFonts w:eastAsia="楷体" w:cs="Calibri"/>
          <w:sz w:val="22"/>
          <w:szCs w:val="22"/>
          <w:lang w:eastAsia="zh-CN"/>
        </w:rPr>
      </w:pPr>
      <w:r>
        <w:rPr>
          <w:rFonts w:eastAsia="楷体" w:cs="Calibri"/>
          <w:b/>
          <w:bCs/>
          <w:sz w:val="22"/>
          <w:szCs w:val="22"/>
          <w:lang w:eastAsia="zh-CN"/>
        </w:rPr>
        <w:t>3) Service Business:</w:t>
      </w:r>
      <w:r>
        <w:rPr>
          <w:rFonts w:eastAsia="楷体" w:cs="Calibri"/>
          <w:sz w:val="22"/>
          <w:szCs w:val="22"/>
          <w:lang w:eastAsia="zh-CN"/>
        </w:rPr>
        <w:t xml:space="preserve"> With the aging of existing models and the increasing demand for parts replacement, the after-sales service business will continue to perform strongly, with projected revenues of US$199 million, US$231 million, and US$270 million for 2025, 2026, and 2027, respectively, representing year-on-year growth of 15%, 16%, and 17%.</w:t>
      </w:r>
    </w:p>
    <w:p w14:paraId="58CA4258">
      <w:pPr>
        <w:jc w:val="both"/>
        <w:rPr>
          <w:rFonts w:eastAsia="楷体" w:cs="Calibri"/>
          <w:b/>
          <w:bCs/>
          <w:sz w:val="22"/>
          <w:szCs w:val="22"/>
          <w:u w:val="single"/>
          <w:lang w:eastAsia="zh-CN"/>
        </w:rPr>
      </w:pPr>
      <w:r>
        <w:rPr>
          <w:rFonts w:eastAsia="楷体" w:cs="Calibri"/>
          <w:b/>
          <w:bCs/>
          <w:sz w:val="22"/>
          <w:szCs w:val="22"/>
          <w:u w:val="single"/>
          <w:lang w:eastAsia="zh-CN"/>
        </w:rPr>
        <w:t>Based on the above, the company's total revenue is projected to be US$1.426 billion, US$1.654 billion, and US$1.928 billion for 2025, 2026, and 2027, respectively.</w:t>
      </w:r>
    </w:p>
    <w:p w14:paraId="1BE5E6B0">
      <w:pPr>
        <w:jc w:val="both"/>
        <w:rPr>
          <w:rFonts w:eastAsia="楷体" w:cs="Calibri"/>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5D52F7B7">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74F6E9B">
            <w:pPr>
              <w:spacing w:before="48" w:beforeLines="20" w:after="48" w:afterLines="20"/>
              <w:jc w:val="both"/>
              <w:textAlignment w:val="center"/>
              <w:rPr>
                <w:rFonts w:eastAsia="楷体" w:cs="Calibri"/>
                <w:b/>
                <w:sz w:val="20"/>
                <w:szCs w:val="20"/>
              </w:rPr>
            </w:pPr>
            <w:r>
              <w:rPr>
                <w:rFonts w:eastAsia="楷体" w:cs="Calibri"/>
                <w:b/>
                <w:sz w:val="20"/>
                <w:szCs w:val="20"/>
                <w:lang w:eastAsia="zh-CN"/>
              </w:rPr>
              <w:t>Figure</w:t>
            </w:r>
            <w:r>
              <w:rPr>
                <w:rFonts w:eastAsia="楷体" w:cs="Calibri"/>
                <w:b/>
                <w:sz w:val="20"/>
                <w:szCs w:val="20"/>
              </w:rPr>
              <w:t>: Revenue Volume and Price Breakdown Assumptions (</w:t>
            </w:r>
            <w:r>
              <w:rPr>
                <w:rFonts w:eastAsia="楷体" w:cs="Calibri"/>
                <w:b/>
                <w:sz w:val="20"/>
                <w:szCs w:val="20"/>
                <w:lang w:eastAsia="zh-CN"/>
              </w:rPr>
              <w:t xml:space="preserve">mn </w:t>
            </w:r>
            <w:r>
              <w:rPr>
                <w:rFonts w:eastAsia="楷体" w:cs="Calibri"/>
                <w:b/>
                <w:sz w:val="20"/>
                <w:szCs w:val="20"/>
              </w:rPr>
              <w:t xml:space="preserve">USD) </w:t>
            </w:r>
          </w:p>
        </w:tc>
      </w:tr>
      <w:tr w14:paraId="4335D19B">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F6054A">
            <w:pPr>
              <w:spacing w:before="48" w:beforeLines="20" w:after="48" w:afterLines="20"/>
              <w:jc w:val="center"/>
              <w:textAlignment w:val="center"/>
              <w:rPr>
                <w:rFonts w:eastAsia="宋体" w:cs="Calibri"/>
                <w:b/>
                <w:bCs/>
                <w:sz w:val="20"/>
                <w:szCs w:val="20"/>
              </w:rPr>
            </w:pPr>
            <w:r>
              <w:rPr>
                <w:snapToGrid/>
              </w:rPr>
              <w:drawing>
                <wp:inline distT="0" distB="0" distL="0" distR="0">
                  <wp:extent cx="4248785" cy="2840355"/>
                  <wp:effectExtent l="0" t="0" r="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68"/>
                          <a:stretch>
                            <a:fillRect/>
                          </a:stretch>
                        </pic:blipFill>
                        <pic:spPr>
                          <a:xfrm>
                            <a:off x="0" y="0"/>
                            <a:ext cx="4248785" cy="2840477"/>
                          </a:xfrm>
                          <a:prstGeom prst="rect">
                            <a:avLst/>
                          </a:prstGeom>
                          <a:noFill/>
                          <a:ln w="9525">
                            <a:noFill/>
                          </a:ln>
                        </pic:spPr>
                      </pic:pic>
                    </a:graphicData>
                  </a:graphic>
                </wp:inline>
              </w:drawing>
            </w:r>
          </w:p>
        </w:tc>
      </w:tr>
      <w:tr w14:paraId="4365ECF3">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2B70C77">
            <w:pPr>
              <w:spacing w:line="240" w:lineRule="atLeast"/>
              <w:jc w:val="both"/>
              <w:textAlignment w:val="center"/>
              <w:rPr>
                <w:rFonts w:hint="eastAsia" w:ascii="楷体" w:hAnsi="楷体" w:eastAsia="楷体"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 xml:space="preserve">Wind, </w:t>
            </w:r>
            <w:r>
              <w:rPr>
                <w:rFonts w:eastAsia="楷体_GB2312" w:cs="Calibri"/>
                <w:b/>
                <w:bCs/>
                <w:sz w:val="20"/>
                <w:szCs w:val="20"/>
              </w:rPr>
              <w:t>H</w:t>
            </w:r>
            <w:r>
              <w:rPr>
                <w:rFonts w:hint="eastAsia" w:eastAsia="楷体_GB2312" w:cs="Calibri"/>
                <w:b/>
                <w:bCs/>
                <w:sz w:val="20"/>
                <w:szCs w:val="20"/>
                <w:lang w:eastAsia="zh-CN"/>
              </w:rPr>
              <w:t>F</w:t>
            </w:r>
            <w:r>
              <w:rPr>
                <w:rFonts w:eastAsia="楷体_GB2312" w:cs="Calibri"/>
                <w:b/>
                <w:bCs/>
                <w:sz w:val="20"/>
                <w:szCs w:val="20"/>
              </w:rPr>
              <w:t>I</w:t>
            </w:r>
          </w:p>
        </w:tc>
      </w:tr>
    </w:tbl>
    <w:p w14:paraId="7E1423EE">
      <w:pPr>
        <w:jc w:val="both"/>
        <w:rPr>
          <w:rFonts w:eastAsia="楷体" w:cs="Calibri"/>
          <w:sz w:val="22"/>
          <w:szCs w:val="22"/>
          <w:lang w:eastAsia="zh-CN"/>
        </w:rPr>
      </w:pPr>
    </w:p>
    <w:p w14:paraId="67AADD53">
      <w:pPr>
        <w:pStyle w:val="36"/>
        <w:numPr>
          <w:ilvl w:val="0"/>
          <w:numId w:val="8"/>
        </w:numPr>
        <w:jc w:val="both"/>
        <w:rPr>
          <w:rFonts w:eastAsia="楷体" w:cs="Calibri"/>
          <w:b/>
          <w:bCs/>
          <w:sz w:val="22"/>
          <w:szCs w:val="22"/>
          <w:lang w:eastAsia="zh-CN"/>
        </w:rPr>
      </w:pPr>
      <w:r>
        <w:rPr>
          <w:rFonts w:eastAsia="楷体" w:cs="Calibri"/>
          <w:b/>
          <w:bCs/>
          <w:sz w:val="22"/>
          <w:szCs w:val="22"/>
          <w:lang w:eastAsia="zh-CN"/>
        </w:rPr>
        <w:t>Gross Profit Margin</w:t>
      </w:r>
    </w:p>
    <w:p w14:paraId="005D4ECF">
      <w:pPr>
        <w:jc w:val="both"/>
        <w:rPr>
          <w:rFonts w:eastAsia="楷体" w:cs="Calibri"/>
          <w:sz w:val="22"/>
          <w:szCs w:val="22"/>
          <w:lang w:eastAsia="zh-CN"/>
        </w:rPr>
      </w:pPr>
      <w:r>
        <w:rPr>
          <w:rFonts w:eastAsia="楷体" w:cs="Calibri"/>
          <w:sz w:val="22"/>
          <w:szCs w:val="22"/>
          <w:lang w:eastAsia="zh-CN"/>
        </w:rPr>
        <w:t>Driven by product structure upgrades and high-margin services, the company's overall gross profit margin is expected to steadily improve. Specifically, the gross profit margin for the aircraft business is projected to reach 34.9%/35.1%/35.5% in 2025-2027, while the gross profit margin for the service business is projected to be 34.5%/36.2%/38.9%. In summary, the company's overall gross profit margin is expected to be 34.8%/35.3%/36.0%.</w:t>
      </w:r>
    </w:p>
    <w:p w14:paraId="56E5C0DD">
      <w:pPr>
        <w:pStyle w:val="36"/>
        <w:numPr>
          <w:ilvl w:val="0"/>
          <w:numId w:val="8"/>
        </w:numPr>
        <w:jc w:val="both"/>
        <w:rPr>
          <w:rFonts w:eastAsia="楷体" w:cs="Calibri"/>
          <w:b/>
          <w:bCs/>
          <w:sz w:val="22"/>
          <w:szCs w:val="22"/>
          <w:lang w:eastAsia="zh-CN"/>
        </w:rPr>
      </w:pPr>
      <w:r>
        <w:rPr>
          <w:rFonts w:eastAsia="楷体" w:cs="Calibri"/>
          <w:b/>
          <w:bCs/>
          <w:sz w:val="22"/>
          <w:szCs w:val="22"/>
          <w:lang w:eastAsia="zh-CN"/>
        </w:rPr>
        <w:t>Period Expense Ratio</w:t>
      </w:r>
    </w:p>
    <w:p w14:paraId="469C0301">
      <w:pPr>
        <w:jc w:val="both"/>
        <w:rPr>
          <w:rFonts w:eastAsia="楷体" w:cs="Calibri"/>
          <w:sz w:val="22"/>
          <w:szCs w:val="22"/>
          <w:lang w:eastAsia="zh-CN"/>
        </w:rPr>
      </w:pPr>
      <w:r>
        <w:rPr>
          <w:rFonts w:hint="eastAsia" w:eastAsia="楷体" w:cs="Calibri"/>
          <w:b/>
          <w:bCs/>
          <w:sz w:val="22"/>
          <w:szCs w:val="22"/>
          <w:lang w:eastAsia="zh-CN"/>
        </w:rPr>
        <w:t>1）Sales Expense Ratio:</w:t>
      </w:r>
      <w:r>
        <w:rPr>
          <w:rFonts w:hint="eastAsia" w:eastAsia="楷体" w:cs="Calibri"/>
          <w:sz w:val="22"/>
          <w:szCs w:val="22"/>
          <w:lang w:eastAsia="zh-CN"/>
        </w:rPr>
        <w:t xml:space="preserve"> In 2023 and 2024, the sales expense ratio was 10.00% and 10.32%, respectively. As the company's economies of scale become more apparent and its cost control capabilities improve, the sales expense ratio is projected to be 10.00%/9.90%/9.80% in 2025-2027.</w:t>
      </w:r>
    </w:p>
    <w:p w14:paraId="4724B974">
      <w:pPr>
        <w:jc w:val="both"/>
        <w:rPr>
          <w:rFonts w:eastAsia="楷体" w:cs="Calibri"/>
          <w:sz w:val="22"/>
          <w:szCs w:val="22"/>
          <w:lang w:eastAsia="zh-CN"/>
        </w:rPr>
      </w:pPr>
      <w:r>
        <w:rPr>
          <w:rFonts w:hint="eastAsia" w:eastAsia="楷体" w:cs="Calibri"/>
          <w:b/>
          <w:bCs/>
          <w:sz w:val="22"/>
          <w:szCs w:val="22"/>
          <w:lang w:eastAsia="zh-CN"/>
        </w:rPr>
        <w:t>2）Administrative Expense Ratio:</w:t>
      </w:r>
      <w:r>
        <w:rPr>
          <w:rFonts w:hint="eastAsia" w:eastAsia="楷体" w:cs="Calibri"/>
          <w:sz w:val="22"/>
          <w:szCs w:val="22"/>
          <w:lang w:eastAsia="zh-CN"/>
        </w:rPr>
        <w:t xml:space="preserve"> The company's administrative expense ratio has decreased year by year, from 12.66% in 2023 to 11.80% in 2024. The projected administrative expense ratios for 2025-2027 are 10.90%/10.60%/10.40%, respecti</w:t>
      </w:r>
      <w:r>
        <w:rPr>
          <w:rFonts w:eastAsia="楷体" w:cs="Calibri"/>
          <w:sz w:val="22"/>
          <w:szCs w:val="22"/>
          <w:lang w:eastAsia="zh-CN"/>
        </w:rPr>
        <w:t>vely.</w:t>
      </w:r>
    </w:p>
    <w:p w14:paraId="66EB7B05">
      <w:pPr>
        <w:jc w:val="both"/>
        <w:rPr>
          <w:rFonts w:eastAsia="楷体" w:cs="Calibri"/>
          <w:sz w:val="22"/>
          <w:szCs w:val="22"/>
          <w:lang w:eastAsia="zh-CN"/>
        </w:rPr>
      </w:pPr>
    </w:p>
    <w:p w14:paraId="3837584B">
      <w:pPr>
        <w:jc w:val="both"/>
        <w:rPr>
          <w:rFonts w:eastAsia="楷体" w:cs="Calibri"/>
          <w:b/>
          <w:bCs/>
          <w:sz w:val="22"/>
          <w:szCs w:val="22"/>
          <w:u w:val="single"/>
          <w:lang w:eastAsia="zh-CN"/>
        </w:rPr>
      </w:pPr>
      <w:r>
        <w:rPr>
          <w:rFonts w:eastAsia="楷体" w:cs="Calibri"/>
          <w:b/>
          <w:bCs/>
          <w:sz w:val="22"/>
          <w:szCs w:val="22"/>
          <w:u w:val="single"/>
          <w:lang w:eastAsia="zh-CN"/>
        </w:rPr>
        <w:t>In summary, the company's net profit is projected to be US$162 /US$199 /US$242 million for 2025-2027, representing year-on-year growth rates of 34.2%/23.1%/21.3%, respectively.</w:t>
      </w:r>
    </w:p>
    <w:tbl>
      <w:tblPr>
        <w:tblStyle w:val="20"/>
        <w:tblW w:w="7743"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743"/>
      </w:tblGrid>
      <w:tr w14:paraId="372DB50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43" w:type="dxa"/>
            <w:tcBorders>
              <w:bottom w:val="single" w:color="auto" w:sz="4" w:space="0"/>
            </w:tcBorders>
          </w:tcPr>
          <w:p w14:paraId="7FA05389">
            <w:pPr>
              <w:jc w:val="both"/>
              <w:rPr>
                <w:rFonts w:eastAsia="楷体_GB2312" w:cs="Calibri"/>
                <w:b/>
                <w:sz w:val="17"/>
              </w:rPr>
            </w:pPr>
          </w:p>
          <w:p w14:paraId="77989373">
            <w:pPr>
              <w:pStyle w:val="76"/>
              <w:jc w:val="both"/>
              <w:rPr>
                <w:rFonts w:ascii="Calibri" w:hAnsi="Calibri" w:eastAsia="楷体_GB2312" w:cs="Calibri"/>
                <w:color w:val="215E99"/>
                <w:sz w:val="24"/>
              </w:rPr>
            </w:pPr>
            <w:r>
              <w:rPr>
                <w:rFonts w:hint="eastAsia" w:ascii="Calibri" w:hAnsi="Calibri" w:eastAsia="楷体_GB2312" w:cs="Calibri"/>
                <w:color w:val="215E99"/>
                <w:sz w:val="24"/>
              </w:rPr>
              <w:t xml:space="preserve">5.2 </w:t>
            </w:r>
            <w:r>
              <w:rPr>
                <w:rFonts w:ascii="Calibri" w:hAnsi="Calibri" w:eastAsia="楷体_GB2312" w:cs="Calibri"/>
                <w:color w:val="215E99"/>
                <w:sz w:val="24"/>
              </w:rPr>
              <w:t>Valuation Analysis</w:t>
            </w:r>
          </w:p>
          <w:p w14:paraId="5D6FFD7D">
            <w:pPr>
              <w:jc w:val="both"/>
              <w:rPr>
                <w:rFonts w:eastAsia="楷体" w:cs="Calibri"/>
                <w:sz w:val="22"/>
                <w:szCs w:val="22"/>
                <w:lang w:eastAsia="zh-CN"/>
              </w:rPr>
            </w:pPr>
            <w:r>
              <w:rPr>
                <w:rFonts w:eastAsia="楷体" w:cs="Calibri"/>
                <w:sz w:val="22"/>
                <w:szCs w:val="22"/>
                <w:lang w:eastAsia="zh-CN"/>
              </w:rPr>
              <w:t>Based on the discounted cash flow (DCF) valuation model, we have calculated the company's future operating cash flow and, taking into account the industry's growth prospects, the company's competitive position, and the trend of improving profitability, we assign a target price of US$11.12 (HK$86.72). We are initiating coverage of Cirrus Aircraft with an "Outperform" rating.</w:t>
            </w:r>
          </w:p>
          <w:p w14:paraId="3ED53EA7">
            <w:pPr>
              <w:jc w:val="both"/>
              <w:rPr>
                <w:rFonts w:hint="eastAsia" w:eastAsia="楷体" w:cs="Calibri"/>
                <w:sz w:val="22"/>
                <w:szCs w:val="22"/>
                <w:lang w:eastAsia="zh-CN"/>
              </w:rPr>
            </w:pPr>
          </w:p>
          <w:tbl>
            <w:tblPr>
              <w:tblStyle w:val="19"/>
              <w:tblW w:w="7466" w:type="dxa"/>
              <w:tblInd w:w="0" w:type="dxa"/>
              <w:tblLayout w:type="autofit"/>
              <w:tblCellMar>
                <w:top w:w="0" w:type="dxa"/>
                <w:left w:w="108" w:type="dxa"/>
                <w:bottom w:w="0" w:type="dxa"/>
                <w:right w:w="108" w:type="dxa"/>
              </w:tblCellMar>
            </w:tblPr>
            <w:tblGrid>
              <w:gridCol w:w="7506"/>
            </w:tblGrid>
            <w:tr w14:paraId="7C29559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BCE15DC">
                  <w:pPr>
                    <w:spacing w:before="48" w:beforeLines="20" w:after="48" w:afterLines="20"/>
                    <w:jc w:val="both"/>
                    <w:textAlignment w:val="center"/>
                    <w:rPr>
                      <w:rFonts w:hint="eastAsia" w:eastAsia="楷体" w:cs="Calibri"/>
                      <w:b/>
                      <w:sz w:val="20"/>
                      <w:szCs w:val="20"/>
                      <w:lang w:eastAsia="zh-CN"/>
                    </w:rPr>
                  </w:pPr>
                  <w:r>
                    <w:rPr>
                      <w:rFonts w:eastAsia="楷体" w:cs="Calibri"/>
                      <w:b/>
                      <w:sz w:val="20"/>
                      <w:szCs w:val="20"/>
                      <w:lang w:eastAsia="zh-CN"/>
                    </w:rPr>
                    <w:t>Figure</w:t>
                  </w:r>
                  <w:r>
                    <w:rPr>
                      <w:rFonts w:eastAsia="楷体" w:cs="Calibri"/>
                      <w:b/>
                      <w:sz w:val="20"/>
                      <w:szCs w:val="20"/>
                    </w:rPr>
                    <w:t xml:space="preserve">: </w:t>
                  </w:r>
                  <w:r>
                    <w:rPr>
                      <w:rFonts w:hint="eastAsia" w:eastAsia="楷体" w:cs="Calibri"/>
                      <w:b/>
                      <w:sz w:val="20"/>
                      <w:szCs w:val="20"/>
                      <w:lang w:eastAsia="zh-CN"/>
                    </w:rPr>
                    <w:t>DCF Model</w:t>
                  </w:r>
                </w:p>
              </w:tc>
            </w:tr>
            <w:tr w14:paraId="4997B79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8C646D1">
                  <w:pPr>
                    <w:spacing w:before="48" w:beforeLines="20" w:after="48" w:afterLines="20"/>
                    <w:jc w:val="center"/>
                    <w:textAlignment w:val="center"/>
                    <w:rPr>
                      <w:rFonts w:eastAsia="宋体" w:cs="Calibri"/>
                      <w:b/>
                      <w:bCs/>
                      <w:sz w:val="20"/>
                      <w:szCs w:val="20"/>
                    </w:rPr>
                  </w:pPr>
                  <w:r>
                    <w:rPr>
                      <w:snapToGrid/>
                    </w:rPr>
                    <w:drawing>
                      <wp:inline distT="0" distB="0" distL="0" distR="0">
                        <wp:extent cx="4623435" cy="4652645"/>
                        <wp:effectExtent l="0" t="0" r="5715" b="0"/>
                        <wp:docPr id="863495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95220" name="图片 5"/>
                                <pic:cNvPicPr>
                                  <a:picLocks noChangeAspect="1"/>
                                </pic:cNvPicPr>
                              </pic:nvPicPr>
                              <pic:blipFill>
                                <a:blip r:embed="rId69"/>
                                <a:stretch>
                                  <a:fillRect/>
                                </a:stretch>
                              </pic:blipFill>
                              <pic:spPr>
                                <a:xfrm>
                                  <a:off x="0" y="0"/>
                                  <a:ext cx="4628505" cy="4657795"/>
                                </a:xfrm>
                                <a:prstGeom prst="rect">
                                  <a:avLst/>
                                </a:prstGeom>
                                <a:noFill/>
                                <a:ln w="9525">
                                  <a:noFill/>
                                </a:ln>
                              </pic:spPr>
                            </pic:pic>
                          </a:graphicData>
                        </a:graphic>
                      </wp:inline>
                    </w:drawing>
                  </w:r>
                </w:p>
              </w:tc>
            </w:tr>
            <w:tr w14:paraId="09169C4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C6AD267">
                  <w:pPr>
                    <w:spacing w:line="240" w:lineRule="atLeast"/>
                    <w:jc w:val="both"/>
                    <w:textAlignment w:val="center"/>
                    <w:rPr>
                      <w:rFonts w:hint="eastAsia" w:ascii="楷体" w:hAnsi="楷体" w:eastAsia="楷体" w:cs="Calibri"/>
                      <w:sz w:val="20"/>
                      <w:szCs w:val="20"/>
                    </w:rPr>
                  </w:pPr>
                  <w:r>
                    <w:rPr>
                      <w:rFonts w:eastAsia="楷体_GB2312" w:cs="Calibri"/>
                      <w:b/>
                      <w:bCs/>
                      <w:sz w:val="20"/>
                      <w:szCs w:val="20"/>
                    </w:rPr>
                    <w:t xml:space="preserve">Source: </w:t>
                  </w:r>
                  <w:r>
                    <w:rPr>
                      <w:rFonts w:hint="eastAsia" w:eastAsia="楷体_GB2312" w:cs="Calibri"/>
                      <w:b/>
                      <w:bCs/>
                      <w:sz w:val="20"/>
                      <w:szCs w:val="20"/>
                      <w:lang w:eastAsia="zh-CN"/>
                    </w:rPr>
                    <w:t xml:space="preserve">Wind, </w:t>
                  </w:r>
                  <w:r>
                    <w:rPr>
                      <w:rFonts w:eastAsia="楷体_GB2312" w:cs="Calibri"/>
                      <w:b/>
                      <w:bCs/>
                      <w:sz w:val="20"/>
                      <w:szCs w:val="20"/>
                    </w:rPr>
                    <w:t>H</w:t>
                  </w:r>
                  <w:r>
                    <w:rPr>
                      <w:rFonts w:hint="eastAsia" w:eastAsia="楷体_GB2312" w:cs="Calibri"/>
                      <w:b/>
                      <w:bCs/>
                      <w:sz w:val="20"/>
                      <w:szCs w:val="20"/>
                      <w:lang w:eastAsia="zh-CN"/>
                    </w:rPr>
                    <w:t>F</w:t>
                  </w:r>
                  <w:r>
                    <w:rPr>
                      <w:rFonts w:eastAsia="楷体_GB2312" w:cs="Calibri"/>
                      <w:b/>
                      <w:bCs/>
                      <w:sz w:val="20"/>
                      <w:szCs w:val="20"/>
                    </w:rPr>
                    <w:t>I</w:t>
                  </w:r>
                </w:p>
              </w:tc>
            </w:tr>
          </w:tbl>
          <w:p w14:paraId="26AB2EB3">
            <w:pPr>
              <w:jc w:val="both"/>
              <w:rPr>
                <w:rFonts w:eastAsia="楷体" w:cs="Calibri"/>
                <w:sz w:val="22"/>
                <w:szCs w:val="22"/>
                <w:lang w:eastAsia="zh-CN"/>
              </w:rPr>
            </w:pPr>
          </w:p>
          <w:p w14:paraId="671BA2C1">
            <w:pPr>
              <w:jc w:val="both"/>
              <w:rPr>
                <w:rFonts w:hint="eastAsia" w:eastAsia="楷体" w:cs="Calibri"/>
                <w:sz w:val="22"/>
                <w:szCs w:val="22"/>
                <w:lang w:eastAsia="zh-CN"/>
              </w:rPr>
            </w:pPr>
          </w:p>
          <w:p w14:paraId="609DD2B7">
            <w:pPr>
              <w:jc w:val="both"/>
              <w:rPr>
                <w:rFonts w:eastAsia="楷体_GB2312" w:cs="Calibri"/>
                <w:b/>
                <w:sz w:val="17"/>
              </w:rPr>
            </w:pPr>
          </w:p>
          <w:p w14:paraId="42EA723F">
            <w:pPr>
              <w:spacing w:before="48" w:beforeLines="20" w:after="48" w:afterLines="20"/>
              <w:jc w:val="both"/>
              <w:textAlignment w:val="center"/>
              <w:rPr>
                <w:rFonts w:hint="eastAsia" w:eastAsia="楷体_GB2312" w:cs="Calibri"/>
                <w:b/>
                <w:sz w:val="17"/>
              </w:rPr>
            </w:pPr>
            <w:r>
              <w:rPr>
                <w:rFonts w:ascii="楷体" w:hAnsi="楷体" w:eastAsia="楷体" w:cs="Calibri"/>
                <w:b/>
                <w:sz w:val="20"/>
                <w:szCs w:val="20"/>
                <w:lang w:eastAsia="zh-CN"/>
              </w:rPr>
              <w:t xml:space="preserve">Table: </w:t>
            </w:r>
            <w:r>
              <w:rPr>
                <w:rFonts w:hint="eastAsia" w:ascii="楷体" w:hAnsi="楷体" w:eastAsia="楷体" w:cs="Calibri"/>
                <w:b/>
                <w:sz w:val="20"/>
                <w:szCs w:val="20"/>
                <w:lang w:eastAsia="zh-CN"/>
              </w:rPr>
              <w:t>Financial Summary</w:t>
            </w:r>
          </w:p>
        </w:tc>
      </w:tr>
      <w:tr w14:paraId="59C2541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84" w:hRule="atLeast"/>
        </w:trPr>
        <w:tc>
          <w:tcPr>
            <w:tcW w:w="7743" w:type="dxa"/>
            <w:tcBorders>
              <w:top w:val="single" w:color="auto" w:sz="4" w:space="0"/>
              <w:bottom w:val="single" w:color="auto" w:sz="4" w:space="0"/>
            </w:tcBorders>
          </w:tcPr>
          <w:p w14:paraId="19046C7A">
            <w:pPr>
              <w:jc w:val="both"/>
              <w:rPr>
                <w:rFonts w:cs="等线" w:eastAsiaTheme="minorEastAsia"/>
                <w:lang w:eastAsia="zh-CN"/>
              </w:rPr>
            </w:pPr>
            <w:r>
              <w:rPr>
                <w:rFonts w:cs="等线"/>
              </w:rPr>
              <w:drawing>
                <wp:inline distT="0" distB="0" distL="0" distR="0">
                  <wp:extent cx="4916805" cy="4084955"/>
                  <wp:effectExtent l="0" t="0" r="0" b="0"/>
                  <wp:docPr id="9436806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0679" name="图片 13"/>
                          <pic:cNvPicPr>
                            <a:picLocks noChangeAspect="1"/>
                          </pic:cNvPicPr>
                        </pic:nvPicPr>
                        <pic:blipFill>
                          <a:blip r:embed="rId70"/>
                          <a:stretch>
                            <a:fillRect/>
                          </a:stretch>
                        </pic:blipFill>
                        <pic:spPr>
                          <a:xfrm>
                            <a:off x="0" y="0"/>
                            <a:ext cx="4916805" cy="4084955"/>
                          </a:xfrm>
                          <a:prstGeom prst="rect">
                            <a:avLst/>
                          </a:prstGeom>
                          <a:noFill/>
                          <a:ln w="9525">
                            <a:noFill/>
                          </a:ln>
                        </pic:spPr>
                      </pic:pic>
                    </a:graphicData>
                  </a:graphic>
                </wp:inline>
              </w:drawing>
            </w:r>
          </w:p>
        </w:tc>
      </w:tr>
      <w:tr w14:paraId="23B052B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43" w:type="dxa"/>
            <w:tcBorders>
              <w:top w:val="single" w:color="auto" w:sz="4" w:space="0"/>
            </w:tcBorders>
          </w:tcPr>
          <w:p w14:paraId="0F21EDE6">
            <w:pPr>
              <w:spacing w:before="48" w:beforeLines="20" w:after="48" w:afterLines="20"/>
              <w:jc w:val="both"/>
              <w:textAlignment w:val="center"/>
              <w:rPr>
                <w:rFonts w:hint="eastAsia" w:ascii="楷体" w:hAnsi="楷体" w:eastAsia="楷体" w:cs="Calibri"/>
                <w:b/>
                <w:sz w:val="20"/>
                <w:szCs w:val="20"/>
                <w:lang w:eastAsia="zh-CN"/>
              </w:rPr>
            </w:pPr>
            <w:r>
              <w:rPr>
                <w:rFonts w:ascii="楷体" w:hAnsi="楷体" w:eastAsia="楷体" w:cs="Calibri"/>
                <w:b/>
                <w:sz w:val="20"/>
                <w:szCs w:val="20"/>
                <w:lang w:eastAsia="zh-CN"/>
              </w:rPr>
              <w:t>Source: Company Announcements, H</w:t>
            </w:r>
            <w:r>
              <w:rPr>
                <w:rFonts w:hint="eastAsia" w:ascii="楷体" w:hAnsi="楷体" w:eastAsia="楷体" w:cs="Calibri"/>
                <w:b/>
                <w:sz w:val="20"/>
                <w:szCs w:val="20"/>
                <w:lang w:eastAsia="zh-CN"/>
              </w:rPr>
              <w:t>F</w:t>
            </w:r>
            <w:r>
              <w:rPr>
                <w:rFonts w:ascii="楷体" w:hAnsi="楷体" w:eastAsia="楷体" w:cs="Calibri"/>
                <w:b/>
                <w:sz w:val="20"/>
                <w:szCs w:val="20"/>
                <w:lang w:eastAsia="zh-CN"/>
              </w:rPr>
              <w:t xml:space="preserve">I </w:t>
            </w:r>
          </w:p>
        </w:tc>
      </w:tr>
      <w:tr w14:paraId="6E9F798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43" w:type="dxa"/>
          </w:tcPr>
          <w:p w14:paraId="39077850">
            <w:pPr>
              <w:spacing w:line="240" w:lineRule="atLeast"/>
              <w:jc w:val="both"/>
              <w:textAlignment w:val="center"/>
              <w:rPr>
                <w:rFonts w:eastAsia="楷体_GB2312" w:cs="Calibri"/>
                <w:b/>
                <w:bCs/>
                <w:sz w:val="18"/>
                <w:szCs w:val="18"/>
                <w:lang w:eastAsia="zh-CN"/>
              </w:rPr>
            </w:pPr>
          </w:p>
        </w:tc>
      </w:tr>
    </w:tbl>
    <w:p w14:paraId="33C3C126">
      <w:pPr>
        <w:jc w:val="both"/>
        <w:rPr>
          <w:rFonts w:eastAsia="楷体_GB2312" w:cs="Calibri"/>
          <w:b/>
          <w:sz w:val="17"/>
          <w:lang w:eastAsia="zh-CN"/>
        </w:rPr>
      </w:pPr>
    </w:p>
    <w:p w14:paraId="5A465887">
      <w:pPr>
        <w:jc w:val="both"/>
        <w:rPr>
          <w:rFonts w:eastAsia="楷体_GB2312" w:cs="Calibri"/>
          <w:b/>
          <w:sz w:val="17"/>
          <w:lang w:eastAsia="zh-CN"/>
        </w:rPr>
      </w:pPr>
    </w:p>
    <w:p w14:paraId="57C5871E">
      <w:pPr>
        <w:jc w:val="both"/>
        <w:rPr>
          <w:rFonts w:eastAsia="楷体_GB2312" w:cs="Calibri"/>
          <w:b/>
          <w:sz w:val="17"/>
          <w:lang w:eastAsia="zh-CN"/>
        </w:rPr>
      </w:pPr>
    </w:p>
    <w:p w14:paraId="7BFA534F">
      <w:pPr>
        <w:jc w:val="both"/>
        <w:rPr>
          <w:rFonts w:eastAsia="楷体_GB2312" w:cs="Calibri"/>
          <w:b/>
          <w:sz w:val="17"/>
          <w:lang w:eastAsia="zh-CN"/>
        </w:rPr>
      </w:pPr>
    </w:p>
    <w:p w14:paraId="0A702F92">
      <w:pPr>
        <w:rPr>
          <w:rFonts w:eastAsiaTheme="minorEastAsia"/>
          <w:lang w:eastAsia="zh-CN"/>
        </w:rPr>
      </w:pPr>
      <w:bookmarkStart w:id="19" w:name="_Toc186105501"/>
      <w:bookmarkStart w:id="20" w:name="_Toc218942526"/>
    </w:p>
    <w:p w14:paraId="2FF7330A">
      <w:pPr>
        <w:rPr>
          <w:rFonts w:eastAsiaTheme="minorEastAsia"/>
          <w:lang w:eastAsia="zh-CN"/>
        </w:rPr>
      </w:pPr>
    </w:p>
    <w:p w14:paraId="43B73CC1">
      <w:pPr>
        <w:rPr>
          <w:rFonts w:eastAsiaTheme="minorEastAsia"/>
          <w:lang w:eastAsia="zh-CN"/>
        </w:rPr>
      </w:pPr>
    </w:p>
    <w:p w14:paraId="63A0857B">
      <w:pPr>
        <w:rPr>
          <w:rFonts w:eastAsiaTheme="minorEastAsia"/>
          <w:lang w:eastAsia="zh-CN"/>
        </w:rPr>
      </w:pPr>
    </w:p>
    <w:p w14:paraId="152484C7">
      <w:pPr>
        <w:rPr>
          <w:rFonts w:eastAsiaTheme="minorEastAsia"/>
          <w:lang w:eastAsia="zh-CN"/>
        </w:rPr>
      </w:pPr>
    </w:p>
    <w:p w14:paraId="584020C9">
      <w:pPr>
        <w:rPr>
          <w:rFonts w:eastAsiaTheme="minorEastAsia"/>
          <w:lang w:eastAsia="zh-CN"/>
        </w:rPr>
      </w:pPr>
    </w:p>
    <w:p w14:paraId="5BF7C893">
      <w:pPr>
        <w:rPr>
          <w:rFonts w:eastAsiaTheme="minorEastAsia"/>
          <w:lang w:eastAsia="zh-CN"/>
        </w:rPr>
      </w:pPr>
    </w:p>
    <w:p w14:paraId="04E52CF4">
      <w:pPr>
        <w:rPr>
          <w:rFonts w:eastAsiaTheme="minorEastAsia"/>
          <w:lang w:eastAsia="zh-CN"/>
        </w:rPr>
      </w:pPr>
    </w:p>
    <w:p w14:paraId="271EEBBB">
      <w:pPr>
        <w:rPr>
          <w:rFonts w:eastAsiaTheme="minorEastAsia"/>
          <w:lang w:eastAsia="zh-CN"/>
        </w:rPr>
      </w:pPr>
    </w:p>
    <w:p w14:paraId="6748219A">
      <w:pPr>
        <w:rPr>
          <w:rFonts w:eastAsiaTheme="minorEastAsia"/>
          <w:lang w:eastAsia="zh-CN"/>
        </w:rPr>
      </w:pPr>
    </w:p>
    <w:p w14:paraId="48A0766D">
      <w:pPr>
        <w:rPr>
          <w:rFonts w:eastAsiaTheme="minorEastAsia"/>
          <w:lang w:eastAsia="zh-CN"/>
        </w:rPr>
      </w:pPr>
    </w:p>
    <w:p w14:paraId="5064D804">
      <w:pPr>
        <w:rPr>
          <w:rFonts w:eastAsiaTheme="minorEastAsia"/>
          <w:lang w:eastAsia="zh-CN"/>
        </w:rPr>
      </w:pPr>
    </w:p>
    <w:p w14:paraId="27DDB77D">
      <w:pPr>
        <w:rPr>
          <w:rFonts w:eastAsiaTheme="minorEastAsia"/>
          <w:lang w:eastAsia="zh-CN"/>
        </w:rPr>
      </w:pPr>
    </w:p>
    <w:p w14:paraId="2B813D10">
      <w:pPr>
        <w:rPr>
          <w:rFonts w:eastAsiaTheme="minorEastAsia"/>
          <w:lang w:eastAsia="zh-CN"/>
        </w:rPr>
      </w:pPr>
    </w:p>
    <w:p w14:paraId="4544461A">
      <w:pPr>
        <w:rPr>
          <w:rFonts w:eastAsiaTheme="minorEastAsia"/>
          <w:lang w:eastAsia="zh-CN"/>
        </w:rPr>
      </w:pPr>
    </w:p>
    <w:p w14:paraId="72DB43A7">
      <w:pPr>
        <w:rPr>
          <w:rFonts w:eastAsiaTheme="minorEastAsia"/>
          <w:lang w:eastAsia="zh-CN"/>
        </w:rPr>
      </w:pPr>
    </w:p>
    <w:p w14:paraId="25452B02">
      <w:pPr>
        <w:rPr>
          <w:rFonts w:eastAsiaTheme="minorEastAsia"/>
          <w:lang w:eastAsia="zh-CN"/>
        </w:rPr>
      </w:pPr>
    </w:p>
    <w:p w14:paraId="46797873">
      <w:pPr>
        <w:rPr>
          <w:rFonts w:eastAsiaTheme="minorEastAsia"/>
          <w:lang w:eastAsia="zh-CN"/>
        </w:rPr>
      </w:pPr>
    </w:p>
    <w:p w14:paraId="779D32C4">
      <w:pPr>
        <w:rPr>
          <w:rFonts w:eastAsiaTheme="minorEastAsia"/>
          <w:lang w:eastAsia="zh-CN"/>
        </w:rPr>
      </w:pPr>
    </w:p>
    <w:p w14:paraId="078CE827">
      <w:pPr>
        <w:rPr>
          <w:rFonts w:eastAsiaTheme="minorEastAsia"/>
          <w:lang w:eastAsia="zh-CN"/>
        </w:rPr>
      </w:pPr>
    </w:p>
    <w:p w14:paraId="3FC44339">
      <w:pPr>
        <w:rPr>
          <w:rFonts w:eastAsiaTheme="minorEastAsia"/>
          <w:lang w:eastAsia="zh-CN"/>
        </w:rPr>
      </w:pPr>
    </w:p>
    <w:p w14:paraId="137C8DF4">
      <w:pPr>
        <w:rPr>
          <w:rFonts w:eastAsiaTheme="minorEastAsia"/>
          <w:lang w:eastAsia="zh-CN"/>
        </w:rPr>
      </w:pPr>
    </w:p>
    <w:p w14:paraId="44062AA0">
      <w:pPr>
        <w:rPr>
          <w:rFonts w:eastAsiaTheme="minorEastAsia"/>
          <w:lang w:eastAsia="zh-CN"/>
        </w:rPr>
      </w:pPr>
    </w:p>
    <w:p w14:paraId="3AB4D6CA">
      <w:pPr>
        <w:rPr>
          <w:rFonts w:eastAsiaTheme="minorEastAsia"/>
          <w:lang w:eastAsia="zh-CN"/>
        </w:rPr>
      </w:pPr>
    </w:p>
    <w:p w14:paraId="261CB0D1">
      <w:pPr>
        <w:rPr>
          <w:rFonts w:eastAsiaTheme="minorEastAsia"/>
          <w:lang w:eastAsia="zh-CN"/>
        </w:rPr>
      </w:pPr>
    </w:p>
    <w:p w14:paraId="7286E5F3">
      <w:pPr>
        <w:rPr>
          <w:rFonts w:eastAsiaTheme="minorEastAsia"/>
          <w:lang w:eastAsia="zh-CN"/>
        </w:rPr>
      </w:pPr>
    </w:p>
    <w:p w14:paraId="30002D0D">
      <w:pPr>
        <w:rPr>
          <w:rFonts w:eastAsiaTheme="minorEastAsia"/>
          <w:lang w:eastAsia="zh-CN"/>
        </w:rPr>
      </w:pPr>
    </w:p>
    <w:p w14:paraId="023024A4">
      <w:pPr>
        <w:rPr>
          <w:rFonts w:eastAsiaTheme="minorEastAsia"/>
          <w:lang w:eastAsia="zh-CN"/>
        </w:rPr>
      </w:pPr>
    </w:p>
    <w:p w14:paraId="1DFCDFD7">
      <w:pPr>
        <w:rPr>
          <w:rFonts w:eastAsiaTheme="minorEastAsia"/>
          <w:lang w:eastAsia="zh-CN"/>
        </w:rPr>
      </w:pPr>
    </w:p>
    <w:p w14:paraId="70649EFD">
      <w:pPr>
        <w:pStyle w:val="2"/>
        <w:spacing w:before="240" w:beforeLines="100" w:after="240" w:afterLines="100"/>
        <w:jc w:val="both"/>
        <w:rPr>
          <w:rFonts w:ascii="Calibri" w:hAnsi="Calibri" w:eastAsia="楷体_GB2312" w:cs="Calibri"/>
          <w:color w:val="215E99"/>
          <w:sz w:val="30"/>
          <w:lang w:eastAsia="zh-CN"/>
        </w:rPr>
      </w:pPr>
      <w:r>
        <w:rPr>
          <w:rFonts w:hint="eastAsia" w:ascii="Calibri" w:hAnsi="Calibri" w:eastAsia="楷体_GB2312" w:cs="Calibri"/>
          <w:color w:val="215E99"/>
          <w:sz w:val="30"/>
          <w:lang w:eastAsia="zh-CN"/>
        </w:rPr>
        <w:t>6</w:t>
      </w:r>
      <w:r>
        <w:rPr>
          <w:rFonts w:ascii="Calibri" w:hAnsi="Calibri" w:eastAsia="楷体_GB2312" w:cs="Calibri"/>
          <w:color w:val="215E99"/>
          <w:sz w:val="30"/>
        </w:rPr>
        <w:t xml:space="preserve">. </w:t>
      </w:r>
      <w:bookmarkEnd w:id="19"/>
      <w:r>
        <w:rPr>
          <w:rFonts w:ascii="Calibri" w:hAnsi="Calibri" w:eastAsia="楷体_GB2312" w:cs="Calibri"/>
          <w:color w:val="215E99"/>
          <w:sz w:val="30"/>
          <w:lang w:eastAsia="zh-CN"/>
        </w:rPr>
        <w:t>Risks</w:t>
      </w:r>
      <w:bookmarkEnd w:id="20"/>
    </w:p>
    <w:p w14:paraId="73FFEFC9">
      <w:pPr>
        <w:pStyle w:val="43"/>
        <w:rPr>
          <w:rFonts w:hint="eastAsia" w:eastAsia="楷体_GB2312" w:cs="Calibri"/>
          <w:snapToGrid/>
          <w:sz w:val="22"/>
          <w:szCs w:val="22"/>
          <w:lang w:eastAsia="zh-CN"/>
        </w:rPr>
      </w:pPr>
      <w:r>
        <w:rPr>
          <w:rFonts w:eastAsia="楷体_GB2312" w:cs="Calibri"/>
          <w:snapToGrid/>
          <w:sz w:val="22"/>
          <w:szCs w:val="22"/>
        </w:rPr>
        <w:t>Fluctuation in raw material prices</w:t>
      </w:r>
      <w:r>
        <w:rPr>
          <w:rFonts w:hint="eastAsia" w:eastAsia="楷体_GB2312" w:cs="Calibri"/>
          <w:snapToGrid/>
          <w:sz w:val="22"/>
          <w:szCs w:val="22"/>
        </w:rPr>
        <w:t>;</w:t>
      </w:r>
      <w:r>
        <w:rPr>
          <w:rFonts w:hint="eastAsia" w:eastAsia="楷体_GB2312" w:cs="Calibri"/>
          <w:snapToGrid/>
          <w:sz w:val="22"/>
          <w:szCs w:val="22"/>
          <w:lang w:eastAsia="zh-CN"/>
        </w:rPr>
        <w:t xml:space="preserve"> </w:t>
      </w:r>
      <w:r>
        <w:rPr>
          <w:rFonts w:eastAsia="楷体_GB2312" w:cs="Calibri"/>
          <w:snapToGrid/>
          <w:sz w:val="22"/>
          <w:szCs w:val="22"/>
        </w:rPr>
        <w:t>Supply chain disruptions</w:t>
      </w:r>
      <w:r>
        <w:rPr>
          <w:rFonts w:hint="eastAsia" w:eastAsia="楷体_GB2312" w:cs="Calibri"/>
          <w:snapToGrid/>
          <w:sz w:val="22"/>
          <w:szCs w:val="22"/>
          <w:lang w:eastAsia="zh-CN"/>
        </w:rPr>
        <w:t xml:space="preserve">; </w:t>
      </w:r>
      <w:r>
        <w:rPr>
          <w:rFonts w:eastAsia="楷体_GB2312" w:cs="Calibri"/>
          <w:snapToGrid/>
          <w:sz w:val="22"/>
          <w:szCs w:val="22"/>
        </w:rPr>
        <w:t>Intensified market competition</w:t>
      </w:r>
      <w:r>
        <w:rPr>
          <w:rFonts w:hint="eastAsia" w:eastAsia="楷体_GB2312" w:cs="Calibri"/>
          <w:snapToGrid/>
          <w:sz w:val="22"/>
          <w:szCs w:val="22"/>
          <w:lang w:eastAsia="zh-CN"/>
        </w:rPr>
        <w:t xml:space="preserve">; </w:t>
      </w:r>
      <w:r>
        <w:rPr>
          <w:rFonts w:eastAsia="楷体_GB2312" w:cs="Calibri"/>
          <w:snapToGrid/>
          <w:sz w:val="22"/>
          <w:szCs w:val="22"/>
        </w:rPr>
        <w:t>Changes in customer demand and preferences</w:t>
      </w:r>
      <w:r>
        <w:rPr>
          <w:rFonts w:hint="eastAsia" w:eastAsia="楷体_GB2312" w:cs="Calibri"/>
          <w:snapToGrid/>
          <w:sz w:val="22"/>
          <w:szCs w:val="22"/>
          <w:lang w:eastAsia="zh-CN"/>
        </w:rPr>
        <w:t xml:space="preserve">; </w:t>
      </w:r>
      <w:r>
        <w:rPr>
          <w:rFonts w:eastAsia="楷体_GB2312" w:cs="Calibri"/>
          <w:snapToGrid/>
          <w:sz w:val="22"/>
          <w:szCs w:val="22"/>
        </w:rPr>
        <w:t>Policy implementation falling short of expectation</w:t>
      </w:r>
      <w:r>
        <w:rPr>
          <w:rFonts w:hint="eastAsia" w:eastAsia="楷体_GB2312" w:cs="Calibri"/>
          <w:snapToGrid/>
          <w:sz w:val="22"/>
          <w:szCs w:val="22"/>
          <w:lang w:eastAsia="zh-CN"/>
        </w:rPr>
        <w:t>.</w:t>
      </w:r>
    </w:p>
    <w:p w14:paraId="35FF0637">
      <w:pPr>
        <w:pStyle w:val="43"/>
        <w:rPr>
          <w:rFonts w:eastAsia="楷体_GB2312" w:cs="Calibri"/>
          <w:snapToGrid/>
          <w:sz w:val="22"/>
          <w:szCs w:val="22"/>
        </w:rPr>
      </w:pPr>
    </w:p>
    <w:p w14:paraId="380390D1">
      <w:pPr>
        <w:pStyle w:val="43"/>
        <w:rPr>
          <w:rFonts w:eastAsia="楷体_GB2312" w:cs="Calibri"/>
          <w:snapToGrid/>
          <w:sz w:val="22"/>
          <w:szCs w:val="22"/>
        </w:rPr>
      </w:pPr>
    </w:p>
    <w:p w14:paraId="1585B670">
      <w:pPr>
        <w:pStyle w:val="43"/>
        <w:rPr>
          <w:rFonts w:eastAsia="楷体_GB2312" w:cs="Calibri"/>
          <w:snapToGrid/>
          <w:sz w:val="22"/>
          <w:szCs w:val="22"/>
        </w:rPr>
      </w:pPr>
    </w:p>
    <w:p w14:paraId="2644499D">
      <w:pPr>
        <w:rPr>
          <w:rFonts w:eastAsia="楷体_GB2312" w:cs="Calibri"/>
          <w:snapToGrid/>
          <w:sz w:val="22"/>
          <w:szCs w:val="22"/>
        </w:rPr>
        <w:sectPr>
          <w:headerReference r:id="rId14" w:type="first"/>
          <w:headerReference r:id="rId13" w:type="default"/>
          <w:footerReference r:id="rId15" w:type="default"/>
          <w:pgSz w:w="11910" w:h="16840"/>
          <w:pgMar w:top="567" w:right="567" w:bottom="1021" w:left="3600" w:header="567" w:footer="919" w:gutter="0"/>
          <w:cols w:space="425" w:num="1"/>
          <w:titlePg/>
          <w:docGrid w:linePitch="299" w:charSpace="0"/>
        </w:sectPr>
      </w:pPr>
      <w:r>
        <w:rPr>
          <w:rFonts w:eastAsia="楷体_GB2312" w:cs="Calibri"/>
          <w:snapToGrid/>
          <w:sz w:val="22"/>
          <w:szCs w:val="22"/>
        </w:rPr>
        <w:br w:type="page"/>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50A9FD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14:paraId="1E0E31B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14:paraId="626A2B5B">
                  <w:pPr>
                    <w:pStyle w:val="70"/>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446866D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14:paraId="21959298">
                  <w:pPr>
                    <w:pStyle w:val="70"/>
                    <w:spacing w:after="60"/>
                    <w:rPr>
                      <w:rFonts w:eastAsia="楷体_GB2312" w:cs="Calibri"/>
                      <w:b/>
                      <w:bCs/>
                      <w:w w:val="70"/>
                      <w:sz w:val="22"/>
                      <w:szCs w:val="22"/>
                      <w:lang w:eastAsia="zh-CN"/>
                    </w:rPr>
                  </w:pPr>
                  <w:r>
                    <w:rPr>
                      <w:rFonts w:eastAsia="楷体_GB2312" w:cs="Calibri"/>
                      <w:b/>
                      <w:bCs/>
                      <w:w w:val="70"/>
                      <w:sz w:val="22"/>
                      <w:szCs w:val="22"/>
                    </w:rPr>
                    <w:t>附录APPENDIX</w:t>
                  </w:r>
                </w:p>
                <w:p w14:paraId="0225A0A6">
                  <w:pPr>
                    <w:pStyle w:val="70"/>
                    <w:rPr>
                      <w:rFonts w:eastAsia="楷体_GB2312" w:cs="Calibri"/>
                      <w:b/>
                      <w:w w:val="70"/>
                      <w:sz w:val="20"/>
                      <w:szCs w:val="20"/>
                    </w:rPr>
                  </w:pPr>
                  <w:r>
                    <w:rPr>
                      <w:rFonts w:eastAsia="楷体_GB2312" w:cs="Calibri"/>
                      <w:b/>
                      <w:w w:val="70"/>
                      <w:sz w:val="20"/>
                      <w:szCs w:val="20"/>
                    </w:rPr>
                    <w:t>重要信息披露</w:t>
                  </w:r>
                </w:p>
                <w:p w14:paraId="7890A218">
                  <w:pPr>
                    <w:pStyle w:val="70"/>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5FA76FDA">
                  <w:pPr>
                    <w:pStyle w:val="70"/>
                    <w:rPr>
                      <w:rFonts w:eastAsia="楷体_GB2312" w:cs="Calibri"/>
                      <w:b/>
                      <w:bCs/>
                      <w:w w:val="70"/>
                      <w:sz w:val="20"/>
                      <w:szCs w:val="20"/>
                    </w:rPr>
                  </w:pPr>
                  <w:r>
                    <w:rPr>
                      <w:rFonts w:eastAsia="楷体_GB2312" w:cs="Calibri"/>
                      <w:b/>
                      <w:bCs/>
                      <w:w w:val="70"/>
                      <w:sz w:val="20"/>
                      <w:szCs w:val="20"/>
                    </w:rPr>
                    <w:t>IMPORTANT DISCLOSURES</w:t>
                  </w:r>
                </w:p>
                <w:p w14:paraId="357AD5CA">
                  <w:pPr>
                    <w:pStyle w:val="70"/>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72D415B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14:paraId="743D6838">
                  <w:pPr>
                    <w:pStyle w:val="70"/>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39E479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14:paraId="4D511020">
                  <w:pPr>
                    <w:rPr>
                      <w:rFonts w:eastAsia="楷体_GB2312" w:cs="Calibri"/>
                      <w:w w:val="70"/>
                      <w:sz w:val="20"/>
                      <w:szCs w:val="20"/>
                      <w:lang w:eastAsia="zh-CN"/>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44377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14:paraId="0D27A025">
                  <w:pPr>
                    <w:pStyle w:val="70"/>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41F9C6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14:paraId="1E604B18">
                  <w:pPr>
                    <w:pStyle w:val="70"/>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2"/>
                      <w:rFonts w:eastAsia="楷体_GB2312" w:cs="Calibri"/>
                      <w:color w:val="000000" w:themeColor="text1"/>
                      <w:w w:val="70"/>
                      <w:sz w:val="20"/>
                      <w:szCs w:val="20"/>
                      <w14:textFill>
                        <w14:solidFill>
                          <w14:schemeClr w14:val="tx1"/>
                        </w14:solidFill>
                      </w14:textFill>
                    </w:rPr>
                    <w:t>请发邮件至</w:t>
                  </w:r>
                  <w:r>
                    <w:rPr>
                      <w:rStyle w:val="22"/>
                      <w:rFonts w:hint="eastAsia" w:eastAsia="楷体_GB2312" w:cs="Calibri"/>
                      <w:color w:val="000000" w:themeColor="text1"/>
                      <w:w w:val="70"/>
                      <w:sz w:val="20"/>
                      <w:szCs w:val="20"/>
                      <w14:textFill>
                        <w14:solidFill>
                          <w14:schemeClr w14:val="tx1"/>
                        </w14:solidFill>
                      </w14:textFill>
                    </w:rPr>
                    <w:t>lcd</w:t>
                  </w:r>
                  <w:r>
                    <w:rPr>
                      <w:rStyle w:val="22"/>
                      <w:rFonts w:eastAsia="楷体_GB2312" w:cs="Calibri"/>
                      <w:color w:val="000000" w:themeColor="text1"/>
                      <w:w w:val="70"/>
                      <w:sz w:val="20"/>
                      <w:szCs w:val="20"/>
                      <w14:textFill>
                        <w14:solidFill>
                          <w14:schemeClr w14:val="tx1"/>
                        </w14:solidFill>
                      </w14:textFill>
                    </w:rPr>
                    <w:t>@</w:t>
                  </w:r>
                  <w:r>
                    <w:rPr>
                      <w:rStyle w:val="22"/>
                      <w:rFonts w:hint="eastAsia" w:eastAsia="楷体_GB2312" w:cs="Calibri"/>
                      <w:color w:val="000000" w:themeColor="text1"/>
                      <w:w w:val="70"/>
                      <w:sz w:val="20"/>
                      <w:szCs w:val="20"/>
                      <w14:textFill>
                        <w14:solidFill>
                          <w14:schemeClr w14:val="tx1"/>
                        </w14:solidFill>
                      </w14:textFill>
                    </w:rPr>
                    <w:t>hfisec</w:t>
                  </w:r>
                  <w:r>
                    <w:rPr>
                      <w:rStyle w:val="22"/>
                      <w:rFonts w:eastAsia="楷体_GB2312" w:cs="Calibri"/>
                      <w:color w:val="000000" w:themeColor="text1"/>
                      <w:w w:val="70"/>
                      <w:sz w:val="20"/>
                      <w:szCs w:val="20"/>
                      <w14:textFill>
                        <w14:solidFill>
                          <w14:schemeClr w14:val="tx1"/>
                        </w14:solidFill>
                      </w14:textFill>
                    </w:rPr>
                    <w:t>.com</w:t>
                  </w:r>
                  <w:r>
                    <w:rPr>
                      <w:rStyle w:val="22"/>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14:paraId="6F2D8FFD">
                  <w:pPr>
                    <w:pStyle w:val="70"/>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7C1FD04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26433A49">
                  <w:pPr>
                    <w:pStyle w:val="70"/>
                    <w:rPr>
                      <w:rFonts w:eastAsia="楷体_GB2312" w:cs="Calibri"/>
                      <w:w w:val="70"/>
                      <w:sz w:val="20"/>
                      <w:szCs w:val="20"/>
                    </w:rPr>
                  </w:pPr>
                </w:p>
              </w:tc>
            </w:tr>
            <w:tr w14:paraId="201476F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14:paraId="6B86BBEA">
                  <w:pPr>
                    <w:pStyle w:val="70"/>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2AE3E4CA">
                  <w:pPr>
                    <w:pStyle w:val="70"/>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03CCD8B4">
                  <w:pPr>
                    <w:pStyle w:val="70"/>
                    <w:rPr>
                      <w:rFonts w:eastAsia="楷体_GB2312" w:cs="Calibri"/>
                      <w:b/>
                      <w:w w:val="70"/>
                      <w:sz w:val="20"/>
                      <w:szCs w:val="20"/>
                      <w:lang w:eastAsia="zh-CN"/>
                    </w:rPr>
                  </w:pPr>
                  <w:r>
                    <w:rPr>
                      <w:rFonts w:eastAsia="楷体_GB2312" w:cs="Calibri"/>
                      <w:b/>
                      <w:w w:val="70"/>
                      <w:sz w:val="20"/>
                      <w:szCs w:val="20"/>
                      <w:lang w:eastAsia="zh-CN"/>
                    </w:rPr>
                    <w:t>分析师股票评级</w:t>
                  </w:r>
                </w:p>
                <w:p w14:paraId="64A21129">
                  <w:pPr>
                    <w:pStyle w:val="70"/>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38792C55">
                  <w:pPr>
                    <w:pStyle w:val="70"/>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1BA69BF0">
                  <w:pPr>
                    <w:pStyle w:val="70"/>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61B8FE9B">
                  <w:pPr>
                    <w:pStyle w:val="70"/>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110C77E6">
                  <w:pPr>
                    <w:pStyle w:val="70"/>
                    <w:rPr>
                      <w:rFonts w:eastAsia="楷体_GB2312" w:cs="Calibri"/>
                      <w:w w:val="79"/>
                      <w:sz w:val="20"/>
                      <w:szCs w:val="20"/>
                    </w:rPr>
                  </w:pPr>
                  <w:r>
                    <w:rPr>
                      <w:rFonts w:eastAsia="楷体_GB2312" w:cs="Calibri"/>
                      <w:b/>
                      <w:w w:val="79"/>
                      <w:sz w:val="20"/>
                      <w:szCs w:val="20"/>
                    </w:rPr>
                    <w:t xml:space="preserve">Ratings Definitions (from 1 Jul 2020): </w:t>
                  </w:r>
                </w:p>
                <w:p w14:paraId="26606223">
                  <w:pPr>
                    <w:pStyle w:val="70"/>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5AA1994D">
                  <w:pPr>
                    <w:pStyle w:val="70"/>
                    <w:rPr>
                      <w:rFonts w:eastAsia="楷体_GB2312" w:cs="Calibri"/>
                      <w:b/>
                      <w:w w:val="79"/>
                      <w:sz w:val="20"/>
                      <w:szCs w:val="20"/>
                    </w:rPr>
                  </w:pPr>
                  <w:r>
                    <w:rPr>
                      <w:rFonts w:eastAsia="楷体_GB2312" w:cs="Calibri"/>
                      <w:b/>
                      <w:w w:val="79"/>
                      <w:sz w:val="20"/>
                      <w:szCs w:val="20"/>
                    </w:rPr>
                    <w:t>Analyst Stock Ratings</w:t>
                  </w:r>
                </w:p>
                <w:p w14:paraId="04830ED8">
                  <w:pPr>
                    <w:pStyle w:val="70"/>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32DD2F37">
                  <w:pPr>
                    <w:pStyle w:val="70"/>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6A69140A">
                  <w:pPr>
                    <w:pStyle w:val="70"/>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5C32B346">
                  <w:pPr>
                    <w:pStyle w:val="70"/>
                    <w:rPr>
                      <w:rFonts w:eastAsia="楷体_GB2312" w:cs="Calibri"/>
                      <w:w w:val="70"/>
                      <w:sz w:val="20"/>
                      <w:szCs w:val="20"/>
                      <w:lang w:eastAsia="zh-CN"/>
                    </w:rPr>
                  </w:pPr>
                </w:p>
              </w:tc>
            </w:tr>
            <w:tr w14:paraId="0F775DD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4C25E40F">
                  <w:pPr>
                    <w:pStyle w:val="70"/>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4AB01F7">
                  <w:pPr>
                    <w:pStyle w:val="70"/>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900FFF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7158A7CC">
                  <w:pPr>
                    <w:pStyle w:val="70"/>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712A2602">
                  <w:pPr>
                    <w:pStyle w:val="70"/>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53245F0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6681CC4">
                  <w:pPr>
                    <w:pStyle w:val="70"/>
                    <w:rPr>
                      <w:rFonts w:eastAsia="楷体_GB2312" w:cs="Calibri"/>
                      <w:w w:val="70"/>
                      <w:sz w:val="20"/>
                      <w:szCs w:val="20"/>
                    </w:rPr>
                  </w:pPr>
                </w:p>
              </w:tc>
            </w:tr>
            <w:tr w14:paraId="508EBD4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55F3304">
                  <w:pPr>
                    <w:pStyle w:val="70"/>
                    <w:spacing w:after="60"/>
                    <w:rPr>
                      <w:rFonts w:eastAsia="楷体_GB2312" w:cs="Calibri"/>
                      <w:b/>
                      <w:w w:val="70"/>
                      <w:sz w:val="20"/>
                      <w:szCs w:val="20"/>
                    </w:rPr>
                  </w:pPr>
                  <w:r>
                    <w:rPr>
                      <w:rFonts w:eastAsia="楷体_GB2312" w:cs="Calibri"/>
                      <w:b/>
                      <w:w w:val="70"/>
                      <w:sz w:val="20"/>
                      <w:szCs w:val="20"/>
                    </w:rPr>
                    <w:t>重要免责声明：</w:t>
                  </w:r>
                </w:p>
                <w:p w14:paraId="2034EA42">
                  <w:pPr>
                    <w:pStyle w:val="70"/>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290BBC98">
                  <w:pPr>
                    <w:pStyle w:val="70"/>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424EEC29">
                  <w:pPr>
                    <w:pStyle w:val="70"/>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68C6ABAC">
                  <w:pPr>
                    <w:pStyle w:val="70"/>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28B4C9F7">
                  <w:pPr>
                    <w:pStyle w:val="70"/>
                    <w:spacing w:after="40"/>
                    <w:rPr>
                      <w:rFonts w:eastAsia="楷体_GB2312" w:cs="Calibri"/>
                      <w:b/>
                      <w:bCs/>
                      <w:w w:val="70"/>
                      <w:sz w:val="20"/>
                      <w:szCs w:val="20"/>
                    </w:rPr>
                  </w:pPr>
                  <w:r>
                    <w:rPr>
                      <w:rFonts w:eastAsia="楷体_GB2312" w:cs="Calibri"/>
                      <w:b/>
                      <w:bCs/>
                      <w:w w:val="70"/>
                      <w:sz w:val="20"/>
                      <w:szCs w:val="20"/>
                    </w:rPr>
                    <w:t>IMPORTANT DISCLAIMER</w:t>
                  </w:r>
                </w:p>
                <w:p w14:paraId="3AB4D276">
                  <w:pPr>
                    <w:pStyle w:val="70"/>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45FAC884">
                  <w:pPr>
                    <w:pStyle w:val="70"/>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40EB4D04">
                  <w:pPr>
                    <w:pStyle w:val="70"/>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1DF65CDC">
                  <w:pPr>
                    <w:pStyle w:val="70"/>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2"/>
                      <w:rFonts w:eastAsia="楷体_GB2312" w:cs="Calibri"/>
                      <w:w w:val="70"/>
                      <w:sz w:val="20"/>
                      <w:szCs w:val="20"/>
                    </w:rPr>
                    <w:t>www.</w:t>
                  </w:r>
                  <w:r>
                    <w:rPr>
                      <w:rStyle w:val="22"/>
                      <w:rFonts w:hint="eastAsia" w:eastAsia="楷体_GB2312" w:cs="Calibri"/>
                      <w:w w:val="70"/>
                      <w:sz w:val="20"/>
                      <w:szCs w:val="20"/>
                      <w:lang w:eastAsia="zh-CN"/>
                    </w:rPr>
                    <w:t>hfisec</w:t>
                  </w:r>
                  <w:r>
                    <w:rPr>
                      <w:rStyle w:val="22"/>
                      <w:rFonts w:eastAsia="楷体_GB2312" w:cs="Calibri"/>
                      <w:w w:val="70"/>
                      <w:sz w:val="20"/>
                      <w:szCs w:val="20"/>
                    </w:rPr>
                    <w:t>.com</w:t>
                  </w:r>
                  <w:r>
                    <w:rPr>
                      <w:rStyle w:val="22"/>
                      <w:rFonts w:eastAsia="楷体_GB2312" w:cs="Calibri"/>
                      <w:w w:val="70"/>
                      <w:sz w:val="20"/>
                      <w:szCs w:val="20"/>
                    </w:rPr>
                    <w:fldChar w:fldCharType="end"/>
                  </w:r>
                  <w:r>
                    <w:rPr>
                      <w:rStyle w:val="22"/>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0F552590">
                  <w:pPr>
                    <w:pStyle w:val="70"/>
                    <w:spacing w:after="60"/>
                    <w:rPr>
                      <w:rFonts w:eastAsia="楷体_GB2312" w:cs="Calibri"/>
                      <w:b/>
                      <w:w w:val="70"/>
                      <w:sz w:val="20"/>
                      <w:szCs w:val="20"/>
                    </w:rPr>
                  </w:pPr>
                </w:p>
              </w:tc>
            </w:tr>
            <w:tr w14:paraId="7103978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0F00674C">
                  <w:pPr>
                    <w:pStyle w:val="70"/>
                    <w:spacing w:after="60"/>
                    <w:rPr>
                      <w:rFonts w:eastAsia="楷体_GB2312" w:cs="Calibri"/>
                      <w:b/>
                      <w:snapToGrid/>
                      <w:w w:val="70"/>
                      <w:sz w:val="20"/>
                      <w:szCs w:val="20"/>
                    </w:rPr>
                  </w:pPr>
                  <w:r>
                    <w:rPr>
                      <w:rFonts w:eastAsia="楷体_GB2312" w:cs="Calibri"/>
                      <w:b/>
                      <w:snapToGrid/>
                      <w:w w:val="70"/>
                      <w:sz w:val="20"/>
                      <w:szCs w:val="20"/>
                    </w:rPr>
                    <w:t>分发和地区通知：</w:t>
                  </w:r>
                </w:p>
                <w:p w14:paraId="1D8796EB">
                  <w:pPr>
                    <w:pStyle w:val="70"/>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75B573B5">
                  <w:pPr>
                    <w:pStyle w:val="70"/>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4D24EBC0">
                  <w:pPr>
                    <w:pStyle w:val="70"/>
                    <w:spacing w:after="40"/>
                    <w:rPr>
                      <w:rFonts w:eastAsia="楷体_GB2312" w:cs="Calibri"/>
                      <w:b/>
                      <w:bCs/>
                      <w:w w:val="70"/>
                      <w:sz w:val="20"/>
                      <w:szCs w:val="20"/>
                    </w:rPr>
                  </w:pPr>
                  <w:r>
                    <w:rPr>
                      <w:rFonts w:eastAsia="楷体_GB2312" w:cs="Calibri"/>
                      <w:b/>
                      <w:bCs/>
                      <w:w w:val="70"/>
                      <w:sz w:val="20"/>
                      <w:szCs w:val="20"/>
                    </w:rPr>
                    <w:t>DISTRIBUTION AND REGIONAL NOTICES</w:t>
                  </w:r>
                </w:p>
                <w:p w14:paraId="1C750E7A">
                  <w:pPr>
                    <w:pStyle w:val="70"/>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51B91D1C">
                  <w:pPr>
                    <w:pStyle w:val="70"/>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459E9D41">
                  <w:pPr>
                    <w:pStyle w:val="70"/>
                    <w:spacing w:after="60"/>
                    <w:rPr>
                      <w:rFonts w:eastAsia="楷体_GB2312" w:cs="Calibri"/>
                      <w:b/>
                      <w:w w:val="70"/>
                      <w:sz w:val="20"/>
                      <w:szCs w:val="20"/>
                    </w:rPr>
                  </w:pPr>
                </w:p>
              </w:tc>
            </w:tr>
            <w:tr w14:paraId="7675A46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31D94334">
                  <w:pPr>
                    <w:pStyle w:val="70"/>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76F3F309">
                  <w:pPr>
                    <w:pStyle w:val="70"/>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07BF959C">
                  <w:pPr>
                    <w:pStyle w:val="70"/>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5BDB4688">
                  <w:pPr>
                    <w:pStyle w:val="70"/>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062DA67A">
                  <w:pPr>
                    <w:pStyle w:val="70"/>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20584C59">
                  <w:pPr>
                    <w:pStyle w:val="70"/>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44D4B38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14:paraId="1A302A55">
                  <w:pPr>
                    <w:pStyle w:val="70"/>
                    <w:spacing w:after="60"/>
                    <w:rPr>
                      <w:rFonts w:eastAsia="楷体_GB2312" w:cs="Calibri"/>
                      <w:b/>
                      <w:w w:val="70"/>
                      <w:sz w:val="20"/>
                      <w:szCs w:val="20"/>
                    </w:rPr>
                  </w:pPr>
                </w:p>
              </w:tc>
            </w:tr>
            <w:tr w14:paraId="25CD639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14:paraId="2EF91CAA">
                  <w:pPr>
                    <w:pStyle w:val="70"/>
                    <w:spacing w:after="60"/>
                    <w:rPr>
                      <w:rFonts w:eastAsia="楷体_GB2312" w:cs="Calibri"/>
                      <w:b/>
                      <w:w w:val="70"/>
                      <w:sz w:val="20"/>
                      <w:szCs w:val="20"/>
                      <w:lang w:eastAsia="zh-CN"/>
                    </w:rPr>
                  </w:pPr>
                </w:p>
              </w:tc>
            </w:tr>
          </w:tbl>
          <w:p w14:paraId="5371D29F">
            <w:pPr>
              <w:rPr>
                <w:rFonts w:eastAsia="楷体_GB2312" w:cs="Calibri"/>
                <w:sz w:val="20"/>
                <w:szCs w:val="20"/>
                <w:lang w:eastAsia="zh-CN"/>
              </w:rPr>
            </w:pPr>
          </w:p>
        </w:tc>
      </w:tr>
      <w:tr w14:paraId="7D1B37F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14:paraId="247E15C1">
            <w:pPr>
              <w:pStyle w:val="70"/>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14:paraId="13E7B2A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0773" w:type="dxa"/>
                </w:tcPr>
                <w:p w14:paraId="1415659B">
                  <w:pPr>
                    <w:pStyle w:val="70"/>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14:paraId="02C53AB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3ABD146C">
                  <w:pPr>
                    <w:pStyle w:val="70"/>
                    <w:rPr>
                      <w:rFonts w:eastAsia="楷体_GB2312" w:cs="等线"/>
                      <w:b/>
                      <w:w w:val="70"/>
                      <w:sz w:val="20"/>
                      <w:szCs w:val="20"/>
                    </w:rPr>
                  </w:pPr>
                </w:p>
              </w:tc>
            </w:tr>
            <w:tr w14:paraId="036EC09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14:paraId="636A6342">
                  <w:pPr>
                    <w:pStyle w:val="70"/>
                    <w:rPr>
                      <w:rFonts w:eastAsia="楷体_GB2312" w:cs="等线"/>
                      <w:b/>
                      <w:w w:val="70"/>
                      <w:sz w:val="20"/>
                      <w:szCs w:val="20"/>
                    </w:rPr>
                  </w:pPr>
                  <w:r>
                    <w:rPr>
                      <w:rFonts w:eastAsia="楷体_GB2312" w:cs="等线"/>
                      <w:sz w:val="12"/>
                      <w:szCs w:val="12"/>
                    </w:rPr>
                    <w:t>Source: Company data Bloomberg, XXX estimates</w:t>
                  </w:r>
                </w:p>
              </w:tc>
            </w:tr>
          </w:tbl>
          <w:p w14:paraId="4ADEEA4C">
            <w:pPr>
              <w:pStyle w:val="70"/>
              <w:rPr>
                <w:rFonts w:eastAsia="楷体_GB2312" w:cs="Calibri"/>
                <w:b/>
                <w:w w:val="70"/>
                <w:sz w:val="20"/>
                <w:szCs w:val="20"/>
                <w:lang w:eastAsia="zh-CN"/>
              </w:rPr>
            </w:pPr>
          </w:p>
          <w:p w14:paraId="64CF3B1A">
            <w:pPr>
              <w:pStyle w:val="54"/>
              <w:rPr>
                <w:rFonts w:eastAsia="楷体_GB2312" w:cs="Calibri"/>
              </w:rPr>
            </w:pPr>
          </w:p>
        </w:tc>
      </w:tr>
    </w:tbl>
    <w:p w14:paraId="183E4783">
      <w:pPr>
        <w:rPr>
          <w:rFonts w:eastAsiaTheme="minorEastAsia"/>
          <w:lang w:eastAsia="zh-CN"/>
        </w:rPr>
      </w:pPr>
    </w:p>
    <w:sectPr>
      <w:headerReference r:id="rId16" w:type="first"/>
      <w:footerReference r:id="rId18" w:type="first"/>
      <w:footerReference r:id="rId17"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Roboto">
    <w:panose1 w:val="02000000000000000000"/>
    <w:charset w:val="00"/>
    <w:family w:val="auto"/>
    <w:pitch w:val="default"/>
    <w:sig w:usb0="E00002FF" w:usb1="5000205B" w:usb2="00000020" w:usb3="00000000" w:csb0="2000019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06D7A">
    <w:pPr>
      <w:pStyle w:val="64"/>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2540" b="10795"/>
              <wp:wrapNone/>
              <wp:docPr id="4"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3D0A7AB">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DL2UZU&#10;HQIAAD0EAAAOAAAAAAAAAAEAIAAAACcBAABkcnMvZTJvRG9jLnhtbFBLBQYAAAAABgAGAFkBAAC2&#10;BQAAAAA=&#10;">
              <v:fill on="t" focussize="0,0"/>
              <v:stroke on="f"/>
              <v:imagedata o:title=""/>
              <o:lock v:ext="edit" aspectratio="f"/>
              <v:textbox>
                <w:txbxContent>
                  <w:p w14:paraId="43D0A7AB">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0" b="0"/>
              <wp:wrapNone/>
              <wp:docPr id="5"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2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63"/>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63"/>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CInfWX9AQAABgQAAA4AAAAAAAAAAQAgAAAAKwEAAGRy&#10;cy9lMm9Eb2MueG1sUEsFBgAAAAAGAAYAWQEAAJoFAAAAAA==&#10;">
              <v:fill on="f" focussize="0,0"/>
              <v:stroke on="f"/>
              <v:imagedata o:title=""/>
              <o:lock v:ext="edit" aspectratio="f"/>
              <v:textbox inset="0mm,0mm,0mm,0mm">
                <w:txbxContent>
                  <w:tbl>
                    <w:tblPr>
                      <w:tblStyle w:val="2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63"/>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63"/>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B830">
    <w:pPr>
      <w:pStyle w:val="12"/>
      <w:tabs>
        <w:tab w:val="center" w:pos="4419"/>
        <w:tab w:val="right" w:pos="8838"/>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8746">
    <w:pPr>
      <w:pStyle w:val="12"/>
      <w:tabs>
        <w:tab w:val="center" w:pos="4419"/>
        <w:tab w:val="right" w:pos="8838"/>
        <w:tab w:val="clear" w:pos="4153"/>
        <w:tab w:val="clear"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0825A">
    <w:pPr>
      <w:pStyle w:val="12"/>
    </w:pPr>
    <w:r>
      <w:rPr>
        <w:lang w:eastAsia="zh-CN"/>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22225" b="2603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solidFill>
                          <a:srgbClr val="235587"/>
                        </a:solidFill>
                      </a:ln>
                    </wps:spPr>
                    <wps:txbx>
                      <w:txbxContent>
                        <w:p w14:paraId="683BED0C">
                          <w:pPr>
                            <w:ind w:left="-180"/>
                            <w:rPr>
                              <w:color w:val="002060"/>
                            </w:rPr>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t" coordsize="21600,21600" o:gfxdata="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FtEWz&#10;2AAAAAsBAAAPAAAAAAAAAAEAIAAAACIAAABkcnMvZG93bnJldi54bWxQSwECFAAUAAAACACHTuJA&#10;3w+7vyECAABnBAAADgAAAAAAAAABACAAAAAnAQAAZHJzL2Uyb0RvYy54bWxQSwUGAAAAAAYABgBZ&#10;AQAAugUAAAAA&#10;">
              <v:fill on="t" focussize="0,0"/>
              <v:stroke color="#235587" joinstyle="round"/>
              <v:imagedata o:title=""/>
              <o:lock v:ext="edit" aspectratio="f"/>
              <v:textbox>
                <w:txbxContent>
                  <w:p w14:paraId="683BED0C">
                    <w:pPr>
                      <w:ind w:left="-180"/>
                      <w:rPr>
                        <w:color w:val="002060"/>
                      </w:rPr>
                    </w:pPr>
                  </w:p>
                </w:txbxContent>
              </v:textbox>
              <w10:wrap type="topAndBottom"/>
            </v:shape>
          </w:pict>
        </mc:Fallback>
      </mc:AlternateContent>
    </w:r>
    <w:r>
      <w:rPr>
        <w:lang w:eastAsia="zh-CN"/>
      </w:rP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1ADFC4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06BCFA6C">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051726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15915FDC">
                                <w:pPr>
                                  <w:pStyle w:val="63"/>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41F9EF3">
                          <w:pPr>
                            <w:pStyle w:val="63"/>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1ADFC4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06BCFA6C">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051726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15915FDC">
                          <w:pPr>
                            <w:pStyle w:val="63"/>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41F9EF3">
                    <w:pPr>
                      <w:pStyle w:val="63"/>
                      <w:rPr>
                        <w:rFonts w:eastAsia="楷体_GB2312" w:cs="Calibri"/>
                        <w:b w:val="0"/>
                        <w:sz w:val="21"/>
                        <w:szCs w:val="21"/>
                      </w:rPr>
                    </w:pPr>
                  </w:p>
                </w:txbxContent>
              </v:textbox>
              <w10:anchorlock/>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95B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4091183A">
          <w:pPr>
            <w:pStyle w:val="67"/>
            <w:framePr w:wrap="auto" w:vAnchor="margin" w:hAnchor="text" w:xAlign="left" w:yAlign="inline"/>
          </w:pPr>
          <w:r>
            <w:fldChar w:fldCharType="begin"/>
          </w:r>
          <w:r>
            <w:instrText xml:space="preserve"> DATE  \@ "d MMM yyyy"  \* MERGEFORMAT </w:instrText>
          </w:r>
          <w:r>
            <w:fldChar w:fldCharType="separate"/>
          </w:r>
          <w:r>
            <w:t>15 Jan 2026</w:t>
          </w:r>
          <w:r>
            <w:fldChar w:fldCharType="end"/>
          </w:r>
          <w:r>
            <w:tab/>
          </w:r>
          <w:r>
            <w:fldChar w:fldCharType="begin"/>
          </w:r>
          <w:r>
            <w:instrText xml:space="preserve"> PAGE </w:instrText>
          </w:r>
          <w:r>
            <w:fldChar w:fldCharType="separate"/>
          </w:r>
          <w:r>
            <w:t>2</w:t>
          </w:r>
          <w:r>
            <w:fldChar w:fldCharType="end"/>
          </w:r>
        </w:p>
      </w:tc>
    </w:tr>
  </w:tbl>
  <w:p w14:paraId="5C148279">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5C64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476A8459">
          <w:pPr>
            <w:pStyle w:val="67"/>
            <w:framePr w:wrap="auto" w:vAnchor="margin" w:hAnchor="text" w:xAlign="left" w:yAlign="inline"/>
          </w:pPr>
          <w:r>
            <w:fldChar w:fldCharType="begin"/>
          </w:r>
          <w:r>
            <w:instrText xml:space="preserve"> DATE  \@ "d MMM yyyy"  \* MERGEFORMAT </w:instrText>
          </w:r>
          <w:r>
            <w:fldChar w:fldCharType="separate"/>
          </w:r>
          <w:r>
            <w:t>15 Jan 2026</w:t>
          </w:r>
          <w:r>
            <w:fldChar w:fldCharType="end"/>
          </w:r>
          <w:r>
            <w:tab/>
          </w:r>
          <w:r>
            <w:fldChar w:fldCharType="begin"/>
          </w:r>
          <w:r>
            <w:instrText xml:space="preserve"> PAGE </w:instrText>
          </w:r>
          <w:r>
            <w:fldChar w:fldCharType="separate"/>
          </w:r>
          <w:r>
            <w:t>2</w:t>
          </w:r>
          <w:r>
            <w:fldChar w:fldCharType="end"/>
          </w:r>
        </w:p>
      </w:tc>
    </w:tr>
  </w:tbl>
  <w:p w14:paraId="0A36AD5D">
    <w:pPr>
      <w:pStyle w:val="6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133A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4FB5F9BD">
          <w:pPr>
            <w:pStyle w:val="67"/>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4B8EDA75">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2FF8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EA0F58A">
          <w:pPr>
            <w:pStyle w:val="67"/>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DDF1C70">
    <w:pPr>
      <w:pStyle w:val="12"/>
      <w:rPr>
        <w:rFonts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C52F0">
    <w:pPr>
      <w:pStyle w:val="64"/>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9525" b="381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2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2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9525" b="317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0" r="0" b="0"/>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7A1EF066">
                          <w:pPr>
                            <w:pStyle w:val="64"/>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7A1EF066">
                    <w:pPr>
                      <w:pStyle w:val="64"/>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23EF">
    <w:pPr>
      <w:pStyle w:val="13"/>
      <w:tabs>
        <w:tab w:val="center" w:pos="4419"/>
        <w:tab w:val="right" w:pos="8838"/>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4CFB4">
    <w:pPr>
      <w:pStyle w:val="13"/>
      <w:tabs>
        <w:tab w:val="center" w:pos="4419"/>
        <w:tab w:val="right" w:pos="8838"/>
        <w:tab w:val="clear" w:pos="4153"/>
        <w:tab w:val="clear"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9CD719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7D411F16">
          <w:pPr>
            <w:pStyle w:val="64"/>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4652993C">
          <w:pPr>
            <w:pStyle w:val="64"/>
            <w:jc w:val="right"/>
            <w:rPr>
              <w:rStyle w:val="66"/>
              <w:rFonts w:eastAsia="楷体_GB2312" w:cs="等线"/>
              <w:sz w:val="24"/>
              <w:lang w:eastAsia="zh-CN"/>
            </w:rPr>
          </w:pPr>
        </w:p>
      </w:tc>
    </w:tr>
    <w:tr w14:paraId="6C15602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098B325B">
          <w:pPr>
            <w:pStyle w:val="64"/>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3C177CA3">
          <w:pPr>
            <w:pStyle w:val="64"/>
            <w:jc w:val="right"/>
            <w:rPr>
              <w:rStyle w:val="66"/>
              <w:rFonts w:eastAsia="楷体_GB2312" w:cs="Calibri"/>
              <w:color w:val="A7242B"/>
              <w:sz w:val="24"/>
              <w:lang w:eastAsia="zh-CN"/>
            </w:rPr>
          </w:pPr>
          <w:r>
            <w:rPr>
              <w:rStyle w:val="66"/>
              <w:rFonts w:hint="eastAsia" w:eastAsia="楷体_GB2312" w:cs="Calibri"/>
              <w:color w:val="A7242B"/>
              <w:sz w:val="24"/>
              <w:lang w:eastAsia="zh-CN"/>
            </w:rPr>
            <w:t>评级调整</w:t>
          </w:r>
        </w:p>
      </w:tc>
    </w:tr>
  </w:tbl>
  <w:p w14:paraId="0B171B21">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18D02DE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79327E3A">
          <w:pPr>
            <w:pStyle w:val="64"/>
            <w:rPr>
              <w:rFonts w:eastAsia="楷体_GB2312" w:cs="等线"/>
              <w:color w:val="002060"/>
              <w:sz w:val="24"/>
              <w:lang w:eastAsia="zh-CN"/>
            </w:rPr>
          </w:pPr>
          <w:r>
            <w:rPr>
              <w:rFonts w:eastAsia="楷体_GB2312" w:cs="等线"/>
              <w:color w:val="002060"/>
              <w:sz w:val="24"/>
              <w:lang w:eastAsia="zh-CN"/>
            </w:rPr>
            <w:t>[Table_header1]</w:t>
          </w:r>
        </w:p>
      </w:tc>
      <w:tc>
        <w:tcPr>
          <w:tcW w:w="4678" w:type="dxa"/>
          <w:tcBorders>
            <w:top w:val="nil"/>
            <w:bottom w:val="nil"/>
          </w:tcBorders>
          <w:vAlign w:val="center"/>
        </w:tcPr>
        <w:p w14:paraId="21216298">
          <w:pPr>
            <w:pStyle w:val="64"/>
            <w:jc w:val="right"/>
            <w:rPr>
              <w:rStyle w:val="66"/>
              <w:rFonts w:eastAsia="楷体_GB2312" w:cs="等线"/>
              <w:color w:val="002060"/>
              <w:sz w:val="24"/>
              <w:lang w:eastAsia="zh-CN"/>
            </w:rPr>
          </w:pPr>
        </w:p>
      </w:tc>
    </w:tr>
    <w:tr w14:paraId="1D47F73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057C96E3">
          <w:pPr>
            <w:pStyle w:val="64"/>
            <w:rPr>
              <w:rFonts w:eastAsia="楷体_GB2312" w:cs="Calibri"/>
              <w:b/>
              <w:bCs/>
              <w:color w:val="002060"/>
              <w:sz w:val="24"/>
              <w:szCs w:val="24"/>
              <w:lang w:eastAsia="zh-CN"/>
            </w:rPr>
          </w:pPr>
          <w:r>
            <w:rPr>
              <w:rFonts w:hint="eastAsia" w:eastAsia="楷体_GB2312" w:cs="Calibri"/>
              <w:b/>
              <w:bCs/>
              <w:color w:val="002060"/>
              <w:sz w:val="24"/>
              <w:szCs w:val="24"/>
              <w:lang w:eastAsia="zh-CN"/>
            </w:rPr>
            <w:t>公司名称 (Stock code)</w:t>
          </w:r>
        </w:p>
      </w:tc>
      <w:tc>
        <w:tcPr>
          <w:tcW w:w="4678" w:type="dxa"/>
          <w:tcBorders>
            <w:top w:val="nil"/>
          </w:tcBorders>
          <w:vAlign w:val="center"/>
        </w:tcPr>
        <w:p w14:paraId="17B531E6">
          <w:pPr>
            <w:pStyle w:val="64"/>
            <w:jc w:val="right"/>
            <w:rPr>
              <w:rStyle w:val="66"/>
              <w:rFonts w:eastAsia="楷体_GB2312" w:cs="Calibri"/>
              <w:color w:val="002060"/>
              <w:sz w:val="24"/>
              <w:lang w:eastAsia="zh-CN"/>
            </w:rPr>
          </w:pPr>
          <w:r>
            <w:rPr>
              <w:rStyle w:val="66"/>
              <w:rFonts w:hint="eastAsia" w:eastAsia="楷体_GB2312" w:cs="Calibri"/>
              <w:color w:val="002060"/>
              <w:sz w:val="24"/>
              <w:lang w:eastAsia="zh-CN"/>
            </w:rPr>
            <w:t>评级调整</w:t>
          </w:r>
        </w:p>
      </w:tc>
    </w:tr>
  </w:tbl>
  <w:p w14:paraId="6CE37E00">
    <w:pPr>
      <w:pStyle w:val="13"/>
      <w:jc w:val="left"/>
      <w:rPr>
        <w:color w:val="00206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30BD481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4CABE1AD">
          <w:pPr>
            <w:pStyle w:val="64"/>
            <w:rPr>
              <w:rFonts w:eastAsia="楷体_GB2312" w:cs="等线"/>
              <w:color w:val="002060"/>
              <w:sz w:val="24"/>
              <w:lang w:eastAsia="zh-CN"/>
            </w:rPr>
          </w:pPr>
          <w:r>
            <w:rPr>
              <w:rFonts w:eastAsia="楷体_GB2312" w:cs="等线"/>
              <w:color w:val="002060"/>
              <w:sz w:val="24"/>
              <w:lang w:eastAsia="zh-CN"/>
            </w:rPr>
            <w:t>[Table_header1]</w:t>
          </w:r>
        </w:p>
      </w:tc>
      <w:tc>
        <w:tcPr>
          <w:tcW w:w="4678" w:type="dxa"/>
          <w:tcBorders>
            <w:top w:val="nil"/>
            <w:bottom w:val="nil"/>
          </w:tcBorders>
          <w:vAlign w:val="center"/>
        </w:tcPr>
        <w:p w14:paraId="78FD83FC">
          <w:pPr>
            <w:pStyle w:val="64"/>
            <w:jc w:val="right"/>
            <w:rPr>
              <w:rStyle w:val="66"/>
              <w:rFonts w:eastAsia="楷体_GB2312" w:cs="等线"/>
              <w:color w:val="002060"/>
              <w:sz w:val="24"/>
              <w:lang w:eastAsia="zh-CN"/>
            </w:rPr>
          </w:pPr>
        </w:p>
      </w:tc>
    </w:tr>
    <w:tr w14:paraId="2C58D2A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88389C6">
          <w:pPr>
            <w:pStyle w:val="64"/>
            <w:rPr>
              <w:rFonts w:eastAsia="楷体_GB2312" w:cs="Calibri"/>
              <w:b/>
              <w:bCs/>
              <w:color w:val="002060"/>
              <w:sz w:val="24"/>
              <w:szCs w:val="24"/>
              <w:lang w:eastAsia="zh-CN"/>
            </w:rPr>
          </w:pPr>
          <w:r>
            <w:rPr>
              <w:rFonts w:hint="eastAsia" w:eastAsia="楷体_GB2312" w:cs="Calibri"/>
              <w:b/>
              <w:bCs/>
              <w:color w:val="002060"/>
              <w:sz w:val="24"/>
              <w:szCs w:val="24"/>
              <w:lang w:eastAsia="zh-CN"/>
            </w:rPr>
            <w:t>公司名称 (Stock code)</w:t>
          </w:r>
        </w:p>
      </w:tc>
      <w:tc>
        <w:tcPr>
          <w:tcW w:w="4678" w:type="dxa"/>
          <w:tcBorders>
            <w:top w:val="nil"/>
          </w:tcBorders>
          <w:vAlign w:val="center"/>
        </w:tcPr>
        <w:p w14:paraId="19494E98">
          <w:pPr>
            <w:pStyle w:val="64"/>
            <w:jc w:val="right"/>
            <w:rPr>
              <w:rStyle w:val="66"/>
              <w:rFonts w:eastAsia="楷体_GB2312" w:cs="Calibri"/>
              <w:color w:val="002060"/>
              <w:sz w:val="24"/>
              <w:lang w:eastAsia="zh-CN"/>
            </w:rPr>
          </w:pPr>
          <w:r>
            <w:rPr>
              <w:rStyle w:val="66"/>
              <w:rFonts w:hint="eastAsia" w:eastAsia="楷体_GB2312" w:cs="Calibri"/>
              <w:color w:val="002060"/>
              <w:sz w:val="24"/>
              <w:lang w:eastAsia="zh-CN"/>
            </w:rPr>
            <w:t>评级调整</w:t>
          </w:r>
        </w:p>
      </w:tc>
    </w:tr>
  </w:tbl>
  <w:p w14:paraId="6695CAF9">
    <w:pPr>
      <w:pStyle w:val="64"/>
      <w:rPr>
        <w:rFonts w:eastAsiaTheme="minorEastAsia"/>
        <w:color w:val="002060"/>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54E46FB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14:paraId="6037CA02">
          <w:pPr>
            <w:pStyle w:val="64"/>
            <w:rPr>
              <w:rFonts w:eastAsia="楷体_GB2312" w:cs="等线"/>
              <w:color w:val="002060"/>
              <w:sz w:val="24"/>
              <w:lang w:eastAsia="zh-CN"/>
            </w:rPr>
          </w:pPr>
          <w:r>
            <w:rPr>
              <w:rFonts w:eastAsia="楷体_GB2312" w:cs="等线"/>
              <w:color w:val="002060"/>
              <w:sz w:val="24"/>
              <w:lang w:eastAsia="zh-CN"/>
            </w:rPr>
            <w:t>[Table_header1]</w:t>
          </w:r>
        </w:p>
      </w:tc>
      <w:tc>
        <w:tcPr>
          <w:tcW w:w="4678" w:type="dxa"/>
          <w:tcBorders>
            <w:top w:val="nil"/>
            <w:bottom w:val="nil"/>
          </w:tcBorders>
          <w:vAlign w:val="center"/>
        </w:tcPr>
        <w:p w14:paraId="574D8B43">
          <w:pPr>
            <w:pStyle w:val="64"/>
            <w:jc w:val="right"/>
            <w:rPr>
              <w:rStyle w:val="66"/>
              <w:rFonts w:eastAsia="楷体_GB2312" w:cs="等线"/>
              <w:color w:val="002060"/>
              <w:sz w:val="24"/>
              <w:lang w:eastAsia="zh-CN"/>
            </w:rPr>
          </w:pPr>
        </w:p>
      </w:tc>
    </w:tr>
    <w:tr w14:paraId="79D16D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5A9DB7C9">
          <w:pPr>
            <w:pStyle w:val="64"/>
            <w:rPr>
              <w:rFonts w:eastAsia="楷体_GB2312" w:cs="Calibri"/>
              <w:b/>
              <w:bCs/>
              <w:color w:val="002060"/>
              <w:sz w:val="24"/>
              <w:szCs w:val="24"/>
              <w:lang w:eastAsia="zh-CN"/>
            </w:rPr>
          </w:pPr>
          <w:r>
            <w:rPr>
              <w:rFonts w:hint="eastAsia" w:eastAsia="楷体_GB2312" w:cs="Calibri"/>
              <w:b/>
              <w:bCs/>
              <w:color w:val="002060"/>
              <w:sz w:val="24"/>
              <w:szCs w:val="24"/>
              <w:lang w:eastAsia="zh-CN"/>
            </w:rPr>
            <w:t>公司名称 (Stock code)</w:t>
          </w:r>
        </w:p>
      </w:tc>
      <w:tc>
        <w:tcPr>
          <w:tcW w:w="4678" w:type="dxa"/>
          <w:tcBorders>
            <w:top w:val="nil"/>
          </w:tcBorders>
          <w:vAlign w:val="center"/>
        </w:tcPr>
        <w:p w14:paraId="6FA075BB">
          <w:pPr>
            <w:pStyle w:val="64"/>
            <w:jc w:val="right"/>
            <w:rPr>
              <w:rStyle w:val="66"/>
              <w:rFonts w:eastAsia="楷体_GB2312" w:cs="Calibri"/>
              <w:color w:val="002060"/>
              <w:sz w:val="24"/>
              <w:lang w:eastAsia="zh-CN"/>
            </w:rPr>
          </w:pPr>
          <w:r>
            <w:rPr>
              <w:rStyle w:val="66"/>
              <w:rFonts w:hint="eastAsia" w:eastAsia="楷体_GB2312" w:cs="Calibri"/>
              <w:color w:val="002060"/>
              <w:sz w:val="24"/>
              <w:lang w:eastAsia="zh-CN"/>
            </w:rPr>
            <w:t>评级调整</w:t>
          </w:r>
        </w:p>
      </w:tc>
    </w:tr>
  </w:tbl>
  <w:p w14:paraId="725D47F2">
    <w:pPr>
      <w:pStyle w:val="13"/>
      <w:jc w:val="left"/>
      <w:rPr>
        <w:color w:val="00206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0F75B">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876743"/>
    <w:multiLevelType w:val="multilevel"/>
    <w:tmpl w:val="0B87674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4CF43BB"/>
    <w:multiLevelType w:val="multilevel"/>
    <w:tmpl w:val="54CF43BB"/>
    <w:lvl w:ilvl="0" w:tentative="0">
      <w:start w:val="1"/>
      <w:numFmt w:val="decimal"/>
      <w:pStyle w:val="73"/>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789549F9"/>
    <w:multiLevelType w:val="multilevel"/>
    <w:tmpl w:val="789549F9"/>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3"/>
  </w:num>
  <w:num w:numId="3">
    <w:abstractNumId w:val="2"/>
  </w:num>
  <w:num w:numId="4">
    <w:abstractNumId w:val="1"/>
  </w:num>
  <w:num w:numId="5">
    <w:abstractNumId w:val="5"/>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10"/>
  <w:drawingGridVerticalSpacing w:val="29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106A0"/>
    <w:rsid w:val="00011DD2"/>
    <w:rsid w:val="000202AF"/>
    <w:rsid w:val="00030270"/>
    <w:rsid w:val="000328A1"/>
    <w:rsid w:val="00041749"/>
    <w:rsid w:val="00041BFB"/>
    <w:rsid w:val="00046898"/>
    <w:rsid w:val="00055D29"/>
    <w:rsid w:val="00056A90"/>
    <w:rsid w:val="00056D9C"/>
    <w:rsid w:val="000614DD"/>
    <w:rsid w:val="000657EC"/>
    <w:rsid w:val="000713E3"/>
    <w:rsid w:val="00074AFD"/>
    <w:rsid w:val="0007641A"/>
    <w:rsid w:val="00087D89"/>
    <w:rsid w:val="00096427"/>
    <w:rsid w:val="00096CC4"/>
    <w:rsid w:val="00097A5D"/>
    <w:rsid w:val="000B3AF7"/>
    <w:rsid w:val="000E09D6"/>
    <w:rsid w:val="000E270F"/>
    <w:rsid w:val="000E303E"/>
    <w:rsid w:val="000E7974"/>
    <w:rsid w:val="000F11D3"/>
    <w:rsid w:val="000F2731"/>
    <w:rsid w:val="000F7105"/>
    <w:rsid w:val="00102564"/>
    <w:rsid w:val="00103FAD"/>
    <w:rsid w:val="00110A4F"/>
    <w:rsid w:val="00111C4A"/>
    <w:rsid w:val="00112962"/>
    <w:rsid w:val="00130B82"/>
    <w:rsid w:val="00133BA6"/>
    <w:rsid w:val="001422E2"/>
    <w:rsid w:val="00143D1B"/>
    <w:rsid w:val="001509AF"/>
    <w:rsid w:val="00152394"/>
    <w:rsid w:val="0015395E"/>
    <w:rsid w:val="001616A4"/>
    <w:rsid w:val="00165F70"/>
    <w:rsid w:val="00176D52"/>
    <w:rsid w:val="00182F72"/>
    <w:rsid w:val="00186618"/>
    <w:rsid w:val="00193C1B"/>
    <w:rsid w:val="001A1280"/>
    <w:rsid w:val="001A238D"/>
    <w:rsid w:val="001A4840"/>
    <w:rsid w:val="001B2407"/>
    <w:rsid w:val="001B2DAD"/>
    <w:rsid w:val="001C1AD7"/>
    <w:rsid w:val="001C5A54"/>
    <w:rsid w:val="001D7381"/>
    <w:rsid w:val="001E0203"/>
    <w:rsid w:val="001E7C6C"/>
    <w:rsid w:val="001F05D9"/>
    <w:rsid w:val="001F2F73"/>
    <w:rsid w:val="001F3198"/>
    <w:rsid w:val="001F7E78"/>
    <w:rsid w:val="00202CF2"/>
    <w:rsid w:val="0021124C"/>
    <w:rsid w:val="0021267E"/>
    <w:rsid w:val="00225EBE"/>
    <w:rsid w:val="0023495B"/>
    <w:rsid w:val="00234E19"/>
    <w:rsid w:val="00243C89"/>
    <w:rsid w:val="00257895"/>
    <w:rsid w:val="002603A5"/>
    <w:rsid w:val="002710F7"/>
    <w:rsid w:val="00273CC8"/>
    <w:rsid w:val="002763D5"/>
    <w:rsid w:val="00276E0E"/>
    <w:rsid w:val="00277044"/>
    <w:rsid w:val="002862BE"/>
    <w:rsid w:val="00291EAC"/>
    <w:rsid w:val="0029255E"/>
    <w:rsid w:val="00292DC5"/>
    <w:rsid w:val="00296498"/>
    <w:rsid w:val="002A0007"/>
    <w:rsid w:val="002A3A33"/>
    <w:rsid w:val="002A4085"/>
    <w:rsid w:val="002B6266"/>
    <w:rsid w:val="002C15DD"/>
    <w:rsid w:val="002C6686"/>
    <w:rsid w:val="002C6C23"/>
    <w:rsid w:val="002E0F1F"/>
    <w:rsid w:val="002E23CD"/>
    <w:rsid w:val="002E724D"/>
    <w:rsid w:val="0030174C"/>
    <w:rsid w:val="00305B2F"/>
    <w:rsid w:val="00305E26"/>
    <w:rsid w:val="00306BC2"/>
    <w:rsid w:val="00307B37"/>
    <w:rsid w:val="0032759A"/>
    <w:rsid w:val="00341C85"/>
    <w:rsid w:val="00343253"/>
    <w:rsid w:val="00354093"/>
    <w:rsid w:val="0036012A"/>
    <w:rsid w:val="0036718A"/>
    <w:rsid w:val="00373183"/>
    <w:rsid w:val="00373DD0"/>
    <w:rsid w:val="00380826"/>
    <w:rsid w:val="003825B2"/>
    <w:rsid w:val="00390340"/>
    <w:rsid w:val="00392148"/>
    <w:rsid w:val="003A13B4"/>
    <w:rsid w:val="003A6133"/>
    <w:rsid w:val="003B3329"/>
    <w:rsid w:val="003C2A18"/>
    <w:rsid w:val="003C651B"/>
    <w:rsid w:val="003E1A9B"/>
    <w:rsid w:val="003E4D04"/>
    <w:rsid w:val="003E6B30"/>
    <w:rsid w:val="003F10DE"/>
    <w:rsid w:val="003F45FE"/>
    <w:rsid w:val="0040446F"/>
    <w:rsid w:val="004149AB"/>
    <w:rsid w:val="00420104"/>
    <w:rsid w:val="0042509C"/>
    <w:rsid w:val="00432F9A"/>
    <w:rsid w:val="00450C7D"/>
    <w:rsid w:val="00475AB2"/>
    <w:rsid w:val="00481F4B"/>
    <w:rsid w:val="00482FB1"/>
    <w:rsid w:val="00487065"/>
    <w:rsid w:val="004963D6"/>
    <w:rsid w:val="004A2FB6"/>
    <w:rsid w:val="004A7B5E"/>
    <w:rsid w:val="004C305C"/>
    <w:rsid w:val="004F538E"/>
    <w:rsid w:val="00506F8F"/>
    <w:rsid w:val="0050716C"/>
    <w:rsid w:val="005167E6"/>
    <w:rsid w:val="005217E2"/>
    <w:rsid w:val="005236B2"/>
    <w:rsid w:val="00533169"/>
    <w:rsid w:val="00541D3B"/>
    <w:rsid w:val="005432D8"/>
    <w:rsid w:val="00544DF8"/>
    <w:rsid w:val="00556263"/>
    <w:rsid w:val="00557368"/>
    <w:rsid w:val="00575DC5"/>
    <w:rsid w:val="005979D9"/>
    <w:rsid w:val="005A5975"/>
    <w:rsid w:val="005A6C73"/>
    <w:rsid w:val="005A7DD7"/>
    <w:rsid w:val="005B03D1"/>
    <w:rsid w:val="005B1078"/>
    <w:rsid w:val="005B7729"/>
    <w:rsid w:val="005C7255"/>
    <w:rsid w:val="005C7598"/>
    <w:rsid w:val="005F114D"/>
    <w:rsid w:val="005F75F3"/>
    <w:rsid w:val="006122AB"/>
    <w:rsid w:val="0062713A"/>
    <w:rsid w:val="0064026B"/>
    <w:rsid w:val="00651BE9"/>
    <w:rsid w:val="006554E8"/>
    <w:rsid w:val="00656537"/>
    <w:rsid w:val="006615AD"/>
    <w:rsid w:val="00664BF7"/>
    <w:rsid w:val="00681246"/>
    <w:rsid w:val="006A2E9C"/>
    <w:rsid w:val="006C55B0"/>
    <w:rsid w:val="006E203E"/>
    <w:rsid w:val="006E48C9"/>
    <w:rsid w:val="006E583B"/>
    <w:rsid w:val="006E5D7D"/>
    <w:rsid w:val="00700EB3"/>
    <w:rsid w:val="00710DF9"/>
    <w:rsid w:val="00725531"/>
    <w:rsid w:val="00743C01"/>
    <w:rsid w:val="007443F2"/>
    <w:rsid w:val="00747957"/>
    <w:rsid w:val="00752BE5"/>
    <w:rsid w:val="00753AA3"/>
    <w:rsid w:val="007629C2"/>
    <w:rsid w:val="00765C37"/>
    <w:rsid w:val="00770F5A"/>
    <w:rsid w:val="00772E4B"/>
    <w:rsid w:val="007731E9"/>
    <w:rsid w:val="007803D0"/>
    <w:rsid w:val="0078115F"/>
    <w:rsid w:val="007823E4"/>
    <w:rsid w:val="007951E2"/>
    <w:rsid w:val="00796267"/>
    <w:rsid w:val="007975A2"/>
    <w:rsid w:val="007A3551"/>
    <w:rsid w:val="007B7727"/>
    <w:rsid w:val="007C1C7B"/>
    <w:rsid w:val="007C609E"/>
    <w:rsid w:val="007D654B"/>
    <w:rsid w:val="007E42B5"/>
    <w:rsid w:val="00814BC0"/>
    <w:rsid w:val="00831114"/>
    <w:rsid w:val="00836545"/>
    <w:rsid w:val="00836703"/>
    <w:rsid w:val="0085421F"/>
    <w:rsid w:val="00862866"/>
    <w:rsid w:val="00864828"/>
    <w:rsid w:val="00866767"/>
    <w:rsid w:val="0087252F"/>
    <w:rsid w:val="00873A8B"/>
    <w:rsid w:val="00874B76"/>
    <w:rsid w:val="00875354"/>
    <w:rsid w:val="008900E8"/>
    <w:rsid w:val="008907D3"/>
    <w:rsid w:val="008A4410"/>
    <w:rsid w:val="008A52B2"/>
    <w:rsid w:val="008B3D75"/>
    <w:rsid w:val="008C3A1E"/>
    <w:rsid w:val="008C7D57"/>
    <w:rsid w:val="008D4573"/>
    <w:rsid w:val="008E113D"/>
    <w:rsid w:val="008F2EA4"/>
    <w:rsid w:val="008F41FB"/>
    <w:rsid w:val="00906796"/>
    <w:rsid w:val="009113CF"/>
    <w:rsid w:val="009218CD"/>
    <w:rsid w:val="0092226A"/>
    <w:rsid w:val="0093282B"/>
    <w:rsid w:val="00933F9D"/>
    <w:rsid w:val="0093734E"/>
    <w:rsid w:val="00943DFB"/>
    <w:rsid w:val="00956F50"/>
    <w:rsid w:val="00976834"/>
    <w:rsid w:val="00980A31"/>
    <w:rsid w:val="00983470"/>
    <w:rsid w:val="00984D92"/>
    <w:rsid w:val="0099372F"/>
    <w:rsid w:val="00995AF7"/>
    <w:rsid w:val="00996501"/>
    <w:rsid w:val="00996E5F"/>
    <w:rsid w:val="009A4887"/>
    <w:rsid w:val="009B0F1B"/>
    <w:rsid w:val="009B2EA6"/>
    <w:rsid w:val="009D5877"/>
    <w:rsid w:val="009D5FF6"/>
    <w:rsid w:val="009F067A"/>
    <w:rsid w:val="00A00D3E"/>
    <w:rsid w:val="00A21ACB"/>
    <w:rsid w:val="00A2270B"/>
    <w:rsid w:val="00A421B4"/>
    <w:rsid w:val="00A44F4A"/>
    <w:rsid w:val="00A5278A"/>
    <w:rsid w:val="00A53D1A"/>
    <w:rsid w:val="00A5610E"/>
    <w:rsid w:val="00A574E3"/>
    <w:rsid w:val="00A60166"/>
    <w:rsid w:val="00A650C6"/>
    <w:rsid w:val="00A72F60"/>
    <w:rsid w:val="00A770FF"/>
    <w:rsid w:val="00A86AAF"/>
    <w:rsid w:val="00A91AEE"/>
    <w:rsid w:val="00AA1370"/>
    <w:rsid w:val="00AB220F"/>
    <w:rsid w:val="00AB3EC2"/>
    <w:rsid w:val="00AB6858"/>
    <w:rsid w:val="00AC2A57"/>
    <w:rsid w:val="00AD0DC4"/>
    <w:rsid w:val="00AD554C"/>
    <w:rsid w:val="00AE2869"/>
    <w:rsid w:val="00AF5123"/>
    <w:rsid w:val="00B01084"/>
    <w:rsid w:val="00B010D8"/>
    <w:rsid w:val="00B06F43"/>
    <w:rsid w:val="00B128F4"/>
    <w:rsid w:val="00B22AE0"/>
    <w:rsid w:val="00B31669"/>
    <w:rsid w:val="00B3195C"/>
    <w:rsid w:val="00B31A69"/>
    <w:rsid w:val="00B41944"/>
    <w:rsid w:val="00B419E6"/>
    <w:rsid w:val="00B44C5E"/>
    <w:rsid w:val="00B472E8"/>
    <w:rsid w:val="00B65F90"/>
    <w:rsid w:val="00B70510"/>
    <w:rsid w:val="00B72101"/>
    <w:rsid w:val="00B9388A"/>
    <w:rsid w:val="00BA0E5C"/>
    <w:rsid w:val="00BA3635"/>
    <w:rsid w:val="00BD4463"/>
    <w:rsid w:val="00BE228E"/>
    <w:rsid w:val="00BE48C2"/>
    <w:rsid w:val="00BE4E09"/>
    <w:rsid w:val="00BF4820"/>
    <w:rsid w:val="00BF4D2E"/>
    <w:rsid w:val="00C01463"/>
    <w:rsid w:val="00C055EE"/>
    <w:rsid w:val="00C05926"/>
    <w:rsid w:val="00C2387C"/>
    <w:rsid w:val="00C25570"/>
    <w:rsid w:val="00C26D9F"/>
    <w:rsid w:val="00C34AB2"/>
    <w:rsid w:val="00C46ABE"/>
    <w:rsid w:val="00C54927"/>
    <w:rsid w:val="00C554E0"/>
    <w:rsid w:val="00C56D4E"/>
    <w:rsid w:val="00C766BE"/>
    <w:rsid w:val="00C83D78"/>
    <w:rsid w:val="00C94F8A"/>
    <w:rsid w:val="00C971C7"/>
    <w:rsid w:val="00C9747C"/>
    <w:rsid w:val="00C9769A"/>
    <w:rsid w:val="00C9794E"/>
    <w:rsid w:val="00CB7BBA"/>
    <w:rsid w:val="00CC4C62"/>
    <w:rsid w:val="00CD009A"/>
    <w:rsid w:val="00CD6738"/>
    <w:rsid w:val="00CD6F67"/>
    <w:rsid w:val="00D00C61"/>
    <w:rsid w:val="00D03998"/>
    <w:rsid w:val="00D10610"/>
    <w:rsid w:val="00D12AD3"/>
    <w:rsid w:val="00D13E44"/>
    <w:rsid w:val="00D1408E"/>
    <w:rsid w:val="00D2081E"/>
    <w:rsid w:val="00D218B4"/>
    <w:rsid w:val="00D25345"/>
    <w:rsid w:val="00D44D5F"/>
    <w:rsid w:val="00D5603B"/>
    <w:rsid w:val="00D65D41"/>
    <w:rsid w:val="00D71D83"/>
    <w:rsid w:val="00DB1E9B"/>
    <w:rsid w:val="00DB298C"/>
    <w:rsid w:val="00DC4310"/>
    <w:rsid w:val="00DC4C0A"/>
    <w:rsid w:val="00DC7F41"/>
    <w:rsid w:val="00DD1AC4"/>
    <w:rsid w:val="00DD45E4"/>
    <w:rsid w:val="00DD609D"/>
    <w:rsid w:val="00DD6441"/>
    <w:rsid w:val="00DE1243"/>
    <w:rsid w:val="00DE17BB"/>
    <w:rsid w:val="00DE57B9"/>
    <w:rsid w:val="00DE71E1"/>
    <w:rsid w:val="00DE7929"/>
    <w:rsid w:val="00E0099C"/>
    <w:rsid w:val="00E03CFB"/>
    <w:rsid w:val="00E074A6"/>
    <w:rsid w:val="00E14403"/>
    <w:rsid w:val="00E16574"/>
    <w:rsid w:val="00E210F9"/>
    <w:rsid w:val="00E34440"/>
    <w:rsid w:val="00E37E09"/>
    <w:rsid w:val="00E51DDF"/>
    <w:rsid w:val="00E57BCF"/>
    <w:rsid w:val="00E62D2F"/>
    <w:rsid w:val="00E83296"/>
    <w:rsid w:val="00E97A6E"/>
    <w:rsid w:val="00EA1D35"/>
    <w:rsid w:val="00EB0A31"/>
    <w:rsid w:val="00EE0BE7"/>
    <w:rsid w:val="00EE7BE4"/>
    <w:rsid w:val="00EF1881"/>
    <w:rsid w:val="00F06E7F"/>
    <w:rsid w:val="00F1146A"/>
    <w:rsid w:val="00F41781"/>
    <w:rsid w:val="00F45E4D"/>
    <w:rsid w:val="00F47F0F"/>
    <w:rsid w:val="00F50DB3"/>
    <w:rsid w:val="00F528B0"/>
    <w:rsid w:val="00F55590"/>
    <w:rsid w:val="00F64DA6"/>
    <w:rsid w:val="00F80860"/>
    <w:rsid w:val="00F80B9B"/>
    <w:rsid w:val="00F9066D"/>
    <w:rsid w:val="00F91A58"/>
    <w:rsid w:val="00F91BE1"/>
    <w:rsid w:val="00F92099"/>
    <w:rsid w:val="00F9632B"/>
    <w:rsid w:val="00FA4D37"/>
    <w:rsid w:val="00FA5472"/>
    <w:rsid w:val="00FC6E8E"/>
    <w:rsid w:val="00FD18FF"/>
    <w:rsid w:val="00FD3BF1"/>
    <w:rsid w:val="00FD4517"/>
    <w:rsid w:val="01803809"/>
    <w:rsid w:val="0CED3B15"/>
    <w:rsid w:val="1C3862A2"/>
    <w:rsid w:val="286B32A9"/>
    <w:rsid w:val="29984D05"/>
    <w:rsid w:val="303B11BD"/>
    <w:rsid w:val="3A7F4ED5"/>
    <w:rsid w:val="489F6F26"/>
    <w:rsid w:val="547B1ECB"/>
    <w:rsid w:val="626C3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12">
    <w:name w:val="footer"/>
    <w:basedOn w:val="1"/>
    <w:link w:val="42"/>
    <w:unhideWhenUsed/>
    <w:qFormat/>
    <w:uiPriority w:val="99"/>
    <w:pPr>
      <w:tabs>
        <w:tab w:val="center" w:pos="4153"/>
        <w:tab w:val="right" w:pos="8306"/>
      </w:tabs>
      <w:snapToGrid w:val="0"/>
    </w:pPr>
    <w:rPr>
      <w:sz w:val="18"/>
      <w:szCs w:val="18"/>
    </w:rPr>
  </w:style>
  <w:style w:type="paragraph" w:styleId="13">
    <w:name w:val="header"/>
    <w:basedOn w:val="1"/>
    <w:link w:val="41"/>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5">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paragraph" w:styleId="17">
    <w:name w:val="Normal (Web)"/>
    <w:basedOn w:val="1"/>
    <w:semiHidden/>
    <w:unhideWhenUsed/>
    <w:qFormat/>
    <w:uiPriority w:val="99"/>
    <w:rPr>
      <w:rFonts w:ascii="Times New Roman" w:hAnsi="Times New Roman"/>
      <w:sz w:val="24"/>
      <w:szCs w:val="24"/>
    </w:rPr>
  </w:style>
  <w:style w:type="paragraph" w:styleId="18">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qFormat/>
    <w:uiPriority w:val="99"/>
    <w:rPr>
      <w:color w:val="0000FF"/>
      <w:u w:val="single"/>
    </w:rPr>
  </w:style>
  <w:style w:type="character" w:customStyle="1" w:styleId="23">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1"/>
    <w:link w:val="5"/>
    <w:semiHidden/>
    <w:qFormat/>
    <w:uiPriority w:val="9"/>
    <w:rPr>
      <w:rFonts w:cstheme="majorBidi"/>
      <w:color w:val="104862" w:themeColor="accent1" w:themeShade="BF"/>
      <w:sz w:val="28"/>
      <w:szCs w:val="28"/>
    </w:rPr>
  </w:style>
  <w:style w:type="character" w:customStyle="1" w:styleId="27">
    <w:name w:val="标题 5 字符"/>
    <w:basedOn w:val="21"/>
    <w:link w:val="6"/>
    <w:semiHidden/>
    <w:qFormat/>
    <w:uiPriority w:val="9"/>
    <w:rPr>
      <w:rFonts w:cstheme="majorBidi"/>
      <w:color w:val="104862" w:themeColor="accent1" w:themeShade="BF"/>
      <w:sz w:val="24"/>
      <w:szCs w:val="24"/>
    </w:rPr>
  </w:style>
  <w:style w:type="character" w:customStyle="1" w:styleId="28">
    <w:name w:val="标题 6 字符"/>
    <w:basedOn w:val="21"/>
    <w:link w:val="7"/>
    <w:semiHidden/>
    <w:qFormat/>
    <w:uiPriority w:val="9"/>
    <w:rPr>
      <w:rFonts w:cstheme="majorBidi"/>
      <w:b/>
      <w:bCs/>
      <w:color w:val="104862"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明显强调1"/>
    <w:basedOn w:val="2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1"/>
    <w:link w:val="38"/>
    <w:qFormat/>
    <w:uiPriority w:val="30"/>
    <w:rPr>
      <w:i/>
      <w:iCs/>
      <w:color w:val="104862" w:themeColor="accent1" w:themeShade="BF"/>
    </w:rPr>
  </w:style>
  <w:style w:type="character" w:customStyle="1" w:styleId="40">
    <w:name w:val="明显参考1"/>
    <w:basedOn w:val="21"/>
    <w:qFormat/>
    <w:uiPriority w:val="32"/>
    <w:rPr>
      <w:b/>
      <w:bCs/>
      <w:smallCaps/>
      <w:color w:val="104862" w:themeColor="accent1" w:themeShade="BF"/>
      <w:spacing w:val="5"/>
    </w:rPr>
  </w:style>
  <w:style w:type="character" w:customStyle="1" w:styleId="41">
    <w:name w:val="页眉 字符"/>
    <w:basedOn w:val="21"/>
    <w:link w:val="13"/>
    <w:qFormat/>
    <w:uiPriority w:val="99"/>
    <w:rPr>
      <w:sz w:val="18"/>
      <w:szCs w:val="18"/>
    </w:rPr>
  </w:style>
  <w:style w:type="character" w:customStyle="1" w:styleId="42">
    <w:name w:val="页脚 字符"/>
    <w:basedOn w:val="21"/>
    <w:link w:val="12"/>
    <w:qFormat/>
    <w:uiPriority w:val="99"/>
    <w:rPr>
      <w:sz w:val="18"/>
      <w:szCs w:val="18"/>
    </w:rPr>
  </w:style>
  <w:style w:type="paragraph" w:customStyle="1" w:styleId="43">
    <w:name w:val="EFABodyText"/>
    <w:link w:val="4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4">
    <w:name w:val="EFAFPFrameText_11.5pt_Right"/>
    <w:basedOn w:val="45"/>
    <w:link w:val="58"/>
    <w:qFormat/>
    <w:uiPriority w:val="0"/>
    <w:pPr>
      <w:framePr w:wrap="around" w:xAlign="right" w:y="1"/>
      <w:jc w:val="right"/>
    </w:pPr>
    <w:rPr>
      <w:bCs/>
      <w:snapToGrid/>
      <w:szCs w:val="32"/>
    </w:rPr>
  </w:style>
  <w:style w:type="paragraph" w:customStyle="1" w:styleId="45">
    <w:name w:val="EFAFPFrameText_11.5pt"/>
    <w:link w:val="57"/>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6">
    <w:name w:val="EFABodyText Char"/>
    <w:basedOn w:val="21"/>
    <w:link w:val="43"/>
    <w:qFormat/>
    <w:uiPriority w:val="0"/>
    <w:rPr>
      <w:rFonts w:ascii="Calibri" w:hAnsi="Calibri" w:eastAsia="MS Mincho" w:cs="Times New Roman"/>
      <w:snapToGrid w:val="0"/>
      <w:kern w:val="0"/>
      <w:sz w:val="20"/>
      <w:szCs w:val="16"/>
      <w:lang w:eastAsia="ja-JP"/>
    </w:rPr>
  </w:style>
  <w:style w:type="paragraph" w:customStyle="1" w:styleId="47">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eastAsia="zh-CN"/>
    </w:rPr>
  </w:style>
  <w:style w:type="paragraph" w:customStyle="1" w:styleId="48">
    <w:name w:val="EFAFPColFrameHeading"/>
    <w:basedOn w:val="1"/>
    <w:qFormat/>
    <w:uiPriority w:val="0"/>
    <w:pPr>
      <w:framePr w:w="3045" w:h="12844" w:hRule="exact" w:hSpace="180" w:wrap="around" w:vAnchor="page" w:hAnchor="page" w:x="336" w:y="2721" w:anchorLock="1"/>
      <w:adjustRightInd w:val="0"/>
      <w:snapToGrid w:val="0"/>
    </w:pPr>
    <w:rPr>
      <w:b/>
      <w:color w:val="23558C"/>
      <w:szCs w:val="14"/>
      <w:lang w:eastAsia="zh-CN"/>
    </w:rPr>
  </w:style>
  <w:style w:type="paragraph" w:customStyle="1" w:styleId="49">
    <w:name w:val="EFAFPColFrameText_Left"/>
    <w:basedOn w:val="1"/>
    <w:link w:val="53"/>
    <w:qFormat/>
    <w:uiPriority w:val="0"/>
    <w:pPr>
      <w:framePr w:w="3045" w:h="12844" w:hRule="exact" w:hSpace="180" w:wrap="around" w:vAnchor="page" w:hAnchor="page" w:x="336" w:y="2721" w:anchorLock="1"/>
      <w:adjustRightInd w:val="0"/>
      <w:snapToGrid w:val="0"/>
    </w:pPr>
    <w:rPr>
      <w:sz w:val="14"/>
      <w:szCs w:val="14"/>
      <w:lang w:eastAsia="zh-CN"/>
    </w:rPr>
  </w:style>
  <w:style w:type="paragraph" w:customStyle="1" w:styleId="50">
    <w:name w:val="EFAFPColFrame_Source"/>
    <w:basedOn w:val="49"/>
    <w:qFormat/>
    <w:uiPriority w:val="0"/>
    <w:pPr>
      <w:framePr w:wrap="around"/>
    </w:pPr>
    <w:rPr>
      <w:sz w:val="12"/>
      <w:szCs w:val="12"/>
    </w:rPr>
  </w:style>
  <w:style w:type="paragraph" w:customStyle="1" w:styleId="51">
    <w:name w:val="EFAFPColFrame_AnalystName"/>
    <w:basedOn w:val="49"/>
    <w:qFormat/>
    <w:uiPriority w:val="0"/>
    <w:pPr>
      <w:framePr w:wrap="around"/>
    </w:pPr>
    <w:rPr>
      <w:b/>
      <w:sz w:val="16"/>
    </w:rPr>
  </w:style>
  <w:style w:type="paragraph" w:customStyle="1" w:styleId="52">
    <w:name w:val="EFAFPColFrameText_8pt"/>
    <w:basedOn w:val="49"/>
    <w:qFormat/>
    <w:uiPriority w:val="0"/>
    <w:pPr>
      <w:framePr w:wrap="around"/>
    </w:pPr>
    <w:rPr>
      <w:sz w:val="16"/>
    </w:rPr>
  </w:style>
  <w:style w:type="character" w:customStyle="1" w:styleId="53">
    <w:name w:val="EFAFPColFrameText_Left Char"/>
    <w:basedOn w:val="21"/>
    <w:link w:val="49"/>
    <w:qFormat/>
    <w:uiPriority w:val="0"/>
    <w:rPr>
      <w:rFonts w:ascii="Calibri" w:hAnsi="Calibri" w:eastAsia="MS Mincho" w:cs="Times New Roman"/>
      <w:snapToGrid w:val="0"/>
      <w:kern w:val="0"/>
      <w:sz w:val="14"/>
      <w:szCs w:val="14"/>
    </w:rPr>
  </w:style>
  <w:style w:type="paragraph" w:customStyle="1" w:styleId="54">
    <w:name w:val="EFAAnchor"/>
    <w:basedOn w:val="1"/>
    <w:qFormat/>
    <w:uiPriority w:val="0"/>
    <w:pPr>
      <w:widowControl w:val="0"/>
      <w:adjustRightInd w:val="0"/>
      <w:snapToGrid w:val="0"/>
    </w:pPr>
    <w:rPr>
      <w:sz w:val="4"/>
      <w:lang w:eastAsia="zh-CN"/>
    </w:rPr>
  </w:style>
  <w:style w:type="paragraph" w:customStyle="1" w:styleId="55">
    <w:name w:val="EFAFP_BodyText2"/>
    <w:link w:val="56"/>
    <w:qFormat/>
    <w:uiPriority w:val="0"/>
    <w:pPr>
      <w:adjustRightInd w:val="0"/>
      <w:snapToGrid w:val="0"/>
      <w:spacing w:after="120"/>
    </w:pPr>
    <w:rPr>
      <w:rFonts w:ascii="Calibri" w:hAnsi="Calibri" w:eastAsia="Times New Roman" w:cs="PMingLiU"/>
      <w:lang w:val="en-US" w:eastAsia="ja-JP" w:bidi="ar-SA"/>
    </w:rPr>
  </w:style>
  <w:style w:type="character" w:customStyle="1" w:styleId="56">
    <w:name w:val="EFAFP_BodyText2 Char"/>
    <w:basedOn w:val="21"/>
    <w:link w:val="55"/>
    <w:qFormat/>
    <w:uiPriority w:val="0"/>
    <w:rPr>
      <w:rFonts w:ascii="Calibri" w:hAnsi="Calibri" w:eastAsia="Times New Roman" w:cs="PMingLiU"/>
      <w:kern w:val="0"/>
      <w:sz w:val="20"/>
      <w:szCs w:val="20"/>
      <w:lang w:eastAsia="ja-JP"/>
    </w:rPr>
  </w:style>
  <w:style w:type="character" w:customStyle="1" w:styleId="57">
    <w:name w:val="EFAFPFrameText_11.5pt Char"/>
    <w:basedOn w:val="21"/>
    <w:link w:val="45"/>
    <w:qFormat/>
    <w:uiPriority w:val="0"/>
    <w:rPr>
      <w:rFonts w:ascii="Calibri" w:hAnsi="Calibri" w:eastAsia="MS Mincho" w:cs="Times New Roman"/>
      <w:b/>
      <w:snapToGrid w:val="0"/>
      <w:color w:val="23558C"/>
      <w:kern w:val="0"/>
      <w:sz w:val="24"/>
      <w:szCs w:val="16"/>
      <w:lang w:eastAsia="ja-JP"/>
    </w:rPr>
  </w:style>
  <w:style w:type="character" w:customStyle="1" w:styleId="58">
    <w:name w:val="EFAFPFrameText_11.5pt_Right Char"/>
    <w:basedOn w:val="57"/>
    <w:link w:val="44"/>
    <w:qFormat/>
    <w:uiPriority w:val="0"/>
    <w:rPr>
      <w:rFonts w:ascii="Calibri" w:hAnsi="Calibri" w:eastAsia="MS Mincho" w:cs="Times New Roman"/>
      <w:bCs/>
      <w:snapToGrid/>
      <w:color w:val="23558C"/>
      <w:kern w:val="0"/>
      <w:sz w:val="24"/>
      <w:szCs w:val="32"/>
      <w:lang w:eastAsia="ja-JP"/>
    </w:rPr>
  </w:style>
  <w:style w:type="paragraph" w:customStyle="1" w:styleId="59">
    <w:name w:val="EFAFPHdrInfo3"/>
    <w:link w:val="60"/>
    <w:qFormat/>
    <w:uiPriority w:val="0"/>
    <w:rPr>
      <w:rFonts w:ascii="Calibri" w:hAnsi="Calibri" w:eastAsia="MS Mincho" w:cs="Times New Roman"/>
      <w:b/>
      <w:bCs/>
      <w:snapToGrid w:val="0"/>
      <w:color w:val="000000"/>
      <w:sz w:val="32"/>
      <w:lang w:val="en-US" w:eastAsia="ja-JP" w:bidi="ar-SA"/>
    </w:rPr>
  </w:style>
  <w:style w:type="character" w:customStyle="1" w:styleId="60">
    <w:name w:val="EFAFPHdrInfo3 Char"/>
    <w:basedOn w:val="21"/>
    <w:link w:val="59"/>
    <w:qFormat/>
    <w:uiPriority w:val="0"/>
    <w:rPr>
      <w:rFonts w:ascii="Calibri" w:hAnsi="Calibri" w:eastAsia="MS Mincho" w:cs="Times New Roman"/>
      <w:b/>
      <w:bCs/>
      <w:snapToGrid w:val="0"/>
      <w:color w:val="000000"/>
      <w:kern w:val="0"/>
      <w:sz w:val="32"/>
      <w:szCs w:val="20"/>
      <w:lang w:eastAsia="ja-JP"/>
    </w:rPr>
  </w:style>
  <w:style w:type="paragraph" w:customStyle="1" w:styleId="61">
    <w:name w:val="EFAFPTitle6"/>
    <w:link w:val="62"/>
    <w:qFormat/>
    <w:uiPriority w:val="0"/>
    <w:rPr>
      <w:rFonts w:ascii="Calibri" w:hAnsi="Calibri" w:eastAsia="MS Mincho" w:cs="Times New Roman"/>
      <w:b/>
      <w:bCs/>
      <w:snapToGrid w:val="0"/>
      <w:color w:val="FFFFFF"/>
      <w:sz w:val="32"/>
      <w:lang w:val="en-US" w:eastAsia="ja-JP" w:bidi="ar-SA"/>
    </w:rPr>
  </w:style>
  <w:style w:type="character" w:customStyle="1" w:styleId="62">
    <w:name w:val="EFAFPTitle6 Char"/>
    <w:basedOn w:val="21"/>
    <w:link w:val="61"/>
    <w:qFormat/>
    <w:uiPriority w:val="0"/>
    <w:rPr>
      <w:rFonts w:ascii="Calibri" w:hAnsi="Calibri" w:eastAsia="MS Mincho" w:cs="Times New Roman"/>
      <w:b/>
      <w:bCs/>
      <w:snapToGrid w:val="0"/>
      <w:color w:val="FFFFFF"/>
      <w:kern w:val="0"/>
      <w:sz w:val="32"/>
      <w:szCs w:val="20"/>
      <w:lang w:eastAsia="ja-JP"/>
    </w:rPr>
  </w:style>
  <w:style w:type="paragraph" w:customStyle="1" w:styleId="63">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4">
    <w:name w:val="EFANormal"/>
    <w:link w:val="6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5">
    <w:name w:val="EFANormal Char"/>
    <w:basedOn w:val="21"/>
    <w:link w:val="64"/>
    <w:qFormat/>
    <w:uiPriority w:val="0"/>
    <w:rPr>
      <w:rFonts w:ascii="Calibri" w:hAnsi="Calibri" w:eastAsia="MS Mincho" w:cs="Times New Roman"/>
      <w:snapToGrid w:val="0"/>
      <w:kern w:val="0"/>
      <w:sz w:val="16"/>
      <w:szCs w:val="16"/>
      <w:lang w:eastAsia="ja-JP"/>
    </w:rPr>
  </w:style>
  <w:style w:type="character" w:customStyle="1" w:styleId="66">
    <w:name w:val="EFACharBold_and_AllCap"/>
    <w:qFormat/>
    <w:uiPriority w:val="1"/>
    <w:rPr>
      <w:b/>
      <w:caps/>
    </w:rPr>
  </w:style>
  <w:style w:type="paragraph" w:customStyle="1" w:styleId="67">
    <w:name w:val="EFAPageFooter"/>
    <w:basedOn w:val="64"/>
    <w:qFormat/>
    <w:uiPriority w:val="0"/>
    <w:pPr>
      <w:framePr w:wrap="around" w:vAnchor="page" w:hAnchor="page" w:x="347" w:y="15481"/>
      <w:tabs>
        <w:tab w:val="center" w:pos="5165"/>
      </w:tabs>
    </w:pPr>
    <w:rPr>
      <w:b/>
      <w:sz w:val="20"/>
      <w:szCs w:val="20"/>
    </w:rPr>
  </w:style>
  <w:style w:type="paragraph" w:customStyle="1" w:styleId="68">
    <w:name w:val="EFASideComment"/>
    <w:basedOn w:val="43"/>
    <w:qFormat/>
    <w:uiPriority w:val="0"/>
    <w:pPr>
      <w:framePr w:w="2980" w:hSpace="180" w:wrap="around" w:vAnchor="text" w:hAnchor="text" w:x="-3250" w:y="160"/>
    </w:pPr>
  </w:style>
  <w:style w:type="table" w:customStyle="1" w:styleId="69">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0">
    <w:name w:val="EFADisclaimerText"/>
    <w:basedOn w:val="64"/>
    <w:link w:val="71"/>
    <w:qFormat/>
    <w:uiPriority w:val="99"/>
    <w:pPr>
      <w:jc w:val="both"/>
    </w:pPr>
  </w:style>
  <w:style w:type="character" w:customStyle="1" w:styleId="71">
    <w:name w:val="EFADisclaimerText Char"/>
    <w:basedOn w:val="21"/>
    <w:link w:val="70"/>
    <w:qFormat/>
    <w:locked/>
    <w:uiPriority w:val="99"/>
    <w:rPr>
      <w:rFonts w:ascii="Calibri" w:hAnsi="Calibri" w:eastAsia="MS Mincho" w:cs="Times New Roman"/>
      <w:snapToGrid w:val="0"/>
      <w:kern w:val="0"/>
      <w:sz w:val="16"/>
      <w:szCs w:val="16"/>
      <w:lang w:eastAsia="ja-JP"/>
    </w:rPr>
  </w:style>
  <w:style w:type="paragraph" w:customStyle="1" w:styleId="72">
    <w:name w:val="TOC 标题1"/>
    <w:basedOn w:val="2"/>
    <w:next w:val="1"/>
    <w:unhideWhenUsed/>
    <w:qFormat/>
    <w:uiPriority w:val="39"/>
    <w:pPr>
      <w:spacing w:after="0" w:line="259" w:lineRule="auto"/>
      <w:outlineLvl w:val="9"/>
    </w:pPr>
    <w:rPr>
      <w:snapToGrid/>
      <w:sz w:val="32"/>
      <w:lang w:eastAsia="zh-CN"/>
    </w:rPr>
  </w:style>
  <w:style w:type="paragraph" w:customStyle="1" w:styleId="73">
    <w:name w:val="【正文】图表标题"/>
    <w:basedOn w:val="74"/>
    <w:qFormat/>
    <w:uiPriority w:val="6"/>
    <w:pPr>
      <w:numPr>
        <w:ilvl w:val="0"/>
        <w:numId w:val="1"/>
      </w:numPr>
      <w:jc w:val="left"/>
    </w:pPr>
    <w:rPr>
      <w:b/>
      <w:bCs/>
    </w:rPr>
  </w:style>
  <w:style w:type="paragraph" w:customStyle="1" w:styleId="74">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5">
    <w:name w:val="【资料来源】"/>
    <w:basedOn w:val="74"/>
    <w:qFormat/>
    <w:uiPriority w:val="7"/>
    <w:rPr>
      <w:sz w:val="15"/>
      <w:szCs w:val="15"/>
    </w:rPr>
  </w:style>
  <w:style w:type="paragraph" w:customStyle="1" w:styleId="76">
    <w:name w:val="样式 标题 2 + 段前: 1 行 段后: 1 行"/>
    <w:basedOn w:val="3"/>
    <w:qFormat/>
    <w:uiPriority w:val="0"/>
    <w:pPr>
      <w:keepLines w:val="0"/>
      <w:spacing w:before="240" w:after="240"/>
    </w:pPr>
    <w:rPr>
      <w:rFonts w:ascii="宋体" w:hAnsi="宋体" w:eastAsia="宋体" w:cs="宋体"/>
      <w:b/>
      <w:bCs/>
      <w:snapToGrid/>
      <w:color w:val="auto"/>
      <w:sz w:val="20"/>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4" Type="http://schemas.openxmlformats.org/officeDocument/2006/relationships/fontTable" Target="fontTable.xml"/><Relationship Id="rId73" Type="http://schemas.openxmlformats.org/officeDocument/2006/relationships/customXml" Target="../customXml/item2.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31.emf"/><Relationship Id="rId7" Type="http://schemas.openxmlformats.org/officeDocument/2006/relationships/footer" Target="footer2.xml"/><Relationship Id="rId69" Type="http://schemas.openxmlformats.org/officeDocument/2006/relationships/image" Target="media/image30.emf"/><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chart" Target="charts/chart22.xml"/><Relationship Id="rId65" Type="http://schemas.openxmlformats.org/officeDocument/2006/relationships/image" Target="media/image27.emf"/><Relationship Id="rId64" Type="http://schemas.openxmlformats.org/officeDocument/2006/relationships/image" Target="media/image26.emf"/><Relationship Id="rId63" Type="http://schemas.openxmlformats.org/officeDocument/2006/relationships/chart" Target="charts/chart21.xml"/><Relationship Id="rId62" Type="http://schemas.openxmlformats.org/officeDocument/2006/relationships/chart" Target="charts/chart20.xml"/><Relationship Id="rId61" Type="http://schemas.openxmlformats.org/officeDocument/2006/relationships/chart" Target="charts/chart19.xml"/><Relationship Id="rId60" Type="http://schemas.openxmlformats.org/officeDocument/2006/relationships/chart" Target="charts/chart18.xml"/><Relationship Id="rId6" Type="http://schemas.openxmlformats.org/officeDocument/2006/relationships/footer" Target="footer1.xml"/><Relationship Id="rId59" Type="http://schemas.openxmlformats.org/officeDocument/2006/relationships/chart" Target="charts/chart17.xml"/><Relationship Id="rId58" Type="http://schemas.openxmlformats.org/officeDocument/2006/relationships/image" Target="media/image25.png"/><Relationship Id="rId57" Type="http://schemas.openxmlformats.org/officeDocument/2006/relationships/image" Target="media/image24.png"/><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emf"/><Relationship Id="rId51" Type="http://schemas.openxmlformats.org/officeDocument/2006/relationships/image" Target="media/image18.emf"/><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emf"/><Relationship Id="rId46" Type="http://schemas.openxmlformats.org/officeDocument/2006/relationships/image" Target="media/image13.png"/><Relationship Id="rId45" Type="http://schemas.openxmlformats.org/officeDocument/2006/relationships/chart" Target="charts/chart16.xml"/><Relationship Id="rId44" Type="http://schemas.openxmlformats.org/officeDocument/2006/relationships/chart" Target="charts/chart15.xml"/><Relationship Id="rId43" Type="http://schemas.openxmlformats.org/officeDocument/2006/relationships/image" Target="media/image12.emf"/><Relationship Id="rId42" Type="http://schemas.openxmlformats.org/officeDocument/2006/relationships/image" Target="media/image11.png"/><Relationship Id="rId41" Type="http://schemas.openxmlformats.org/officeDocument/2006/relationships/chart" Target="charts/chart14.xml"/><Relationship Id="rId40" Type="http://schemas.openxmlformats.org/officeDocument/2006/relationships/chart" Target="charts/chart13.xml"/><Relationship Id="rId4" Type="http://schemas.openxmlformats.org/officeDocument/2006/relationships/header" Target="header2.xml"/><Relationship Id="rId39" Type="http://schemas.openxmlformats.org/officeDocument/2006/relationships/chart" Target="charts/chart12.xml"/><Relationship Id="rId38" Type="http://schemas.openxmlformats.org/officeDocument/2006/relationships/chart" Target="charts/chart11.xml"/><Relationship Id="rId37" Type="http://schemas.openxmlformats.org/officeDocument/2006/relationships/chart" Target="charts/chart10.xml"/><Relationship Id="rId36" Type="http://schemas.openxmlformats.org/officeDocument/2006/relationships/chart" Target="charts/chart9.xml"/><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emf"/><Relationship Id="rId32" Type="http://schemas.openxmlformats.org/officeDocument/2006/relationships/chart" Target="charts/chart8.xml"/><Relationship Id="rId31" Type="http://schemas.openxmlformats.org/officeDocument/2006/relationships/chart" Target="charts/chart7.xml"/><Relationship Id="rId30" Type="http://schemas.openxmlformats.org/officeDocument/2006/relationships/chart" Target="charts/chart6.xml"/><Relationship Id="rId3" Type="http://schemas.openxmlformats.org/officeDocument/2006/relationships/header" Target="header1.xml"/><Relationship Id="rId29" Type="http://schemas.openxmlformats.org/officeDocument/2006/relationships/chart" Target="charts/chart5.xml"/><Relationship Id="rId28" Type="http://schemas.openxmlformats.org/officeDocument/2006/relationships/chart" Target="charts/chart4.xml"/><Relationship Id="rId27" Type="http://schemas.openxmlformats.org/officeDocument/2006/relationships/chart" Target="charts/chart3.xml"/><Relationship Id="rId26" Type="http://schemas.openxmlformats.org/officeDocument/2006/relationships/chart" Target="charts/chart2.xml"/><Relationship Id="rId25" Type="http://schemas.openxmlformats.org/officeDocument/2006/relationships/chart" Target="charts/chart1.xml"/><Relationship Id="rId24" Type="http://schemas.openxmlformats.org/officeDocument/2006/relationships/image" Target="media/image7.emf"/><Relationship Id="rId23" Type="http://schemas.openxmlformats.org/officeDocument/2006/relationships/image" Target="media/image6.emf"/><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zheng\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https://d.docs.live.net/fb92e85d57d94469/&#21326;&#31119;&#22269;&#38469;/&#35199;&#38160;&#24213;&#31295;.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https://d.docs.live.net/fb92e85d57d94469/&#21326;&#31119;&#22269;&#38469;/&#35199;&#38160;&#24213;&#31295;.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zheng\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zheng\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zheng\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zheng\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zheng\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zheng\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zheng\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zheng\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zheng\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zheng\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zheng\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zheng\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zheng\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zheng\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file:///C:\Users\zheng\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zheng\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part1!$H$43</c:f>
              <c:strCache>
                <c:ptCount val="1"/>
                <c:pt idx="0">
                  <c:v>Sales</c:v>
                </c:pt>
              </c:strCache>
            </c:strRef>
          </c:tx>
          <c:spPr>
            <a:solidFill>
              <a:srgbClr val="375DA1"/>
            </a:solidFill>
            <a:ln w="25400">
              <a:noFill/>
            </a:ln>
            <a:effectLst/>
          </c:spPr>
          <c:invertIfNegative val="0"/>
          <c:dLbls>
            <c:delete val="1"/>
          </c:dLbls>
          <c:cat>
            <c:numRef>
              <c:f>part1!$G$44:$G$48</c:f>
              <c:numCache>
                <c:formatCode>General</c:formatCode>
                <c:ptCount val="5"/>
                <c:pt idx="0">
                  <c:v>2020</c:v>
                </c:pt>
                <c:pt idx="1">
                  <c:v>2021</c:v>
                </c:pt>
                <c:pt idx="2">
                  <c:v>2022</c:v>
                </c:pt>
                <c:pt idx="3">
                  <c:v>2023</c:v>
                </c:pt>
                <c:pt idx="4">
                  <c:v>2024</c:v>
                </c:pt>
              </c:numCache>
            </c:numRef>
          </c:cat>
          <c:val>
            <c:numRef>
              <c:f>part1!$H$44:$H$48</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part1!$I$43</c:f>
              <c:strCache>
                <c:ptCount val="1"/>
                <c:pt idx="0">
                  <c:v>yoy</c:v>
                </c:pt>
              </c:strCache>
            </c:strRef>
          </c:tx>
          <c:spPr>
            <a:ln w="28575" cap="rnd">
              <a:solidFill>
                <a:srgbClr val="8FA2D4"/>
              </a:solidFill>
              <a:round/>
            </a:ln>
            <a:effectLst/>
          </c:spPr>
          <c:marker>
            <c:symbol val="none"/>
          </c:marker>
          <c:dLbls>
            <c:delete val="1"/>
          </c:dLbls>
          <c:cat>
            <c:numRef>
              <c:f>part1!$G$44:$G$48</c:f>
              <c:numCache>
                <c:formatCode>General</c:formatCode>
                <c:ptCount val="5"/>
                <c:pt idx="0">
                  <c:v>2020</c:v>
                </c:pt>
                <c:pt idx="1">
                  <c:v>2021</c:v>
                </c:pt>
                <c:pt idx="2">
                  <c:v>2022</c:v>
                </c:pt>
                <c:pt idx="3">
                  <c:v>2023</c:v>
                </c:pt>
                <c:pt idx="4">
                  <c:v>2024</c:v>
                </c:pt>
              </c:numCache>
            </c:numRef>
          </c:cat>
          <c:val>
            <c:numRef>
              <c:f>part1!$I$44:$I$48</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Aircraft</c:v>
                </c:pt>
              </c:strCache>
            </c:strRef>
          </c:tx>
          <c:spPr>
            <a:solidFill>
              <a:srgbClr val="375DA1"/>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Service</c:v>
                </c:pt>
              </c:strCache>
            </c:strRef>
          </c:tx>
          <c:spPr>
            <a:solidFill>
              <a:srgbClr val="8FA2D4"/>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375DA1"/>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rgbClr val="8FA2D4"/>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375DA1"/>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ysClr val="window" lastClr="FFFFFF">
                <a:lumMod val="95000"/>
              </a:sysClr>
            </a:solidFill>
            <a:ln>
              <a:noFill/>
            </a:ln>
            <a:effectLst/>
          </c:spPr>
          <c:invertIfNegative val="0"/>
          <c:dPt>
            <c:idx val="0"/>
            <c:invertIfNegative val="0"/>
            <c:bubble3D val="0"/>
            <c:spPr>
              <a:solidFill>
                <a:sysClr val="window" lastClr="FFFFFF">
                  <a:lumMod val="85000"/>
                </a:sysClr>
              </a:solidFill>
              <a:ln>
                <a:noFill/>
              </a:ln>
              <a:effectLst/>
            </c:spPr>
          </c:dPt>
          <c:dPt>
            <c:idx val="1"/>
            <c:invertIfNegative val="0"/>
            <c:bubble3D val="0"/>
            <c:spPr>
              <a:solidFill>
                <a:sysClr val="window" lastClr="FFFFFF">
                  <a:lumMod val="85000"/>
                </a:sysClr>
              </a:solidFill>
              <a:ln>
                <a:noFill/>
              </a:ln>
              <a:effectLst/>
            </c:spPr>
          </c:dPt>
          <c:dPt>
            <c:idx val="2"/>
            <c:invertIfNegative val="0"/>
            <c:bubble3D val="0"/>
            <c:spPr>
              <a:solidFill>
                <a:sysClr val="window" lastClr="FFFFFF">
                  <a:lumMod val="85000"/>
                </a:sysClr>
              </a:solidFill>
              <a:ln>
                <a:noFill/>
              </a:ln>
              <a:effectLst/>
            </c:spPr>
          </c:dPt>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lumMod val="20000"/>
                <a:lumOff val="80000"/>
              </a:srgbClr>
            </a:solidFill>
            <a:ln>
              <a:noFill/>
            </a:ln>
            <a:effectLst/>
          </c:spPr>
          <c:invertIfNegative val="0"/>
          <c:dPt>
            <c:idx val="0"/>
            <c:invertIfNegative val="0"/>
            <c:bubble3D val="0"/>
            <c:spPr>
              <a:solidFill>
                <a:srgbClr val="8FA2D4"/>
              </a:solidFill>
              <a:ln>
                <a:noFill/>
              </a:ln>
              <a:effectLst/>
            </c:spPr>
          </c:dPt>
          <c:dPt>
            <c:idx val="1"/>
            <c:invertIfNegative val="0"/>
            <c:bubble3D val="0"/>
            <c:spPr>
              <a:solidFill>
                <a:srgbClr val="8FA2D4"/>
              </a:solidFill>
              <a:ln>
                <a:noFill/>
              </a:ln>
              <a:effectLst/>
            </c:spPr>
          </c:dPt>
          <c:dPt>
            <c:idx val="2"/>
            <c:invertIfNegative val="0"/>
            <c:bubble3D val="0"/>
            <c:spPr>
              <a:solidFill>
                <a:srgbClr val="8FA2D4"/>
              </a:solidFill>
              <a:ln>
                <a:noFill/>
              </a:ln>
              <a:effectLst/>
            </c:spPr>
          </c:dPt>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375DA1"/>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ysClr val="window" lastClr="FFFFFF">
                <a:lumMod val="85000"/>
              </a:sys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8FA2D4"/>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Part1!$B$144</c:f>
              <c:strCache>
                <c:ptCount val="1"/>
                <c:pt idx="0">
                  <c:v>Aftermarket Parts / Maintenance</c:v>
                </c:pt>
              </c:strCache>
            </c:strRef>
          </c:tx>
          <c:spPr>
            <a:solidFill>
              <a:srgbClr val="375DA1"/>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Training</c:v>
                </c:pt>
              </c:strCache>
            </c:strRef>
          </c:tx>
          <c:spPr>
            <a:solidFill>
              <a:sysClr val="window" lastClr="FFFFFF">
                <a:lumMod val="85000"/>
              </a:sys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Pre-owned Aircraft</c:v>
                </c:pt>
              </c:strCache>
            </c:strRef>
          </c:tx>
          <c:spPr>
            <a:solidFill>
              <a:srgbClr val="E6B9B8"/>
            </a:solidFill>
            <a:ln w="9525" cap="flat" cmpd="sng">
              <a:noFill/>
              <a:prstDash val="solid"/>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Other</c:v>
                </c:pt>
              </c:strCache>
            </c:strRef>
          </c:tx>
          <c:spPr>
            <a:solidFill>
              <a:srgbClr val="8FA2D4"/>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953508311461067"/>
          <c:y val="0.0291615631379411"/>
          <c:w val="0.857705599300088"/>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part1!$G$87</c:f>
              <c:strCache>
                <c:ptCount val="1"/>
                <c:pt idx="0">
                  <c:v>Gross Profit</c:v>
                </c:pt>
              </c:strCache>
            </c:strRef>
          </c:tx>
          <c:spPr>
            <a:solidFill>
              <a:srgbClr val="375DA1"/>
            </a:solidFill>
            <a:ln w="25400">
              <a:noFill/>
            </a:ln>
            <a:effectLst/>
          </c:spPr>
          <c:invertIfNegative val="0"/>
          <c:dLbls>
            <c:delete val="1"/>
          </c:dLbls>
          <c:cat>
            <c:numRef>
              <c:f>part1!$H$86:$L$86</c:f>
              <c:numCache>
                <c:formatCode>General</c:formatCode>
                <c:ptCount val="5"/>
                <c:pt idx="0">
                  <c:v>2020</c:v>
                </c:pt>
                <c:pt idx="1">
                  <c:v>2021</c:v>
                </c:pt>
                <c:pt idx="2">
                  <c:v>2022</c:v>
                </c:pt>
                <c:pt idx="3">
                  <c:v>2023</c:v>
                </c:pt>
                <c:pt idx="4">
                  <c:v>2024</c:v>
                </c:pt>
              </c:numCache>
            </c:numRef>
          </c:cat>
          <c:val>
            <c:numRef>
              <c:f>part1!$H$87:$L$87</c:f>
              <c:numCache>
                <c:formatCode>0.00</c:formatCode>
                <c:ptCount val="5"/>
                <c:pt idx="0">
                  <c:v>185.32136</c:v>
                </c:pt>
                <c:pt idx="1">
                  <c:v>242.254266</c:v>
                </c:pt>
                <c:pt idx="2">
                  <c:v>298.086272</c:v>
                </c:pt>
                <c:pt idx="3">
                  <c:v>364.729736</c:v>
                </c:pt>
                <c:pt idx="4">
                  <c:v>413.608415</c:v>
                </c:pt>
              </c:numCache>
            </c:numRef>
          </c:val>
        </c:ser>
        <c:ser>
          <c:idx val="2"/>
          <c:order val="2"/>
          <c:tx>
            <c:strRef>
              <c:f>part1!$G$89</c:f>
              <c:strCache>
                <c:ptCount val="1"/>
                <c:pt idx="0">
                  <c:v>Net Profit</c:v>
                </c:pt>
              </c:strCache>
            </c:strRef>
          </c:tx>
          <c:spPr>
            <a:solidFill>
              <a:srgbClr val="8FA2D4"/>
            </a:solidFill>
            <a:ln w="25400">
              <a:noFill/>
            </a:ln>
            <a:effectLst/>
          </c:spPr>
          <c:invertIfNegative val="0"/>
          <c:dLbls>
            <c:delete val="1"/>
          </c:dLbls>
          <c:cat>
            <c:numRef>
              <c:f>part1!$H$86:$L$86</c:f>
              <c:numCache>
                <c:formatCode>General</c:formatCode>
                <c:ptCount val="5"/>
                <c:pt idx="0">
                  <c:v>2020</c:v>
                </c:pt>
                <c:pt idx="1">
                  <c:v>2021</c:v>
                </c:pt>
                <c:pt idx="2">
                  <c:v>2022</c:v>
                </c:pt>
                <c:pt idx="3">
                  <c:v>2023</c:v>
                </c:pt>
                <c:pt idx="4">
                  <c:v>2024</c:v>
                </c:pt>
              </c:numCache>
            </c:numRef>
          </c:cat>
          <c:val>
            <c:numRef>
              <c:f>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part1!$G$88</c:f>
              <c:strCache>
                <c:ptCount val="1"/>
                <c:pt idx="0">
                  <c:v>yoy</c:v>
                </c:pt>
              </c:strCache>
            </c:strRef>
          </c:tx>
          <c:spPr>
            <a:ln w="28575" cap="rnd">
              <a:solidFill>
                <a:srgbClr val="375DA1"/>
              </a:solidFill>
              <a:round/>
            </a:ln>
            <a:effectLst/>
          </c:spPr>
          <c:marker>
            <c:symbol val="none"/>
          </c:marker>
          <c:dLbls>
            <c:delete val="1"/>
          </c:dLbls>
          <c:cat>
            <c:numRef>
              <c:f>part1!$H$86:$L$86</c:f>
              <c:numCache>
                <c:formatCode>General</c:formatCode>
                <c:ptCount val="5"/>
                <c:pt idx="0">
                  <c:v>2020</c:v>
                </c:pt>
                <c:pt idx="1">
                  <c:v>2021</c:v>
                </c:pt>
                <c:pt idx="2">
                  <c:v>2022</c:v>
                </c:pt>
                <c:pt idx="3">
                  <c:v>2023</c:v>
                </c:pt>
                <c:pt idx="4">
                  <c:v>2024</c:v>
                </c:pt>
              </c:numCache>
            </c:numRef>
          </c:cat>
          <c:val>
            <c:numRef>
              <c:f>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part1!$G$90</c:f>
              <c:strCache>
                <c:ptCount val="1"/>
                <c:pt idx="0">
                  <c:v>yoy</c:v>
                </c:pt>
              </c:strCache>
            </c:strRef>
          </c:tx>
          <c:spPr>
            <a:ln w="28575" cap="rnd">
              <a:solidFill>
                <a:srgbClr val="8FA2D4"/>
              </a:solidFill>
              <a:round/>
            </a:ln>
            <a:effectLst/>
          </c:spPr>
          <c:marker>
            <c:symbol val="none"/>
          </c:marker>
          <c:dLbls>
            <c:delete val="1"/>
          </c:dLbls>
          <c:cat>
            <c:numRef>
              <c:f>part1!$H$86:$L$86</c:f>
              <c:numCache>
                <c:formatCode>General</c:formatCode>
                <c:ptCount val="5"/>
                <c:pt idx="0">
                  <c:v>2020</c:v>
                </c:pt>
                <c:pt idx="1">
                  <c:v>2021</c:v>
                </c:pt>
                <c:pt idx="2">
                  <c:v>2022</c:v>
                </c:pt>
                <c:pt idx="3">
                  <c:v>2023</c:v>
                </c:pt>
                <c:pt idx="4">
                  <c:v>2024</c:v>
                </c:pt>
              </c:numCache>
            </c:numRef>
          </c:cat>
          <c:val>
            <c:numRef>
              <c:f>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7312"/>
        <c:crosses val="max"/>
        <c:crossBetween val="between"/>
      </c:valAx>
      <c:spPr>
        <a:noFill/>
        <a:ln>
          <a:noFill/>
        </a:ln>
        <a:effectLst/>
      </c:spPr>
    </c:plotArea>
    <c:legend>
      <c:legendPos val="t"/>
      <c:layout>
        <c:manualLayout>
          <c:xMode val="edge"/>
          <c:yMode val="edge"/>
          <c:x val="0.0540290088638195"/>
          <c:y val="0.0185471406491499"/>
          <c:w val="0.9"/>
          <c:h val="0.09361730092857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part1!$G$82</c:f>
              <c:strCache>
                <c:ptCount val="1"/>
                <c:pt idx="0">
                  <c:v>GPM</c:v>
                </c:pt>
              </c:strCache>
            </c:strRef>
          </c:tx>
          <c:spPr>
            <a:solidFill>
              <a:srgbClr val="375DA1"/>
            </a:solidFill>
            <a:ln w="25400">
              <a:noFill/>
            </a:ln>
            <a:effectLst/>
          </c:spPr>
          <c:invertIfNegative val="0"/>
          <c:dLbls>
            <c:delete val="1"/>
          </c:dLbls>
          <c:cat>
            <c:strRef>
              <c:f>part1!$H$81:$M$81</c:f>
              <c:strCache>
                <c:ptCount val="6"/>
                <c:pt idx="0">
                  <c:v>2020</c:v>
                </c:pt>
                <c:pt idx="1">
                  <c:v>2021</c:v>
                </c:pt>
                <c:pt idx="2">
                  <c:v>2022</c:v>
                </c:pt>
                <c:pt idx="3">
                  <c:v>2023</c:v>
                </c:pt>
                <c:pt idx="4">
                  <c:v>2024</c:v>
                </c:pt>
                <c:pt idx="5">
                  <c:v>2025H1</c:v>
                </c:pt>
              </c:strCache>
            </c:strRef>
          </c:cat>
          <c:val>
            <c:numRef>
              <c:f>part1!$H$82:$M$82</c:f>
              <c:numCache>
                <c:formatCode>0.00%</c:formatCode>
                <c:ptCount val="6"/>
                <c:pt idx="0">
                  <c:v>0.316</c:v>
                </c:pt>
                <c:pt idx="1">
                  <c:v>0.3282</c:v>
                </c:pt>
                <c:pt idx="2">
                  <c:v>0.3334</c:v>
                </c:pt>
                <c:pt idx="3">
                  <c:v>0.3416</c:v>
                </c:pt>
                <c:pt idx="4">
                  <c:v>0.3455</c:v>
                </c:pt>
                <c:pt idx="5">
                  <c:v>0.3617</c:v>
                </c:pt>
              </c:numCache>
            </c:numRef>
          </c:val>
        </c:ser>
        <c:ser>
          <c:idx val="1"/>
          <c:order val="1"/>
          <c:tx>
            <c:strRef>
              <c:f>part1!$G$83</c:f>
              <c:strCache>
                <c:ptCount val="1"/>
                <c:pt idx="0">
                  <c:v>NPM</c:v>
                </c:pt>
              </c:strCache>
            </c:strRef>
          </c:tx>
          <c:spPr>
            <a:solidFill>
              <a:srgbClr val="8FA2D4"/>
            </a:solidFill>
            <a:ln>
              <a:noFill/>
            </a:ln>
            <a:effectLst/>
          </c:spPr>
          <c:invertIfNegative val="0"/>
          <c:dLbls>
            <c:delete val="1"/>
          </c:dLbls>
          <c:cat>
            <c:strRef>
              <c:f>part1!$H$81:$M$81</c:f>
              <c:strCache>
                <c:ptCount val="6"/>
                <c:pt idx="0">
                  <c:v>2020</c:v>
                </c:pt>
                <c:pt idx="1">
                  <c:v>2021</c:v>
                </c:pt>
                <c:pt idx="2">
                  <c:v>2022</c:v>
                </c:pt>
                <c:pt idx="3">
                  <c:v>2023</c:v>
                </c:pt>
                <c:pt idx="4">
                  <c:v>2024</c:v>
                </c:pt>
                <c:pt idx="5">
                  <c:v>2025H1</c:v>
                </c:pt>
              </c:strCache>
            </c:strRef>
          </c:cat>
          <c:val>
            <c:numRef>
              <c:f>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136574617904287"/>
          <c:w val="0.883597112860892"/>
          <c:h val="0.772082876576492"/>
        </c:manualLayout>
      </c:layout>
      <c:barChart>
        <c:barDir val="col"/>
        <c:grouping val="clustered"/>
        <c:varyColors val="0"/>
        <c:ser>
          <c:idx val="0"/>
          <c:order val="0"/>
          <c:tx>
            <c:strRef>
              <c:f>part1!$G$96</c:f>
              <c:strCache>
                <c:ptCount val="1"/>
                <c:pt idx="0">
                  <c:v>Selling Expense Ratio</c:v>
                </c:pt>
              </c:strCache>
            </c:strRef>
          </c:tx>
          <c:spPr>
            <a:solidFill>
              <a:srgbClr val="375DA1"/>
            </a:solidFill>
            <a:ln w="25400">
              <a:noFill/>
            </a:ln>
            <a:effectLst/>
          </c:spPr>
          <c:invertIfNegative val="0"/>
          <c:dLbls>
            <c:delete val="1"/>
          </c:dLbls>
          <c:cat>
            <c:strRef>
              <c:f>part1!$H$95:$M$95</c:f>
              <c:strCache>
                <c:ptCount val="6"/>
                <c:pt idx="0">
                  <c:v>2020</c:v>
                </c:pt>
                <c:pt idx="1">
                  <c:v>2021</c:v>
                </c:pt>
                <c:pt idx="2">
                  <c:v>2022</c:v>
                </c:pt>
                <c:pt idx="3">
                  <c:v>2023</c:v>
                </c:pt>
                <c:pt idx="4">
                  <c:v>2024</c:v>
                </c:pt>
                <c:pt idx="5">
                  <c:v>2025H1</c:v>
                </c:pt>
              </c:strCache>
            </c:strRef>
          </c:cat>
          <c:val>
            <c:numRef>
              <c:f>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part1!$G$97</c:f>
              <c:strCache>
                <c:ptCount val="1"/>
                <c:pt idx="0">
                  <c:v>Administrative Expense Ratio</c:v>
                </c:pt>
              </c:strCache>
            </c:strRef>
          </c:tx>
          <c:spPr>
            <a:solidFill>
              <a:sysClr val="window" lastClr="FFFFFF">
                <a:lumMod val="85000"/>
              </a:sysClr>
            </a:solidFill>
            <a:ln>
              <a:noFill/>
            </a:ln>
            <a:effectLst/>
          </c:spPr>
          <c:invertIfNegative val="0"/>
          <c:dPt>
            <c:idx val="0"/>
            <c:invertIfNegative val="0"/>
            <c:bubble3D val="0"/>
            <c:spPr>
              <a:solidFill>
                <a:sysClr val="window" lastClr="FFFFFF">
                  <a:lumMod val="85000"/>
                </a:sysClr>
              </a:solidFill>
              <a:ln>
                <a:noFill/>
              </a:ln>
              <a:effectLst/>
            </c:spPr>
          </c:dPt>
          <c:dLbls>
            <c:delete val="1"/>
          </c:dLbls>
          <c:cat>
            <c:strRef>
              <c:f>part1!$H$95:$M$95</c:f>
              <c:strCache>
                <c:ptCount val="6"/>
                <c:pt idx="0">
                  <c:v>2020</c:v>
                </c:pt>
                <c:pt idx="1">
                  <c:v>2021</c:v>
                </c:pt>
                <c:pt idx="2">
                  <c:v>2022</c:v>
                </c:pt>
                <c:pt idx="3">
                  <c:v>2023</c:v>
                </c:pt>
                <c:pt idx="4">
                  <c:v>2024</c:v>
                </c:pt>
                <c:pt idx="5">
                  <c:v>2025H1</c:v>
                </c:pt>
              </c:strCache>
            </c:strRef>
          </c:cat>
          <c:val>
            <c:numRef>
              <c:f>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part1!$G$98</c:f>
              <c:strCache>
                <c:ptCount val="1"/>
                <c:pt idx="0">
                  <c:v>Financial Expense Ratio</c:v>
                </c:pt>
              </c:strCache>
            </c:strRef>
          </c:tx>
          <c:spPr>
            <a:solidFill>
              <a:srgbClr val="8FA2D4"/>
            </a:solidFill>
            <a:ln w="25400">
              <a:noFill/>
            </a:ln>
            <a:effectLst/>
          </c:spPr>
          <c:invertIfNegative val="0"/>
          <c:dLbls>
            <c:delete val="1"/>
          </c:dLbls>
          <c:cat>
            <c:strRef>
              <c:f>part1!$H$95:$M$95</c:f>
              <c:strCache>
                <c:ptCount val="6"/>
                <c:pt idx="0">
                  <c:v>2020</c:v>
                </c:pt>
                <c:pt idx="1">
                  <c:v>2021</c:v>
                </c:pt>
                <c:pt idx="2">
                  <c:v>2022</c:v>
                </c:pt>
                <c:pt idx="3">
                  <c:v>2023</c:v>
                </c:pt>
                <c:pt idx="4">
                  <c:v>2024</c:v>
                </c:pt>
                <c:pt idx="5">
                  <c:v>2025H1</c:v>
                </c:pt>
              </c:strCache>
            </c:strRef>
          </c:cat>
          <c:val>
            <c:numRef>
              <c:f>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'Part2.1 '!$F$44</c:f>
              <c:strCache>
                <c:ptCount val="1"/>
                <c:pt idx="0">
                  <c:v>Total Deliveries (units)</c:v>
                </c:pt>
              </c:strCache>
            </c:strRef>
          </c:tx>
          <c:spPr>
            <a:solidFill>
              <a:srgbClr val="375DA1"/>
            </a:solidFill>
            <a:ln w="25400">
              <a:noFill/>
            </a:ln>
            <a:effectLst/>
          </c:spPr>
          <c:invertIfNegative val="0"/>
          <c:dLbls>
            <c:delete val="1"/>
          </c:dLbls>
          <c:cat>
            <c:strRef>
              <c:f>'Part2.1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'Part2.1 '!$G$44</c:f>
              <c:strCache>
                <c:ptCount val="1"/>
                <c:pt idx="0">
                  <c:v>yoy</c:v>
                </c:pt>
              </c:strCache>
            </c:strRef>
          </c:tx>
          <c:spPr>
            <a:ln w="28575" cap="rnd">
              <a:solidFill>
                <a:srgbClr val="8FA2D4"/>
              </a:solidFill>
              <a:round/>
            </a:ln>
            <a:effectLst/>
          </c:spPr>
          <c:marker>
            <c:symbol val="none"/>
          </c:marker>
          <c:dLbls>
            <c:delete val="1"/>
          </c:dLbls>
          <c:cat>
            <c:strRef>
              <c:f>'Part2.1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manualLayout>
          <c:xMode val="edge"/>
          <c:yMode val="edge"/>
          <c:x val="0.192286882444363"/>
          <c:y val="0.0273037542662116"/>
          <c:w val="0.599046218731258"/>
          <c:h val="0.0944758270403913"/>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'Part2.1 '!$I$44</c:f>
              <c:strCache>
                <c:ptCount val="1"/>
                <c:pt idx="0">
                  <c:v>Total Delivery Value (billion USD)</c:v>
                </c:pt>
              </c:strCache>
            </c:strRef>
          </c:tx>
          <c:spPr>
            <a:solidFill>
              <a:srgbClr val="375DA1"/>
            </a:solidFill>
            <a:ln w="25400">
              <a:noFill/>
            </a:ln>
            <a:effectLst/>
          </c:spPr>
          <c:invertIfNegative val="0"/>
          <c:dLbls>
            <c:delete val="1"/>
          </c:dLbls>
          <c:cat>
            <c:strRef>
              <c:f>'Part2.1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'Part2.1 '!$J$44</c:f>
              <c:strCache>
                <c:ptCount val="1"/>
                <c:pt idx="0">
                  <c:v>yoy</c:v>
                </c:pt>
              </c:strCache>
            </c:strRef>
          </c:tx>
          <c:spPr>
            <a:ln w="28575" cap="rnd">
              <a:solidFill>
                <a:srgbClr val="8FA2D4"/>
              </a:solidFill>
              <a:round/>
            </a:ln>
            <a:effectLst/>
          </c:spPr>
          <c:marker>
            <c:symbol val="none"/>
          </c:marker>
          <c:dLbls>
            <c:delete val="1"/>
          </c:dLbls>
          <c:cat>
            <c:strRef>
              <c:f>'Part2.1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4874009069477"/>
          <c:w val="0.931162239562145"/>
          <c:h val="0.721344994089479"/>
        </c:manualLayout>
      </c:layout>
      <c:barChart>
        <c:barDir val="col"/>
        <c:grouping val="percentStacked"/>
        <c:varyColors val="0"/>
        <c:ser>
          <c:idx val="0"/>
          <c:order val="0"/>
          <c:tx>
            <c:strRef>
              <c:f>'Part2.1 '!$F$66</c:f>
              <c:strCache>
                <c:ptCount val="1"/>
                <c:pt idx="0">
                  <c:v>Rest of World</c:v>
                </c:pt>
              </c:strCache>
            </c:strRef>
          </c:tx>
          <c:spPr>
            <a:solidFill>
              <a:srgbClr val="375DA1"/>
            </a:solidFill>
            <a:ln>
              <a:noFill/>
            </a:ln>
            <a:effectLst/>
          </c:spPr>
          <c:invertIfNegative val="0"/>
          <c:dLbls>
            <c:delete val="1"/>
          </c:dLbls>
          <c:cat>
            <c:strRef>
              <c:f>'Part2.1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'Part2.1 '!$G$66</c:f>
              <c:strCache>
                <c:ptCount val="1"/>
                <c:pt idx="0">
                  <c:v>Asia-Pacific</c:v>
                </c:pt>
              </c:strCache>
            </c:strRef>
          </c:tx>
          <c:spPr>
            <a:solidFill>
              <a:srgbClr val="666666"/>
            </a:solidFill>
            <a:ln>
              <a:noFill/>
            </a:ln>
            <a:effectLst/>
          </c:spPr>
          <c:invertIfNegative val="0"/>
          <c:dLbls>
            <c:delete val="1"/>
          </c:dLbls>
          <c:cat>
            <c:strRef>
              <c:f>'Part2.1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'Part2.1 '!$H$66</c:f>
              <c:strCache>
                <c:ptCount val="1"/>
                <c:pt idx="0">
                  <c:v>Europe</c:v>
                </c:pt>
              </c:strCache>
            </c:strRef>
          </c:tx>
          <c:spPr>
            <a:solidFill>
              <a:sysClr val="window" lastClr="FFFFFF">
                <a:lumMod val="85000"/>
              </a:sysClr>
            </a:solidFill>
            <a:ln w="9525" cap="flat" cmpd="sng">
              <a:noFill/>
              <a:prstDash val="solid"/>
            </a:ln>
            <a:effectLst/>
            <a:sp3d contourW="9525"/>
          </c:spPr>
          <c:invertIfNegative val="0"/>
          <c:dLbls>
            <c:delete val="1"/>
          </c:dLbls>
          <c:cat>
            <c:strRef>
              <c:f>'Part2.1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'Part2.1 '!$I$66</c:f>
              <c:strCache>
                <c:ptCount val="1"/>
                <c:pt idx="0">
                  <c:v>Latin America</c:v>
                </c:pt>
              </c:strCache>
            </c:strRef>
          </c:tx>
          <c:spPr>
            <a:solidFill>
              <a:srgbClr val="E6B9B8"/>
            </a:solidFill>
            <a:ln>
              <a:noFill/>
            </a:ln>
            <a:effectLst/>
          </c:spPr>
          <c:invertIfNegative val="0"/>
          <c:dLbls>
            <c:delete val="1"/>
          </c:dLbls>
          <c:cat>
            <c:strRef>
              <c:f>'Part2.1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'Part2.1 '!$J$66</c:f>
              <c:strCache>
                <c:ptCount val="1"/>
                <c:pt idx="0">
                  <c:v>North America</c:v>
                </c:pt>
              </c:strCache>
            </c:strRef>
          </c:tx>
          <c:spPr>
            <a:solidFill>
              <a:srgbClr val="8FA2D4"/>
            </a:solidFill>
            <a:ln>
              <a:noFill/>
            </a:ln>
            <a:effectLst/>
          </c:spPr>
          <c:invertIfNegative val="0"/>
          <c:dLbls>
            <c:delete val="1"/>
          </c:dLbls>
          <c:cat>
            <c:strRef>
              <c:f>'Part2.1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
          <c:w val="0.985204734723252"/>
          <c:h val="0.10904877348346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Part2.2!$B$2</c:f>
              <c:strCache>
                <c:ptCount val="1"/>
                <c:pt idx="0">
                  <c:v>Deliveries (units)</c:v>
                </c:pt>
              </c:strCache>
            </c:strRef>
          </c:tx>
          <c:spPr>
            <a:solidFill>
              <a:srgbClr val="375DA1"/>
            </a:solidFill>
            <a:ln>
              <a:noFill/>
            </a:ln>
            <a:effectLst/>
          </c:spPr>
          <c:invertIfNegative val="0"/>
          <c:dLbls>
            <c:delete val="1"/>
          </c:dLbls>
          <c:cat>
            <c:strRef>
              <c:f>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Part2.2!$C$2</c:f>
              <c:strCache>
                <c:ptCount val="1"/>
                <c:pt idx="0">
                  <c:v>yoy</c:v>
                </c:pt>
              </c:strCache>
            </c:strRef>
          </c:tx>
          <c:spPr>
            <a:ln w="19050" cap="rnd" cmpd="sng" algn="ctr">
              <a:solidFill>
                <a:srgbClr val="8FA2D4"/>
              </a:solidFill>
              <a:prstDash val="solid"/>
              <a:round/>
            </a:ln>
            <a:effectLst/>
          </c:spPr>
          <c:marker>
            <c:symbol val="none"/>
          </c:marker>
          <c:dLbls>
            <c:delete val="1"/>
          </c:dLbls>
          <c:cat>
            <c:strRef>
              <c:f>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84915f52-e42b-405c-b69c-4d94e905b4d1}"/>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Part2.2!$F$2</c:f>
              <c:strCache>
                <c:ptCount val="1"/>
                <c:pt idx="0">
                  <c:v>Delivery Value (billion USD)</c:v>
                </c:pt>
              </c:strCache>
            </c:strRef>
          </c:tx>
          <c:spPr>
            <a:solidFill>
              <a:srgbClr val="375DA1"/>
            </a:solidFill>
            <a:ln>
              <a:noFill/>
            </a:ln>
            <a:effectLst/>
          </c:spPr>
          <c:invertIfNegative val="0"/>
          <c:dLbls>
            <c:delete val="1"/>
          </c:dLbls>
          <c:cat>
            <c:strRef>
              <c:f>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Part2.2!$G$2</c:f>
              <c:strCache>
                <c:ptCount val="1"/>
                <c:pt idx="0">
                  <c:v>yoy</c:v>
                </c:pt>
              </c:strCache>
            </c:strRef>
          </c:tx>
          <c:spPr>
            <a:ln w="19050" cap="rnd" cmpd="sng" algn="ctr">
              <a:solidFill>
                <a:srgbClr val="8FA2D4"/>
              </a:solidFill>
              <a:prstDash val="solid"/>
              <a:round/>
            </a:ln>
            <a:effectLst/>
          </c:spPr>
          <c:marker>
            <c:symbol val="none"/>
          </c:marker>
          <c:dLbls>
            <c:delete val="1"/>
          </c:dLbls>
          <c:cat>
            <c:strRef>
              <c:f>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84942d7f-a9ba-40b3-a13c-1cd862471316}"/>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Part2.2!$B$19</c:f>
              <c:strCache>
                <c:ptCount val="1"/>
                <c:pt idx="0">
                  <c:v>Average Selling Price (million USD)</c:v>
                </c:pt>
              </c:strCache>
            </c:strRef>
          </c:tx>
          <c:spPr>
            <a:solidFill>
              <a:srgbClr val="375DA1"/>
            </a:solidFill>
            <a:ln>
              <a:noFill/>
            </a:ln>
            <a:effectLst/>
          </c:spPr>
          <c:invertIfNegative val="0"/>
          <c:dLbls>
            <c:delete val="1"/>
          </c:dLbls>
          <c:cat>
            <c:numRef>
              <c:f>Part2.2!$A$20:$A$25</c:f>
              <c:numCache>
                <c:formatCode>General</c:formatCode>
                <c:ptCount val="6"/>
                <c:pt idx="0">
                  <c:v>2018</c:v>
                </c:pt>
                <c:pt idx="1">
                  <c:v>2019</c:v>
                </c:pt>
                <c:pt idx="2">
                  <c:v>2020</c:v>
                </c:pt>
                <c:pt idx="3">
                  <c:v>2021</c:v>
                </c:pt>
                <c:pt idx="4">
                  <c:v>2022</c:v>
                </c:pt>
                <c:pt idx="5">
                  <c:v>2023</c:v>
                </c:pt>
              </c:numCache>
            </c:numRef>
          </c:cat>
          <c:val>
            <c:numRef>
              <c:f>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184bb48b-9c5e-4500-ad07-58b27ed0538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rgbClr val="C00000"/>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活塞式飞机市场份额图!$B$206</c:f>
              <c:strCache>
                <c:ptCount val="1"/>
                <c:pt idx="0">
                  <c:v>Textron Aviation (Cessna Aircraft)</c:v>
                </c:pt>
              </c:strCache>
            </c:strRef>
          </c:tx>
          <c:spPr>
            <a:solidFill>
              <a:srgbClr val="666666"/>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活塞式飞机市场份额图!$B$207</c:f>
              <c:strCache>
                <c:ptCount val="1"/>
                <c:pt idx="0">
                  <c:v>TECNAM Aircraft</c:v>
                </c:pt>
              </c:strCache>
            </c:strRef>
          </c:tx>
          <c:spPr>
            <a:solidFill>
              <a:srgbClr val="E6B9B8"/>
            </a:solidFill>
            <a:ln w="9525" cap="flat" cmpd="sng">
              <a:noFill/>
              <a:prstDash val="solid"/>
            </a:ln>
            <a:effectLst/>
            <a:sp3d contourW="9525"/>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活塞式飞机市场份额图!$B$208</c:f>
              <c:strCache>
                <c:ptCount val="1"/>
                <c:pt idx="0">
                  <c:v>Pipistrel by Textron Aviation</c:v>
                </c:pt>
              </c:strCache>
            </c:strRef>
          </c:tx>
          <c:spPr>
            <a:solidFill>
              <a:srgbClr val="999999"/>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活塞式飞机市场份额图!$B$209</c:f>
              <c:strCache>
                <c:ptCount val="1"/>
                <c:pt idx="0">
                  <c:v>Piper Aircraft, Inc.</c:v>
                </c:pt>
              </c:strCache>
            </c:strRef>
          </c:tx>
          <c:spPr>
            <a:solidFill>
              <a:srgbClr val="996633"/>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活塞式飞机市场份额图!$B$210</c:f>
              <c:strCache>
                <c:ptCount val="1"/>
                <c:pt idx="0">
                  <c:v>Mooney International Corporation</c:v>
                </c:pt>
              </c:strCache>
            </c:strRef>
          </c:tx>
          <c:spPr>
            <a:solidFill>
              <a:srgbClr val="E7D6B5"/>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活塞式飞机市场份额图!$B$211</c:f>
              <c:strCache>
                <c:ptCount val="1"/>
                <c:pt idx="0">
                  <c:v>Diamond Aircraft</c:v>
                </c:pt>
              </c:strCache>
            </c:strRef>
          </c:tx>
          <c:spPr>
            <a:solidFill>
              <a:schemeClr val="accent4">
                <a:lumMod val="75000"/>
              </a:schemeClr>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活塞式飞机市场份额图!$B$212</c:f>
              <c:strCache>
                <c:ptCount val="1"/>
                <c:pt idx="0">
                  <c:v>CubCrafters</c:v>
                </c:pt>
              </c:strCache>
            </c:strRef>
          </c:tx>
          <c:spPr>
            <a:solidFill>
              <a:schemeClr val="accent3">
                <a:lumMod val="60000"/>
                <a:lumOff val="40000"/>
              </a:schemeClr>
            </a:solidFill>
            <a:ln>
              <a:no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262816929951"/>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
          <c:y val="0.0291616038882139"/>
          <c:w val="1"/>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'Part 3.3'!$A$3</c:f>
              <c:strCache>
                <c:ptCount val="1"/>
                <c:pt idx="0">
                  <c:v>Deliveries(in units)</c:v>
                </c:pt>
              </c:strCache>
            </c:strRef>
          </c:tx>
          <c:spPr>
            <a:solidFill>
              <a:srgbClr val="375DA1"/>
            </a:solidFill>
            <a:ln w="25400">
              <a:noFill/>
            </a:ln>
            <a:effectLst/>
          </c:spPr>
          <c:invertIfNegative val="0"/>
          <c:dLbls>
            <c:delete val="1"/>
          </c:dLbls>
          <c:cat>
            <c:numRef>
              <c:f>'Part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'Part 3.3'!$A$4</c:f>
              <c:strCache>
                <c:ptCount val="1"/>
                <c:pt idx="0">
                  <c:v>Average Price(in million USD)</c:v>
                </c:pt>
              </c:strCache>
            </c:strRef>
          </c:tx>
          <c:spPr>
            <a:ln w="28575" cap="rnd">
              <a:solidFill>
                <a:srgbClr val="8FA2D4"/>
              </a:solidFill>
              <a:round/>
            </a:ln>
            <a:effectLst/>
          </c:spPr>
          <c:marker>
            <c:symbol val="none"/>
          </c:marker>
          <c:dLbls>
            <c:delete val="1"/>
          </c:dLbls>
          <c:cat>
            <c:numRef>
              <c:f>'Part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'Part 3.3'!$A$12</c:f>
              <c:strCache>
                <c:ptCount val="1"/>
                <c:pt idx="0">
                  <c:v>Shipments (in units)</c:v>
                </c:pt>
              </c:strCache>
            </c:strRef>
          </c:tx>
          <c:spPr>
            <a:solidFill>
              <a:srgbClr val="375DA1"/>
            </a:solidFill>
            <a:ln w="25400">
              <a:noFill/>
            </a:ln>
            <a:effectLst/>
          </c:spPr>
          <c:invertIfNegative val="0"/>
          <c:dLbls>
            <c:delete val="1"/>
          </c:dLbls>
          <c:cat>
            <c:numRef>
              <c:f>'Part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'Part 3.3'!$A$13</c:f>
              <c:strCache>
                <c:ptCount val="1"/>
                <c:pt idx="0">
                  <c:v>Average Price(in million GBP)</c:v>
                </c:pt>
              </c:strCache>
            </c:strRef>
          </c:tx>
          <c:spPr>
            <a:ln w="28575" cap="rnd">
              <a:solidFill>
                <a:srgbClr val="8FA2D4"/>
              </a:solidFill>
              <a:round/>
            </a:ln>
            <a:effectLst/>
          </c:spPr>
          <c:marker>
            <c:symbol val="none"/>
          </c:marker>
          <c:dLbls>
            <c:delete val="1"/>
          </c:dLbls>
          <c:cat>
            <c:numRef>
              <c:f>'Part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6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3.3'!$B$39</c:f>
              <c:strCache>
                <c:ptCount val="1"/>
                <c:pt idx="0">
                  <c:v>US: Disposable Personal Income per Capita</c:v>
                </c:pt>
              </c:strCache>
            </c:strRef>
          </c:tx>
          <c:spPr>
            <a:solidFill>
              <a:srgbClr val="375DA1"/>
            </a:solidFill>
            <a:ln>
              <a:noFill/>
            </a:ln>
            <a:effectLst/>
          </c:spPr>
          <c:invertIfNegative val="0"/>
          <c:dLbls>
            <c:delete val="1"/>
          </c:dLbls>
          <c:cat>
            <c:numRef>
              <c:f>'Part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439cc8df-5ae6-4456-a14f-1e4e2bb3ef4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3.3'!$B$58</c:f>
              <c:strCache>
                <c:ptCount val="1"/>
                <c:pt idx="0">
                  <c:v>US: CPI(1982-84=100)</c:v>
                </c:pt>
              </c:strCache>
            </c:strRef>
          </c:tx>
          <c:spPr>
            <a:solidFill>
              <a:srgbClr val="375DA1"/>
            </a:solidFill>
            <a:ln>
              <a:noFill/>
            </a:ln>
            <a:effectLst/>
          </c:spPr>
          <c:invertIfNegative val="0"/>
          <c:dLbls>
            <c:delete val="1"/>
          </c:dLbls>
          <c:cat>
            <c:numRef>
              <c:f>'Part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6364680c-41ca-4055-86fc-6eecb722fa1b}"/>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375DA1"/>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E6B9B8"/>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ysClr val="window" lastClr="FFFFFF">
                <a:lumMod val="85000"/>
              </a:sys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8FA2D4"/>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3490bf3f-2b35-4f97-ac37-2aab994a64e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4'!$A$60</c:f>
              <c:strCache>
                <c:ptCount val="1"/>
                <c:pt idx="0">
                  <c:v>After-Sales Service Revenue Proportion</c:v>
                </c:pt>
              </c:strCache>
            </c:strRef>
          </c:tx>
          <c:spPr>
            <a:solidFill>
              <a:srgbClr val="375DA1"/>
            </a:solidFill>
            <a:ln>
              <a:noFill/>
            </a:ln>
            <a:effectLst/>
          </c:spPr>
          <c:invertIfNegative val="0"/>
          <c:dLbls>
            <c:delete val="1"/>
          </c:dLbls>
          <c:cat>
            <c:strRef>
              <c:f>'Part 4'!$B$59:$G$59</c:f>
              <c:strCache>
                <c:ptCount val="6"/>
                <c:pt idx="0">
                  <c:v>2020</c:v>
                </c:pt>
                <c:pt idx="1">
                  <c:v>2021</c:v>
                </c:pt>
                <c:pt idx="2">
                  <c:v>2022</c:v>
                </c:pt>
                <c:pt idx="3">
                  <c:v>2023</c:v>
                </c:pt>
                <c:pt idx="4">
                  <c:v>2024</c:v>
                </c:pt>
                <c:pt idx="5">
                  <c:v>2025H1</c:v>
                </c:pt>
              </c:strCache>
            </c:strRef>
          </c:cat>
          <c:val>
            <c:numRef>
              <c:f>'Part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manualLayout>
          <c:xMode val="edge"/>
          <c:yMode val="edge"/>
          <c:x val="0.156321783487138"/>
          <c:y val="0.0437636761487965"/>
          <c:w val="0.687356433025724"/>
          <c:h val="0.0958614035389996"/>
        </c:manualLayou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6a19c7ec-d8c9-4f05-8e5c-5971f04ce217}"/>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withinLinear" id="18">
  <a:schemeClr val="accent5"/>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withinLinear" id="18">
  <a:schemeClr val="accent5"/>
</cs:colorStyle>
</file>

<file path=word/charts/colors14.xml><?xml version="1.0" encoding="utf-8"?>
<cs:colorStyle xmlns:cs="http://schemas.microsoft.com/office/drawing/2012/chartStyle" xmlns:a="http://schemas.openxmlformats.org/drawingml/2006/main" meth="withinLinear" id="18">
  <a:schemeClr val="accent5"/>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30</Pages>
  <Words>2731</Words>
  <Characters>15528</Characters>
  <Lines>1233</Lines>
  <Paragraphs>681</Paragraphs>
  <TotalTime>0</TotalTime>
  <ScaleCrop>false</ScaleCrop>
  <LinksUpToDate>false</LinksUpToDate>
  <CharactersWithSpaces>18052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2026-01-13T08:17:00Z</dcterms:created>
  <dc:creator>强 罗</dc:creator>
  <cp:lastModifiedBy>微信用户</cp:lastModifiedBy>
  <dcterms:modified xsi:type="dcterms:W3CDTF">2026-01-15T09:48:58Z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eyJoZGlkIjoiN2YzNjBkOTgyNWQ1YTMxYzM3MzMwNWFiODNmOWIzYWMiLCJ1c2VySWQiOiIxMjgyNzI4NjcyIn0=</vt:lpwstr>
  </property>
  <property fmtid="{D5CDD505-2E9C-101B-9397-08002B2CF9AE}" pid="3" name="KSOProductBuildVer">
    <vt:lpwstr>2052-12.1.0.24034</vt:lpwstr>
  </property>
  <property fmtid="{D5CDD505-2E9C-101B-9397-08002B2CF9AE}" pid="4" name="ICV">
    <vt:lpwstr>0BBCA43E74BC49DEB5170CC2B215D415_12</vt:lpwstr>
  </property>
</Properties>
</file>