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23.xml" ContentType="application/vnd.ms-office.chartcolorstyle+xml"/>
  <Override PartName="/word/charts/colors24.xml" ContentType="application/vnd.ms-office.chartcolorstyle+xml"/>
  <Override PartName="/word/charts/colors25.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23.xml" ContentType="application/vnd.ms-office.chartstyle+xml"/>
  <Override PartName="/word/charts/style24.xml" ContentType="application/vnd.ms-office.chartstyle+xml"/>
  <Override PartName="/word/charts/style25.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14:paraId="401D3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14:paraId="0A8FF9E8">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14:paraId="5072DD19">
            <w:pPr>
              <w:pStyle w:val="46"/>
              <w:framePr w:wrap="auto" w:vAnchor="margin" w:hAnchor="text" w:xAlign="left" w:yAlign="inline"/>
              <w:rPr>
                <w:rFonts w:eastAsia="楷体_GB2312" w:cs="Calibri"/>
                <w:highlight w:val="yellow"/>
              </w:rPr>
            </w:pPr>
          </w:p>
        </w:tc>
        <w:tc>
          <w:tcPr>
            <w:tcW w:w="3080" w:type="dxa"/>
          </w:tcPr>
          <w:p w14:paraId="6198DB2D">
            <w:pPr>
              <w:pStyle w:val="45"/>
              <w:framePr w:wrap="auto" w:vAnchor="margin" w:hAnchor="text" w:xAlign="left" w:yAlign="inline"/>
              <w:rPr>
                <w:rFonts w:eastAsia="楷体_GB2312" w:cs="Calibri"/>
                <w:highlight w:val="yellow"/>
              </w:rPr>
            </w:pPr>
          </w:p>
        </w:tc>
      </w:tr>
      <w:tr w14:paraId="4FFEF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14:paraId="3BFBF103">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14:paraId="4B59D2F6">
            <w:pPr>
              <w:pStyle w:val="60"/>
              <w:rPr>
                <w:rFonts w:eastAsia="楷体_GB2312" w:cs="Calibri"/>
                <w:color w:val="A7242B"/>
                <w:sz w:val="16"/>
                <w:szCs w:val="16"/>
                <w:lang w:eastAsia="zh-CN"/>
              </w:rPr>
            </w:pPr>
          </w:p>
        </w:tc>
      </w:tr>
      <w:tr w14:paraId="67AFB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14:paraId="0442E6EA">
            <w:pPr>
              <w:pStyle w:val="46"/>
              <w:framePr w:wrap="auto" w:vAnchor="margin" w:hAnchor="text" w:xAlign="left" w:yAlign="inline"/>
              <w:rPr>
                <w:rFonts w:eastAsia="楷体_GB2312" w:cs="Calibri"/>
                <w:b w:val="0"/>
                <w:sz w:val="20"/>
                <w:szCs w:val="20"/>
              </w:rPr>
            </w:pPr>
            <w:r>
              <w:rPr>
                <w:rFonts w:eastAsia="楷体_GB2312" w:cs="Calibri"/>
                <w:b w:val="0"/>
                <w:sz w:val="20"/>
                <w:szCs w:val="20"/>
              </w:rPr>
              <w:t>21 Oct 2025</w:t>
            </w:r>
          </w:p>
        </w:tc>
        <w:tc>
          <w:tcPr>
            <w:tcW w:w="4304" w:type="dxa"/>
            <w:gridSpan w:val="2"/>
          </w:tcPr>
          <w:p w14:paraId="15A14A65">
            <w:pPr>
              <w:pStyle w:val="60"/>
              <w:rPr>
                <w:rFonts w:eastAsia="楷体_GB2312" w:cs="Calibri"/>
                <w:color w:val="A7242B"/>
                <w:sz w:val="16"/>
                <w:szCs w:val="16"/>
                <w:lang w:eastAsia="zh-CN"/>
              </w:rPr>
            </w:pPr>
          </w:p>
        </w:tc>
      </w:tr>
      <w:tr w14:paraId="32C6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14:paraId="5C33300A">
            <w:pPr>
              <w:pStyle w:val="45"/>
              <w:framePr w:wrap="auto" w:vAnchor="margin" w:hAnchor="text" w:xAlign="left" w:yAlign="inline"/>
              <w:jc w:val="left"/>
              <w:rPr>
                <w:rFonts w:eastAsia="楷体_GB2312" w:cs="Calibri"/>
                <w:sz w:val="40"/>
                <w:szCs w:val="40"/>
                <w:lang w:eastAsia="zh-CN"/>
              </w:rPr>
            </w:pPr>
          </w:p>
        </w:tc>
      </w:tr>
      <w:tr w14:paraId="5D6C2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14:paraId="12DDAE15">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Textron</w:t>
            </w:r>
            <w:r>
              <w:rPr>
                <w:rFonts w:eastAsia="楷体_GB2312" w:cs="Calibri"/>
                <w:sz w:val="40"/>
                <w:szCs w:val="40"/>
                <w:lang w:eastAsia="zh-CN"/>
              </w:rPr>
              <w:t xml:space="preserve"> (</w:t>
            </w:r>
            <w:r>
              <w:rPr>
                <w:rFonts w:hint="eastAsia" w:eastAsia="楷体_GB2312" w:cs="Calibri"/>
                <w:sz w:val="40"/>
                <w:szCs w:val="40"/>
                <w:lang w:eastAsia="zh-CN"/>
              </w:rPr>
              <w:t xml:space="preserve">TXT </w:t>
            </w:r>
            <w:r>
              <w:rPr>
                <w:rFonts w:eastAsia="楷体_GB2312" w:cs="Calibri"/>
                <w:sz w:val="40"/>
                <w:szCs w:val="40"/>
                <w:lang w:eastAsia="zh-CN"/>
              </w:rPr>
              <w:t>US Equity)</w:t>
            </w:r>
          </w:p>
        </w:tc>
      </w:tr>
      <w:tr w14:paraId="58034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14:paraId="1943C5AD">
            <w:pPr>
              <w:pStyle w:val="60"/>
              <w:rPr>
                <w:rFonts w:eastAsia="楷体_GB2312" w:cs="Calibri"/>
                <w:b w:val="0"/>
                <w:color w:val="23558C"/>
                <w:lang w:eastAsia="zh-CN"/>
              </w:rPr>
            </w:pPr>
            <w:r>
              <w:rPr>
                <w:rFonts w:hint="eastAsia" w:eastAsia="楷体_GB2312" w:cs="Calibri"/>
                <w:b w:val="0"/>
                <w:color w:val="23558C"/>
                <w:lang w:eastAsia="zh-CN"/>
              </w:rPr>
              <w:t>A</w:t>
            </w:r>
            <w:r>
              <w:rPr>
                <w:rFonts w:eastAsia="楷体_GB2312" w:cs="Calibri"/>
                <w:b w:val="0"/>
                <w:color w:val="23558C"/>
                <w:lang w:eastAsia="zh-CN"/>
              </w:rPr>
              <w:t xml:space="preserve"> </w:t>
            </w:r>
            <w:r>
              <w:rPr>
                <w:rFonts w:hint="eastAsia" w:eastAsia="楷体_GB2312" w:cs="Calibri"/>
                <w:b w:val="0"/>
                <w:color w:val="23558C"/>
                <w:lang w:eastAsia="zh-CN"/>
              </w:rPr>
              <w:t>D</w:t>
            </w:r>
            <w:r>
              <w:rPr>
                <w:rFonts w:eastAsia="楷体_GB2312" w:cs="Calibri"/>
                <w:b w:val="0"/>
                <w:color w:val="23558C"/>
                <w:lang w:eastAsia="zh-CN"/>
              </w:rPr>
              <w:t xml:space="preserve">iversified </w:t>
            </w:r>
            <w:r>
              <w:rPr>
                <w:rFonts w:hint="eastAsia" w:eastAsia="楷体_GB2312" w:cs="Calibri"/>
                <w:b w:val="0"/>
                <w:color w:val="23558C"/>
                <w:lang w:eastAsia="zh-CN"/>
              </w:rPr>
              <w:t>I</w:t>
            </w:r>
            <w:r>
              <w:rPr>
                <w:rFonts w:eastAsia="楷体_GB2312" w:cs="Calibri"/>
                <w:b w:val="0"/>
                <w:color w:val="23558C"/>
                <w:lang w:eastAsia="zh-CN"/>
              </w:rPr>
              <w:t xml:space="preserve">ndustrial </w:t>
            </w:r>
            <w:r>
              <w:rPr>
                <w:rFonts w:hint="eastAsia" w:eastAsia="楷体_GB2312" w:cs="Calibri"/>
                <w:b w:val="0"/>
                <w:color w:val="23558C"/>
                <w:lang w:eastAsia="zh-CN"/>
              </w:rPr>
              <w:t>G</w:t>
            </w:r>
            <w:r>
              <w:rPr>
                <w:rFonts w:eastAsia="楷体_GB2312" w:cs="Calibri"/>
                <w:b w:val="0"/>
                <w:color w:val="23558C"/>
                <w:lang w:eastAsia="zh-CN"/>
              </w:rPr>
              <w:t>iant</w:t>
            </w:r>
            <w:r>
              <w:rPr>
                <w:rFonts w:hint="eastAsia" w:eastAsia="楷体_GB2312" w:cs="Calibri"/>
                <w:b w:val="0"/>
                <w:color w:val="23558C"/>
                <w:lang w:eastAsia="zh-CN"/>
              </w:rPr>
              <w:t xml:space="preserve"> Leading </w:t>
            </w:r>
            <w:r>
              <w:rPr>
                <w:rFonts w:eastAsia="楷体_GB2312" w:cs="Calibri"/>
                <w:b w:val="0"/>
                <w:color w:val="23558C"/>
                <w:lang w:eastAsia="zh-CN"/>
              </w:rPr>
              <w:t xml:space="preserve">in the </w:t>
            </w:r>
            <w:r>
              <w:rPr>
                <w:rFonts w:hint="eastAsia" w:eastAsia="楷体_GB2312" w:cs="Calibri"/>
                <w:b w:val="0"/>
                <w:color w:val="23558C"/>
                <w:lang w:eastAsia="zh-CN"/>
              </w:rPr>
              <w:t>G</w:t>
            </w:r>
            <w:r>
              <w:rPr>
                <w:rFonts w:eastAsia="楷体_GB2312" w:cs="Calibri"/>
                <w:b w:val="0"/>
                <w:color w:val="23558C"/>
                <w:lang w:eastAsia="zh-CN"/>
              </w:rPr>
              <w:t>eneral-</w:t>
            </w:r>
            <w:r>
              <w:rPr>
                <w:rFonts w:hint="eastAsia" w:eastAsia="楷体_GB2312" w:cs="Calibri"/>
                <w:b w:val="0"/>
                <w:color w:val="23558C"/>
                <w:lang w:eastAsia="zh-CN"/>
              </w:rPr>
              <w:t>A</w:t>
            </w:r>
            <w:r>
              <w:rPr>
                <w:rFonts w:eastAsia="楷体_GB2312" w:cs="Calibri"/>
                <w:b w:val="0"/>
                <w:color w:val="23558C"/>
                <w:lang w:eastAsia="zh-CN"/>
              </w:rPr>
              <w:t xml:space="preserve">viation </w:t>
            </w:r>
            <w:r>
              <w:rPr>
                <w:rFonts w:hint="eastAsia" w:eastAsia="楷体_GB2312" w:cs="Calibri"/>
                <w:b w:val="0"/>
                <w:color w:val="23558C"/>
                <w:lang w:eastAsia="zh-CN"/>
              </w:rPr>
              <w:t>J</w:t>
            </w:r>
            <w:r>
              <w:rPr>
                <w:rFonts w:eastAsia="楷体_GB2312" w:cs="Calibri"/>
                <w:b w:val="0"/>
                <w:color w:val="23558C"/>
                <w:lang w:eastAsia="zh-CN"/>
              </w:rPr>
              <w:t xml:space="preserve">et </w:t>
            </w:r>
            <w:r>
              <w:rPr>
                <w:rFonts w:hint="eastAsia" w:eastAsia="楷体_GB2312" w:cs="Calibri"/>
                <w:b w:val="0"/>
                <w:color w:val="23558C"/>
                <w:lang w:eastAsia="zh-CN"/>
              </w:rPr>
              <w:t>M</w:t>
            </w:r>
            <w:r>
              <w:rPr>
                <w:rFonts w:eastAsia="楷体_GB2312" w:cs="Calibri"/>
                <w:b w:val="0"/>
                <w:color w:val="23558C"/>
                <w:lang w:eastAsia="zh-CN"/>
              </w:rPr>
              <w:t>arket</w:t>
            </w:r>
            <w:r>
              <w:rPr>
                <w:rFonts w:hint="eastAsia" w:eastAsia="楷体_GB2312" w:cs="Calibri"/>
                <w:b w:val="0"/>
                <w:color w:val="23558C"/>
                <w:lang w:val="en-US" w:eastAsia="zh-CN"/>
              </w:rPr>
              <w:t xml:space="preserve"> : </w:t>
            </w:r>
            <w:r>
              <w:rPr>
                <w:rFonts w:hint="eastAsia" w:eastAsia="楷体_GB2312" w:cs="Calibri"/>
                <w:b w:val="0"/>
                <w:color w:val="23558C"/>
                <w:lang w:eastAsia="zh-CN"/>
              </w:rPr>
              <w:t>Initiation</w:t>
            </w:r>
          </w:p>
        </w:tc>
      </w:tr>
      <w:tr w14:paraId="6A76F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14:paraId="1003523F">
            <w:pPr>
              <w:pStyle w:val="45"/>
              <w:framePr w:wrap="auto" w:vAnchor="margin" w:hAnchor="text" w:xAlign="left" w:yAlign="inline"/>
              <w:rPr>
                <w:rFonts w:eastAsia="楷体_GB2312" w:cs="Calibri"/>
                <w:szCs w:val="24"/>
                <w:lang w:eastAsia="zh-CN"/>
              </w:rPr>
            </w:pPr>
          </w:p>
        </w:tc>
      </w:tr>
      <w:tr w14:paraId="1881E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14:paraId="71104708">
            <w:pPr>
              <w:pStyle w:val="45"/>
              <w:framePr w:wrap="auto" w:vAnchor="margin" w:hAnchor="text" w:xAlign="left" w:yAlign="inline"/>
              <w:rPr>
                <w:rFonts w:eastAsia="楷体_GB2312" w:cs="Calibri"/>
              </w:rPr>
            </w:pPr>
          </w:p>
        </w:tc>
      </w:tr>
      <w:tr w14:paraId="0FDFC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613F2B7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PrEx>
              <w:trPr>
                <w:trHeight w:val="23" w:hRule="exact"/>
              </w:trPr>
              <w:tc>
                <w:tcPr>
                  <w:tcW w:w="4071" w:type="dxa"/>
                  <w:gridSpan w:val="2"/>
                  <w:tcBorders>
                    <w:top w:val="nil"/>
                    <w:left w:val="nil"/>
                    <w:bottom w:val="nil"/>
                    <w:right w:val="nil"/>
                  </w:tcBorders>
                </w:tcPr>
                <w:p w14:paraId="4A3B552B">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14:paraId="34B832F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14:paraId="4F741E38">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14:paraId="7360253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19873746">
                  <w:pPr>
                    <w:pStyle w:val="49"/>
                    <w:framePr w:w="0" w:hRule="auto" w:hSpace="0" w:wrap="auto" w:vAnchor="margin" w:hAnchor="text" w:xAlign="left" w:yAlign="inline"/>
                    <w:ind w:right="85" w:firstLine="85"/>
                    <w:rPr>
                      <w:rFonts w:eastAsia="楷体_GB2312" w:cs="Calibri"/>
                    </w:rPr>
                  </w:pPr>
                </w:p>
              </w:tc>
            </w:tr>
            <w:tr w14:paraId="240E54F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A816076">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14:paraId="605E7DD6">
                  <w:pPr>
                    <w:pStyle w:val="48"/>
                    <w:framePr w:w="0" w:hRule="auto" w:hSpace="0" w:wrap="auto" w:vAnchor="margin" w:hAnchor="text" w:xAlign="left" w:yAlign="inline"/>
                    <w:ind w:right="85" w:firstLine="85"/>
                    <w:rPr>
                      <w:rFonts w:eastAsia="楷体_GB2312" w:cs="Calibri"/>
                      <w:color w:val="C8242B"/>
                    </w:rPr>
                  </w:pPr>
                </w:p>
              </w:tc>
            </w:tr>
            <w:tr w14:paraId="7FD5DB8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54DE0927">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14:paraId="65120850">
                  <w:pPr>
                    <w:pStyle w:val="48"/>
                    <w:framePr w:w="0" w:hRule="auto" w:hSpace="0" w:wrap="auto" w:vAnchor="margin" w:hAnchor="text" w:xAlign="left" w:yAlign="inline"/>
                    <w:ind w:right="85" w:firstLine="85"/>
                    <w:rPr>
                      <w:rFonts w:eastAsia="楷体_GB2312" w:cs="Calibri"/>
                      <w:color w:val="C8242B"/>
                    </w:rPr>
                  </w:pPr>
                </w:p>
              </w:tc>
            </w:tr>
            <w:tr w14:paraId="6AC31B9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A538430">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14:paraId="0102FD7B">
                  <w:pPr>
                    <w:pStyle w:val="48"/>
                    <w:framePr w:w="0" w:hRule="auto" w:hSpace="0" w:wrap="auto" w:vAnchor="margin" w:hAnchor="text" w:xAlign="left" w:yAlign="inline"/>
                    <w:ind w:right="85" w:firstLine="85"/>
                    <w:rPr>
                      <w:rFonts w:eastAsia="楷体_GB2312" w:cs="Calibri"/>
                      <w:color w:val="C8242B"/>
                    </w:rPr>
                  </w:pPr>
                </w:p>
              </w:tc>
            </w:tr>
            <w:tr w14:paraId="3F7FE40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5A05793E">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14:paraId="1F093696">
                  <w:pPr>
                    <w:pStyle w:val="48"/>
                    <w:framePr w:w="0" w:hRule="auto" w:hSpace="0" w:wrap="auto" w:vAnchor="margin" w:hAnchor="text" w:xAlign="left" w:yAlign="inline"/>
                    <w:ind w:right="85" w:firstLine="85"/>
                    <w:rPr>
                      <w:rFonts w:eastAsia="楷体_GB2312" w:cs="Calibri"/>
                      <w:color w:val="C8242B"/>
                    </w:rPr>
                  </w:pPr>
                </w:p>
              </w:tc>
            </w:tr>
            <w:tr w14:paraId="4B1E888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85B7141">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14:paraId="5714917F">
                  <w:pPr>
                    <w:pStyle w:val="48"/>
                    <w:framePr w:w="0" w:hRule="auto" w:hSpace="0" w:wrap="auto" w:vAnchor="margin" w:hAnchor="text" w:xAlign="left" w:yAlign="inline"/>
                    <w:ind w:right="85" w:firstLine="85"/>
                    <w:rPr>
                      <w:rFonts w:eastAsia="楷体_GB2312" w:cs="Calibri"/>
                      <w:color w:val="C8242B"/>
                    </w:rPr>
                  </w:pPr>
                </w:p>
              </w:tc>
            </w:tr>
            <w:tr w14:paraId="21E4651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D68A99D">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14:paraId="633FCE90">
                  <w:pPr>
                    <w:pStyle w:val="48"/>
                    <w:framePr w:w="0" w:hRule="auto" w:hSpace="0" w:wrap="auto" w:vAnchor="margin" w:hAnchor="text" w:xAlign="left" w:yAlign="inline"/>
                    <w:ind w:right="85" w:firstLine="85"/>
                    <w:rPr>
                      <w:rFonts w:eastAsia="楷体_GB2312" w:cs="Calibri"/>
                      <w:color w:val="C8242B"/>
                    </w:rPr>
                  </w:pPr>
                </w:p>
              </w:tc>
            </w:tr>
            <w:tr w14:paraId="1D7DDA6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520824F0">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注：现价xx为yyyy年M月d日收盘价</w:t>
                  </w:r>
                </w:p>
              </w:tc>
            </w:tr>
            <w:tr w14:paraId="47EDCDE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002FE195">
                  <w:pPr>
                    <w:pStyle w:val="50"/>
                    <w:framePr w:w="0" w:hRule="auto" w:hSpace="0" w:wrap="auto" w:vAnchor="margin" w:hAnchor="text" w:xAlign="left" w:yAlign="inline"/>
                    <w:ind w:left="85"/>
                    <w:rPr>
                      <w:rFonts w:eastAsia="楷体_GB2312" w:cs="Calibri"/>
                    </w:rPr>
                  </w:pPr>
                </w:p>
              </w:tc>
            </w:tr>
            <w:tr w14:paraId="7A6AB26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0900AFF3">
                  <w:pPr>
                    <w:jc w:val="center"/>
                    <w:rPr>
                      <w:rFonts w:eastAsia="楷体_GB2312" w:cs="Calibri"/>
                    </w:rPr>
                  </w:pPr>
                  <w:r>
                    <w:rPr>
                      <w:rFonts w:eastAsia="楷体_GB2312"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14:paraId="5723EB0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6A4AEAF0">
                  <w:pPr>
                    <w:jc w:val="center"/>
                    <w:rPr>
                      <w:rFonts w:eastAsia="楷体_GB2312" w:cs="Calibri"/>
                    </w:rPr>
                  </w:pPr>
                  <w:r>
                    <w:rPr>
                      <w:rFonts w:eastAsia="楷体_GB2312"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14:paraId="20FEC56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PrEx>
              <w:trPr>
                <w:trHeight w:val="180" w:hRule="exact"/>
              </w:trPr>
              <w:tc>
                <w:tcPr>
                  <w:tcW w:w="4071" w:type="dxa"/>
                  <w:gridSpan w:val="2"/>
                </w:tcPr>
                <w:p w14:paraId="17FB5BD5">
                  <w:pPr>
                    <w:pStyle w:val="51"/>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14:paraId="03E89E7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68E7139F">
                  <w:pPr>
                    <w:pStyle w:val="50"/>
                    <w:framePr w:w="0" w:hRule="auto" w:hSpace="0" w:wrap="auto" w:vAnchor="margin" w:hAnchor="text" w:xAlign="left" w:yAlign="inline"/>
                    <w:ind w:right="85" w:firstLine="85"/>
                    <w:rPr>
                      <w:rFonts w:eastAsia="楷体_GB2312" w:cs="Calibri"/>
                    </w:rPr>
                  </w:pPr>
                </w:p>
              </w:tc>
            </w:tr>
            <w:tr w14:paraId="3A2FD05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20"/>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68FBB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0E15188D">
                        <w:pPr>
                          <w:ind w:right="85"/>
                          <w:rPr>
                            <w:rFonts w:eastAsia="楷体_GB2312" w:cs="Calibri"/>
                          </w:rPr>
                        </w:pPr>
                        <w:r>
                          <w:rPr>
                            <w:rFonts w:eastAsia="楷体_GB2312" w:cs="Calibri"/>
                            <w:color w:val="FFFFFF" w:themeColor="background1"/>
                            <w14:textFill>
                              <w14:solidFill>
                                <w14:schemeClr w14:val="bg1"/>
                              </w14:solidFill>
                            </w14:textFill>
                          </w:rPr>
                          <w:t>[Table_Profit]</w:t>
                        </w:r>
                      </w:p>
                    </w:tc>
                    <w:tc>
                      <w:tcPr>
                        <w:tcW w:w="795" w:type="dxa"/>
                        <w:vAlign w:val="center"/>
                      </w:tcPr>
                      <w:p w14:paraId="5A5B855B">
                        <w:pPr>
                          <w:ind w:right="85"/>
                          <w:jc w:val="right"/>
                          <w:rPr>
                            <w:rFonts w:eastAsia="楷体_GB2312" w:cs="Calibri"/>
                            <w:b/>
                            <w:bCs/>
                            <w:color w:val="000000"/>
                            <w:sz w:val="14"/>
                            <w:szCs w:val="14"/>
                          </w:rPr>
                        </w:pPr>
                      </w:p>
                    </w:tc>
                    <w:tc>
                      <w:tcPr>
                        <w:tcW w:w="879" w:type="dxa"/>
                        <w:gridSpan w:val="2"/>
                        <w:vAlign w:val="center"/>
                      </w:tcPr>
                      <w:p w14:paraId="0417CD61">
                        <w:pPr>
                          <w:ind w:right="85"/>
                          <w:jc w:val="right"/>
                          <w:rPr>
                            <w:rFonts w:eastAsia="楷体_GB2312" w:cs="Calibri"/>
                            <w:b/>
                            <w:bCs/>
                            <w:color w:val="000000"/>
                            <w:sz w:val="14"/>
                            <w:szCs w:val="14"/>
                          </w:rPr>
                        </w:pPr>
                      </w:p>
                    </w:tc>
                    <w:tc>
                      <w:tcPr>
                        <w:tcW w:w="870" w:type="dxa"/>
                        <w:gridSpan w:val="2"/>
                        <w:vAlign w:val="center"/>
                      </w:tcPr>
                      <w:p w14:paraId="202EA322">
                        <w:pPr>
                          <w:ind w:right="85"/>
                          <w:jc w:val="right"/>
                          <w:rPr>
                            <w:rFonts w:eastAsia="楷体_GB2312" w:cs="Calibri"/>
                            <w:b/>
                            <w:bCs/>
                            <w:color w:val="000000"/>
                            <w:sz w:val="14"/>
                            <w:szCs w:val="14"/>
                          </w:rPr>
                        </w:pPr>
                      </w:p>
                    </w:tc>
                    <w:tc>
                      <w:tcPr>
                        <w:tcW w:w="869" w:type="dxa"/>
                        <w:gridSpan w:val="2"/>
                        <w:vAlign w:val="center"/>
                      </w:tcPr>
                      <w:p w14:paraId="38351F3A">
                        <w:pPr>
                          <w:ind w:right="85"/>
                          <w:jc w:val="right"/>
                          <w:rPr>
                            <w:rFonts w:eastAsia="楷体_GB2312" w:cs="Calibri"/>
                            <w:b/>
                            <w:bCs/>
                            <w:color w:val="000000"/>
                            <w:sz w:val="14"/>
                            <w:szCs w:val="14"/>
                          </w:rPr>
                        </w:pPr>
                      </w:p>
                    </w:tc>
                  </w:tr>
                  <w:tr w14:paraId="5285B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1CF50DE4">
                        <w:pPr>
                          <w:pStyle w:val="49"/>
                          <w:framePr w:w="0" w:hRule="auto" w:hSpace="0" w:wrap="auto" w:vAnchor="margin" w:hAnchor="text" w:xAlign="left" w:yAlign="inline"/>
                          <w:ind w:right="85"/>
                          <w:rPr>
                            <w:rFonts w:eastAsia="楷体_GB2312" w:cs="Calibri"/>
                            <w:b w:val="0"/>
                            <w:sz w:val="14"/>
                          </w:rPr>
                        </w:pPr>
                      </w:p>
                    </w:tc>
                    <w:tc>
                      <w:tcPr>
                        <w:tcW w:w="853" w:type="dxa"/>
                        <w:gridSpan w:val="2"/>
                        <w:vAlign w:val="center"/>
                      </w:tcPr>
                      <w:p w14:paraId="0022A698">
                        <w:pPr>
                          <w:jc w:val="right"/>
                          <w:rPr>
                            <w:rFonts w:eastAsia="楷体_GB2312" w:cs="Calibri"/>
                            <w:color w:val="23558C"/>
                            <w:sz w:val="14"/>
                            <w:szCs w:val="14"/>
                          </w:rPr>
                        </w:pPr>
                      </w:p>
                    </w:tc>
                    <w:tc>
                      <w:tcPr>
                        <w:tcW w:w="853" w:type="dxa"/>
                        <w:gridSpan w:val="2"/>
                        <w:vAlign w:val="center"/>
                      </w:tcPr>
                      <w:p w14:paraId="4C5DC2A0">
                        <w:pPr>
                          <w:jc w:val="right"/>
                          <w:rPr>
                            <w:rFonts w:eastAsia="楷体_GB2312" w:cs="Calibri"/>
                            <w:color w:val="23558C"/>
                            <w:sz w:val="14"/>
                            <w:szCs w:val="14"/>
                          </w:rPr>
                        </w:pPr>
                      </w:p>
                    </w:tc>
                    <w:tc>
                      <w:tcPr>
                        <w:tcW w:w="853" w:type="dxa"/>
                        <w:gridSpan w:val="2"/>
                        <w:vAlign w:val="center"/>
                      </w:tcPr>
                      <w:p w14:paraId="440050D0">
                        <w:pPr>
                          <w:jc w:val="right"/>
                          <w:rPr>
                            <w:rFonts w:eastAsia="楷体_GB2312" w:cs="Calibri"/>
                            <w:color w:val="23558C"/>
                            <w:sz w:val="14"/>
                            <w:szCs w:val="14"/>
                          </w:rPr>
                        </w:pPr>
                      </w:p>
                    </w:tc>
                    <w:tc>
                      <w:tcPr>
                        <w:tcW w:w="854" w:type="dxa"/>
                        <w:vAlign w:val="center"/>
                      </w:tcPr>
                      <w:p w14:paraId="5B2917DF">
                        <w:pPr>
                          <w:jc w:val="right"/>
                          <w:rPr>
                            <w:rFonts w:eastAsia="楷体_GB2312" w:cs="Calibri"/>
                            <w:color w:val="23558C"/>
                            <w:sz w:val="14"/>
                            <w:szCs w:val="14"/>
                          </w:rPr>
                        </w:pPr>
                      </w:p>
                    </w:tc>
                  </w:tr>
                  <w:tr w14:paraId="64BB5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FD00C22">
                        <w:pPr>
                          <w:pStyle w:val="49"/>
                          <w:framePr w:w="0" w:hRule="auto" w:hSpace="0" w:wrap="auto" w:vAnchor="margin" w:hAnchor="text" w:xAlign="left" w:yAlign="inline"/>
                          <w:rPr>
                            <w:rFonts w:eastAsia="楷体_GB2312" w:cs="Calibri"/>
                            <w:b w:val="0"/>
                            <w:sz w:val="14"/>
                          </w:rPr>
                        </w:pPr>
                        <w:r>
                          <w:rPr>
                            <w:rFonts w:eastAsia="楷体_GB2312" w:cs="Calibri"/>
                            <w:b w:val="0"/>
                            <w:sz w:val="14"/>
                          </w:rPr>
                          <w:t>营业收入</w:t>
                        </w:r>
                      </w:p>
                    </w:tc>
                    <w:tc>
                      <w:tcPr>
                        <w:tcW w:w="853" w:type="dxa"/>
                        <w:gridSpan w:val="2"/>
                        <w:vAlign w:val="center"/>
                      </w:tcPr>
                      <w:p w14:paraId="1B6E754E">
                        <w:pPr>
                          <w:pStyle w:val="49"/>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7796FC09">
                        <w:pPr>
                          <w:jc w:val="right"/>
                          <w:rPr>
                            <w:rFonts w:eastAsia="楷体_GB2312" w:cs="Calibri"/>
                            <w:sz w:val="14"/>
                            <w:szCs w:val="14"/>
                          </w:rPr>
                        </w:pPr>
                      </w:p>
                    </w:tc>
                    <w:tc>
                      <w:tcPr>
                        <w:tcW w:w="853" w:type="dxa"/>
                        <w:gridSpan w:val="2"/>
                        <w:vAlign w:val="center"/>
                      </w:tcPr>
                      <w:p w14:paraId="764FE924">
                        <w:pPr>
                          <w:jc w:val="right"/>
                          <w:rPr>
                            <w:rFonts w:eastAsia="楷体_GB2312" w:cs="Calibri"/>
                            <w:sz w:val="14"/>
                            <w:szCs w:val="14"/>
                          </w:rPr>
                        </w:pPr>
                      </w:p>
                    </w:tc>
                    <w:tc>
                      <w:tcPr>
                        <w:tcW w:w="854" w:type="dxa"/>
                        <w:vAlign w:val="center"/>
                      </w:tcPr>
                      <w:p w14:paraId="72AFFE4A">
                        <w:pPr>
                          <w:jc w:val="right"/>
                          <w:rPr>
                            <w:rFonts w:eastAsia="楷体_GB2312" w:cs="Calibri"/>
                            <w:sz w:val="14"/>
                            <w:szCs w:val="14"/>
                          </w:rPr>
                        </w:pPr>
                      </w:p>
                    </w:tc>
                  </w:tr>
                  <w:tr w14:paraId="03517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15C78D9">
                        <w:pPr>
                          <w:pStyle w:val="49"/>
                          <w:framePr w:w="0" w:hRule="auto" w:hSpace="0" w:wrap="auto" w:vAnchor="margin" w:hAnchor="text" w:xAlign="left" w:yAlign="inline"/>
                          <w:rPr>
                            <w:rFonts w:eastAsia="楷体_GB2312" w:cs="Calibri"/>
                            <w:b w:val="0"/>
                            <w:sz w:val="14"/>
                          </w:rPr>
                        </w:pPr>
                        <w:r>
                          <w:rPr>
                            <w:rFonts w:eastAsia="楷体_GB2312" w:cs="Calibri"/>
                            <w:b w:val="0"/>
                            <w:sz w:val="14"/>
                          </w:rPr>
                          <w:t>(+/-)</w:t>
                        </w:r>
                      </w:p>
                    </w:tc>
                    <w:tc>
                      <w:tcPr>
                        <w:tcW w:w="853" w:type="dxa"/>
                        <w:gridSpan w:val="2"/>
                        <w:vAlign w:val="center"/>
                      </w:tcPr>
                      <w:p w14:paraId="5394D853">
                        <w:pPr>
                          <w:pStyle w:val="49"/>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103BCA8A">
                        <w:pPr>
                          <w:jc w:val="right"/>
                          <w:rPr>
                            <w:rFonts w:eastAsia="楷体_GB2312" w:cs="Calibri"/>
                            <w:sz w:val="14"/>
                            <w:szCs w:val="14"/>
                          </w:rPr>
                        </w:pPr>
                      </w:p>
                    </w:tc>
                    <w:tc>
                      <w:tcPr>
                        <w:tcW w:w="853" w:type="dxa"/>
                        <w:gridSpan w:val="2"/>
                        <w:vAlign w:val="center"/>
                      </w:tcPr>
                      <w:p w14:paraId="60D5BBAA">
                        <w:pPr>
                          <w:jc w:val="right"/>
                          <w:rPr>
                            <w:rFonts w:eastAsia="楷体_GB2312" w:cs="Calibri"/>
                            <w:sz w:val="14"/>
                            <w:szCs w:val="14"/>
                          </w:rPr>
                        </w:pPr>
                      </w:p>
                    </w:tc>
                    <w:tc>
                      <w:tcPr>
                        <w:tcW w:w="854" w:type="dxa"/>
                        <w:vAlign w:val="center"/>
                      </w:tcPr>
                      <w:p w14:paraId="028D570E">
                        <w:pPr>
                          <w:jc w:val="right"/>
                          <w:rPr>
                            <w:rFonts w:eastAsia="楷体_GB2312" w:cs="Calibri"/>
                            <w:sz w:val="14"/>
                            <w:szCs w:val="14"/>
                          </w:rPr>
                        </w:pPr>
                      </w:p>
                    </w:tc>
                  </w:tr>
                  <w:tr w14:paraId="0A252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27" w:hRule="atLeast"/>
                    </w:trPr>
                    <w:tc>
                      <w:tcPr>
                        <w:tcW w:w="1225" w:type="dxa"/>
                        <w:tcMar>
                          <w:right w:w="0" w:type="dxa"/>
                        </w:tcMar>
                        <w:vAlign w:val="center"/>
                      </w:tcPr>
                      <w:p w14:paraId="6726B827">
                        <w:pPr>
                          <w:pStyle w:val="49"/>
                          <w:framePr w:w="0" w:hRule="auto" w:hSpace="0" w:wrap="auto" w:vAnchor="margin" w:hAnchor="text" w:xAlign="left" w:yAlign="inline"/>
                          <w:rPr>
                            <w:rFonts w:eastAsia="楷体_GB2312" w:cs="Calibri"/>
                            <w:b w:val="0"/>
                            <w:sz w:val="14"/>
                          </w:rPr>
                        </w:pPr>
                        <w:r>
                          <w:rPr>
                            <w:rFonts w:eastAsia="楷体_GB2312" w:cs="Calibri"/>
                            <w:b w:val="0"/>
                            <w:sz w:val="14"/>
                          </w:rPr>
                          <w:t>净利润</w:t>
                        </w:r>
                      </w:p>
                    </w:tc>
                    <w:tc>
                      <w:tcPr>
                        <w:tcW w:w="853" w:type="dxa"/>
                        <w:gridSpan w:val="2"/>
                        <w:vAlign w:val="center"/>
                      </w:tcPr>
                      <w:p w14:paraId="5373AEF1">
                        <w:pPr>
                          <w:pStyle w:val="49"/>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180B32A3">
                        <w:pPr>
                          <w:jc w:val="right"/>
                          <w:rPr>
                            <w:rFonts w:eastAsia="楷体_GB2312" w:cs="Calibri"/>
                            <w:sz w:val="14"/>
                            <w:szCs w:val="14"/>
                          </w:rPr>
                        </w:pPr>
                      </w:p>
                    </w:tc>
                    <w:tc>
                      <w:tcPr>
                        <w:tcW w:w="853" w:type="dxa"/>
                        <w:gridSpan w:val="2"/>
                        <w:vAlign w:val="center"/>
                      </w:tcPr>
                      <w:p w14:paraId="00A25DF4">
                        <w:pPr>
                          <w:jc w:val="right"/>
                          <w:rPr>
                            <w:rFonts w:eastAsia="楷体_GB2312" w:cs="Calibri"/>
                            <w:sz w:val="14"/>
                            <w:szCs w:val="14"/>
                          </w:rPr>
                        </w:pPr>
                      </w:p>
                    </w:tc>
                    <w:tc>
                      <w:tcPr>
                        <w:tcW w:w="854" w:type="dxa"/>
                        <w:vAlign w:val="center"/>
                      </w:tcPr>
                      <w:p w14:paraId="6FFAF8BC">
                        <w:pPr>
                          <w:jc w:val="right"/>
                          <w:rPr>
                            <w:rFonts w:eastAsia="楷体_GB2312" w:cs="Calibri"/>
                            <w:sz w:val="14"/>
                            <w:szCs w:val="14"/>
                          </w:rPr>
                        </w:pPr>
                      </w:p>
                    </w:tc>
                  </w:tr>
                  <w:tr w14:paraId="2C710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F3288B5">
                        <w:pPr>
                          <w:pStyle w:val="49"/>
                          <w:framePr w:w="0" w:hRule="auto" w:hSpace="0" w:wrap="auto" w:vAnchor="margin" w:hAnchor="text" w:xAlign="left" w:yAlign="inline"/>
                          <w:rPr>
                            <w:rFonts w:eastAsia="楷体_GB2312" w:cs="Calibri"/>
                            <w:b w:val="0"/>
                            <w:sz w:val="14"/>
                          </w:rPr>
                        </w:pPr>
                        <w:r>
                          <w:rPr>
                            <w:rFonts w:eastAsia="楷体_GB2312" w:cs="Calibri"/>
                            <w:b w:val="0"/>
                            <w:sz w:val="14"/>
                          </w:rPr>
                          <w:t>(+/-)</w:t>
                        </w:r>
                      </w:p>
                    </w:tc>
                    <w:tc>
                      <w:tcPr>
                        <w:tcW w:w="853" w:type="dxa"/>
                        <w:gridSpan w:val="2"/>
                        <w:vAlign w:val="center"/>
                      </w:tcPr>
                      <w:p w14:paraId="60B3621E">
                        <w:pPr>
                          <w:pStyle w:val="49"/>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5CC7F4FC">
                        <w:pPr>
                          <w:jc w:val="right"/>
                          <w:rPr>
                            <w:rFonts w:eastAsia="楷体_GB2312" w:cs="Calibri"/>
                            <w:sz w:val="14"/>
                            <w:szCs w:val="14"/>
                          </w:rPr>
                        </w:pPr>
                      </w:p>
                    </w:tc>
                    <w:tc>
                      <w:tcPr>
                        <w:tcW w:w="853" w:type="dxa"/>
                        <w:gridSpan w:val="2"/>
                        <w:vAlign w:val="center"/>
                      </w:tcPr>
                      <w:p w14:paraId="7E0E4A73">
                        <w:pPr>
                          <w:jc w:val="right"/>
                          <w:rPr>
                            <w:rFonts w:eastAsia="楷体_GB2312" w:cs="Calibri"/>
                            <w:sz w:val="14"/>
                            <w:szCs w:val="14"/>
                          </w:rPr>
                        </w:pPr>
                      </w:p>
                    </w:tc>
                    <w:tc>
                      <w:tcPr>
                        <w:tcW w:w="854" w:type="dxa"/>
                        <w:vAlign w:val="center"/>
                      </w:tcPr>
                      <w:p w14:paraId="054B14FE">
                        <w:pPr>
                          <w:jc w:val="right"/>
                          <w:rPr>
                            <w:rFonts w:eastAsia="楷体_GB2312" w:cs="Calibri"/>
                            <w:sz w:val="14"/>
                            <w:szCs w:val="14"/>
                          </w:rPr>
                        </w:pPr>
                      </w:p>
                    </w:tc>
                  </w:tr>
                  <w:tr w14:paraId="7395C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737A2F1">
                        <w:pPr>
                          <w:pStyle w:val="49"/>
                          <w:framePr w:w="0" w:hRule="auto" w:hSpace="0" w:wrap="auto" w:vAnchor="margin" w:hAnchor="text" w:xAlign="left" w:yAlign="inline"/>
                          <w:rPr>
                            <w:rFonts w:eastAsia="楷体_GB2312" w:cs="Calibri"/>
                            <w:b w:val="0"/>
                            <w:sz w:val="14"/>
                          </w:rPr>
                        </w:pPr>
                        <w:r>
                          <w:rPr>
                            <w:rFonts w:eastAsia="楷体_GB2312" w:cs="Calibri"/>
                            <w:b w:val="0"/>
                            <w:sz w:val="14"/>
                          </w:rPr>
                          <w:t>全面摊薄EPS</w:t>
                        </w:r>
                      </w:p>
                    </w:tc>
                    <w:tc>
                      <w:tcPr>
                        <w:tcW w:w="853" w:type="dxa"/>
                        <w:gridSpan w:val="2"/>
                        <w:vAlign w:val="center"/>
                      </w:tcPr>
                      <w:p w14:paraId="7C72BB0F">
                        <w:pPr>
                          <w:pStyle w:val="49"/>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587F218A">
                        <w:pPr>
                          <w:jc w:val="right"/>
                          <w:rPr>
                            <w:rFonts w:eastAsia="楷体_GB2312" w:cs="Calibri"/>
                            <w:sz w:val="14"/>
                            <w:szCs w:val="14"/>
                          </w:rPr>
                        </w:pPr>
                      </w:p>
                    </w:tc>
                    <w:tc>
                      <w:tcPr>
                        <w:tcW w:w="853" w:type="dxa"/>
                        <w:gridSpan w:val="2"/>
                        <w:vAlign w:val="center"/>
                      </w:tcPr>
                      <w:p w14:paraId="203684F9">
                        <w:pPr>
                          <w:jc w:val="right"/>
                          <w:rPr>
                            <w:rFonts w:eastAsia="楷体_GB2312" w:cs="Calibri"/>
                            <w:sz w:val="14"/>
                            <w:szCs w:val="14"/>
                          </w:rPr>
                        </w:pPr>
                      </w:p>
                    </w:tc>
                    <w:tc>
                      <w:tcPr>
                        <w:tcW w:w="854" w:type="dxa"/>
                        <w:vAlign w:val="center"/>
                      </w:tcPr>
                      <w:p w14:paraId="66981620">
                        <w:pPr>
                          <w:jc w:val="right"/>
                          <w:rPr>
                            <w:rFonts w:eastAsia="楷体_GB2312" w:cs="Calibri"/>
                            <w:sz w:val="14"/>
                            <w:szCs w:val="14"/>
                          </w:rPr>
                        </w:pPr>
                      </w:p>
                    </w:tc>
                  </w:tr>
                  <w:tr w14:paraId="12177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45B5C76">
                        <w:pPr>
                          <w:pStyle w:val="49"/>
                          <w:framePr w:w="0" w:hRule="auto" w:hSpace="0" w:wrap="auto" w:vAnchor="margin" w:hAnchor="text" w:xAlign="left" w:yAlign="inline"/>
                          <w:rPr>
                            <w:rFonts w:eastAsia="楷体_GB2312" w:cs="Calibri"/>
                            <w:b w:val="0"/>
                            <w:sz w:val="14"/>
                          </w:rPr>
                        </w:pPr>
                        <w:r>
                          <w:rPr>
                            <w:rFonts w:eastAsia="楷体_GB2312" w:cs="Calibri"/>
                            <w:b w:val="0"/>
                            <w:sz w:val="14"/>
                          </w:rPr>
                          <w:t>毛利率</w:t>
                        </w:r>
                      </w:p>
                    </w:tc>
                    <w:tc>
                      <w:tcPr>
                        <w:tcW w:w="853" w:type="dxa"/>
                        <w:gridSpan w:val="2"/>
                        <w:vAlign w:val="center"/>
                      </w:tcPr>
                      <w:p w14:paraId="4FF70CFB">
                        <w:pPr>
                          <w:pStyle w:val="49"/>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53B9EB86">
                        <w:pPr>
                          <w:jc w:val="right"/>
                          <w:rPr>
                            <w:rFonts w:eastAsia="楷体_GB2312" w:cs="Calibri"/>
                            <w:sz w:val="14"/>
                            <w:szCs w:val="14"/>
                          </w:rPr>
                        </w:pPr>
                      </w:p>
                    </w:tc>
                    <w:tc>
                      <w:tcPr>
                        <w:tcW w:w="853" w:type="dxa"/>
                        <w:gridSpan w:val="2"/>
                        <w:vAlign w:val="center"/>
                      </w:tcPr>
                      <w:p w14:paraId="1E8D5490">
                        <w:pPr>
                          <w:jc w:val="right"/>
                          <w:rPr>
                            <w:rFonts w:eastAsia="楷体_GB2312" w:cs="Calibri"/>
                            <w:sz w:val="14"/>
                            <w:szCs w:val="14"/>
                          </w:rPr>
                        </w:pPr>
                      </w:p>
                    </w:tc>
                    <w:tc>
                      <w:tcPr>
                        <w:tcW w:w="854" w:type="dxa"/>
                        <w:vAlign w:val="center"/>
                      </w:tcPr>
                      <w:p w14:paraId="2EF1ECD5">
                        <w:pPr>
                          <w:jc w:val="right"/>
                          <w:rPr>
                            <w:rFonts w:eastAsia="楷体_GB2312" w:cs="Calibri"/>
                            <w:sz w:val="14"/>
                            <w:szCs w:val="14"/>
                          </w:rPr>
                        </w:pPr>
                      </w:p>
                    </w:tc>
                  </w:tr>
                  <w:tr w14:paraId="5EACF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27" w:hRule="atLeast"/>
                    </w:trPr>
                    <w:tc>
                      <w:tcPr>
                        <w:tcW w:w="1225" w:type="dxa"/>
                        <w:tcMar>
                          <w:right w:w="0" w:type="dxa"/>
                        </w:tcMar>
                        <w:vAlign w:val="center"/>
                      </w:tcPr>
                      <w:p w14:paraId="2A241A42">
                        <w:pPr>
                          <w:pStyle w:val="49"/>
                          <w:framePr w:w="0" w:hRule="auto" w:hSpace="0" w:wrap="auto" w:vAnchor="margin" w:hAnchor="text" w:xAlign="left" w:yAlign="inline"/>
                          <w:rPr>
                            <w:rFonts w:eastAsia="楷体_GB2312" w:cs="Calibri"/>
                            <w:b w:val="0"/>
                            <w:sz w:val="14"/>
                          </w:rPr>
                        </w:pPr>
                        <w:r>
                          <w:rPr>
                            <w:rFonts w:eastAsia="楷体_GB2312" w:cs="Calibri"/>
                            <w:b w:val="0"/>
                            <w:sz w:val="14"/>
                          </w:rPr>
                          <w:t>净资产收益率</w:t>
                        </w:r>
                      </w:p>
                    </w:tc>
                    <w:tc>
                      <w:tcPr>
                        <w:tcW w:w="853" w:type="dxa"/>
                        <w:gridSpan w:val="2"/>
                        <w:vAlign w:val="center"/>
                      </w:tcPr>
                      <w:p w14:paraId="46102FF7">
                        <w:pPr>
                          <w:jc w:val="right"/>
                          <w:rPr>
                            <w:rFonts w:eastAsia="楷体_GB2312" w:cs="Calibri"/>
                            <w:sz w:val="14"/>
                            <w:szCs w:val="14"/>
                          </w:rPr>
                        </w:pPr>
                      </w:p>
                    </w:tc>
                    <w:tc>
                      <w:tcPr>
                        <w:tcW w:w="853" w:type="dxa"/>
                        <w:gridSpan w:val="2"/>
                        <w:vAlign w:val="center"/>
                      </w:tcPr>
                      <w:p w14:paraId="760CF656">
                        <w:pPr>
                          <w:jc w:val="right"/>
                          <w:rPr>
                            <w:rFonts w:eastAsia="楷体_GB2312" w:cs="Calibri"/>
                            <w:sz w:val="14"/>
                            <w:szCs w:val="14"/>
                          </w:rPr>
                        </w:pPr>
                      </w:p>
                    </w:tc>
                    <w:tc>
                      <w:tcPr>
                        <w:tcW w:w="853" w:type="dxa"/>
                        <w:gridSpan w:val="2"/>
                        <w:vAlign w:val="center"/>
                      </w:tcPr>
                      <w:p w14:paraId="6A5338C0">
                        <w:pPr>
                          <w:jc w:val="right"/>
                          <w:rPr>
                            <w:rFonts w:eastAsia="楷体_GB2312" w:cs="Calibri"/>
                            <w:sz w:val="14"/>
                            <w:szCs w:val="14"/>
                          </w:rPr>
                        </w:pPr>
                      </w:p>
                    </w:tc>
                    <w:tc>
                      <w:tcPr>
                        <w:tcW w:w="854" w:type="dxa"/>
                        <w:vAlign w:val="center"/>
                      </w:tcPr>
                      <w:p w14:paraId="15B5132A">
                        <w:pPr>
                          <w:jc w:val="right"/>
                          <w:rPr>
                            <w:rFonts w:eastAsia="楷体_GB2312" w:cs="Calibri"/>
                            <w:sz w:val="14"/>
                            <w:szCs w:val="14"/>
                          </w:rPr>
                        </w:pPr>
                      </w:p>
                    </w:tc>
                  </w:tr>
                  <w:tr w14:paraId="5B38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27" w:hRule="atLeast"/>
                    </w:trPr>
                    <w:tc>
                      <w:tcPr>
                        <w:tcW w:w="1225" w:type="dxa"/>
                        <w:tcMar>
                          <w:right w:w="0" w:type="dxa"/>
                        </w:tcMar>
                        <w:vAlign w:val="center"/>
                      </w:tcPr>
                      <w:p w14:paraId="2D96A533">
                        <w:pPr>
                          <w:pStyle w:val="49"/>
                          <w:framePr w:w="0" w:hRule="auto" w:hSpace="0" w:wrap="auto" w:vAnchor="margin" w:hAnchor="text" w:xAlign="left" w:yAlign="inline"/>
                          <w:rPr>
                            <w:rFonts w:eastAsia="楷体_GB2312" w:cs="Calibri"/>
                            <w:b w:val="0"/>
                            <w:sz w:val="14"/>
                          </w:rPr>
                        </w:pPr>
                        <w:r>
                          <w:rPr>
                            <w:rFonts w:eastAsia="楷体_GB2312" w:cs="Calibri"/>
                            <w:b w:val="0"/>
                            <w:sz w:val="14"/>
                          </w:rPr>
                          <w:t>市盈率</w:t>
                        </w:r>
                      </w:p>
                    </w:tc>
                    <w:tc>
                      <w:tcPr>
                        <w:tcW w:w="853" w:type="dxa"/>
                        <w:gridSpan w:val="2"/>
                        <w:vAlign w:val="center"/>
                      </w:tcPr>
                      <w:p w14:paraId="074C542C">
                        <w:pPr>
                          <w:jc w:val="right"/>
                          <w:rPr>
                            <w:rFonts w:eastAsia="楷体_GB2312" w:cs="Calibri"/>
                            <w:sz w:val="14"/>
                            <w:szCs w:val="14"/>
                          </w:rPr>
                        </w:pPr>
                      </w:p>
                    </w:tc>
                    <w:tc>
                      <w:tcPr>
                        <w:tcW w:w="853" w:type="dxa"/>
                        <w:gridSpan w:val="2"/>
                        <w:vAlign w:val="center"/>
                      </w:tcPr>
                      <w:p w14:paraId="1645C9C5">
                        <w:pPr>
                          <w:jc w:val="right"/>
                          <w:rPr>
                            <w:rFonts w:eastAsia="楷体_GB2312" w:cs="Calibri"/>
                            <w:sz w:val="14"/>
                            <w:szCs w:val="14"/>
                          </w:rPr>
                        </w:pPr>
                      </w:p>
                    </w:tc>
                    <w:tc>
                      <w:tcPr>
                        <w:tcW w:w="853" w:type="dxa"/>
                        <w:gridSpan w:val="2"/>
                        <w:vAlign w:val="center"/>
                      </w:tcPr>
                      <w:p w14:paraId="0E5A3D5F">
                        <w:pPr>
                          <w:jc w:val="right"/>
                          <w:rPr>
                            <w:rFonts w:eastAsia="楷体_GB2312" w:cs="Calibri"/>
                            <w:sz w:val="14"/>
                            <w:szCs w:val="14"/>
                          </w:rPr>
                        </w:pPr>
                      </w:p>
                    </w:tc>
                    <w:tc>
                      <w:tcPr>
                        <w:tcW w:w="854" w:type="dxa"/>
                        <w:vAlign w:val="center"/>
                      </w:tcPr>
                      <w:p w14:paraId="36F11ED5">
                        <w:pPr>
                          <w:jc w:val="right"/>
                          <w:rPr>
                            <w:rFonts w:eastAsia="楷体_GB2312" w:cs="Calibri"/>
                            <w:sz w:val="14"/>
                            <w:szCs w:val="14"/>
                          </w:rPr>
                        </w:pPr>
                      </w:p>
                    </w:tc>
                  </w:tr>
                </w:tbl>
                <w:p w14:paraId="27CB37FE">
                  <w:pPr>
                    <w:ind w:right="85" w:firstLine="85"/>
                    <w:rPr>
                      <w:rFonts w:eastAsia="楷体_GB2312" w:cs="Calibri"/>
                    </w:rPr>
                  </w:pPr>
                </w:p>
              </w:tc>
            </w:tr>
            <w:tr w14:paraId="110845E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57591F07">
                  <w:pPr>
                    <w:ind w:right="85" w:firstLine="85"/>
                    <w:rPr>
                      <w:rFonts w:eastAsia="楷体_GB2312" w:cs="Calibri"/>
                      <w:i/>
                      <w:iCs/>
                      <w:color w:val="000000"/>
                      <w:sz w:val="12"/>
                    </w:rPr>
                  </w:pPr>
                  <w:r>
                    <w:rPr>
                      <w:rFonts w:eastAsia="楷体_GB2312" w:cs="Calibri"/>
                      <w:i/>
                      <w:iCs/>
                      <w:color w:val="000000"/>
                      <w:sz w:val="12"/>
                    </w:rPr>
                    <w:t xml:space="preserve">资料来源：公司信息, </w:t>
                  </w:r>
                  <w:r>
                    <w:rPr>
                      <w:rFonts w:hint="eastAsia" w:eastAsia="楷体_GB2312" w:cs="Calibri"/>
                      <w:i/>
                      <w:iCs/>
                      <w:color w:val="000000"/>
                      <w:sz w:val="12"/>
                    </w:rPr>
                    <w:t>xxx</w:t>
                  </w:r>
                </w:p>
              </w:tc>
            </w:tr>
          </w:tbl>
          <w:p w14:paraId="056F9501">
            <w:pPr>
              <w:tabs>
                <w:tab w:val="left" w:pos="2845"/>
              </w:tabs>
              <w:rPr>
                <w:rFonts w:cs="等线" w:eastAsiaTheme="minorEastAsia"/>
              </w:rPr>
            </w:pPr>
          </w:p>
        </w:tc>
        <w:tc>
          <w:tcPr>
            <w:tcW w:w="6480" w:type="dxa"/>
            <w:gridSpan w:val="4"/>
          </w:tcPr>
          <w:p w14:paraId="24B3FD2A">
            <w:pPr>
              <w:pStyle w:val="56"/>
              <w:jc w:val="both"/>
              <w:rPr>
                <w:rFonts w:eastAsia="楷体" w:cs="Calibri"/>
                <w:bCs/>
                <w:lang w:eastAsia="zh-CN"/>
              </w:rPr>
            </w:pPr>
            <w:r>
              <w:rPr>
                <w:rFonts w:eastAsia="楷体" w:cs="Calibri"/>
                <w:b/>
                <w:snapToGrid w:val="0"/>
                <w:color w:val="23558C"/>
                <w:lang w:eastAsia="zh-CN"/>
              </w:rPr>
              <w:t xml:space="preserve">Textron: </w:t>
            </w:r>
            <w:r>
              <w:rPr>
                <w:rFonts w:hint="eastAsia" w:eastAsia="楷体" w:cs="Calibri"/>
                <w:b/>
                <w:snapToGrid w:val="0"/>
                <w:color w:val="23558C"/>
                <w:lang w:eastAsia="zh-CN"/>
              </w:rPr>
              <w:t>a</w:t>
            </w:r>
            <w:r>
              <w:rPr>
                <w:rFonts w:eastAsia="楷体" w:cs="Calibri"/>
                <w:b/>
                <w:snapToGrid w:val="0"/>
                <w:color w:val="23558C"/>
                <w:lang w:eastAsia="zh-CN"/>
              </w:rPr>
              <w:t xml:space="preserve"> </w:t>
            </w:r>
            <w:r>
              <w:rPr>
                <w:rFonts w:hint="eastAsia" w:eastAsia="楷体" w:cs="Calibri"/>
                <w:b/>
                <w:snapToGrid w:val="0"/>
                <w:color w:val="23558C"/>
                <w:lang w:eastAsia="zh-CN"/>
              </w:rPr>
              <w:t>d</w:t>
            </w:r>
            <w:r>
              <w:rPr>
                <w:rFonts w:eastAsia="楷体" w:cs="Calibri"/>
                <w:b/>
                <w:snapToGrid w:val="0"/>
                <w:color w:val="23558C"/>
                <w:lang w:eastAsia="zh-CN"/>
              </w:rPr>
              <w:t xml:space="preserve">iversified </w:t>
            </w:r>
            <w:r>
              <w:rPr>
                <w:rFonts w:hint="eastAsia" w:eastAsia="楷体" w:cs="Calibri"/>
                <w:b/>
                <w:snapToGrid w:val="0"/>
                <w:color w:val="23558C"/>
                <w:lang w:eastAsia="zh-CN"/>
              </w:rPr>
              <w:t>i</w:t>
            </w:r>
            <w:r>
              <w:rPr>
                <w:rFonts w:eastAsia="楷体" w:cs="Calibri"/>
                <w:b/>
                <w:snapToGrid w:val="0"/>
                <w:color w:val="23558C"/>
                <w:lang w:eastAsia="zh-CN"/>
              </w:rPr>
              <w:t xml:space="preserve">ndustrial </w:t>
            </w:r>
            <w:r>
              <w:rPr>
                <w:rFonts w:hint="eastAsia" w:eastAsia="楷体" w:cs="Calibri"/>
                <w:b/>
                <w:snapToGrid w:val="0"/>
                <w:color w:val="23558C"/>
                <w:lang w:eastAsia="zh-CN"/>
              </w:rPr>
              <w:t>g</w:t>
            </w:r>
            <w:r>
              <w:rPr>
                <w:rFonts w:eastAsia="楷体" w:cs="Calibri"/>
                <w:b/>
                <w:snapToGrid w:val="0"/>
                <w:color w:val="23558C"/>
                <w:lang w:eastAsia="zh-CN"/>
              </w:rPr>
              <w:t xml:space="preserve">iant with </w:t>
            </w:r>
            <w:r>
              <w:rPr>
                <w:rFonts w:hint="eastAsia" w:eastAsia="楷体" w:cs="Calibri"/>
                <w:b/>
                <w:snapToGrid w:val="0"/>
                <w:color w:val="23558C"/>
                <w:lang w:eastAsia="zh-CN"/>
              </w:rPr>
              <w:t>o</w:t>
            </w:r>
            <w:r>
              <w:rPr>
                <w:rFonts w:eastAsia="楷体" w:cs="Calibri"/>
                <w:b/>
                <w:snapToGrid w:val="0"/>
                <w:color w:val="23558C"/>
                <w:lang w:eastAsia="zh-CN"/>
              </w:rPr>
              <w:t xml:space="preserve">ver </w:t>
            </w:r>
            <w:r>
              <w:rPr>
                <w:rFonts w:hint="eastAsia" w:eastAsia="楷体" w:cs="Calibri"/>
                <w:b/>
                <w:snapToGrid w:val="0"/>
                <w:color w:val="23558C"/>
                <w:lang w:eastAsia="zh-CN"/>
              </w:rPr>
              <w:t>100</w:t>
            </w:r>
            <w:r>
              <w:rPr>
                <w:rFonts w:eastAsia="楷体" w:cs="Calibri"/>
                <w:b/>
                <w:snapToGrid w:val="0"/>
                <w:color w:val="23558C"/>
                <w:lang w:eastAsia="zh-CN"/>
              </w:rPr>
              <w:t xml:space="preserve"> </w:t>
            </w:r>
            <w:r>
              <w:rPr>
                <w:rFonts w:hint="eastAsia" w:eastAsia="楷体" w:cs="Calibri"/>
                <w:b/>
                <w:snapToGrid w:val="0"/>
                <w:color w:val="23558C"/>
                <w:lang w:eastAsia="zh-CN"/>
              </w:rPr>
              <w:t>y</w:t>
            </w:r>
            <w:r>
              <w:rPr>
                <w:rFonts w:eastAsia="楷体" w:cs="Calibri"/>
                <w:b/>
                <w:snapToGrid w:val="0"/>
                <w:color w:val="23558C"/>
                <w:lang w:eastAsia="zh-CN"/>
              </w:rPr>
              <w:t xml:space="preserve">ears of </w:t>
            </w:r>
            <w:r>
              <w:rPr>
                <w:rFonts w:hint="eastAsia" w:eastAsia="楷体" w:cs="Calibri"/>
                <w:b/>
                <w:snapToGrid w:val="0"/>
                <w:color w:val="23558C"/>
                <w:lang w:eastAsia="zh-CN"/>
              </w:rPr>
              <w:t>h</w:t>
            </w:r>
            <w:r>
              <w:rPr>
                <w:rFonts w:eastAsia="楷体" w:cs="Calibri"/>
                <w:b/>
                <w:snapToGrid w:val="0"/>
                <w:color w:val="23558C"/>
                <w:lang w:eastAsia="zh-CN"/>
              </w:rPr>
              <w:t xml:space="preserve">istory. </w:t>
            </w:r>
            <w:r>
              <w:rPr>
                <w:rFonts w:eastAsia="楷体" w:cs="Calibri"/>
                <w:bCs/>
                <w:snapToGrid w:val="0"/>
                <w:lang w:eastAsia="zh-CN"/>
              </w:rPr>
              <w:t>Founded in 1923, Textron is a global diversified industrial giant focused on aviation, defense, industrial, and finance sectors. Its core business units include Textron Aviation, Bell, Textron Systems, Industrial, and Textron eAviation. From 2015 to 2025, revenues increased from 13.423 billion USD to 14.799 billion USD, with a CAGR of 0.98%. Manufacturing businesses account for 99% of revenues, among which Textron Aviation represents 38.6%, Bell 26.1%, Industrial 25.6%, and Textron Systems 9.1%. Gross margins have remained stable at 16-18%, and net profits grew from 0.697 billion USD to 0.921 billion USD from 2015 to 2025, with a CAGR of 2.8%.</w:t>
            </w:r>
          </w:p>
          <w:p w14:paraId="2803F7C5">
            <w:pPr>
              <w:pStyle w:val="56"/>
              <w:jc w:val="both"/>
              <w:rPr>
                <w:rFonts w:eastAsia="楷体" w:cs="Calibri"/>
                <w:lang w:eastAsia="zh-CN"/>
              </w:rPr>
            </w:pPr>
            <w:r>
              <w:rPr>
                <w:rFonts w:eastAsia="楷体" w:cs="Calibri"/>
                <w:b/>
                <w:bCs/>
                <w:color w:val="23558C"/>
                <w:lang w:eastAsia="zh-CN"/>
              </w:rPr>
              <w:t xml:space="preserve">Textron Aviation is a global leader in general aviation, with a leading market share in jets. </w:t>
            </w:r>
            <w:r>
              <w:rPr>
                <w:rFonts w:eastAsia="楷体" w:cs="Calibri"/>
                <w:lang w:eastAsia="zh-CN"/>
              </w:rPr>
              <w:t>Textron Aviation is Textron's largest business segment, with 2025 revenues of 5.955 billion USD (accounting for 38.6%), integrating the Cessna and Beechcraft brands and focusing on jets, turboprops, and piston aircraft. The Cessna Citation series jets lead globally with a 20% market share, featuring a product line from entry-level (M2/CJ series, priced at 6-12 million USD) to super-midsize (Longitude, with a range of 6,480 km), emphasizing low costs, high comfort, and reliable after-sales service</w:t>
            </w:r>
            <w:r>
              <w:rPr>
                <w:rFonts w:hint="eastAsia" w:eastAsia="楷体" w:cs="Calibri"/>
                <w:lang w:eastAsia="zh-CN"/>
              </w:rPr>
              <w:t>.</w:t>
            </w:r>
            <w:r>
              <w:rPr>
                <w:rFonts w:eastAsia="楷体" w:cs="Calibri"/>
                <w:lang w:eastAsia="zh-CN"/>
              </w:rPr>
              <w:t xml:space="preserve"> Demand is strong, with order backlogs extending to 2028, benefiting from market recovery and new model certifications; but short-term attention is needed on supply chain issues leading to production capacity that requires improvement.</w:t>
            </w:r>
          </w:p>
          <w:p w14:paraId="3B450D4B">
            <w:pPr>
              <w:pStyle w:val="56"/>
              <w:jc w:val="both"/>
              <w:rPr>
                <w:rFonts w:eastAsia="楷体" w:cs="Calibri"/>
                <w:lang w:eastAsia="zh-CN"/>
              </w:rPr>
            </w:pPr>
            <w:r>
              <w:rPr>
                <w:rFonts w:eastAsia="楷体" w:cs="Calibri"/>
                <w:b/>
                <w:bCs/>
                <w:color w:val="23558C"/>
                <w:lang w:eastAsia="zh-CN"/>
              </w:rPr>
              <w:t xml:space="preserve">Performance varies across other segments. </w:t>
            </w:r>
            <w:r>
              <w:rPr>
                <w:rFonts w:eastAsia="楷体" w:cs="Calibri"/>
                <w:lang w:eastAsia="zh-CN"/>
              </w:rPr>
              <w:t>1) Bell: 2025 revenues of 4.282 billion USD. Among them, the military aircraft model MV-75 is expected to drive accelerated deliveries due to its mature technology and superior performance; commercial models</w:t>
            </w:r>
            <w:r>
              <w:rPr>
                <w:rFonts w:hint="eastAsia" w:eastAsia="楷体" w:cs="Calibri"/>
                <w:lang w:eastAsia="zh-CN"/>
              </w:rPr>
              <w:t xml:space="preserve"> </w:t>
            </w:r>
            <w:r>
              <w:rPr>
                <w:rFonts w:eastAsia="楷体" w:cs="Calibri"/>
                <w:lang w:eastAsia="zh-CN"/>
              </w:rPr>
              <w:t xml:space="preserve">see strong demand, with robust performance in North America/Asia-Pacific. 2) Industrial: 2025 revenues of 3.213 billion USD; Kautex (automotive parts) benefits from rising PHEV/EV penetration rates; Specialized Vehicles (such as E-Z-GO) show mixed demand, with resilience in golf/community sectors but weakness in commercial areas. 3) Textron Systems: 2025 revenues of 1.247 billion USD; main products include unmanned systems, intelligence surveillance reconnaissance, armored vehicles, training simulators, and special mission solutions, serving the U.S. Department of Defense and other allied clients. </w:t>
            </w:r>
          </w:p>
          <w:p w14:paraId="3D0AADAA">
            <w:pPr>
              <w:pStyle w:val="44"/>
              <w:jc w:val="both"/>
              <w:rPr>
                <w:rFonts w:hint="eastAsia" w:ascii="楷体" w:hAnsi="楷体" w:eastAsia="楷体" w:cs="Calibri"/>
                <w:snapToGrid/>
                <w:szCs w:val="20"/>
                <w:lang w:eastAsia="zh-CN"/>
              </w:rPr>
            </w:pPr>
            <w:r>
              <w:rPr>
                <w:rFonts w:eastAsia="楷体" w:cs="Calibri"/>
                <w:b/>
                <w:bCs/>
                <w:snapToGrid/>
                <w:color w:val="23558C"/>
                <w:szCs w:val="20"/>
                <w:lang w:eastAsia="zh-CN"/>
              </w:rPr>
              <w:t xml:space="preserve">Valuation and </w:t>
            </w:r>
            <w:r>
              <w:rPr>
                <w:rFonts w:hint="eastAsia" w:eastAsia="楷体" w:cs="Calibri"/>
                <w:b/>
                <w:bCs/>
                <w:snapToGrid/>
                <w:color w:val="23558C"/>
                <w:szCs w:val="20"/>
                <w:lang w:eastAsia="zh-CN"/>
              </w:rPr>
              <w:t>r</w:t>
            </w:r>
            <w:r>
              <w:rPr>
                <w:rFonts w:eastAsia="楷体" w:cs="Calibri"/>
                <w:b/>
                <w:bCs/>
                <w:snapToGrid/>
                <w:color w:val="23558C"/>
                <w:szCs w:val="20"/>
                <w:lang w:eastAsia="zh-CN"/>
              </w:rPr>
              <w:t>ecommendations</w:t>
            </w:r>
            <w:r>
              <w:rPr>
                <w:rFonts w:hint="eastAsia" w:eastAsia="楷体" w:cs="Calibri"/>
                <w:b/>
                <w:bCs/>
                <w:snapToGrid/>
                <w:color w:val="23558C"/>
                <w:szCs w:val="20"/>
                <w:lang w:eastAsia="zh-CN"/>
              </w:rPr>
              <w:t xml:space="preserve">. </w:t>
            </w:r>
            <w:r>
              <w:rPr>
                <w:rFonts w:eastAsia="楷体" w:cs="Calibri"/>
                <w:snapToGrid/>
                <w:szCs w:val="20"/>
                <w:lang w:eastAsia="zh-CN"/>
              </w:rPr>
              <w:t>We project Textron's revenues for 2026-2028 to reach 15.665/16.638/17.520 billion USD, respectively, with net profits of 1.050/1.161/1.288 billion USD. Based on the Discounted Cash Flow (DCF) valuation model, we initiate coverage with a "</w:t>
            </w:r>
            <w:bookmarkStart w:id="42" w:name="_GoBack"/>
            <w:r>
              <w:rPr>
                <w:rFonts w:eastAsia="楷体" w:cs="Calibri"/>
                <w:snapToGrid/>
                <w:szCs w:val="20"/>
                <w:lang w:eastAsia="zh-CN"/>
              </w:rPr>
              <w:t>Hold</w:t>
            </w:r>
            <w:bookmarkEnd w:id="42"/>
            <w:r>
              <w:rPr>
                <w:rFonts w:eastAsia="楷体" w:cs="Calibri"/>
                <w:snapToGrid/>
                <w:szCs w:val="20"/>
                <w:lang w:eastAsia="zh-CN"/>
              </w:rPr>
              <w:t>" rating and a target price of 83.01 USD.</w:t>
            </w:r>
          </w:p>
          <w:p w14:paraId="0A6B7C09">
            <w:pPr>
              <w:pStyle w:val="56"/>
              <w:jc w:val="both"/>
              <w:rPr>
                <w:rFonts w:eastAsia="楷体" w:cs="Calibri"/>
                <w:b/>
                <w:bCs/>
                <w:color w:val="23558C"/>
                <w:lang w:eastAsia="zh-CN"/>
              </w:rPr>
            </w:pPr>
            <w:r>
              <w:rPr>
                <w:rFonts w:eastAsia="楷体" w:cs="Calibri"/>
                <w:b/>
                <w:bCs/>
                <w:color w:val="23558C"/>
                <w:lang w:eastAsia="zh-CN"/>
              </w:rPr>
              <w:t>Risk</w:t>
            </w:r>
            <w:r>
              <w:rPr>
                <w:rFonts w:hint="eastAsia" w:eastAsia="楷体" w:cs="Calibri"/>
                <w:b/>
                <w:bCs/>
                <w:color w:val="23558C"/>
                <w:lang w:eastAsia="zh-CN"/>
              </w:rPr>
              <w:t xml:space="preserve">. </w:t>
            </w:r>
            <w:r>
              <w:rPr>
                <w:rFonts w:eastAsia="楷体" w:cs="Calibri"/>
              </w:rPr>
              <w:t>Fluctuations in raw material prices; supply chain disruptions; intensified market competition; changes in customer demand; policy changes.</w:t>
            </w:r>
          </w:p>
          <w:p w14:paraId="58820AA8">
            <w:pPr>
              <w:pStyle w:val="56"/>
              <w:jc w:val="both"/>
              <w:rPr>
                <w:rFonts w:hint="eastAsia" w:ascii="楷体" w:hAnsi="楷体" w:eastAsia="楷体" w:cs="Calibri"/>
                <w:lang w:eastAsia="zh-CN"/>
              </w:rPr>
            </w:pPr>
          </w:p>
        </w:tc>
      </w:tr>
      <w:tr w14:paraId="6957D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14:paraId="160A3A66">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193C2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216F0936">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14:paraId="3BC13243">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14:paraId="7DB1FF6A">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14:paraId="30A085DC">
                  <w:pPr>
                    <w:pStyle w:val="53"/>
                    <w:framePr w:wrap="auto" w:vAnchor="margin" w:hAnchor="text" w:yAlign="inline"/>
                    <w:rPr>
                      <w:rFonts w:eastAsia="MS Gothic" w:cs="等线"/>
                      <w:color w:val="FFFFFF" w:themeColor="background1"/>
                      <w14:textFill>
                        <w14:solidFill>
                          <w14:schemeClr w14:val="bg1"/>
                        </w14:solidFill>
                      </w14:textFill>
                    </w:rPr>
                  </w:pPr>
                </w:p>
              </w:tc>
            </w:tr>
            <w:tr w14:paraId="1641B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3EE9A6D">
                  <w:pPr>
                    <w:pStyle w:val="52"/>
                    <w:framePr w:wrap="auto" w:vAnchor="margin" w:hAnchor="text" w:yAlign="inline"/>
                    <w:rPr>
                      <w:rFonts w:eastAsia="楷体_GB2312" w:cs="等线"/>
                    </w:rPr>
                  </w:pPr>
                  <w:r>
                    <w:rPr>
                      <w:rFonts w:hint="eastAsia" w:eastAsia="楷体_GB2312" w:cs="等线"/>
                    </w:rPr>
                    <w:t>Bin Yang</w:t>
                  </w:r>
                </w:p>
              </w:tc>
              <w:tc>
                <w:tcPr>
                  <w:tcW w:w="2551" w:type="dxa"/>
                </w:tcPr>
                <w:p w14:paraId="63A71273">
                  <w:pPr>
                    <w:pStyle w:val="52"/>
                    <w:framePr w:wrap="auto" w:vAnchor="margin" w:hAnchor="text" w:yAlign="inline"/>
                    <w:rPr>
                      <w:rFonts w:eastAsia="楷体_GB2312" w:cs="等线"/>
                    </w:rPr>
                  </w:pPr>
                </w:p>
              </w:tc>
              <w:tc>
                <w:tcPr>
                  <w:tcW w:w="2693" w:type="dxa"/>
                </w:tcPr>
                <w:p w14:paraId="1B7BB13A">
                  <w:pPr>
                    <w:pStyle w:val="52"/>
                    <w:framePr w:wrap="auto" w:vAnchor="margin" w:hAnchor="text" w:yAlign="inline"/>
                    <w:rPr>
                      <w:rFonts w:eastAsia="楷体_GB2312" w:cs="等线"/>
                    </w:rPr>
                  </w:pPr>
                </w:p>
              </w:tc>
              <w:tc>
                <w:tcPr>
                  <w:tcW w:w="2694" w:type="dxa"/>
                </w:tcPr>
                <w:p w14:paraId="734AC3AD">
                  <w:pPr>
                    <w:pStyle w:val="52"/>
                    <w:framePr w:wrap="auto" w:vAnchor="margin" w:hAnchor="text" w:yAlign="inline"/>
                    <w:rPr>
                      <w:rFonts w:eastAsia="楷体_GB2312" w:cs="等线"/>
                    </w:rPr>
                  </w:pPr>
                </w:p>
              </w:tc>
            </w:tr>
            <w:tr w14:paraId="22497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14:paraId="72926955">
                  <w:pPr>
                    <w:pStyle w:val="52"/>
                    <w:framePr w:wrap="auto" w:vAnchor="margin" w:hAnchor="text" w:yAlign="inline"/>
                    <w:rPr>
                      <w:rFonts w:eastAsia="楷体_GB2312" w:cs="等线"/>
                      <w:b w:val="0"/>
                    </w:rPr>
                  </w:pPr>
                  <w:r>
                    <w:rPr>
                      <w:rFonts w:hint="eastAsia" w:eastAsia="楷体_GB2312" w:cs="等线"/>
                      <w:b w:val="0"/>
                    </w:rPr>
                    <w:t>harryyang</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551" w:type="dxa"/>
                </w:tcPr>
                <w:p w14:paraId="75DFE467">
                  <w:pPr>
                    <w:pStyle w:val="52"/>
                    <w:framePr w:wrap="auto" w:vAnchor="margin" w:hAnchor="text" w:yAlign="inline"/>
                    <w:rPr>
                      <w:rFonts w:eastAsia="楷体_GB2312" w:cs="等线"/>
                      <w:b w:val="0"/>
                    </w:rPr>
                  </w:pPr>
                </w:p>
              </w:tc>
              <w:tc>
                <w:tcPr>
                  <w:tcW w:w="2693" w:type="dxa"/>
                </w:tcPr>
                <w:p w14:paraId="294A2D71">
                  <w:pPr>
                    <w:pStyle w:val="52"/>
                    <w:framePr w:wrap="auto" w:vAnchor="margin" w:hAnchor="text" w:yAlign="inline"/>
                    <w:rPr>
                      <w:rFonts w:eastAsia="楷体_GB2312" w:cs="等线"/>
                      <w:b w:val="0"/>
                    </w:rPr>
                  </w:pPr>
                </w:p>
              </w:tc>
              <w:tc>
                <w:tcPr>
                  <w:tcW w:w="2694" w:type="dxa"/>
                </w:tcPr>
                <w:p w14:paraId="1DBE22CB">
                  <w:pPr>
                    <w:pStyle w:val="52"/>
                    <w:framePr w:wrap="auto" w:vAnchor="margin" w:hAnchor="text" w:yAlign="inline"/>
                    <w:rPr>
                      <w:rFonts w:eastAsia="楷体_GB2312" w:cs="等线"/>
                      <w:b w:val="0"/>
                    </w:rPr>
                  </w:pPr>
                </w:p>
              </w:tc>
            </w:tr>
            <w:tr w14:paraId="1F5A9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78B7393">
                  <w:pPr>
                    <w:pStyle w:val="52"/>
                    <w:framePr w:wrap="auto" w:vAnchor="margin" w:hAnchor="text" w:yAlign="inline"/>
                    <w:rPr>
                      <w:rFonts w:eastAsia="楷体_GB2312" w:cs="等线"/>
                      <w:b w:val="0"/>
                    </w:rPr>
                  </w:pPr>
                </w:p>
              </w:tc>
              <w:tc>
                <w:tcPr>
                  <w:tcW w:w="2551" w:type="dxa"/>
                </w:tcPr>
                <w:p w14:paraId="3BDDC77D">
                  <w:pPr>
                    <w:pStyle w:val="52"/>
                    <w:framePr w:wrap="auto" w:vAnchor="margin" w:hAnchor="text" w:yAlign="inline"/>
                    <w:rPr>
                      <w:rFonts w:eastAsia="楷体_GB2312" w:cs="等线"/>
                      <w:b w:val="0"/>
                    </w:rPr>
                  </w:pPr>
                </w:p>
              </w:tc>
              <w:tc>
                <w:tcPr>
                  <w:tcW w:w="2693" w:type="dxa"/>
                </w:tcPr>
                <w:p w14:paraId="463ACE44">
                  <w:pPr>
                    <w:pStyle w:val="52"/>
                    <w:framePr w:wrap="auto" w:vAnchor="margin" w:hAnchor="text" w:yAlign="inline"/>
                    <w:rPr>
                      <w:rFonts w:eastAsia="楷体_GB2312" w:cs="等线"/>
                      <w:b w:val="0"/>
                    </w:rPr>
                  </w:pPr>
                </w:p>
              </w:tc>
              <w:tc>
                <w:tcPr>
                  <w:tcW w:w="2694" w:type="dxa"/>
                </w:tcPr>
                <w:p w14:paraId="5907E7F5">
                  <w:pPr>
                    <w:pStyle w:val="52"/>
                    <w:framePr w:wrap="auto" w:vAnchor="margin" w:hAnchor="text" w:yAlign="inline"/>
                    <w:rPr>
                      <w:rFonts w:eastAsia="楷体_GB2312" w:cs="等线"/>
                      <w:b w:val="0"/>
                    </w:rPr>
                  </w:pPr>
                </w:p>
              </w:tc>
            </w:tr>
            <w:tr w14:paraId="378C9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1BA6C2F">
                  <w:pPr>
                    <w:pStyle w:val="52"/>
                    <w:framePr w:wrap="auto" w:vAnchor="margin" w:hAnchor="text" w:yAlign="inline"/>
                    <w:rPr>
                      <w:rFonts w:eastAsia="楷体_GB2312" w:cs="等线"/>
                      <w:b w:val="0"/>
                    </w:rPr>
                  </w:pPr>
                </w:p>
              </w:tc>
              <w:tc>
                <w:tcPr>
                  <w:tcW w:w="2551" w:type="dxa"/>
                </w:tcPr>
                <w:p w14:paraId="17D53A64">
                  <w:pPr>
                    <w:pStyle w:val="52"/>
                    <w:framePr w:wrap="auto" w:vAnchor="margin" w:hAnchor="text" w:yAlign="inline"/>
                    <w:rPr>
                      <w:rFonts w:eastAsia="楷体_GB2312" w:cs="等线"/>
                      <w:b w:val="0"/>
                    </w:rPr>
                  </w:pPr>
                </w:p>
              </w:tc>
              <w:tc>
                <w:tcPr>
                  <w:tcW w:w="2693" w:type="dxa"/>
                </w:tcPr>
                <w:p w14:paraId="6A2DD6C8">
                  <w:pPr>
                    <w:pStyle w:val="52"/>
                    <w:framePr w:wrap="auto" w:vAnchor="margin" w:hAnchor="text" w:yAlign="inline"/>
                    <w:rPr>
                      <w:rFonts w:eastAsia="楷体_GB2312" w:cs="等线"/>
                      <w:b w:val="0"/>
                    </w:rPr>
                  </w:pPr>
                </w:p>
              </w:tc>
              <w:tc>
                <w:tcPr>
                  <w:tcW w:w="2694" w:type="dxa"/>
                </w:tcPr>
                <w:p w14:paraId="7B95A94B">
                  <w:pPr>
                    <w:pStyle w:val="52"/>
                    <w:framePr w:wrap="auto" w:vAnchor="margin" w:hAnchor="text" w:yAlign="inline"/>
                    <w:rPr>
                      <w:rFonts w:eastAsia="楷体_GB2312" w:cs="等线"/>
                      <w:b w:val="0"/>
                    </w:rPr>
                  </w:pPr>
                </w:p>
              </w:tc>
            </w:tr>
          </w:tbl>
          <w:p w14:paraId="28BCAD7A">
            <w:pPr>
              <w:pStyle w:val="56"/>
              <w:spacing w:after="0"/>
              <w:jc w:val="both"/>
              <w:rPr>
                <w:rFonts w:eastAsia="楷体_GB2312" w:cs="Calibri"/>
                <w:bCs/>
                <w:kern w:val="28"/>
                <w:lang w:eastAsia="zh-CN"/>
              </w:rPr>
            </w:pPr>
          </w:p>
        </w:tc>
      </w:tr>
    </w:tbl>
    <w:p w14:paraId="6A2F4068">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ascii="Times New Roman Regular" w:hAnsi="Times New Roman Regular" w:eastAsia="楷体" w:cs="Times New Roman Regular"/>
          <w:b/>
          <w:snapToGrid w:val="0"/>
          <w:color w:val="auto"/>
          <w:sz w:val="16"/>
          <w:szCs w:val="32"/>
          <w:lang w:val="zh-CN" w:eastAsia="ja-JP"/>
        </w:rPr>
        <w:id w:val="393165253"/>
        <w:docPartObj>
          <w:docPartGallery w:val="Table of Contents"/>
          <w:docPartUnique/>
        </w:docPartObj>
      </w:sdtPr>
      <w:sdtEndPr>
        <w:rPr>
          <w:rFonts w:hint="eastAsia" w:cs="Calibri" w:asciiTheme="majorHAnsi" w:hAnsiTheme="majorHAnsi" w:eastAsiaTheme="majorEastAsia"/>
          <w:b/>
          <w:bCs/>
          <w:snapToGrid/>
          <w:color w:val="104862" w:themeColor="accent1" w:themeShade="BF"/>
          <w:sz w:val="32"/>
          <w:szCs w:val="48"/>
          <w:lang w:val="zh-CN" w:eastAsia="ja-JP"/>
        </w:rPr>
      </w:sdtEndPr>
      <w:sdtContent>
        <w:sdt>
          <w:sdtPr>
            <w:rPr>
              <w:rFonts w:ascii="Calibri" w:hAnsi="Calibri" w:eastAsia="MS Mincho" w:cs="Calibri"/>
              <w:b/>
              <w:snapToGrid w:val="0"/>
              <w:color w:val="auto"/>
              <w:sz w:val="16"/>
              <w:szCs w:val="16"/>
              <w:lang w:val="zh-CN" w:eastAsia="ja-JP"/>
            </w:rPr>
            <w:id w:val="1839496058"/>
            <w:docPartObj>
              <w:docPartGallery w:val="Table of Contents"/>
              <w:docPartUnique/>
            </w:docPartObj>
          </w:sdtPr>
          <w:sdtEndPr>
            <w:rPr>
              <w:rFonts w:ascii="Calibri" w:hAnsi="Calibri" w:eastAsia="MS Mincho" w:cs="Calibri"/>
              <w:b/>
              <w:bCs/>
              <w:snapToGrid w:val="0"/>
              <w:color w:val="auto"/>
              <w:sz w:val="16"/>
              <w:szCs w:val="16"/>
              <w:lang w:val="zh-CN" w:eastAsia="zh-CN"/>
            </w:rPr>
          </w:sdtEndPr>
          <w:sdtContent>
            <w:p w14:paraId="2418D398">
              <w:pPr>
                <w:pStyle w:val="73"/>
                <w:rPr>
                  <w:rFonts w:ascii="Calibri" w:hAnsi="Calibri" w:eastAsia="宋体" w:cs="Calibri"/>
                  <w:b/>
                  <w:color w:val="auto"/>
                </w:rPr>
              </w:pPr>
              <w:r>
                <w:rPr>
                  <w:rFonts w:ascii="Calibri" w:hAnsi="Calibri" w:eastAsia="宋体" w:cs="Calibri"/>
                  <w:b/>
                  <w:color w:val="auto"/>
                  <w:lang w:val="zh-CN"/>
                </w:rPr>
                <w:t>Contents</w:t>
              </w:r>
            </w:p>
            <w:p w14:paraId="3062084F">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"_Toc220589924" </w:instrText>
              </w:r>
              <w:r>
                <w:fldChar w:fldCharType="separate"/>
              </w:r>
              <w:r>
                <w:rPr>
                  <w:rStyle w:val="23"/>
                  <w:rFonts w:ascii="Calibri" w:hAnsi="Calibri" w:eastAsia="楷体" w:cs="Calibri"/>
                  <w:b/>
                  <w:bCs/>
                </w:rPr>
                <w:t xml:space="preserve">1 </w:t>
              </w:r>
              <w:r>
                <w:rPr>
                  <w:rStyle w:val="23"/>
                  <w:rFonts w:ascii="Calibri" w:hAnsi="Calibri" w:eastAsia="Helvetica Neue" w:cs="Calibri"/>
                  <w:b/>
                  <w:shd w:val="clear" w:color="auto" w:fill="FFFFFF"/>
                  <w:lang w:bidi="ar"/>
                </w:rPr>
                <w:t>Textron: A Diversified Industrial Giant with Over Forty Years of History</w:t>
              </w:r>
              <w:r>
                <w:rPr>
                  <w:rFonts w:hint="eastAsia"/>
                </w:rPr>
                <w:tab/>
              </w:r>
              <w:r>
                <w:rPr>
                  <w:rFonts w:hint="eastAsia"/>
                </w:rPr>
                <w:fldChar w:fldCharType="begin"/>
              </w:r>
              <w:r>
                <w:rPr>
                  <w:rFonts w:hint="eastAsia"/>
                </w:rPr>
                <w:instrText xml:space="preserve"> </w:instrText>
              </w:r>
              <w:r>
                <w:instrText xml:space="preserve">PAGEREF _Toc220589924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BE592FF">
              <w:pPr>
                <w:pStyle w:val="16"/>
                <w:tabs>
                  <w:tab w:val="right" w:leader="dot" w:pos="7733"/>
                </w:tabs>
                <w:rPr>
                  <w:rFonts w:hint="eastAsia" w:cstheme="minorBidi"/>
                  <w:kern w:val="2"/>
                  <w:szCs w:val="24"/>
                  <w14:ligatures w14:val="standardContextual"/>
                </w:rPr>
              </w:pPr>
              <w:r>
                <w:fldChar w:fldCharType="begin"/>
              </w:r>
              <w:r>
                <w:instrText xml:space="preserve"> HYPERLINK \l "_Toc220589925" </w:instrText>
              </w:r>
              <w:r>
                <w:fldChar w:fldCharType="separate"/>
              </w:r>
              <w:r>
                <w:rPr>
                  <w:rStyle w:val="23"/>
                  <w:rFonts w:ascii="Calibri" w:hAnsi="Calibri" w:eastAsia="楷体" w:cs="Calibri"/>
                </w:rPr>
                <w:t>1.1 Company Overview</w:t>
              </w:r>
              <w:r>
                <w:rPr>
                  <w:rFonts w:hint="eastAsia"/>
                </w:rPr>
                <w:tab/>
              </w:r>
              <w:r>
                <w:rPr>
                  <w:rFonts w:hint="eastAsia"/>
                </w:rPr>
                <w:fldChar w:fldCharType="begin"/>
              </w:r>
              <w:r>
                <w:rPr>
                  <w:rFonts w:hint="eastAsia"/>
                </w:rPr>
                <w:instrText xml:space="preserve"> </w:instrText>
              </w:r>
              <w:r>
                <w:instrText xml:space="preserve">PAGEREF _Toc220589925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1451860">
              <w:pPr>
                <w:pStyle w:val="16"/>
                <w:tabs>
                  <w:tab w:val="right" w:leader="dot" w:pos="7733"/>
                </w:tabs>
                <w:rPr>
                  <w:rFonts w:hint="eastAsia" w:cstheme="minorBidi"/>
                  <w:kern w:val="2"/>
                  <w:szCs w:val="24"/>
                  <w14:ligatures w14:val="standardContextual"/>
                </w:rPr>
              </w:pPr>
              <w:r>
                <w:fldChar w:fldCharType="begin"/>
              </w:r>
              <w:r>
                <w:instrText xml:space="preserve"> HYPERLINK \l "_Toc220589926" </w:instrText>
              </w:r>
              <w:r>
                <w:fldChar w:fldCharType="separate"/>
              </w:r>
              <w:r>
                <w:rPr>
                  <w:rStyle w:val="23"/>
                  <w:rFonts w:ascii="Calibri" w:hAnsi="Calibri" w:eastAsia="楷体" w:cs="Calibri"/>
                </w:rPr>
                <w:t>1.2 Ownership Structure &amp; Management</w:t>
              </w:r>
              <w:r>
                <w:rPr>
                  <w:rFonts w:hint="eastAsia"/>
                </w:rPr>
                <w:tab/>
              </w:r>
              <w:r>
                <w:rPr>
                  <w:rFonts w:hint="eastAsia"/>
                </w:rPr>
                <w:fldChar w:fldCharType="begin"/>
              </w:r>
              <w:r>
                <w:rPr>
                  <w:rFonts w:hint="eastAsia"/>
                </w:rPr>
                <w:instrText xml:space="preserve"> </w:instrText>
              </w:r>
              <w:r>
                <w:instrText xml:space="preserve">PAGEREF _Toc220589926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2C50F9E">
              <w:pPr>
                <w:pStyle w:val="16"/>
                <w:tabs>
                  <w:tab w:val="right" w:leader="dot" w:pos="7733"/>
                </w:tabs>
                <w:rPr>
                  <w:rFonts w:hint="eastAsia" w:cstheme="minorBidi"/>
                  <w:kern w:val="2"/>
                  <w:szCs w:val="24"/>
                  <w14:ligatures w14:val="standardContextual"/>
                </w:rPr>
              </w:pPr>
              <w:r>
                <w:fldChar w:fldCharType="begin"/>
              </w:r>
              <w:r>
                <w:instrText xml:space="preserve"> HYPERLINK \l "_Toc220589927" </w:instrText>
              </w:r>
              <w:r>
                <w:fldChar w:fldCharType="separate"/>
              </w:r>
              <w:r>
                <w:rPr>
                  <w:rStyle w:val="23"/>
                  <w:rFonts w:ascii="Calibri" w:hAnsi="Calibri" w:eastAsia="楷体" w:cs="Calibri"/>
                </w:rPr>
                <w:t>1.3 Financial Performance</w:t>
              </w:r>
              <w:r>
                <w:rPr>
                  <w:rFonts w:hint="eastAsia"/>
                </w:rPr>
                <w:tab/>
              </w:r>
              <w:r>
                <w:rPr>
                  <w:rFonts w:hint="eastAsia"/>
                </w:rPr>
                <w:fldChar w:fldCharType="begin"/>
              </w:r>
              <w:r>
                <w:rPr>
                  <w:rFonts w:hint="eastAsia"/>
                </w:rPr>
                <w:instrText xml:space="preserve"> </w:instrText>
              </w:r>
              <w:r>
                <w:instrText xml:space="preserve">PAGEREF _Toc220589927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CF4D3DF">
              <w:pPr>
                <w:pStyle w:val="14"/>
                <w:tabs>
                  <w:tab w:val="right" w:leader="dot" w:pos="7733"/>
                </w:tabs>
                <w:rPr>
                  <w:rFonts w:hint="eastAsia" w:cstheme="minorBidi"/>
                  <w:kern w:val="2"/>
                  <w:szCs w:val="24"/>
                  <w14:ligatures w14:val="standardContextual"/>
                </w:rPr>
              </w:pPr>
              <w:r>
                <w:fldChar w:fldCharType="begin"/>
              </w:r>
              <w:r>
                <w:instrText xml:space="preserve"> HYPERLINK \l "_Toc220589928" </w:instrText>
              </w:r>
              <w:r>
                <w:fldChar w:fldCharType="separate"/>
              </w:r>
              <w:r>
                <w:rPr>
                  <w:rStyle w:val="23"/>
                  <w:rFonts w:ascii="Calibri" w:hAnsi="Calibri" w:eastAsia="楷体" w:cs="Calibri"/>
                  <w:b/>
                  <w:bCs/>
                </w:rPr>
                <w:t>2 Textron Aviation: Broad Product Portfolio with Global Leadership in Business Jets</w:t>
              </w:r>
              <w:r>
                <w:rPr>
                  <w:rFonts w:hint="eastAsia"/>
                </w:rPr>
                <w:tab/>
              </w:r>
              <w:r>
                <w:rPr>
                  <w:rFonts w:hint="eastAsia"/>
                </w:rPr>
                <w:fldChar w:fldCharType="begin"/>
              </w:r>
              <w:r>
                <w:rPr>
                  <w:rFonts w:hint="eastAsia"/>
                </w:rPr>
                <w:instrText xml:space="preserve"> </w:instrText>
              </w:r>
              <w:r>
                <w:instrText xml:space="preserve">PAGEREF _Toc220589928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37710A0D">
              <w:pPr>
                <w:pStyle w:val="16"/>
                <w:tabs>
                  <w:tab w:val="right" w:leader="dot" w:pos="7733"/>
                </w:tabs>
                <w:rPr>
                  <w:rFonts w:hint="eastAsia" w:cstheme="minorBidi"/>
                  <w:kern w:val="2"/>
                  <w:szCs w:val="24"/>
                  <w14:ligatures w14:val="standardContextual"/>
                </w:rPr>
              </w:pPr>
              <w:r>
                <w:fldChar w:fldCharType="begin"/>
              </w:r>
              <w:r>
                <w:instrText xml:space="preserve"> HYPERLINK \l "_Toc220589929" </w:instrText>
              </w:r>
              <w:r>
                <w:fldChar w:fldCharType="separate"/>
              </w:r>
              <w:r>
                <w:rPr>
                  <w:rStyle w:val="23"/>
                  <w:rFonts w:ascii="Calibri" w:hAnsi="Calibri" w:eastAsia="楷体" w:cs="Calibri"/>
                </w:rPr>
                <w:t>2.1Business Jets: Cessna Maintains a Clear Global Lead</w:t>
              </w:r>
              <w:r>
                <w:rPr>
                  <w:rFonts w:hint="eastAsia"/>
                </w:rPr>
                <w:tab/>
              </w:r>
              <w:r>
                <w:rPr>
                  <w:rFonts w:hint="eastAsia"/>
                </w:rPr>
                <w:fldChar w:fldCharType="begin"/>
              </w:r>
              <w:r>
                <w:rPr>
                  <w:rFonts w:hint="eastAsia"/>
                </w:rPr>
                <w:instrText xml:space="preserve"> </w:instrText>
              </w:r>
              <w:r>
                <w:instrText xml:space="preserve">PAGEREF _Toc220589929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069B5EC1">
              <w:pPr>
                <w:pStyle w:val="16"/>
                <w:tabs>
                  <w:tab w:val="right" w:leader="dot" w:pos="7733"/>
                </w:tabs>
                <w:rPr>
                  <w:rFonts w:hint="eastAsia" w:cstheme="minorBidi"/>
                  <w:kern w:val="2"/>
                  <w:szCs w:val="24"/>
                  <w14:ligatures w14:val="standardContextual"/>
                </w:rPr>
              </w:pPr>
              <w:r>
                <w:fldChar w:fldCharType="begin"/>
              </w:r>
              <w:r>
                <w:instrText xml:space="preserve"> HYPERLINK \l "_Toc220589930" </w:instrText>
              </w:r>
              <w:r>
                <w:fldChar w:fldCharType="separate"/>
              </w:r>
              <w:r>
                <w:rPr>
                  <w:rStyle w:val="23"/>
                  <w:rFonts w:ascii="Calibri" w:hAnsi="Calibri" w:eastAsia="楷体" w:cs="Calibri"/>
                </w:rPr>
                <w:t>2.2 Why Is the Cessna Jet Series the Global Leader?</w:t>
              </w:r>
              <w:r>
                <w:rPr>
                  <w:rFonts w:hint="eastAsia"/>
                </w:rPr>
                <w:tab/>
              </w:r>
              <w:r>
                <w:rPr>
                  <w:rFonts w:hint="eastAsia"/>
                </w:rPr>
                <w:fldChar w:fldCharType="begin"/>
              </w:r>
              <w:r>
                <w:rPr>
                  <w:rFonts w:hint="eastAsia"/>
                </w:rPr>
                <w:instrText xml:space="preserve"> </w:instrText>
              </w:r>
              <w:r>
                <w:instrText xml:space="preserve">PAGEREF _Toc220589930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18ED746">
              <w:pPr>
                <w:pStyle w:val="16"/>
                <w:tabs>
                  <w:tab w:val="right" w:leader="dot" w:pos="7733"/>
                </w:tabs>
                <w:rPr>
                  <w:rFonts w:hint="eastAsia" w:cstheme="minorBidi"/>
                  <w:kern w:val="2"/>
                  <w:szCs w:val="24"/>
                  <w14:ligatures w14:val="standardContextual"/>
                </w:rPr>
              </w:pPr>
              <w:r>
                <w:fldChar w:fldCharType="begin"/>
              </w:r>
              <w:r>
                <w:instrText xml:space="preserve"> HYPERLINK \l "_Toc220589931" </w:instrText>
              </w:r>
              <w:r>
                <w:fldChar w:fldCharType="separate"/>
              </w:r>
              <w:r>
                <w:rPr>
                  <w:rStyle w:val="23"/>
                  <w:rFonts w:ascii="Calibri" w:hAnsi="Calibri" w:eastAsia="楷体" w:cs="Calibri"/>
                </w:rPr>
                <w:t>2.3 Cessna Orders Outpace Supply,</w:t>
              </w:r>
              <w:r>
                <w:rPr>
                  <w:rStyle w:val="23"/>
                  <w:rFonts w:ascii="Segoe UI" w:hAnsi="Segoe UI" w:eastAsia="MS Mincho" w:cs="Segoe UI"/>
                  <w:snapToGrid w:val="0"/>
                  <w:shd w:val="clear" w:color="auto" w:fill="FFFFFF"/>
                </w:rPr>
                <w:t xml:space="preserve"> </w:t>
              </w:r>
              <w:r>
                <w:rPr>
                  <w:rStyle w:val="23"/>
                  <w:rFonts w:ascii="Calibri" w:hAnsi="Calibri" w:eastAsia="楷体" w:cs="Calibri"/>
                </w:rPr>
                <w:t>Production still needs to increase</w:t>
              </w:r>
              <w:r>
                <w:rPr>
                  <w:rFonts w:hint="eastAsia"/>
                </w:rPr>
                <w:tab/>
              </w:r>
              <w:r>
                <w:rPr>
                  <w:rFonts w:hint="eastAsia"/>
                </w:rPr>
                <w:fldChar w:fldCharType="begin"/>
              </w:r>
              <w:r>
                <w:rPr>
                  <w:rFonts w:hint="eastAsia"/>
                </w:rPr>
                <w:instrText xml:space="preserve"> </w:instrText>
              </w:r>
              <w:r>
                <w:instrText xml:space="preserve">PAGEREF _Toc220589931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2FE56502">
              <w:pPr>
                <w:pStyle w:val="14"/>
                <w:tabs>
                  <w:tab w:val="right" w:leader="dot" w:pos="7733"/>
                </w:tabs>
                <w:rPr>
                  <w:rFonts w:hint="eastAsia" w:cstheme="minorBidi"/>
                  <w:kern w:val="2"/>
                  <w:szCs w:val="24"/>
                  <w14:ligatures w14:val="standardContextual"/>
                </w:rPr>
              </w:pPr>
              <w:r>
                <w:fldChar w:fldCharType="begin"/>
              </w:r>
              <w:r>
                <w:instrText xml:space="preserve"> HYPERLINK \l "_Toc220589932" </w:instrText>
              </w:r>
              <w:r>
                <w:fldChar w:fldCharType="separate"/>
              </w:r>
              <w:r>
                <w:rPr>
                  <w:rStyle w:val="23"/>
                  <w:rFonts w:ascii="Calibri" w:hAnsi="Calibri" w:eastAsia="楷体" w:cs="Calibri"/>
                  <w:b/>
                  <w:bCs/>
                </w:rPr>
                <w:t>3 Bell Segment: Accelerating Military and Commercial Deliveries</w:t>
              </w:r>
              <w:r>
                <w:rPr>
                  <w:rFonts w:hint="eastAsia"/>
                </w:rPr>
                <w:tab/>
              </w:r>
              <w:r>
                <w:rPr>
                  <w:rFonts w:hint="eastAsia"/>
                </w:rPr>
                <w:fldChar w:fldCharType="begin"/>
              </w:r>
              <w:r>
                <w:rPr>
                  <w:rFonts w:hint="eastAsia"/>
                </w:rPr>
                <w:instrText xml:space="preserve"> </w:instrText>
              </w:r>
              <w:r>
                <w:instrText xml:space="preserve">PAGEREF _Toc220589932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0E60C9A2">
              <w:pPr>
                <w:pStyle w:val="16"/>
                <w:tabs>
                  <w:tab w:val="right" w:leader="dot" w:pos="7733"/>
                </w:tabs>
                <w:rPr>
                  <w:rFonts w:hint="eastAsia" w:cstheme="minorBidi"/>
                  <w:kern w:val="2"/>
                  <w:szCs w:val="24"/>
                  <w14:ligatures w14:val="standardContextual"/>
                </w:rPr>
              </w:pPr>
              <w:r>
                <w:fldChar w:fldCharType="begin"/>
              </w:r>
              <w:r>
                <w:instrText xml:space="preserve"> HYPERLINK \l "_Toc220589933" </w:instrText>
              </w:r>
              <w:r>
                <w:fldChar w:fldCharType="separate"/>
              </w:r>
              <w:r>
                <w:rPr>
                  <w:rStyle w:val="23"/>
                  <w:rFonts w:ascii="Calibri" w:hAnsi="Calibri" w:eastAsia="楷体" w:cs="Calibri"/>
                </w:rPr>
                <w:t>3.1 Military aircraft: MV-75 as a key growth driver</w:t>
              </w:r>
              <w:r>
                <w:rPr>
                  <w:rFonts w:hint="eastAsia"/>
                </w:rPr>
                <w:tab/>
              </w:r>
              <w:r>
                <w:rPr>
                  <w:rFonts w:hint="eastAsia"/>
                </w:rPr>
                <w:fldChar w:fldCharType="begin"/>
              </w:r>
              <w:r>
                <w:rPr>
                  <w:rFonts w:hint="eastAsia"/>
                </w:rPr>
                <w:instrText xml:space="preserve"> </w:instrText>
              </w:r>
              <w:r>
                <w:instrText xml:space="preserve">PAGEREF _Toc220589933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3223FF67">
              <w:pPr>
                <w:pStyle w:val="16"/>
                <w:tabs>
                  <w:tab w:val="right" w:leader="dot" w:pos="7733"/>
                </w:tabs>
                <w:rPr>
                  <w:rFonts w:hint="eastAsia" w:cstheme="minorBidi"/>
                  <w:kern w:val="2"/>
                  <w:szCs w:val="24"/>
                  <w14:ligatures w14:val="standardContextual"/>
                </w:rPr>
              </w:pPr>
              <w:r>
                <w:fldChar w:fldCharType="begin"/>
              </w:r>
              <w:r>
                <w:instrText xml:space="preserve"> HYPERLINK \l "_Toc220589934" </w:instrText>
              </w:r>
              <w:r>
                <w:fldChar w:fldCharType="separate"/>
              </w:r>
              <w:r>
                <w:rPr>
                  <w:rStyle w:val="23"/>
                  <w:rFonts w:ascii="Calibri" w:hAnsi="Calibri" w:eastAsia="楷体" w:cs="Calibri"/>
                </w:rPr>
                <w:t>3.2</w:t>
              </w:r>
              <w:r>
                <w:rPr>
                  <w:rStyle w:val="23"/>
                  <w:rFonts w:ascii="Calibri" w:hAnsi="Calibri" w:cs="Calibri"/>
                  <w:snapToGrid w:val="0"/>
                </w:rPr>
                <w:t xml:space="preserve"> </w:t>
              </w:r>
              <w:r>
                <w:rPr>
                  <w:rStyle w:val="23"/>
                  <w:rFonts w:ascii="Calibri" w:hAnsi="Calibri" w:eastAsia="楷体" w:cs="Calibri"/>
                </w:rPr>
                <w:t>Commercial aircraft: Strong demand with improving deliveries</w:t>
              </w:r>
              <w:r>
                <w:rPr>
                  <w:rFonts w:hint="eastAsia"/>
                </w:rPr>
                <w:tab/>
              </w:r>
              <w:r>
                <w:rPr>
                  <w:rFonts w:hint="eastAsia"/>
                </w:rPr>
                <w:fldChar w:fldCharType="begin"/>
              </w:r>
              <w:r>
                <w:rPr>
                  <w:rFonts w:hint="eastAsia"/>
                </w:rPr>
                <w:instrText xml:space="preserve"> </w:instrText>
              </w:r>
              <w:r>
                <w:instrText xml:space="preserve">PAGEREF _Toc220589934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2A09EB0F">
              <w:pPr>
                <w:pStyle w:val="14"/>
                <w:tabs>
                  <w:tab w:val="right" w:leader="dot" w:pos="7733"/>
                </w:tabs>
                <w:rPr>
                  <w:rFonts w:hint="eastAsia" w:cstheme="minorBidi"/>
                  <w:kern w:val="2"/>
                  <w:szCs w:val="24"/>
                  <w14:ligatures w14:val="standardContextual"/>
                </w:rPr>
              </w:pPr>
              <w:r>
                <w:fldChar w:fldCharType="begin"/>
              </w:r>
              <w:r>
                <w:instrText xml:space="preserve"> HYPERLINK \l "_Toc220589935" </w:instrText>
              </w:r>
              <w:r>
                <w:fldChar w:fldCharType="separate"/>
              </w:r>
              <w:r>
                <w:rPr>
                  <w:rStyle w:val="23"/>
                  <w:rFonts w:ascii="Calibri" w:hAnsi="Calibri" w:eastAsia="楷体" w:cs="Calibri"/>
                  <w:b/>
                  <w:bCs/>
                </w:rPr>
                <w:t>4 Industrial Business Segment: Segment business performance is different</w:t>
              </w:r>
              <w:r>
                <w:rPr>
                  <w:rFonts w:hint="eastAsia"/>
                </w:rPr>
                <w:tab/>
              </w:r>
              <w:r>
                <w:rPr>
                  <w:rFonts w:hint="eastAsia"/>
                </w:rPr>
                <w:fldChar w:fldCharType="begin"/>
              </w:r>
              <w:r>
                <w:rPr>
                  <w:rFonts w:hint="eastAsia"/>
                </w:rPr>
                <w:instrText xml:space="preserve"> </w:instrText>
              </w:r>
              <w:r>
                <w:instrText xml:space="preserve">PAGEREF _Toc220589935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598B73B7">
              <w:pPr>
                <w:pStyle w:val="16"/>
                <w:tabs>
                  <w:tab w:val="right" w:leader="dot" w:pos="7733"/>
                </w:tabs>
                <w:rPr>
                  <w:rFonts w:hint="eastAsia" w:cstheme="minorBidi"/>
                  <w:kern w:val="2"/>
                  <w:szCs w:val="24"/>
                  <w14:ligatures w14:val="standardContextual"/>
                </w:rPr>
              </w:pPr>
              <w:r>
                <w:fldChar w:fldCharType="begin"/>
              </w:r>
              <w:r>
                <w:instrText xml:space="preserve"> HYPERLINK \l "_Toc220589936" </w:instrText>
              </w:r>
              <w:r>
                <w:fldChar w:fldCharType="separate"/>
              </w:r>
              <w:r>
                <w:rPr>
                  <w:rStyle w:val="23"/>
                  <w:rFonts w:ascii="Calibri" w:hAnsi="Calibri" w:eastAsia="楷体" w:cs="Calibri"/>
                </w:rPr>
                <w:t>4.1 Kautex: PHEV+EV Penetration Rate Increase Drives Business Revenue Upward</w:t>
              </w:r>
              <w:r>
                <w:rPr>
                  <w:rFonts w:hint="eastAsia"/>
                </w:rPr>
                <w:tab/>
              </w:r>
              <w:r>
                <w:rPr>
                  <w:rFonts w:hint="eastAsia"/>
                </w:rPr>
                <w:fldChar w:fldCharType="begin"/>
              </w:r>
              <w:r>
                <w:rPr>
                  <w:rFonts w:hint="eastAsia"/>
                </w:rPr>
                <w:instrText xml:space="preserve"> </w:instrText>
              </w:r>
              <w:r>
                <w:instrText xml:space="preserve">PAGEREF _Toc220589936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5E32871">
              <w:pPr>
                <w:pStyle w:val="16"/>
                <w:tabs>
                  <w:tab w:val="right" w:leader="dot" w:pos="7733"/>
                </w:tabs>
                <w:rPr>
                  <w:rFonts w:hint="eastAsia" w:cstheme="minorBidi"/>
                  <w:kern w:val="2"/>
                  <w:szCs w:val="24"/>
                  <w14:ligatures w14:val="standardContextual"/>
                </w:rPr>
              </w:pPr>
              <w:r>
                <w:fldChar w:fldCharType="begin"/>
              </w:r>
              <w:r>
                <w:instrText xml:space="preserve"> HYPERLINK \l "_Toc220589937" </w:instrText>
              </w:r>
              <w:r>
                <w:fldChar w:fldCharType="separate"/>
              </w:r>
              <w:r>
                <w:rPr>
                  <w:rStyle w:val="23"/>
                  <w:rFonts w:ascii="Calibri" w:hAnsi="Calibri" w:eastAsia="楷体" w:cs="Calibri"/>
                </w:rPr>
                <w:t>4.2 Specialized Vehicles: Demand fluctuates, with limited Short-term Momentum</w:t>
              </w:r>
              <w:r>
                <w:rPr>
                  <w:rFonts w:hint="eastAsia"/>
                </w:rPr>
                <w:tab/>
              </w:r>
              <w:r>
                <w:rPr>
                  <w:rFonts w:hint="eastAsia"/>
                </w:rPr>
                <w:fldChar w:fldCharType="begin"/>
              </w:r>
              <w:r>
                <w:rPr>
                  <w:rFonts w:hint="eastAsia"/>
                </w:rPr>
                <w:instrText xml:space="preserve"> </w:instrText>
              </w:r>
              <w:r>
                <w:instrText xml:space="preserve">PAGEREF _Toc220589937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069365A6">
              <w:pPr>
                <w:pStyle w:val="14"/>
                <w:tabs>
                  <w:tab w:val="right" w:leader="dot" w:pos="7733"/>
                </w:tabs>
                <w:rPr>
                  <w:rFonts w:hint="eastAsia" w:cstheme="minorBidi"/>
                  <w:kern w:val="2"/>
                  <w:szCs w:val="24"/>
                  <w14:ligatures w14:val="standardContextual"/>
                </w:rPr>
              </w:pPr>
              <w:r>
                <w:fldChar w:fldCharType="begin"/>
              </w:r>
              <w:r>
                <w:instrText xml:space="preserve"> HYPERLINK \l "_Toc220589938" </w:instrText>
              </w:r>
              <w:r>
                <w:fldChar w:fldCharType="separate"/>
              </w:r>
              <w:r>
                <w:rPr>
                  <w:rStyle w:val="23"/>
                  <w:rFonts w:ascii="Calibri" w:hAnsi="Calibri" w:eastAsia="楷体" w:cs="Calibri"/>
                  <w:b/>
                  <w:bCs/>
                </w:rPr>
                <w:t>5 Defense Systems Segment: Short-Term Order-Driven Improvement</w:t>
              </w:r>
              <w:r>
                <w:rPr>
                  <w:rFonts w:hint="eastAsia"/>
                </w:rPr>
                <w:tab/>
              </w:r>
              <w:r>
                <w:rPr>
                  <w:rFonts w:hint="eastAsia"/>
                </w:rPr>
                <w:fldChar w:fldCharType="begin"/>
              </w:r>
              <w:r>
                <w:rPr>
                  <w:rFonts w:hint="eastAsia"/>
                </w:rPr>
                <w:instrText xml:space="preserve"> </w:instrText>
              </w:r>
              <w:r>
                <w:instrText xml:space="preserve">PAGEREF _Toc220589938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5FAF48AD">
              <w:pPr>
                <w:pStyle w:val="14"/>
                <w:tabs>
                  <w:tab w:val="right" w:leader="dot" w:pos="7733"/>
                </w:tabs>
                <w:rPr>
                  <w:rFonts w:hint="eastAsia" w:cstheme="minorBidi"/>
                  <w:kern w:val="2"/>
                  <w:szCs w:val="24"/>
                  <w14:ligatures w14:val="standardContextual"/>
                </w:rPr>
              </w:pPr>
              <w:r>
                <w:fldChar w:fldCharType="begin"/>
              </w:r>
              <w:r>
                <w:instrText xml:space="preserve"> HYPERLINK \l "_Toc220589939" </w:instrText>
              </w:r>
              <w:r>
                <w:fldChar w:fldCharType="separate"/>
              </w:r>
              <w:r>
                <w:rPr>
                  <w:rStyle w:val="23"/>
                  <w:rFonts w:ascii="Calibri" w:hAnsi="Calibri" w:eastAsia="楷体" w:cs="Calibri"/>
                  <w:b/>
                  <w:bCs/>
                </w:rPr>
                <w:t>6.</w:t>
              </w:r>
              <w:r>
                <w:rPr>
                  <w:rStyle w:val="23"/>
                  <w:rFonts w:ascii="Calibri" w:hAnsi="Calibri" w:cs="Calibri"/>
                </w:rPr>
                <w:t xml:space="preserve"> </w:t>
              </w:r>
              <w:r>
                <w:rPr>
                  <w:rStyle w:val="23"/>
                  <w:rFonts w:ascii="Calibri" w:hAnsi="Calibri" w:eastAsia="楷体" w:cs="Calibri"/>
                  <w:b/>
                  <w:bCs/>
                </w:rPr>
                <w:t>Valuation&amp; Recommendation</w:t>
              </w:r>
              <w:r>
                <w:rPr>
                  <w:rFonts w:hint="eastAsia"/>
                </w:rPr>
                <w:tab/>
              </w:r>
              <w:r>
                <w:rPr>
                  <w:rFonts w:hint="eastAsia"/>
                </w:rPr>
                <w:fldChar w:fldCharType="begin"/>
              </w:r>
              <w:r>
                <w:rPr>
                  <w:rFonts w:hint="eastAsia"/>
                </w:rPr>
                <w:instrText xml:space="preserve"> </w:instrText>
              </w:r>
              <w:r>
                <w:instrText xml:space="preserve">PAGEREF _Toc220589939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6283F79A">
              <w:pPr>
                <w:pStyle w:val="16"/>
                <w:tabs>
                  <w:tab w:val="right" w:leader="dot" w:pos="7733"/>
                </w:tabs>
                <w:rPr>
                  <w:rFonts w:hint="eastAsia" w:cstheme="minorBidi"/>
                  <w:kern w:val="2"/>
                  <w:szCs w:val="24"/>
                  <w14:ligatures w14:val="standardContextual"/>
                </w:rPr>
              </w:pPr>
              <w:r>
                <w:fldChar w:fldCharType="begin"/>
              </w:r>
              <w:r>
                <w:instrText xml:space="preserve"> HYPERLINK \l "_Toc220589940" </w:instrText>
              </w:r>
              <w:r>
                <w:fldChar w:fldCharType="separate"/>
              </w:r>
              <w:r>
                <w:rPr>
                  <w:rStyle w:val="23"/>
                  <w:rFonts w:ascii="Calibri" w:hAnsi="Calibri" w:eastAsia="楷体" w:cs="Calibri"/>
                </w:rPr>
                <w:t>6.1 Profit Forecast</w:t>
              </w:r>
              <w:r>
                <w:rPr>
                  <w:rFonts w:hint="eastAsia"/>
                </w:rPr>
                <w:tab/>
              </w:r>
              <w:r>
                <w:rPr>
                  <w:rFonts w:hint="eastAsia"/>
                </w:rPr>
                <w:fldChar w:fldCharType="begin"/>
              </w:r>
              <w:r>
                <w:rPr>
                  <w:rFonts w:hint="eastAsia"/>
                </w:rPr>
                <w:instrText xml:space="preserve"> </w:instrText>
              </w:r>
              <w:r>
                <w:instrText xml:space="preserve">PAGEREF _Toc220589940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7BBEB837">
              <w:pPr>
                <w:pStyle w:val="16"/>
                <w:tabs>
                  <w:tab w:val="right" w:leader="dot" w:pos="7733"/>
                </w:tabs>
                <w:rPr>
                  <w:rFonts w:hint="eastAsia" w:cstheme="minorBidi"/>
                  <w:kern w:val="2"/>
                  <w:szCs w:val="24"/>
                  <w14:ligatures w14:val="standardContextual"/>
                </w:rPr>
              </w:pPr>
              <w:r>
                <w:fldChar w:fldCharType="begin"/>
              </w:r>
              <w:r>
                <w:instrText xml:space="preserve"> HYPERLINK \l "_Toc220589941" </w:instrText>
              </w:r>
              <w:r>
                <w:fldChar w:fldCharType="separate"/>
              </w:r>
              <w:r>
                <w:rPr>
                  <w:rStyle w:val="23"/>
                  <w:rFonts w:ascii="Calibri" w:hAnsi="Calibri" w:eastAsia="楷体" w:cs="Calibri"/>
                </w:rPr>
                <w:t>6.2 Valuation Analysis</w:t>
              </w:r>
              <w:r>
                <w:rPr>
                  <w:rFonts w:hint="eastAsia"/>
                </w:rPr>
                <w:tab/>
              </w:r>
              <w:r>
                <w:rPr>
                  <w:rFonts w:hint="eastAsia"/>
                </w:rPr>
                <w:fldChar w:fldCharType="begin"/>
              </w:r>
              <w:r>
                <w:rPr>
                  <w:rFonts w:hint="eastAsia"/>
                </w:rPr>
                <w:instrText xml:space="preserve"> </w:instrText>
              </w:r>
              <w:r>
                <w:instrText xml:space="preserve">PAGEREF _Toc220589941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5EAE1E0C">
              <w:pPr>
                <w:pStyle w:val="14"/>
                <w:tabs>
                  <w:tab w:val="right" w:leader="dot" w:pos="7733"/>
                </w:tabs>
                <w:rPr>
                  <w:rFonts w:hint="eastAsia" w:cstheme="minorBidi"/>
                  <w:kern w:val="2"/>
                  <w:szCs w:val="24"/>
                  <w14:ligatures w14:val="standardContextual"/>
                </w:rPr>
              </w:pPr>
              <w:r>
                <w:fldChar w:fldCharType="begin"/>
              </w:r>
              <w:r>
                <w:instrText xml:space="preserve"> HYPERLINK \l "_Toc220589942" </w:instrText>
              </w:r>
              <w:r>
                <w:fldChar w:fldCharType="separate"/>
              </w:r>
              <w:r>
                <w:rPr>
                  <w:rStyle w:val="23"/>
                  <w:rFonts w:ascii="Calibri" w:hAnsi="Calibri" w:eastAsia="楷体" w:cs="Calibri"/>
                  <w:b/>
                  <w:bCs/>
                </w:rPr>
                <w:t>7. Risk</w:t>
              </w:r>
              <w:r>
                <w:rPr>
                  <w:rFonts w:hint="eastAsia"/>
                </w:rPr>
                <w:tab/>
              </w:r>
              <w:r>
                <w:rPr>
                  <w:rFonts w:hint="eastAsia"/>
                </w:rPr>
                <w:fldChar w:fldCharType="begin"/>
              </w:r>
              <w:r>
                <w:rPr>
                  <w:rFonts w:hint="eastAsia"/>
                </w:rPr>
                <w:instrText xml:space="preserve"> </w:instrText>
              </w:r>
              <w:r>
                <w:instrText xml:space="preserve">PAGEREF _Toc220589942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6E890E77">
              <w:pPr>
                <w:rPr>
                  <w:rFonts w:cs="Calibri"/>
                  <w:b/>
                  <w:bCs/>
                  <w:lang w:val="zh-CN"/>
                </w:rPr>
              </w:pPr>
              <w:r>
                <w:rPr>
                  <w:rFonts w:cs="Calibri"/>
                  <w:bCs/>
                  <w:lang w:val="zh-CN"/>
                </w:rPr>
                <w:fldChar w:fldCharType="end"/>
              </w:r>
            </w:p>
          </w:sdtContent>
        </w:sdt>
        <w:p w14:paraId="6C051AC7">
          <w:pPr>
            <w:pStyle w:val="73"/>
            <w:rPr>
              <w:rFonts w:hint="eastAsia" w:cs="Calibri"/>
            </w:rPr>
          </w:pPr>
        </w:p>
      </w:sdtContent>
    </w:sdt>
    <w:p w14:paraId="1AE13477">
      <w:pPr>
        <w:pStyle w:val="44"/>
        <w:rPr>
          <w:rFonts w:eastAsia="宋体" w:cs="Calibri"/>
          <w:lang w:eastAsia="zh-CN"/>
        </w:rPr>
      </w:pPr>
    </w:p>
    <w:p w14:paraId="4CA6698F">
      <w:pPr>
        <w:rPr>
          <w:rFonts w:eastAsiaTheme="minorEastAsia"/>
        </w:rPr>
      </w:pPr>
    </w:p>
    <w:p w14:paraId="272C72DC">
      <w:pPr>
        <w:rPr>
          <w:rFonts w:eastAsiaTheme="minorEastAsia"/>
        </w:rPr>
      </w:pPr>
    </w:p>
    <w:p w14:paraId="6F3F2894">
      <w:pPr>
        <w:rPr>
          <w:rFonts w:eastAsiaTheme="minorEastAsia"/>
        </w:rPr>
      </w:pPr>
    </w:p>
    <w:p w14:paraId="65049A9E">
      <w:pPr>
        <w:rPr>
          <w:rFonts w:eastAsiaTheme="minorEastAsia"/>
        </w:rPr>
      </w:pPr>
    </w:p>
    <w:p w14:paraId="7CAC8C1E">
      <w:pPr>
        <w:rPr>
          <w:rFonts w:eastAsiaTheme="minorEastAsia"/>
        </w:rPr>
      </w:pPr>
    </w:p>
    <w:p w14:paraId="02884A3F">
      <w:pPr>
        <w:rPr>
          <w:rFonts w:eastAsiaTheme="minorEastAsia"/>
        </w:rPr>
      </w:pPr>
    </w:p>
    <w:p w14:paraId="4195035E">
      <w:pPr>
        <w:rPr>
          <w:rFonts w:eastAsiaTheme="minorEastAsia"/>
        </w:rPr>
        <w:sectPr>
          <w:headerReference r:id="rId10" w:type="first"/>
          <w:headerReference r:id="rId9" w:type="default"/>
          <w:pgSz w:w="11910" w:h="16840"/>
          <w:pgMar w:top="567" w:right="567" w:bottom="1021" w:left="3600" w:header="567" w:footer="919" w:gutter="0"/>
          <w:cols w:space="425" w:num="1"/>
          <w:titlePg/>
          <w:docGrid w:linePitch="299" w:charSpace="0"/>
        </w:sectPr>
      </w:pPr>
    </w:p>
    <w:p w14:paraId="0CAEF4A3">
      <w:pPr>
        <w:pStyle w:val="2"/>
        <w:spacing w:before="240" w:beforeLines="100" w:after="240" w:afterLines="100"/>
        <w:jc w:val="both"/>
        <w:rPr>
          <w:rFonts w:ascii="Calibri" w:hAnsi="Calibri" w:cs="Calibri" w:eastAsiaTheme="minorEastAsia"/>
          <w:b/>
          <w:color w:val="215F9A" w:themeColor="text2" w:themeTint="BF"/>
          <w:sz w:val="28"/>
          <w:szCs w:val="28"/>
          <w:shd w:val="clear" w:color="auto" w:fill="FFFFFF"/>
          <w:lang w:bidi="ar"/>
          <w14:textFill>
            <w14:solidFill>
              <w14:schemeClr w14:val="tx2">
                <w14:lumMod w14:val="75000"/>
                <w14:lumOff w14:val="25000"/>
              </w14:schemeClr>
            </w14:solidFill>
          </w14:textFill>
        </w:rPr>
      </w:pPr>
      <w:bookmarkStart w:id="0" w:name="_Toc220275537"/>
      <w:bookmarkStart w:id="1" w:name="_Toc220589924"/>
      <w:r>
        <w:rPr>
          <w:rFonts w:ascii="Calibri" w:hAnsi="Calibri" w:eastAsia="楷体" w:cs="Calibri"/>
          <w:b/>
          <w:bCs/>
          <w:color w:val="215F9A" w:themeColor="text2" w:themeTint="BF"/>
          <w:sz w:val="28"/>
          <w:szCs w:val="28"/>
          <w14:textFill>
            <w14:solidFill>
              <w14:schemeClr w14:val="tx2">
                <w14:lumMod w14:val="75000"/>
                <w14:lumOff w14:val="25000"/>
              </w14:schemeClr>
            </w14:solidFill>
          </w14:textFill>
        </w:rPr>
        <w:t xml:space="preserve">1 </w:t>
      </w:r>
      <w:bookmarkEnd w:id="0"/>
      <w:r>
        <w:rPr>
          <w:rFonts w:ascii="Calibri" w:hAnsi="Calibri" w:eastAsia="Helvetica Neue" w:cs="Calibri"/>
          <w:b/>
          <w:color w:val="215F9A" w:themeColor="text2" w:themeTint="BF"/>
          <w:sz w:val="28"/>
          <w:szCs w:val="28"/>
          <w:shd w:val="clear" w:color="auto" w:fill="FFFFFF"/>
          <w:lang w:bidi="ar"/>
          <w14:textFill>
            <w14:solidFill>
              <w14:schemeClr w14:val="tx2">
                <w14:lumMod w14:val="75000"/>
                <w14:lumOff w14:val="25000"/>
              </w14:schemeClr>
            </w14:solidFill>
          </w14:textFill>
        </w:rPr>
        <w:t xml:space="preserve">Textron: A Diversified Industrial Giant with Over </w:t>
      </w:r>
      <w:r>
        <w:rPr>
          <w:rFonts w:hint="eastAsia" w:ascii="Calibri" w:hAnsi="Calibri" w:cs="Calibri" w:eastAsiaTheme="minorEastAsia"/>
          <w:b/>
          <w:color w:val="215F9A" w:themeColor="text2" w:themeTint="BF"/>
          <w:sz w:val="28"/>
          <w:szCs w:val="28"/>
          <w:shd w:val="clear" w:color="auto" w:fill="FFFFFF"/>
          <w:lang w:bidi="ar"/>
          <w14:textFill>
            <w14:solidFill>
              <w14:schemeClr w14:val="tx2">
                <w14:lumMod w14:val="75000"/>
                <w14:lumOff w14:val="25000"/>
              </w14:schemeClr>
            </w14:solidFill>
          </w14:textFill>
        </w:rPr>
        <w:t>100</w:t>
      </w:r>
      <w:r>
        <w:rPr>
          <w:rFonts w:ascii="Calibri" w:hAnsi="Calibri" w:eastAsia="Helvetica Neue" w:cs="Calibri"/>
          <w:b/>
          <w:color w:val="215F9A" w:themeColor="text2" w:themeTint="BF"/>
          <w:sz w:val="28"/>
          <w:szCs w:val="28"/>
          <w:shd w:val="clear" w:color="auto" w:fill="FFFFFF"/>
          <w:lang w:bidi="ar"/>
          <w14:textFill>
            <w14:solidFill>
              <w14:schemeClr w14:val="tx2">
                <w14:lumMod w14:val="75000"/>
                <w14:lumOff w14:val="25000"/>
              </w14:schemeClr>
            </w14:solidFill>
          </w14:textFill>
        </w:rPr>
        <w:t xml:space="preserve"> Years of History</w:t>
      </w:r>
      <w:bookmarkEnd w:id="1"/>
    </w:p>
    <w:p w14:paraId="2EEBC045">
      <w:pPr>
        <w:pStyle w:val="77"/>
        <w:jc w:val="both"/>
        <w:rPr>
          <w:rFonts w:ascii="Calibri" w:hAnsi="Calibri" w:eastAsia="楷体" w:cs="Calibri"/>
          <w:color w:val="23558C"/>
          <w:sz w:val="24"/>
          <w:szCs w:val="24"/>
        </w:rPr>
      </w:pPr>
      <w:bookmarkStart w:id="2" w:name="_Toc220275538"/>
      <w:bookmarkStart w:id="3" w:name="_Toc220589925"/>
      <w:r>
        <w:rPr>
          <w:rFonts w:ascii="Calibri" w:hAnsi="Calibri" w:eastAsia="楷体" w:cs="Calibri"/>
          <w:color w:val="23558C"/>
          <w:sz w:val="24"/>
          <w:szCs w:val="24"/>
        </w:rPr>
        <w:t xml:space="preserve">1.1 </w:t>
      </w:r>
      <w:bookmarkEnd w:id="2"/>
      <w:r>
        <w:rPr>
          <w:rFonts w:ascii="Calibri" w:hAnsi="Calibri" w:eastAsia="楷体" w:cs="Calibri"/>
          <w:color w:val="23558C"/>
          <w:sz w:val="24"/>
          <w:szCs w:val="24"/>
        </w:rPr>
        <w:t>Company Overview</w:t>
      </w:r>
      <w:bookmarkEnd w:id="3"/>
    </w:p>
    <w:p w14:paraId="253BF39B">
      <w:pPr>
        <w:rPr>
          <w:rFonts w:cs="Calibri" w:eastAsiaTheme="minorEastAsia"/>
          <w:color w:val="0F1115"/>
          <w:sz w:val="22"/>
          <w:szCs w:val="22"/>
          <w:shd w:val="clear" w:color="auto" w:fill="FFFFFF"/>
          <w:lang w:bidi="ar"/>
        </w:rPr>
      </w:pPr>
      <w:r>
        <w:rPr>
          <w:rFonts w:eastAsia="Helvetica Neue" w:cs="Calibri"/>
          <w:color w:val="0F1115"/>
          <w:sz w:val="22"/>
          <w:szCs w:val="22"/>
          <w:shd w:val="clear" w:color="auto" w:fill="FFFFFF"/>
          <w:lang w:bidi="ar"/>
        </w:rPr>
        <w:t xml:space="preserve">Textron Inc. was founded in 1923 and currently operates through </w:t>
      </w:r>
      <w:r>
        <w:rPr>
          <w:rFonts w:eastAsia="Helvetica Neue" w:cs="Calibri"/>
          <w:b/>
          <w:bCs/>
          <w:color w:val="0F1115"/>
          <w:sz w:val="22"/>
          <w:szCs w:val="22"/>
          <w:shd w:val="clear" w:color="auto" w:fill="FFFFFF"/>
          <w:lang w:bidi="ar"/>
        </w:rPr>
        <w:t>six business segments</w:t>
      </w:r>
      <w:r>
        <w:rPr>
          <w:rFonts w:eastAsia="Helvetica Neue" w:cs="Calibri"/>
          <w:color w:val="0F1115"/>
          <w:sz w:val="22"/>
          <w:szCs w:val="22"/>
          <w:shd w:val="clear" w:color="auto" w:fill="FFFFFF"/>
          <w:lang w:bidi="ar"/>
        </w:rPr>
        <w:t>: Bell, Textron Aviation, Textron eAviation, Industrial, Textron Systems, and Finance. Originally established in Boston by Royal Little as the Special Yarns Corporation—a small textile enterprise—the company is now headquartered in Providence, Rhode Island, USA. As a diversified global industrial conglomerate, Textron focuses on aviation, defense, industrial, and financial sectors, with its aviation business holding a leading position in both general and military aviation.</w:t>
      </w:r>
    </w:p>
    <w:p w14:paraId="188DE94F">
      <w:pPr>
        <w:rPr>
          <w:rFonts w:cs="Calibri" w:eastAsiaTheme="minorEastAsia"/>
          <w:sz w:val="22"/>
          <w:szCs w:val="22"/>
        </w:rPr>
      </w:pPr>
    </w:p>
    <w:p w14:paraId="07FD414D">
      <w:pPr>
        <w:rPr>
          <w:rFonts w:cs="Calibri" w:eastAsiaTheme="minorEastAsia"/>
          <w:color w:val="0F1115"/>
          <w:sz w:val="22"/>
          <w:szCs w:val="22"/>
          <w:shd w:val="clear" w:color="auto" w:fill="FFFFFF"/>
          <w:lang w:bidi="ar"/>
        </w:rPr>
      </w:pPr>
      <w:r>
        <w:rPr>
          <w:rFonts w:eastAsia="Helvetica Neue" w:cs="Calibri"/>
          <w:color w:val="0F1115"/>
          <w:sz w:val="22"/>
          <w:szCs w:val="22"/>
          <w:shd w:val="clear" w:color="auto" w:fill="FFFFFF"/>
          <w:lang w:bidi="ar"/>
        </w:rPr>
        <w:t>In the 1930s, the company was renamed Atlantic Rayon Corporation and adopted the name Textron Incorporated around 1945 (simplified to Textron Inc. in 1956). It was listed on the New York Stock Exchange in 1947. During the 1950s, under Royal Little's leadership, Textron pioneered the conglomerate model, diversifying away from its textile roots through strategic acquisitions. In 1960, the company acquired Bell Aerospace (including Bell Helicopter) and E-Z-GO, marking its entry into aviation and transportation. Bell Helicopter subsequently became one of its core aerospace assets.</w:t>
      </w:r>
    </w:p>
    <w:p w14:paraId="7AC264D4">
      <w:pPr>
        <w:rPr>
          <w:rFonts w:cs="Calibri" w:eastAsiaTheme="minorEastAsia"/>
          <w:sz w:val="22"/>
          <w:szCs w:val="22"/>
        </w:rPr>
      </w:pPr>
    </w:p>
    <w:p w14:paraId="19BEDF19">
      <w:pPr>
        <w:rPr>
          <w:rFonts w:cs="Calibri" w:eastAsiaTheme="minorEastAsia"/>
          <w:color w:val="0F1115"/>
          <w:sz w:val="22"/>
          <w:szCs w:val="22"/>
          <w:shd w:val="clear" w:color="auto" w:fill="FFFFFF"/>
          <w:lang w:bidi="ar"/>
        </w:rPr>
      </w:pPr>
      <w:r>
        <w:rPr>
          <w:rFonts w:eastAsia="Helvetica Neue" w:cs="Calibri"/>
          <w:b/>
          <w:bCs/>
          <w:color w:val="0F1115"/>
          <w:sz w:val="22"/>
          <w:szCs w:val="22"/>
          <w:shd w:val="clear" w:color="auto" w:fill="FFFFFF"/>
          <w:lang w:bidi="ar"/>
        </w:rPr>
        <w:t>Textron further strengthened its aviation portfolio through subsequent acquisitions</w:t>
      </w:r>
      <w:r>
        <w:rPr>
          <w:rFonts w:eastAsia="Helvetica Neue" w:cs="Calibri"/>
          <w:color w:val="0F1115"/>
          <w:sz w:val="22"/>
          <w:szCs w:val="22"/>
          <w:shd w:val="clear" w:color="auto" w:fill="FFFFFF"/>
          <w:lang w:bidi="ar"/>
        </w:rPr>
        <w:t>, including iconic brands such as Cessna and Beechcraft. In 2014, Textron acquired Beechcraft for approximately $1.4 billion, merging it with Cessna to form Textron Aviation. This integration brought together the Beechcraft, Cessna, and Hawker brands, significantly enhancing its position in the general aviation market.</w:t>
      </w:r>
    </w:p>
    <w:p w14:paraId="1F1FECB8">
      <w:pPr>
        <w:rPr>
          <w:rFonts w:cs="Calibri" w:eastAsiaTheme="minorEastAsia"/>
          <w:sz w:val="22"/>
          <w:szCs w:val="22"/>
        </w:rPr>
      </w:pPr>
    </w:p>
    <w:p w14:paraId="4A81776E">
      <w:pPr>
        <w:rPr>
          <w:rFonts w:cs="Calibri" w:eastAsiaTheme="minorEastAsia"/>
          <w:color w:val="0F1115"/>
          <w:sz w:val="22"/>
          <w:szCs w:val="22"/>
          <w:shd w:val="clear" w:color="auto" w:fill="FFFFFF"/>
          <w:lang w:bidi="ar"/>
        </w:rPr>
      </w:pPr>
      <w:r>
        <w:rPr>
          <w:rFonts w:eastAsia="Helvetica Neue" w:cs="Calibri"/>
          <w:b/>
          <w:bCs/>
          <w:color w:val="0F1115"/>
          <w:sz w:val="22"/>
          <w:szCs w:val="22"/>
          <w:shd w:val="clear" w:color="auto" w:fill="FFFFFF"/>
          <w:lang w:bidi="ar"/>
        </w:rPr>
        <w:t xml:space="preserve">As of recent years, </w:t>
      </w:r>
      <w:r>
        <w:rPr>
          <w:rFonts w:eastAsia="Helvetica Neue" w:cs="Calibri"/>
          <w:color w:val="0F1115"/>
          <w:sz w:val="22"/>
          <w:szCs w:val="22"/>
          <w:shd w:val="clear" w:color="auto" w:fill="FFFFFF"/>
          <w:lang w:bidi="ar"/>
        </w:rPr>
        <w:t>Textron Aviation has delivered over half of the world’s general aviation aircraft and maintains a broad customer base and service network across more than 170 countries. The company continues to drive innovation, with products such as Bell's V-22 Osprey tiltrotor aircraft serving both military and civilian applications.</w:t>
      </w:r>
    </w:p>
    <w:p w14:paraId="08FD6EDE">
      <w:pPr>
        <w:rPr>
          <w:rFonts w:cs="Calibri" w:eastAsiaTheme="minorEastAsia"/>
          <w:sz w:val="22"/>
          <w:szCs w:val="22"/>
        </w:rPr>
      </w:pPr>
    </w:p>
    <w:p w14:paraId="63CF9D63">
      <w:pPr>
        <w:rPr>
          <w:rFonts w:cs="Calibri"/>
          <w:sz w:val="22"/>
          <w:szCs w:val="22"/>
        </w:rPr>
      </w:pPr>
      <w:r>
        <w:rPr>
          <w:rFonts w:eastAsia="Helvetica Neue" w:cs="Calibri"/>
          <w:color w:val="0F1115"/>
          <w:sz w:val="22"/>
          <w:szCs w:val="22"/>
          <w:shd w:val="clear" w:color="auto" w:fill="FFFFFF"/>
          <w:lang w:bidi="ar"/>
        </w:rPr>
        <w:t>As of 2025, Textron is a global enterprise with annual revenues exceeding $13.7 billion, employing approximately 35,000 people, and operating in over 25 countries. It remains a highly competitive and innovative leader in the aviation and defense industries.</w:t>
      </w:r>
    </w:p>
    <w:p w14:paraId="2ED5C46B">
      <w:pPr>
        <w:rPr>
          <w:rFonts w:ascii="Times New Roman Regular" w:hAnsi="Times New Roman Regular" w:eastAsia="楷体" w:cs="Times New Roman Regular"/>
          <w:b/>
          <w:bCs/>
          <w:sz w:val="22"/>
          <w:szCs w:val="22"/>
          <w:u w:val="single"/>
        </w:rPr>
      </w:pPr>
    </w:p>
    <w:tbl>
      <w:tblPr>
        <w:tblStyle w:val="19"/>
        <w:tblW w:w="7466" w:type="dxa"/>
        <w:tblInd w:w="0" w:type="dxa"/>
        <w:tblLayout w:type="fixed"/>
        <w:tblCellMar>
          <w:top w:w="0" w:type="dxa"/>
          <w:left w:w="108" w:type="dxa"/>
          <w:bottom w:w="0" w:type="dxa"/>
          <w:right w:w="108" w:type="dxa"/>
        </w:tblCellMar>
      </w:tblPr>
      <w:tblGrid>
        <w:gridCol w:w="7466"/>
      </w:tblGrid>
      <w:tr w14:paraId="1166D9A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9DD1476">
            <w:pPr>
              <w:rPr>
                <w:rFonts w:eastAsia="宋体" w:cs="Calibri"/>
                <w:b/>
                <w:bCs/>
                <w:sz w:val="20"/>
                <w:szCs w:val="20"/>
              </w:rPr>
            </w:pPr>
            <w:r>
              <w:rPr>
                <w:rFonts w:eastAsia="宋体" w:cs="Calibri"/>
                <w:b/>
                <w:bCs/>
                <w:sz w:val="20"/>
                <w:szCs w:val="20"/>
              </w:rPr>
              <w:t xml:space="preserve">Figure: </w:t>
            </w:r>
            <w:r>
              <w:rPr>
                <w:rStyle w:val="22"/>
                <w:rFonts w:eastAsia="Helvetica Neue" w:cs="Calibri"/>
                <w:color w:val="0F1115"/>
                <w:sz w:val="20"/>
                <w:szCs w:val="20"/>
                <w:shd w:val="clear" w:color="auto" w:fill="FFFFFF"/>
                <w:lang w:bidi="ar"/>
              </w:rPr>
              <w:t>Development History of Textron</w:t>
            </w:r>
          </w:p>
        </w:tc>
      </w:tr>
      <w:tr w14:paraId="2E4D771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1B9570E">
            <w:pPr>
              <w:spacing w:before="48" w:beforeLines="20" w:after="48" w:afterLines="20"/>
              <w:jc w:val="center"/>
              <w:textAlignment w:val="center"/>
              <w:rPr>
                <w:rFonts w:eastAsia="宋体" w:cs="Calibri"/>
                <w:b/>
                <w:bCs/>
                <w:sz w:val="20"/>
                <w:szCs w:val="20"/>
              </w:rPr>
            </w:pPr>
            <w:r>
              <w:rPr>
                <w:rFonts w:hint="eastAsia" w:eastAsia="宋体" w:cs="Calibri"/>
                <w:b/>
                <w:bCs/>
                <w:sz w:val="20"/>
                <w:szCs w:val="20"/>
              </w:rPr>
              <w:drawing>
                <wp:inline distT="0" distB="0" distL="114300" distR="114300">
                  <wp:extent cx="4592320" cy="1850390"/>
                  <wp:effectExtent l="0" t="0" r="0" b="0"/>
                  <wp:docPr id="10" name="图片 10" descr="图像1-26-26 下午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像1-26-26 下午11.08"/>
                          <pic:cNvPicPr>
                            <a:picLocks noChangeAspect="1"/>
                          </pic:cNvPicPr>
                        </pic:nvPicPr>
                        <pic:blipFill>
                          <a:blip r:embed="rId20"/>
                          <a:stretch>
                            <a:fillRect/>
                          </a:stretch>
                        </pic:blipFill>
                        <pic:spPr>
                          <a:xfrm>
                            <a:off x="0" y="0"/>
                            <a:ext cx="4592452" cy="1850496"/>
                          </a:xfrm>
                          <a:prstGeom prst="rect">
                            <a:avLst/>
                          </a:prstGeom>
                        </pic:spPr>
                      </pic:pic>
                    </a:graphicData>
                  </a:graphic>
                </wp:inline>
              </w:drawing>
            </w:r>
          </w:p>
        </w:tc>
      </w:tr>
      <w:tr w14:paraId="156FCC4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CDDD636">
            <w:pPr>
              <w:spacing w:line="240" w:lineRule="atLeast"/>
              <w:jc w:val="both"/>
              <w:textAlignment w:val="center"/>
              <w:rPr>
                <w:rFonts w:cs="Calibri"/>
                <w:sz w:val="20"/>
                <w:szCs w:val="20"/>
              </w:rPr>
            </w:pPr>
            <w:r>
              <w:rPr>
                <w:rFonts w:eastAsia="楷体" w:cs="Calibri"/>
                <w:b/>
                <w:bCs/>
                <w:sz w:val="20"/>
                <w:szCs w:val="20"/>
              </w:rPr>
              <w:t xml:space="preserve">Source: </w:t>
            </w:r>
            <w:r>
              <w:rPr>
                <w:rFonts w:hint="eastAsia" w:eastAsia="楷体" w:cs="Calibri"/>
                <w:sz w:val="20"/>
                <w:szCs w:val="20"/>
              </w:rPr>
              <w:t>W</w:t>
            </w:r>
            <w:r>
              <w:rPr>
                <w:rFonts w:eastAsia="楷体" w:cs="Calibri"/>
                <w:sz w:val="20"/>
                <w:szCs w:val="20"/>
              </w:rPr>
              <w:t>ind, HFI</w:t>
            </w:r>
          </w:p>
        </w:tc>
      </w:tr>
    </w:tbl>
    <w:p w14:paraId="7CFD9B62">
      <w:pPr>
        <w:rPr>
          <w:rFonts w:cs="Calibri" w:eastAsiaTheme="minorEastAsia"/>
          <w:sz w:val="22"/>
          <w:szCs w:val="22"/>
        </w:rPr>
      </w:pPr>
    </w:p>
    <w:p w14:paraId="283EF0A5">
      <w:pPr>
        <w:pStyle w:val="77"/>
        <w:jc w:val="both"/>
        <w:rPr>
          <w:rFonts w:ascii="Calibri" w:hAnsi="Calibri" w:eastAsia="楷体" w:cs="Calibri"/>
          <w:color w:val="23558C"/>
          <w:sz w:val="24"/>
          <w:szCs w:val="24"/>
        </w:rPr>
      </w:pPr>
      <w:bookmarkStart w:id="4" w:name="_Toc220275539"/>
      <w:bookmarkStart w:id="5" w:name="_Toc220589926"/>
      <w:r>
        <w:rPr>
          <w:rFonts w:ascii="Calibri" w:hAnsi="Calibri" w:eastAsia="楷体" w:cs="Calibri"/>
          <w:color w:val="23558C"/>
          <w:sz w:val="24"/>
          <w:szCs w:val="24"/>
        </w:rPr>
        <w:t xml:space="preserve">1.2 </w:t>
      </w:r>
      <w:bookmarkEnd w:id="4"/>
      <w:r>
        <w:rPr>
          <w:rStyle w:val="23"/>
          <w:rFonts w:ascii="Calibri" w:hAnsi="Calibri" w:eastAsia="楷体" w:cs="Calibri"/>
          <w:bCs w:val="0"/>
          <w:color w:val="215F9A" w:themeColor="text2" w:themeTint="BF"/>
          <w:sz w:val="24"/>
          <w:szCs w:val="24"/>
          <w:u w:val="none"/>
          <w14:textFill>
            <w14:solidFill>
              <w14:schemeClr w14:val="tx2">
                <w14:lumMod w14:val="75000"/>
                <w14:lumOff w14:val="25000"/>
              </w14:schemeClr>
            </w14:solidFill>
          </w14:textFill>
        </w:rPr>
        <w:t>Ownership Structure &amp; Management</w:t>
      </w:r>
      <w:bookmarkEnd w:id="5"/>
      <w:r>
        <w:rPr>
          <w:rStyle w:val="23"/>
          <w:rFonts w:ascii="Calibri" w:hAnsi="Calibri" w:eastAsia="楷体" w:cs="Calibri"/>
          <w:bCs w:val="0"/>
          <w:color w:val="215F9A" w:themeColor="text2" w:themeTint="BF"/>
          <w:sz w:val="24"/>
          <w:szCs w:val="24"/>
          <w:u w:val="none"/>
          <w14:textFill>
            <w14:solidFill>
              <w14:schemeClr w14:val="tx2">
                <w14:lumMod w14:val="75000"/>
                <w14:lumOff w14:val="25000"/>
              </w14:schemeClr>
            </w14:solidFill>
          </w14:textFill>
        </w:rPr>
        <w:t xml:space="preserve"> </w:t>
      </w:r>
    </w:p>
    <w:p w14:paraId="6F78C314">
      <w:pPr>
        <w:pStyle w:val="17"/>
        <w:spacing w:after="320"/>
        <w:rPr>
          <w:rFonts w:ascii="Calibri" w:hAnsi="Calibri" w:cs="Calibri" w:eastAsiaTheme="minorEastAsia"/>
          <w:sz w:val="22"/>
          <w:szCs w:val="22"/>
        </w:rPr>
      </w:pPr>
      <w:r>
        <w:rPr>
          <w:rStyle w:val="22"/>
          <w:rFonts w:ascii="Calibri" w:hAnsi="Calibri" w:eastAsia="Helvetica Neue" w:cs="Calibri"/>
          <w:bCs/>
          <w:color w:val="0F1115"/>
          <w:sz w:val="22"/>
          <w:szCs w:val="22"/>
        </w:rPr>
        <w:t>Textron is a publicly listed company with a highly institutionalized ownership structure and no single controlling shareholder.</w:t>
      </w:r>
      <w:r>
        <w:rPr>
          <w:rFonts w:ascii="Calibri" w:hAnsi="Calibri" w:eastAsia="Helvetica Neue" w:cs="Calibri"/>
          <w:color w:val="0F1115"/>
          <w:sz w:val="22"/>
          <w:szCs w:val="22"/>
        </w:rPr>
        <w:t xml:space="preserve"> Through equity tracing, its ultimate ownership is predominantly held by leading global institutional investors. The Vanguard Group serves as the largest shareholder with approximately </w:t>
      </w:r>
      <w:r>
        <w:rPr>
          <w:rFonts w:hint="eastAsia" w:ascii="Calibri" w:hAnsi="Calibri" w:cs="Calibri" w:eastAsiaTheme="minorEastAsia"/>
          <w:color w:val="0F1115"/>
          <w:sz w:val="22"/>
          <w:szCs w:val="22"/>
        </w:rPr>
        <w:t>12.77</w:t>
      </w:r>
      <w:r>
        <w:rPr>
          <w:rFonts w:ascii="Calibri" w:hAnsi="Calibri" w:eastAsia="Helvetica Neue" w:cs="Calibri"/>
          <w:color w:val="0F1115"/>
          <w:sz w:val="22"/>
          <w:szCs w:val="22"/>
        </w:rPr>
        <w:t xml:space="preserve">% ownership, followed by BlackRock with about </w:t>
      </w:r>
      <w:r>
        <w:rPr>
          <w:rFonts w:hint="eastAsia" w:ascii="Calibri" w:hAnsi="Calibri" w:cs="Calibri" w:eastAsiaTheme="minorEastAsia"/>
          <w:color w:val="0F1115"/>
          <w:sz w:val="22"/>
          <w:szCs w:val="22"/>
        </w:rPr>
        <w:t>9.49</w:t>
      </w:r>
      <w:r>
        <w:rPr>
          <w:rFonts w:ascii="Calibri" w:hAnsi="Calibri" w:eastAsia="Helvetica Neue" w:cs="Calibri"/>
          <w:color w:val="0F1115"/>
          <w:sz w:val="22"/>
          <w:szCs w:val="22"/>
        </w:rPr>
        <w:t>%. Textron maintains 100% absolute ownership of its key operating divisions, including Textron Aviation, Bell, Industrial, and Textron eAviation, thereby securing full control over globally recognized aviation brands such as </w:t>
      </w:r>
      <w:r>
        <w:rPr>
          <w:rStyle w:val="22"/>
          <w:rFonts w:ascii="Calibri" w:hAnsi="Calibri" w:eastAsia="Helvetica Neue" w:cs="Calibri"/>
          <w:b w:val="0"/>
          <w:color w:val="0F1115"/>
          <w:sz w:val="22"/>
          <w:szCs w:val="22"/>
        </w:rPr>
        <w:t>Cessna</w:t>
      </w:r>
      <w:r>
        <w:rPr>
          <w:rFonts w:ascii="Calibri" w:hAnsi="Calibri" w:eastAsia="Helvetica Neue" w:cs="Calibri"/>
          <w:color w:val="0F1115"/>
          <w:sz w:val="22"/>
          <w:szCs w:val="22"/>
        </w:rPr>
        <w:t>, </w:t>
      </w:r>
      <w:r>
        <w:rPr>
          <w:rStyle w:val="22"/>
          <w:rFonts w:ascii="Calibri" w:hAnsi="Calibri" w:eastAsia="Helvetica Neue" w:cs="Calibri"/>
          <w:b w:val="0"/>
          <w:color w:val="0F1115"/>
          <w:sz w:val="22"/>
          <w:szCs w:val="22"/>
        </w:rPr>
        <w:t>Beechcraft</w:t>
      </w:r>
      <w:r>
        <w:rPr>
          <w:rFonts w:ascii="Calibri" w:hAnsi="Calibri" w:eastAsia="Helvetica Neue" w:cs="Calibri"/>
          <w:color w:val="0F1115"/>
          <w:sz w:val="22"/>
          <w:szCs w:val="22"/>
        </w:rPr>
        <w:t>, and </w:t>
      </w:r>
      <w:r>
        <w:rPr>
          <w:rStyle w:val="22"/>
          <w:rFonts w:ascii="Calibri" w:hAnsi="Calibri" w:eastAsia="Helvetica Neue" w:cs="Calibri"/>
          <w:b w:val="0"/>
          <w:color w:val="0F1115"/>
          <w:sz w:val="22"/>
          <w:szCs w:val="22"/>
        </w:rPr>
        <w:t>Bell</w:t>
      </w:r>
      <w:r>
        <w:rPr>
          <w:rFonts w:ascii="Calibri" w:hAnsi="Calibri" w:eastAsia="Helvetica Neue" w:cs="Calibri"/>
          <w:color w:val="0F1115"/>
          <w:sz w:val="22"/>
          <w:szCs w:val="22"/>
        </w:rPr>
        <w:t>.</w:t>
      </w:r>
    </w:p>
    <w:tbl>
      <w:tblPr>
        <w:tblStyle w:val="19"/>
        <w:tblW w:w="7466" w:type="dxa"/>
        <w:tblInd w:w="0" w:type="dxa"/>
        <w:tblLayout w:type="fixed"/>
        <w:tblCellMar>
          <w:top w:w="0" w:type="dxa"/>
          <w:left w:w="108" w:type="dxa"/>
          <w:bottom w:w="0" w:type="dxa"/>
          <w:right w:w="108" w:type="dxa"/>
        </w:tblCellMar>
      </w:tblPr>
      <w:tblGrid>
        <w:gridCol w:w="7466"/>
      </w:tblGrid>
      <w:tr w14:paraId="7A936B22">
        <w:trPr>
          <w:trHeight w:val="302" w:hRule="atLeast"/>
        </w:trPr>
        <w:tc>
          <w:tcPr>
            <w:tcW w:w="7466" w:type="dxa"/>
            <w:tcBorders>
              <w:bottom w:val="single" w:color="auto" w:sz="4" w:space="0"/>
            </w:tcBorders>
            <w:tcMar>
              <w:left w:w="0" w:type="dxa"/>
              <w:right w:w="28" w:type="dxa"/>
            </w:tcMar>
          </w:tcPr>
          <w:p w14:paraId="06E0D68C">
            <w:pPr>
              <w:rPr>
                <w:rFonts w:cs="Calibri" w:eastAsiaTheme="minorEastAsia"/>
                <w:b/>
                <w:sz w:val="20"/>
                <w:szCs w:val="20"/>
              </w:rPr>
            </w:pPr>
            <w:bookmarkStart w:id="6" w:name="_Hlk216641008"/>
            <w:r>
              <w:rPr>
                <w:rStyle w:val="22"/>
                <w:rFonts w:eastAsia="Helvetica Neue" w:cs="Calibri"/>
                <w:color w:val="0F1115"/>
                <w:sz w:val="20"/>
                <w:szCs w:val="20"/>
                <w:shd w:val="clear" w:color="auto" w:fill="FFFFFF"/>
                <w:lang w:bidi="ar"/>
              </w:rPr>
              <w:t>Figure: Ownership Structure of Textron</w:t>
            </w:r>
            <w:r>
              <w:rPr>
                <w:rStyle w:val="22"/>
                <w:rFonts w:hint="eastAsia" w:cs="Calibri" w:eastAsiaTheme="minorEastAsia"/>
                <w:color w:val="0F1115"/>
                <w:sz w:val="20"/>
                <w:szCs w:val="20"/>
                <w:shd w:val="clear" w:color="auto" w:fill="FFFFFF"/>
                <w:lang w:bidi="ar"/>
              </w:rPr>
              <w:t>（2025/9/30）</w:t>
            </w:r>
          </w:p>
        </w:tc>
      </w:tr>
      <w:tr w14:paraId="08537C4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481F2F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115820"/>
                  <wp:effectExtent l="0" t="0" r="6350" b="0"/>
                  <wp:docPr id="566032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32495" name="图片 1"/>
                          <pic:cNvPicPr>
                            <a:picLocks noChangeAspect="1"/>
                          </pic:cNvPicPr>
                        </pic:nvPicPr>
                        <pic:blipFill>
                          <a:blip r:embed="rId21"/>
                          <a:stretch>
                            <a:fillRect/>
                          </a:stretch>
                        </pic:blipFill>
                        <pic:spPr>
                          <a:xfrm>
                            <a:off x="0" y="0"/>
                            <a:ext cx="4603750" cy="2115820"/>
                          </a:xfrm>
                          <a:prstGeom prst="rect">
                            <a:avLst/>
                          </a:prstGeom>
                        </pic:spPr>
                      </pic:pic>
                    </a:graphicData>
                  </a:graphic>
                </wp:inline>
              </w:drawing>
            </w:r>
          </w:p>
        </w:tc>
      </w:tr>
      <w:tr w14:paraId="3B85B8C9">
        <w:trPr>
          <w:trHeight w:val="64" w:hRule="atLeast"/>
        </w:trPr>
        <w:tc>
          <w:tcPr>
            <w:tcW w:w="7466" w:type="dxa"/>
            <w:tcBorders>
              <w:top w:val="single" w:color="auto" w:sz="4" w:space="0"/>
            </w:tcBorders>
            <w:tcMar>
              <w:left w:w="0" w:type="dxa"/>
              <w:right w:w="28" w:type="dxa"/>
            </w:tcMar>
            <w:vAlign w:val="center"/>
          </w:tcPr>
          <w:p w14:paraId="05D445C8">
            <w:pPr>
              <w:spacing w:line="240" w:lineRule="atLeast"/>
              <w:jc w:val="both"/>
              <w:textAlignment w:val="center"/>
              <w:rPr>
                <w:rFonts w:cs="Calibri"/>
                <w:sz w:val="20"/>
                <w:szCs w:val="20"/>
              </w:rPr>
            </w:pPr>
            <w:r>
              <w:rPr>
                <w:rFonts w:eastAsia="楷体" w:cs="Calibri"/>
                <w:b/>
                <w:bCs/>
                <w:sz w:val="20"/>
                <w:szCs w:val="20"/>
              </w:rPr>
              <w:t xml:space="preserve">Source: </w:t>
            </w:r>
            <w:r>
              <w:rPr>
                <w:rFonts w:hint="eastAsia" w:eastAsia="楷体" w:cs="Calibri"/>
                <w:sz w:val="20"/>
                <w:szCs w:val="20"/>
              </w:rPr>
              <w:t>W</w:t>
            </w:r>
            <w:r>
              <w:rPr>
                <w:rFonts w:eastAsia="楷体" w:cs="Calibri"/>
                <w:sz w:val="20"/>
                <w:szCs w:val="20"/>
              </w:rPr>
              <w:t>ind, HFI</w:t>
            </w:r>
          </w:p>
        </w:tc>
      </w:tr>
      <w:bookmarkEnd w:id="6"/>
    </w:tbl>
    <w:p w14:paraId="140EDA87">
      <w:pPr>
        <w:widowControl w:val="0"/>
        <w:jc w:val="both"/>
        <w:rPr>
          <w:rFonts w:hint="eastAsia" w:eastAsia="楷体" w:asciiTheme="minorHAnsi" w:hAnsiTheme="minorHAnsi" w:cstheme="minorHAnsi"/>
          <w:kern w:val="2"/>
          <w:sz w:val="22"/>
          <w:szCs w:val="22"/>
        </w:rPr>
      </w:pPr>
    </w:p>
    <w:p w14:paraId="37485181">
      <w:pPr>
        <w:pStyle w:val="17"/>
        <w:shd w:val="clear" w:color="auto" w:fill="FFFFFF"/>
        <w:spacing w:after="320"/>
        <w:rPr>
          <w:rFonts w:ascii="Calibri" w:hAnsi="Calibri" w:cs="Calibri" w:eastAsiaTheme="minorEastAsia"/>
          <w:color w:val="0F1115"/>
          <w:sz w:val="22"/>
          <w:szCs w:val="22"/>
          <w:shd w:val="clear" w:color="auto" w:fill="FFFFFF"/>
        </w:rPr>
      </w:pPr>
      <w:r>
        <w:rPr>
          <w:rStyle w:val="22"/>
          <w:rFonts w:ascii="Calibri" w:hAnsi="Calibri" w:eastAsia="Helvetica Neue" w:cs="Calibri"/>
          <w:bCs/>
          <w:color w:val="0F1115"/>
          <w:sz w:val="22"/>
          <w:szCs w:val="22"/>
          <w:shd w:val="clear" w:color="auto" w:fill="FFFFFF"/>
        </w:rPr>
        <w:t>Textron's management team is predominantly characterized by internal promotion and long-term service.</w:t>
      </w:r>
      <w:r>
        <w:rPr>
          <w:rFonts w:ascii="Calibri" w:hAnsi="Calibri" w:eastAsia="Helvetica Neue" w:cs="Calibri"/>
          <w:color w:val="0F1115"/>
          <w:sz w:val="22"/>
          <w:szCs w:val="22"/>
          <w:shd w:val="clear" w:color="auto" w:fill="FFFFFF"/>
        </w:rPr>
        <w:t> As of early 2026, Lisa M. Atherton assumed the role of President and Chief Executive Officer on January 4, 2026, and was appointed to the Board of Directors. Prior to this, she served as President and CEO of the Bell segment for an extended period, bringing nearly two decades of internal leadership experience at Textron.</w:t>
      </w:r>
      <w:r>
        <w:rPr>
          <w:rFonts w:ascii="Calibri" w:hAnsi="Calibri" w:eastAsia="宋体" w:cs="Calibri"/>
          <w:color w:val="0F1115"/>
          <w:sz w:val="22"/>
          <w:szCs w:val="22"/>
          <w:shd w:val="clear" w:color="auto" w:fill="FFFFFF"/>
        </w:rPr>
        <w:t xml:space="preserve"> </w:t>
      </w:r>
      <w:r>
        <w:rPr>
          <w:rFonts w:ascii="Calibri" w:hAnsi="Calibri" w:eastAsia="Helvetica Neue" w:cs="Calibri"/>
          <w:color w:val="0F1115"/>
          <w:sz w:val="22"/>
          <w:szCs w:val="22"/>
          <w:shd w:val="clear" w:color="auto" w:fill="FFFFFF"/>
        </w:rPr>
        <w:t>Concurrently, Scott C. Donnelly transitioned to the role of Executive Chairman, having previously held the position of President and CEO for 17 years. He continues to provide strategic guidance and board leadership to the company.</w:t>
      </w:r>
      <w:r>
        <w:rPr>
          <w:rFonts w:ascii="Calibri" w:hAnsi="Calibri" w:eastAsia="宋体" w:cs="Calibri"/>
          <w:color w:val="0F1115"/>
          <w:sz w:val="22"/>
          <w:szCs w:val="22"/>
          <w:shd w:val="clear" w:color="auto" w:fill="FFFFFF"/>
        </w:rPr>
        <w:t xml:space="preserve"> </w:t>
      </w:r>
      <w:r>
        <w:rPr>
          <w:rFonts w:ascii="Calibri" w:hAnsi="Calibri" w:eastAsia="Helvetica Neue" w:cs="Calibri"/>
          <w:color w:val="0F1115"/>
          <w:sz w:val="22"/>
          <w:szCs w:val="22"/>
          <w:shd w:val="clear" w:color="auto" w:fill="FFFFFF"/>
        </w:rPr>
        <w:t>This model of internal succession and orderly transition further reinforces the stability of the management team and its deep understanding of the company's operations. This approach supports sustained innovation and efficient execution across business units such as Textron Aviation.</w:t>
      </w:r>
    </w:p>
    <w:p w14:paraId="44FFF288">
      <w:pPr>
        <w:pStyle w:val="17"/>
        <w:shd w:val="clear" w:color="auto" w:fill="FFFFFF"/>
        <w:spacing w:after="320"/>
        <w:rPr>
          <w:rFonts w:ascii="Calibri" w:hAnsi="Calibri" w:cs="Calibri" w:eastAsiaTheme="minorEastAsia"/>
          <w:color w:val="0F1115"/>
          <w:sz w:val="22"/>
          <w:szCs w:val="22"/>
          <w:shd w:val="clear" w:color="auto" w:fill="FFFFFF"/>
        </w:rPr>
      </w:pPr>
    </w:p>
    <w:p w14:paraId="131FAF5E">
      <w:pPr>
        <w:pStyle w:val="17"/>
        <w:shd w:val="clear" w:color="auto" w:fill="FFFFFF"/>
        <w:spacing w:after="320"/>
        <w:rPr>
          <w:rFonts w:ascii="Calibri" w:hAnsi="Calibri" w:cs="Calibri" w:eastAsiaTheme="minorEastAsia"/>
          <w:color w:val="0F1115"/>
          <w:sz w:val="22"/>
          <w:szCs w:val="22"/>
          <w:shd w:val="clear" w:color="auto" w:fill="FFFFFF"/>
        </w:rPr>
      </w:pPr>
    </w:p>
    <w:p w14:paraId="0815A672">
      <w:pPr>
        <w:pStyle w:val="17"/>
        <w:shd w:val="clear" w:color="auto" w:fill="FFFFFF"/>
        <w:spacing w:after="320"/>
        <w:rPr>
          <w:rFonts w:ascii="Calibri" w:hAnsi="Calibri" w:cs="Calibri" w:eastAsiaTheme="minorEastAsia"/>
          <w:color w:val="0F1115"/>
          <w:sz w:val="22"/>
          <w:szCs w:val="22"/>
          <w:shd w:val="clear" w:color="auto" w:fill="FFFFFF"/>
        </w:rPr>
      </w:pPr>
    </w:p>
    <w:p w14:paraId="6744D23C">
      <w:pPr>
        <w:pStyle w:val="17"/>
        <w:shd w:val="clear" w:color="auto" w:fill="FFFFFF"/>
        <w:spacing w:after="320"/>
        <w:rPr>
          <w:rFonts w:ascii="Calibri" w:hAnsi="Calibri" w:cs="Calibri" w:eastAsiaTheme="minorEastAsia"/>
          <w:color w:val="0F1115"/>
          <w:sz w:val="22"/>
          <w:szCs w:val="22"/>
          <w:shd w:val="clear" w:color="auto" w:fill="FFFFFF"/>
        </w:rPr>
      </w:pPr>
    </w:p>
    <w:p w14:paraId="44308372">
      <w:pPr>
        <w:pStyle w:val="17"/>
        <w:shd w:val="clear" w:color="auto" w:fill="FFFFFF"/>
        <w:spacing w:after="320"/>
        <w:rPr>
          <w:rFonts w:ascii="Calibri" w:hAnsi="Calibri" w:cs="Calibri" w:eastAsiaTheme="minorEastAsia"/>
          <w:color w:val="0F1115"/>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701DCE8">
        <w:trPr>
          <w:trHeight w:val="302" w:hRule="atLeast"/>
        </w:trPr>
        <w:tc>
          <w:tcPr>
            <w:tcW w:w="7466" w:type="dxa"/>
            <w:tcBorders>
              <w:bottom w:val="single" w:color="auto" w:sz="4" w:space="0"/>
            </w:tcBorders>
            <w:tcMar>
              <w:left w:w="0" w:type="dxa"/>
              <w:right w:w="28" w:type="dxa"/>
            </w:tcMar>
          </w:tcPr>
          <w:p w14:paraId="6C6B9A0D">
            <w:pPr>
              <w:rPr>
                <w:rFonts w:eastAsia="楷体" w:cs="Calibri"/>
                <w:sz w:val="20"/>
                <w:szCs w:val="20"/>
              </w:rPr>
            </w:pPr>
            <w:r>
              <w:rPr>
                <w:rStyle w:val="22"/>
                <w:rFonts w:eastAsia="Helvetica Neue" w:cs="Calibri"/>
                <w:color w:val="0F1115"/>
                <w:sz w:val="20"/>
                <w:szCs w:val="20"/>
                <w:shd w:val="clear" w:color="auto" w:fill="FFFFFF"/>
                <w:lang w:bidi="ar"/>
              </w:rPr>
              <w:t>Figure: Senior Management Overview of the Group</w:t>
            </w:r>
          </w:p>
        </w:tc>
      </w:tr>
      <w:tr w14:paraId="02B901B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D84979C">
            <w:pPr>
              <w:spacing w:before="48" w:beforeLines="20" w:after="48" w:afterLines="20"/>
              <w:jc w:val="both"/>
              <w:textAlignment w:val="center"/>
              <w:rPr>
                <w:rFonts w:eastAsia="宋体" w:cs="Calibri"/>
                <w:b/>
                <w:bCs/>
                <w:sz w:val="20"/>
                <w:szCs w:val="20"/>
              </w:rPr>
            </w:pPr>
            <w:r>
              <w:rPr>
                <w:rFonts w:hint="eastAsia" w:eastAsia="宋体" w:cs="Calibri"/>
                <w:b/>
                <w:bCs/>
                <w:sz w:val="20"/>
                <w:szCs w:val="20"/>
              </w:rPr>
              <w:drawing>
                <wp:inline distT="0" distB="0" distL="114300" distR="114300">
                  <wp:extent cx="4590415" cy="3182620"/>
                  <wp:effectExtent l="0" t="0" r="6985" b="17780"/>
                  <wp:docPr id="12" name="图片 12" descr="图像1-27-26 下午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像1-27-26 下午2.14"/>
                          <pic:cNvPicPr>
                            <a:picLocks noChangeAspect="1"/>
                          </pic:cNvPicPr>
                        </pic:nvPicPr>
                        <pic:blipFill>
                          <a:blip r:embed="rId22"/>
                          <a:stretch>
                            <a:fillRect/>
                          </a:stretch>
                        </pic:blipFill>
                        <pic:spPr>
                          <a:xfrm>
                            <a:off x="0" y="0"/>
                            <a:ext cx="4590415" cy="3182620"/>
                          </a:xfrm>
                          <a:prstGeom prst="rect">
                            <a:avLst/>
                          </a:prstGeom>
                        </pic:spPr>
                      </pic:pic>
                    </a:graphicData>
                  </a:graphic>
                </wp:inline>
              </w:drawing>
            </w:r>
          </w:p>
        </w:tc>
      </w:tr>
      <w:tr w14:paraId="0127F49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E843668">
            <w:pPr>
              <w:spacing w:line="240" w:lineRule="atLeast"/>
              <w:jc w:val="both"/>
              <w:textAlignment w:val="center"/>
              <w:rPr>
                <w:rFonts w:cs="Calibri"/>
                <w:sz w:val="20"/>
                <w:szCs w:val="20"/>
              </w:rPr>
            </w:pPr>
            <w:r>
              <w:rPr>
                <w:rFonts w:eastAsia="楷体" w:cs="Calibri"/>
                <w:b/>
                <w:bCs/>
                <w:sz w:val="20"/>
                <w:szCs w:val="20"/>
              </w:rPr>
              <w:t xml:space="preserve">Source: </w:t>
            </w:r>
            <w:r>
              <w:rPr>
                <w:rFonts w:eastAsia="楷体" w:cs="Calibri"/>
                <w:sz w:val="20"/>
                <w:szCs w:val="20"/>
              </w:rPr>
              <w:t>wind, HFI</w:t>
            </w:r>
          </w:p>
        </w:tc>
      </w:tr>
    </w:tbl>
    <w:p w14:paraId="74DF60A1">
      <w:pPr>
        <w:widowControl w:val="0"/>
        <w:jc w:val="both"/>
        <w:rPr>
          <w:rFonts w:hint="eastAsia" w:eastAsia="楷体" w:asciiTheme="minorHAnsi" w:hAnsiTheme="minorHAnsi" w:cstheme="minorHAnsi"/>
          <w:kern w:val="2"/>
          <w:sz w:val="22"/>
          <w:szCs w:val="22"/>
        </w:rPr>
      </w:pPr>
    </w:p>
    <w:p w14:paraId="388AF288">
      <w:pPr>
        <w:pStyle w:val="77"/>
        <w:jc w:val="both"/>
        <w:rPr>
          <w:rFonts w:ascii="Calibri" w:hAnsi="Calibri" w:eastAsia="Helvetica Neue" w:cs="Calibri"/>
          <w:color w:val="800080"/>
          <w:sz w:val="24"/>
          <w:szCs w:val="24"/>
        </w:rPr>
      </w:pPr>
      <w:bookmarkStart w:id="7" w:name="_Toc220275540"/>
      <w:bookmarkStart w:id="8" w:name="_Toc220589927"/>
      <w:r>
        <w:rPr>
          <w:rFonts w:ascii="Calibri" w:hAnsi="Calibri" w:eastAsia="楷体" w:cs="Calibri"/>
          <w:color w:val="23558C"/>
          <w:sz w:val="24"/>
          <w:szCs w:val="24"/>
        </w:rPr>
        <w:t xml:space="preserve">1.3 </w:t>
      </w:r>
      <w:bookmarkEnd w:id="7"/>
      <w:r>
        <w:rPr>
          <w:rFonts w:ascii="Calibri" w:hAnsi="Calibri" w:eastAsia="楷体" w:cs="Calibri"/>
          <w:color w:val="23558C"/>
          <w:sz w:val="24"/>
          <w:szCs w:val="24"/>
        </w:rPr>
        <w:t>Financial Performance</w:t>
      </w:r>
      <w:bookmarkEnd w:id="8"/>
    </w:p>
    <w:p w14:paraId="45871BF4">
      <w:pPr>
        <w:pStyle w:val="17"/>
        <w:rPr>
          <w:rFonts w:ascii="Calibri" w:hAnsi="Calibri" w:cs="Calibri" w:eastAsiaTheme="minorEastAsia"/>
          <w:sz w:val="22"/>
          <w:szCs w:val="22"/>
        </w:rPr>
      </w:pPr>
      <w:r>
        <w:rPr>
          <w:rFonts w:ascii="Calibri" w:hAnsi="Calibri" w:eastAsia="Helvetica Neue" w:cs="Calibri"/>
          <w:b/>
          <w:bCs/>
          <w:color w:val="0F1115"/>
          <w:sz w:val="22"/>
          <w:szCs w:val="22"/>
          <w:shd w:val="clear" w:color="auto" w:fill="FFFFFF"/>
        </w:rPr>
        <w:t xml:space="preserve">From 2015 to 2025, the company’s revenues showed an overall slight upward trend amid fluctuations. </w:t>
      </w:r>
      <w:r>
        <w:rPr>
          <w:rFonts w:ascii="Calibri" w:hAnsi="Calibri" w:eastAsia="Helvetica Neue" w:cs="Calibri"/>
          <w:color w:val="0F1115"/>
          <w:sz w:val="22"/>
          <w:szCs w:val="22"/>
          <w:shd w:val="clear" w:color="auto" w:fill="FFFFFF"/>
        </w:rPr>
        <w:t>Total revenue increased from USD 13.423 billion in 2015 to USD 14.799 billion in 2025, representing a ten-year CAGR of approximately 0.98%.</w:t>
      </w:r>
      <w:r>
        <w:rPr>
          <w:rFonts w:hint="eastAsia" w:ascii="Calibri" w:hAnsi="Calibri" w:cs="Calibri" w:eastAsiaTheme="minorEastAsia"/>
          <w:color w:val="0F1115"/>
          <w:sz w:val="22"/>
          <w:szCs w:val="22"/>
          <w:shd w:val="clear" w:color="auto" w:fill="FFFFFF"/>
        </w:rPr>
        <w:t xml:space="preserve"> </w:t>
      </w:r>
      <w:r>
        <w:rPr>
          <w:rFonts w:ascii="Calibri" w:hAnsi="Calibri" w:eastAsia="Helvetica Neue" w:cs="Calibri"/>
          <w:color w:val="0F1115"/>
          <w:sz w:val="22"/>
          <w:szCs w:val="22"/>
          <w:shd w:val="clear" w:color="auto" w:fill="FFFFFF"/>
        </w:rPr>
        <w:t>Specifically, revenue remained relatively stable between 2015 and 2019, peaking at USD 14.198 billion in 2017, with minor fluctuations driven by aviation market demand and defense orders. In 2020, revenue declined sharply by 14.5% to USD 11.651 billion due to the impact of the global pandemic. From 2021 to 2023, supported by a strong recovery in aviation demand and growth in defense operations, revenue achieved consecutive positive growth rates of 6.3%, 3.9%, and 6.3%, respectively. In 2025, revenue increased by 8% year over year, marking a rebound from the prior year and underscoring the company’s long-term stability supported by a diversified business portfolio and resilient end markets.</w:t>
      </w:r>
    </w:p>
    <w:p w14:paraId="6B484398">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4E054C3">
        <w:trPr>
          <w:trHeight w:val="302" w:hRule="atLeast"/>
        </w:trPr>
        <w:tc>
          <w:tcPr>
            <w:tcW w:w="7466" w:type="dxa"/>
            <w:tcBorders>
              <w:bottom w:val="single" w:color="auto" w:sz="4" w:space="0"/>
            </w:tcBorders>
            <w:tcMar>
              <w:left w:w="0" w:type="dxa"/>
              <w:right w:w="28" w:type="dxa"/>
            </w:tcMar>
          </w:tcPr>
          <w:p w14:paraId="4E5603E5">
            <w:pPr>
              <w:spacing w:before="48" w:beforeLines="20" w:after="48" w:afterLines="20"/>
              <w:jc w:val="both"/>
              <w:textAlignment w:val="center"/>
              <w:rPr>
                <w:rFonts w:eastAsia="楷体" w:cs="Calibri"/>
                <w:b/>
                <w:sz w:val="20"/>
                <w:szCs w:val="20"/>
              </w:rPr>
            </w:pPr>
            <w:r>
              <w:rPr>
                <w:rFonts w:hint="eastAsia" w:eastAsia="楷体" w:cs="Calibri"/>
                <w:b/>
                <w:sz w:val="20"/>
                <w:szCs w:val="20"/>
              </w:rPr>
              <w:t>Figure</w:t>
            </w:r>
            <w:r>
              <w:rPr>
                <w:rFonts w:eastAsia="楷体" w:cs="Calibri"/>
                <w:b/>
                <w:sz w:val="20"/>
                <w:szCs w:val="20"/>
              </w:rPr>
              <w:t>: Textron Aircraft Revenue and Growth Rate (USD Million)</w:t>
            </w:r>
          </w:p>
        </w:tc>
      </w:tr>
      <w:tr w14:paraId="2763B5D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D209E3F">
            <w:pPr>
              <w:spacing w:before="48" w:beforeLines="20" w:after="48" w:afterLines="20"/>
              <w:jc w:val="center"/>
              <w:textAlignment w:val="center"/>
              <w:rPr>
                <w:rFonts w:eastAsia="宋体" w:cs="Calibri"/>
                <w:b/>
                <w:bCs/>
                <w:sz w:val="20"/>
                <w:szCs w:val="20"/>
              </w:rPr>
            </w:pPr>
            <w:r>
              <w:rPr>
                <w:snapToGrid/>
              </w:rPr>
              <w:drawing>
                <wp:inline distT="0" distB="0" distL="0" distR="0">
                  <wp:extent cx="4294505" cy="2063750"/>
                  <wp:effectExtent l="0" t="0" r="0" b="0"/>
                  <wp:docPr id="159010418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14:paraId="240DC17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7431873">
            <w:pPr>
              <w:spacing w:line="240" w:lineRule="atLeast"/>
              <w:jc w:val="both"/>
              <w:textAlignment w:val="center"/>
              <w:rPr>
                <w:rFonts w:cs="Calibri"/>
                <w:sz w:val="20"/>
                <w:szCs w:val="20"/>
              </w:rPr>
            </w:pPr>
            <w:r>
              <w:rPr>
                <w:rFonts w:eastAsia="楷体" w:cs="Calibri"/>
                <w:b/>
                <w:bCs/>
                <w:sz w:val="20"/>
                <w:szCs w:val="20"/>
              </w:rPr>
              <w:t xml:space="preserve">Source: </w:t>
            </w:r>
            <w:r>
              <w:rPr>
                <w:rFonts w:hint="eastAsia" w:eastAsia="楷体" w:cs="Calibri"/>
                <w:sz w:val="20"/>
                <w:szCs w:val="20"/>
              </w:rPr>
              <w:t>W</w:t>
            </w:r>
            <w:r>
              <w:rPr>
                <w:rFonts w:eastAsia="楷体" w:cs="Calibri"/>
                <w:sz w:val="20"/>
                <w:szCs w:val="20"/>
              </w:rPr>
              <w:t>ind, HFI</w:t>
            </w:r>
          </w:p>
        </w:tc>
      </w:tr>
    </w:tbl>
    <w:p w14:paraId="5C1A4CDD">
      <w:pPr>
        <w:rPr>
          <w:rFonts w:cs="Calibri" w:eastAsiaTheme="minorEastAsia"/>
          <w:color w:val="0F1115"/>
          <w:sz w:val="22"/>
          <w:szCs w:val="22"/>
          <w:shd w:val="clear" w:color="auto" w:fill="FFFFFF"/>
          <w:lang w:bidi="ar"/>
        </w:rPr>
      </w:pPr>
      <w:bookmarkStart w:id="9" w:name="_Hlk216642019"/>
      <w:r>
        <w:rPr>
          <w:rFonts w:eastAsia="Helvetica Neue" w:cs="Calibri"/>
          <w:b/>
          <w:bCs/>
          <w:color w:val="0F1115"/>
          <w:sz w:val="22"/>
          <w:szCs w:val="22"/>
          <w:shd w:val="clear" w:color="auto" w:fill="FFFFFF"/>
          <w:lang w:bidi="ar"/>
        </w:rPr>
        <w:t>From 2015 to 2024, manufacturing operations</w:t>
      </w:r>
      <w:r>
        <w:rPr>
          <w:rFonts w:eastAsia="Helvetica Neue" w:cs="Calibri"/>
          <w:color w:val="0F1115"/>
          <w:sz w:val="22"/>
          <w:szCs w:val="22"/>
          <w:shd w:val="clear" w:color="auto" w:fill="FFFFFF"/>
          <w:lang w:bidi="ar"/>
        </w:rPr>
        <w:t xml:space="preserve">—comprising Textron Aviation, Bell, Textron Systems, Industrial, and Textron eAviation—consistently accounted for around 99% of total revenue, while the Finance segment remained under 1% throughout the period. </w:t>
      </w:r>
    </w:p>
    <w:p w14:paraId="0BCBA1A5">
      <w:pPr>
        <w:rPr>
          <w:rFonts w:cs="Calibri"/>
          <w:sz w:val="22"/>
          <w:szCs w:val="22"/>
        </w:rPr>
      </w:pPr>
      <w:r>
        <w:rPr>
          <w:rFonts w:eastAsia="Helvetica Neue" w:cs="Calibri"/>
          <w:b/>
          <w:bCs/>
          <w:color w:val="0F1115"/>
          <w:sz w:val="22"/>
          <w:szCs w:val="22"/>
          <w:shd w:val="clear" w:color="auto" w:fill="FFFFFF"/>
          <w:lang w:bidi="ar"/>
        </w:rPr>
        <w:t>Within manufacturing, Textron Aviation has remained the largest contributor,</w:t>
      </w:r>
      <w:r>
        <w:rPr>
          <w:rFonts w:eastAsia="Helvetica Neue" w:cs="Calibri"/>
          <w:color w:val="0F1115"/>
          <w:sz w:val="22"/>
          <w:szCs w:val="22"/>
          <w:shd w:val="clear" w:color="auto" w:fill="FFFFFF"/>
          <w:lang w:bidi="ar"/>
        </w:rPr>
        <w:t xml:space="preserve"> with its revenue share staying relatively stable in the 35%–40% range, reaching </w:t>
      </w:r>
      <w:r>
        <w:rPr>
          <w:rFonts w:hint="eastAsia" w:cs="Calibri" w:eastAsiaTheme="minorEastAsia"/>
          <w:color w:val="0F1115"/>
          <w:sz w:val="22"/>
          <w:szCs w:val="22"/>
          <w:shd w:val="clear" w:color="auto" w:fill="FFFFFF"/>
          <w:lang w:bidi="ar"/>
        </w:rPr>
        <w:t>40.2</w:t>
      </w:r>
      <w:r>
        <w:rPr>
          <w:rFonts w:eastAsia="Helvetica Neue" w:cs="Calibri"/>
          <w:color w:val="0F1115"/>
          <w:sz w:val="22"/>
          <w:szCs w:val="22"/>
          <w:shd w:val="clear" w:color="auto" w:fill="FFFFFF"/>
          <w:lang w:bidi="ar"/>
        </w:rPr>
        <w:t>% in 202</w:t>
      </w:r>
      <w:r>
        <w:rPr>
          <w:rFonts w:hint="eastAsia" w:cs="Calibri" w:eastAsiaTheme="minorEastAsia"/>
          <w:color w:val="0F1115"/>
          <w:sz w:val="22"/>
          <w:szCs w:val="22"/>
          <w:shd w:val="clear" w:color="auto" w:fill="FFFFFF"/>
          <w:lang w:bidi="ar"/>
        </w:rPr>
        <w:t>5</w:t>
      </w:r>
      <w:r>
        <w:rPr>
          <w:rFonts w:eastAsia="Helvetica Neue" w:cs="Calibri"/>
          <w:color w:val="0F1115"/>
          <w:sz w:val="22"/>
          <w:szCs w:val="22"/>
          <w:shd w:val="clear" w:color="auto" w:fill="FFFFFF"/>
          <w:lang w:bidi="ar"/>
        </w:rPr>
        <w:t xml:space="preserve">. The Bell segment’s contribution gradually increased from approximately 20%–25% in earlier years to </w:t>
      </w:r>
      <w:r>
        <w:rPr>
          <w:rFonts w:hint="eastAsia" w:cs="Calibri" w:eastAsiaTheme="minorEastAsia"/>
          <w:color w:val="0F1115"/>
          <w:sz w:val="22"/>
          <w:szCs w:val="22"/>
          <w:shd w:val="clear" w:color="auto" w:fill="FFFFFF"/>
          <w:lang w:bidi="ar"/>
        </w:rPr>
        <w:t>28.9</w:t>
      </w:r>
      <w:r>
        <w:rPr>
          <w:rFonts w:eastAsia="Helvetica Neue" w:cs="Calibri"/>
          <w:color w:val="0F1115"/>
          <w:sz w:val="22"/>
          <w:szCs w:val="22"/>
          <w:shd w:val="clear" w:color="auto" w:fill="FFFFFF"/>
          <w:lang w:bidi="ar"/>
        </w:rPr>
        <w:t>% in 202</w:t>
      </w:r>
      <w:r>
        <w:rPr>
          <w:rFonts w:hint="eastAsia" w:cs="Calibri" w:eastAsiaTheme="minorEastAsia"/>
          <w:color w:val="0F1115"/>
          <w:sz w:val="22"/>
          <w:szCs w:val="22"/>
          <w:shd w:val="clear" w:color="auto" w:fill="FFFFFF"/>
          <w:lang w:bidi="ar"/>
        </w:rPr>
        <w:t>5</w:t>
      </w:r>
      <w:r>
        <w:rPr>
          <w:rFonts w:eastAsia="Helvetica Neue" w:cs="Calibri"/>
          <w:color w:val="0F1115"/>
          <w:sz w:val="22"/>
          <w:szCs w:val="22"/>
          <w:shd w:val="clear" w:color="auto" w:fill="FFFFFF"/>
          <w:lang w:bidi="ar"/>
        </w:rPr>
        <w:t>, largely driven by growth in military programs. Industrial operations fluctuated between 20% and 30%, ending 202</w:t>
      </w:r>
      <w:r>
        <w:rPr>
          <w:rFonts w:hint="eastAsia" w:cs="Calibri" w:eastAsiaTheme="minorEastAsia"/>
          <w:color w:val="0F1115"/>
          <w:sz w:val="22"/>
          <w:szCs w:val="22"/>
          <w:shd w:val="clear" w:color="auto" w:fill="FFFFFF"/>
          <w:lang w:bidi="ar"/>
        </w:rPr>
        <w:t>5</w:t>
      </w:r>
      <w:r>
        <w:rPr>
          <w:rFonts w:eastAsia="Helvetica Neue" w:cs="Calibri"/>
          <w:color w:val="0F1115"/>
          <w:sz w:val="22"/>
          <w:szCs w:val="22"/>
          <w:shd w:val="clear" w:color="auto" w:fill="FFFFFF"/>
          <w:lang w:bidi="ar"/>
        </w:rPr>
        <w:t xml:space="preserve"> at 2</w:t>
      </w:r>
      <w:r>
        <w:rPr>
          <w:rFonts w:hint="eastAsia" w:cs="Calibri" w:eastAsiaTheme="minorEastAsia"/>
          <w:color w:val="0F1115"/>
          <w:sz w:val="22"/>
          <w:szCs w:val="22"/>
          <w:shd w:val="clear" w:color="auto" w:fill="FFFFFF"/>
          <w:lang w:bidi="ar"/>
        </w:rPr>
        <w:t>1.7</w:t>
      </w:r>
      <w:r>
        <w:rPr>
          <w:rFonts w:eastAsia="Helvetica Neue" w:cs="Calibri"/>
          <w:color w:val="0F1115"/>
          <w:sz w:val="22"/>
          <w:szCs w:val="22"/>
          <w:shd w:val="clear" w:color="auto" w:fill="FFFFFF"/>
          <w:lang w:bidi="ar"/>
        </w:rPr>
        <w:t xml:space="preserve">%. Textron Systems typically represented 8%–12% of total revenue, accounting for </w:t>
      </w:r>
      <w:r>
        <w:rPr>
          <w:rFonts w:hint="eastAsia" w:cs="Calibri" w:eastAsiaTheme="minorEastAsia"/>
          <w:color w:val="0F1115"/>
          <w:sz w:val="22"/>
          <w:szCs w:val="22"/>
          <w:shd w:val="clear" w:color="auto" w:fill="FFFFFF"/>
          <w:lang w:bidi="ar"/>
        </w:rPr>
        <w:t>8.4</w:t>
      </w:r>
      <w:r>
        <w:rPr>
          <w:rFonts w:eastAsia="Helvetica Neue" w:cs="Calibri"/>
          <w:color w:val="0F1115"/>
          <w:sz w:val="22"/>
          <w:szCs w:val="22"/>
          <w:shd w:val="clear" w:color="auto" w:fill="FFFFFF"/>
          <w:lang w:bidi="ar"/>
        </w:rPr>
        <w:t>% in 202</w:t>
      </w:r>
      <w:r>
        <w:rPr>
          <w:rFonts w:hint="eastAsia" w:cs="Calibri" w:eastAsiaTheme="minorEastAsia"/>
          <w:color w:val="0F1115"/>
          <w:sz w:val="22"/>
          <w:szCs w:val="22"/>
          <w:shd w:val="clear" w:color="auto" w:fill="FFFFFF"/>
          <w:lang w:bidi="ar"/>
        </w:rPr>
        <w:t>5</w:t>
      </w:r>
      <w:r>
        <w:rPr>
          <w:rFonts w:eastAsia="Helvetica Neue" w:cs="Calibri"/>
          <w:color w:val="0F1115"/>
          <w:sz w:val="22"/>
          <w:szCs w:val="22"/>
          <w:shd w:val="clear" w:color="auto" w:fill="FFFFFF"/>
          <w:lang w:bidi="ar"/>
        </w:rPr>
        <w:t>, whereas Textron eAviation, still in its early-stage development, contributed only 0.</w:t>
      </w:r>
      <w:r>
        <w:rPr>
          <w:rFonts w:hint="eastAsia" w:cs="Calibri" w:eastAsiaTheme="minorEastAsia"/>
          <w:color w:val="0F1115"/>
          <w:sz w:val="22"/>
          <w:szCs w:val="22"/>
          <w:shd w:val="clear" w:color="auto" w:fill="FFFFFF"/>
          <w:lang w:bidi="ar"/>
        </w:rPr>
        <w:t>18</w:t>
      </w:r>
      <w:r>
        <w:rPr>
          <w:rFonts w:eastAsia="Helvetica Neue" w:cs="Calibri"/>
          <w:color w:val="0F1115"/>
          <w:sz w:val="22"/>
          <w:szCs w:val="22"/>
          <w:shd w:val="clear" w:color="auto" w:fill="FFFFFF"/>
          <w:lang w:bidi="ar"/>
        </w:rPr>
        <w:t>% in 202</w:t>
      </w:r>
      <w:r>
        <w:rPr>
          <w:rFonts w:hint="eastAsia" w:cs="Calibri" w:eastAsiaTheme="minorEastAsia"/>
          <w:color w:val="0F1115"/>
          <w:sz w:val="22"/>
          <w:szCs w:val="22"/>
          <w:shd w:val="clear" w:color="auto" w:fill="FFFFFF"/>
          <w:lang w:bidi="ar"/>
        </w:rPr>
        <w:t>5</w:t>
      </w:r>
      <w:r>
        <w:rPr>
          <w:rFonts w:eastAsia="Helvetica Neue" w:cs="Calibri"/>
          <w:color w:val="0F1115"/>
          <w:sz w:val="22"/>
          <w:szCs w:val="22"/>
          <w:shd w:val="clear" w:color="auto" w:fill="FFFFFF"/>
          <w:lang w:bidi="ar"/>
        </w:rPr>
        <w:t>.</w:t>
      </w:r>
    </w:p>
    <w:p w14:paraId="1E04EED7">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FD1016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E4B74EA">
            <w:pPr>
              <w:spacing w:before="48" w:beforeLines="20" w:after="48" w:afterLines="20"/>
              <w:jc w:val="both"/>
              <w:textAlignment w:val="center"/>
              <w:rPr>
                <w:rFonts w:eastAsia="楷体" w:cs="Calibri"/>
                <w:b/>
                <w:sz w:val="20"/>
                <w:szCs w:val="20"/>
              </w:rPr>
            </w:pPr>
            <w:r>
              <w:rPr>
                <w:rFonts w:eastAsia="楷体" w:cs="Calibri"/>
                <w:b/>
                <w:sz w:val="20"/>
                <w:szCs w:val="20"/>
              </w:rPr>
              <w:t>Chart: Revenue Breakdown by Business Segment at Textron</w:t>
            </w:r>
          </w:p>
        </w:tc>
      </w:tr>
      <w:tr w14:paraId="2E9A5FE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030E3A7">
            <w:pPr>
              <w:spacing w:before="48" w:beforeLines="20" w:after="48" w:afterLines="20"/>
              <w:jc w:val="center"/>
              <w:textAlignment w:val="center"/>
              <w:rPr>
                <w:rFonts w:eastAsia="宋体" w:cs="Calibri"/>
                <w:b/>
                <w:bCs/>
                <w:sz w:val="20"/>
                <w:szCs w:val="20"/>
              </w:rPr>
            </w:pPr>
            <w:r>
              <w:rPr>
                <w:snapToGrid/>
              </w:rPr>
              <w:drawing>
                <wp:inline distT="0" distB="0" distL="0" distR="0">
                  <wp:extent cx="4572000" cy="2743200"/>
                  <wp:effectExtent l="0" t="0" r="0" b="0"/>
                  <wp:docPr id="213925592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14:paraId="726A8FB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35DD969">
            <w:pPr>
              <w:spacing w:line="240" w:lineRule="atLeast"/>
              <w:jc w:val="both"/>
              <w:textAlignment w:val="center"/>
              <w:rPr>
                <w:rFonts w:cs="Calibri"/>
                <w:sz w:val="20"/>
                <w:szCs w:val="20"/>
              </w:rPr>
            </w:pPr>
            <w:r>
              <w:rPr>
                <w:rFonts w:eastAsia="楷体" w:cs="Calibri"/>
                <w:b/>
                <w:bCs/>
                <w:sz w:val="20"/>
                <w:szCs w:val="20"/>
              </w:rPr>
              <w:t xml:space="preserve">Source: </w:t>
            </w:r>
            <w:r>
              <w:rPr>
                <w:rFonts w:hint="eastAsia" w:eastAsia="楷体" w:cs="Calibri"/>
                <w:sz w:val="20"/>
                <w:szCs w:val="20"/>
              </w:rPr>
              <w:t>W</w:t>
            </w:r>
            <w:r>
              <w:rPr>
                <w:rFonts w:eastAsia="楷体" w:cs="Calibri"/>
                <w:sz w:val="20"/>
                <w:szCs w:val="20"/>
              </w:rPr>
              <w:t>ind, HFI</w:t>
            </w:r>
          </w:p>
        </w:tc>
      </w:tr>
    </w:tbl>
    <w:p w14:paraId="7D1797EC">
      <w:pPr>
        <w:widowControl w:val="0"/>
        <w:jc w:val="both"/>
        <w:rPr>
          <w:rFonts w:eastAsia="楷体" w:cs="Calibri"/>
          <w:kern w:val="2"/>
          <w:sz w:val="22"/>
          <w:szCs w:val="22"/>
        </w:rPr>
      </w:pPr>
    </w:p>
    <w:p w14:paraId="0D2C271B">
      <w:pPr>
        <w:rPr>
          <w:rFonts w:eastAsia="Helvetica Neue" w:cs="Calibri"/>
          <w:b/>
          <w:bCs/>
          <w:color w:val="0F1115"/>
          <w:sz w:val="22"/>
          <w:szCs w:val="22"/>
          <w:shd w:val="clear" w:color="auto" w:fill="FFFFFF"/>
          <w:lang w:bidi="ar"/>
        </w:rPr>
      </w:pPr>
      <w:r>
        <w:rPr>
          <w:rFonts w:eastAsia="Helvetica Neue" w:cs="Calibri"/>
          <w:b/>
          <w:bCs/>
          <w:color w:val="0F1115"/>
          <w:sz w:val="22"/>
          <w:szCs w:val="22"/>
          <w:shd w:val="clear" w:color="auto" w:fill="FFFFFF"/>
          <w:lang w:bidi="ar"/>
        </w:rPr>
        <w:t>The company’s profitability exhibited some volatility between 2015 and 2024, with gross margins generally ranging from 16% to 18% and net profit margins largely stabilizing between 5% and 6%.</w:t>
      </w:r>
    </w:p>
    <w:p w14:paraId="4A839AE0">
      <w:pPr>
        <w:rPr>
          <w:rStyle w:val="22"/>
          <w:rFonts w:cs="Calibri" w:eastAsiaTheme="minorEastAsia"/>
          <w:bCs/>
          <w:color w:val="0F1115"/>
          <w:sz w:val="22"/>
          <w:szCs w:val="22"/>
          <w:shd w:val="clear" w:color="auto" w:fill="FFFFFF"/>
          <w:lang w:bidi="ar"/>
        </w:rPr>
      </w:pPr>
    </w:p>
    <w:p w14:paraId="71E4FFB6">
      <w:pPr>
        <w:rPr>
          <w:rFonts w:eastAsia="楷体" w:cs="Calibri"/>
          <w:kern w:val="2"/>
          <w:sz w:val="22"/>
          <w:szCs w:val="22"/>
        </w:rPr>
      </w:pPr>
      <w:r>
        <w:rPr>
          <w:rStyle w:val="22"/>
          <w:rFonts w:eastAsia="Helvetica Neue" w:cs="Calibri"/>
          <w:bCs/>
          <w:color w:val="0F1115"/>
          <w:sz w:val="22"/>
          <w:szCs w:val="22"/>
          <w:shd w:val="clear" w:color="auto" w:fill="FFFFFF"/>
          <w:lang w:bidi="ar"/>
        </w:rPr>
        <w:t>1) Gross Profit Margin</w:t>
      </w:r>
      <w:r>
        <w:rPr>
          <w:rStyle w:val="22"/>
          <w:rFonts w:hint="eastAsia" w:ascii="宋体" w:hAnsi="宋体" w:eastAsia="宋体" w:cs="宋体"/>
          <w:bCs/>
          <w:color w:val="0F1115"/>
          <w:sz w:val="22"/>
          <w:szCs w:val="22"/>
          <w:shd w:val="clear" w:color="auto" w:fill="FFFFFF"/>
          <w:lang w:bidi="ar"/>
        </w:rPr>
        <w:t>：</w:t>
      </w:r>
      <w:r>
        <w:rPr>
          <w:rFonts w:eastAsia="Helvetica Neue" w:cs="Calibri"/>
          <w:bCs/>
          <w:color w:val="0F1115"/>
          <w:sz w:val="22"/>
          <w:szCs w:val="22"/>
          <w:shd w:val="clear" w:color="auto" w:fill="FFFFFF"/>
          <w:lang w:bidi="ar"/>
        </w:rPr>
        <w:t>From 2015 to 2024, the company's gross margin consistently remained within the 16%–18% range, except in 2020 when it fell significantly to 13% due to severe disruptions caused by the COVID-19 pandemic. The overall stability in gross margin was primarily supported by the scale advantages and stable pricing power of Textron Aviation and Bell—two core business segments. Sustained delivery volumes in commercial aircraft and helicopters, relatively efficient supply chain operations, and manageable raw material and labor costs further contributed to margin resilience.</w:t>
      </w:r>
    </w:p>
    <w:p w14:paraId="7932DF33">
      <w:pPr>
        <w:widowControl w:val="0"/>
        <w:jc w:val="both"/>
        <w:rPr>
          <w:rFonts w:eastAsia="楷体" w:cs="Calibri"/>
          <w:kern w:val="2"/>
          <w:sz w:val="22"/>
          <w:szCs w:val="22"/>
        </w:rPr>
      </w:pPr>
    </w:p>
    <w:p w14:paraId="2FA9B1EC">
      <w:pPr>
        <w:pStyle w:val="17"/>
        <w:numPr>
          <w:ilvl w:val="0"/>
          <w:numId w:val="2"/>
        </w:numPr>
        <w:rPr>
          <w:rFonts w:ascii="Calibri" w:hAnsi="Calibri" w:cs="Calibri"/>
          <w:sz w:val="22"/>
          <w:szCs w:val="22"/>
        </w:rPr>
      </w:pPr>
      <w:r>
        <w:rPr>
          <w:rFonts w:ascii="Calibri" w:hAnsi="Calibri" w:eastAsia="Helvetica Neue" w:cs="Calibri"/>
          <w:b/>
          <w:bCs/>
          <w:color w:val="0F1115"/>
          <w:sz w:val="22"/>
          <w:szCs w:val="22"/>
          <w:shd w:val="clear" w:color="auto" w:fill="FFFFFF"/>
        </w:rPr>
        <w:t>Net Profit Margin:</w:t>
      </w:r>
      <w:r>
        <w:rPr>
          <w:rFonts w:ascii="Calibri" w:hAnsi="Calibri" w:eastAsia="Helvetica Neue" w:cs="Calibri"/>
          <w:color w:val="0F1115"/>
          <w:sz w:val="22"/>
          <w:szCs w:val="22"/>
          <w:shd w:val="clear" w:color="auto" w:fill="FFFFFF"/>
        </w:rPr>
        <w:t xml:space="preserve"> Net profit increased from USD 697 million in 2015 to USD 824 million in 2024, representing a compound annual growth rate (CAGR) of approximately 4%. The net profit margin rose from 5.19% in 2015 to 6.01% in 2024, although sharp declines were observed in 2017 and 2020. The drop in 2017 was primarily attributable to a substantial non-cash one-time income tax expense recorded by Textron under the "deemed repatriation" provision of U.S. tax reform, which significantly reduced reported net income for the year. In 2020, profitability was severely impacted by the global COVID-19 pandemic, which caused a sharp contraction in order demand for core businesses such as general aviation and civil helicopters, widespread supply chain disruptions, and delays in production and deliveries, ultimately weighing heavily on earnings.</w:t>
      </w:r>
    </w:p>
    <w:p w14:paraId="1C1B7118">
      <w:pPr>
        <w:widowControl w:val="0"/>
        <w:jc w:val="both"/>
        <w:rPr>
          <w:rFonts w:eastAsia="楷体" w:cs="Calibri"/>
          <w:kern w:val="2"/>
          <w:sz w:val="22"/>
          <w:szCs w:val="22"/>
        </w:rPr>
      </w:pPr>
    </w:p>
    <w:p w14:paraId="63CE6EB2">
      <w:pPr>
        <w:rPr>
          <w:rFonts w:cs="Calibri"/>
        </w:rPr>
      </w:pPr>
      <w:r>
        <w:rPr>
          <w:rFonts w:eastAsia="楷体" w:cs="Calibri"/>
          <w:b/>
          <w:bCs/>
          <w:kern w:val="2"/>
          <w:sz w:val="22"/>
          <w:szCs w:val="22"/>
        </w:rPr>
        <w:t>3)</w:t>
      </w:r>
      <w:r>
        <w:rPr>
          <w:rFonts w:eastAsia="楷体" w:cs="Calibri"/>
          <w:b/>
          <w:bCs/>
          <w:spacing w:val="-2"/>
          <w:sz w:val="22"/>
          <w:szCs w:val="22"/>
          <w:shd w:val="clear" w:color="auto" w:fill="FCFCFC"/>
        </w:rPr>
        <w:t xml:space="preserve"> </w:t>
      </w:r>
      <w:r>
        <w:rPr>
          <w:rStyle w:val="22"/>
          <w:rFonts w:eastAsia="Helvetica Neue" w:cs="Calibri"/>
          <w:bCs/>
          <w:color w:val="0F1115"/>
          <w:sz w:val="22"/>
          <w:szCs w:val="22"/>
          <w:shd w:val="clear" w:color="auto" w:fill="FFFFFF"/>
          <w:lang w:bidi="ar"/>
        </w:rPr>
        <w:t>Stable Expense Ratio</w:t>
      </w:r>
      <w:r>
        <w:rPr>
          <w:rFonts w:eastAsia="Helvetica Neue" w:cs="Calibri"/>
          <w:b/>
          <w:color w:val="0F1115"/>
          <w:sz w:val="22"/>
          <w:szCs w:val="22"/>
          <w:shd w:val="clear" w:color="auto" w:fill="FFFFFF"/>
          <w:lang w:bidi="ar"/>
        </w:rPr>
        <w:br w:type="textWrapping"/>
      </w:r>
      <w:r>
        <w:rPr>
          <w:rFonts w:eastAsia="Helvetica Neue" w:cs="Calibri"/>
          <w:bCs/>
          <w:color w:val="0F1115"/>
          <w:sz w:val="22"/>
          <w:szCs w:val="22"/>
          <w:shd w:val="clear" w:color="auto" w:fill="FFFFFF"/>
          <w:lang w:bidi="ar"/>
        </w:rPr>
        <w:t>Textron’s operating expense ratio remained steady between 8% and 9% throughout 2015–2024, with a gradual declining trend in recent years, reflecting effective cost management and operational discipline.</w:t>
      </w:r>
    </w:p>
    <w:p w14:paraId="01799FB9">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1"/>
        <w:gridCol w:w="240"/>
        <w:gridCol w:w="5149"/>
      </w:tblGrid>
      <w:tr w14:paraId="4B3F7E97">
        <w:tblPrEx>
          <w:tblCellMar>
            <w:top w:w="0" w:type="dxa"/>
            <w:left w:w="108" w:type="dxa"/>
            <w:bottom w:w="0" w:type="dxa"/>
            <w:right w:w="108" w:type="dxa"/>
          </w:tblCellMar>
        </w:tblPrEx>
        <w:trPr>
          <w:trHeight w:val="227" w:hRule="atLeast"/>
        </w:trPr>
        <w:tc>
          <w:tcPr>
            <w:tcW w:w="5101" w:type="dxa"/>
            <w:tcBorders>
              <w:bottom w:val="single" w:color="auto" w:sz="4" w:space="0"/>
            </w:tcBorders>
            <w:tcMar>
              <w:left w:w="0" w:type="dxa"/>
              <w:right w:w="28" w:type="dxa"/>
            </w:tcMar>
          </w:tcPr>
          <w:p w14:paraId="31F135C1">
            <w:pPr>
              <w:rPr>
                <w:rFonts w:eastAsia="楷体" w:cs="Calibri"/>
                <w:sz w:val="20"/>
                <w:szCs w:val="20"/>
                <w:highlight w:val="yellow"/>
              </w:rPr>
            </w:pPr>
            <w:r>
              <w:rPr>
                <w:rStyle w:val="22"/>
                <w:rFonts w:eastAsia="Helvetica Neue" w:cs="Calibri"/>
                <w:sz w:val="20"/>
                <w:szCs w:val="20"/>
                <w:shd w:val="clear" w:color="auto" w:fill="FFFFFF"/>
                <w:lang w:bidi="ar"/>
              </w:rPr>
              <w:t>Figure: Textron's Gross Margin, Expense Ratio, and Net Profit Margin</w:t>
            </w:r>
          </w:p>
        </w:tc>
        <w:tc>
          <w:tcPr>
            <w:tcW w:w="240" w:type="dxa"/>
            <w:tcMar>
              <w:left w:w="0" w:type="dxa"/>
              <w:right w:w="28" w:type="dxa"/>
            </w:tcMar>
          </w:tcPr>
          <w:p w14:paraId="0DA7F3C6">
            <w:pPr>
              <w:spacing w:before="48" w:beforeLines="20" w:after="48" w:afterLines="20"/>
              <w:jc w:val="both"/>
              <w:rPr>
                <w:rFonts w:eastAsia="楷体" w:cs="Calibri"/>
                <w:b/>
                <w:sz w:val="20"/>
                <w:szCs w:val="20"/>
                <w:highlight w:val="yellow"/>
              </w:rPr>
            </w:pPr>
          </w:p>
        </w:tc>
        <w:tc>
          <w:tcPr>
            <w:tcW w:w="5149" w:type="dxa"/>
            <w:tcBorders>
              <w:bottom w:val="single" w:color="auto" w:sz="4" w:space="0"/>
            </w:tcBorders>
            <w:tcMar>
              <w:left w:w="0" w:type="dxa"/>
              <w:right w:w="28" w:type="dxa"/>
            </w:tcMar>
          </w:tcPr>
          <w:p w14:paraId="7F3FBCEB">
            <w:pPr>
              <w:rPr>
                <w:rFonts w:eastAsia="楷体" w:cs="Calibri"/>
                <w:b/>
                <w:sz w:val="20"/>
                <w:szCs w:val="20"/>
              </w:rPr>
            </w:pPr>
            <w:r>
              <w:rPr>
                <w:rStyle w:val="22"/>
                <w:rFonts w:eastAsia="Helvetica Neue" w:cs="Calibri"/>
                <w:color w:val="0F1115"/>
                <w:sz w:val="20"/>
                <w:szCs w:val="20"/>
                <w:shd w:val="clear" w:color="auto" w:fill="FFFFFF"/>
                <w:lang w:bidi="ar"/>
              </w:rPr>
              <w:t>Figure: Textron's Net Profit and Year-over-Year Growth Rate (USD Million)</w:t>
            </w:r>
          </w:p>
        </w:tc>
      </w:tr>
      <w:tr w14:paraId="2D2964FA">
        <w:tblPrEx>
          <w:tblCellMar>
            <w:top w:w="0" w:type="dxa"/>
            <w:left w:w="108" w:type="dxa"/>
            <w:bottom w:w="0" w:type="dxa"/>
            <w:right w:w="108" w:type="dxa"/>
          </w:tblCellMar>
        </w:tblPrEx>
        <w:trPr>
          <w:trHeight w:val="2300" w:hRule="atLeast"/>
        </w:trPr>
        <w:tc>
          <w:tcPr>
            <w:tcW w:w="5101" w:type="dxa"/>
            <w:tcBorders>
              <w:top w:val="single" w:color="auto" w:sz="4" w:space="0"/>
              <w:bottom w:val="single" w:color="auto" w:sz="4" w:space="0"/>
            </w:tcBorders>
            <w:vAlign w:val="center"/>
          </w:tcPr>
          <w:p w14:paraId="5DE848C9">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975" cy="1990725"/>
                  <wp:effectExtent l="0" t="0" r="3175" b="0"/>
                  <wp:docPr id="136177779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0" w:type="dxa"/>
          </w:tcPr>
          <w:p w14:paraId="333D305F">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4D756ED3">
            <w:pPr>
              <w:spacing w:before="48" w:beforeLines="20" w:after="48" w:afterLines="20"/>
              <w:jc w:val="both"/>
              <w:rPr>
                <w:rFonts w:eastAsia="楷体_GB2312" w:cs="Calibri"/>
                <w:b/>
                <w:sz w:val="20"/>
                <w:szCs w:val="20"/>
              </w:rPr>
            </w:pPr>
            <w:r>
              <w:rPr>
                <w:snapToGrid/>
              </w:rPr>
              <w:drawing>
                <wp:inline distT="0" distB="0" distL="0" distR="0">
                  <wp:extent cx="3132455" cy="1863725"/>
                  <wp:effectExtent l="0" t="0" r="0" b="3175"/>
                  <wp:docPr id="95401483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14:paraId="3F915DB4">
        <w:tblPrEx>
          <w:tblCellMar>
            <w:top w:w="0" w:type="dxa"/>
            <w:left w:w="108" w:type="dxa"/>
            <w:bottom w:w="0" w:type="dxa"/>
            <w:right w:w="108" w:type="dxa"/>
          </w:tblCellMar>
        </w:tblPrEx>
        <w:trPr>
          <w:trHeight w:val="227" w:hRule="atLeast"/>
        </w:trPr>
        <w:tc>
          <w:tcPr>
            <w:tcW w:w="5101" w:type="dxa"/>
            <w:tcBorders>
              <w:top w:val="single" w:color="auto" w:sz="4" w:space="0"/>
            </w:tcBorders>
            <w:tcMar>
              <w:left w:w="0" w:type="dxa"/>
              <w:right w:w="28" w:type="dxa"/>
            </w:tcMar>
            <w:vAlign w:val="center"/>
          </w:tcPr>
          <w:p w14:paraId="281399DF">
            <w:pPr>
              <w:spacing w:before="48" w:beforeLines="20" w:after="48" w:afterLines="20"/>
              <w:jc w:val="both"/>
              <w:textAlignment w:val="center"/>
              <w:rPr>
                <w:rFonts w:eastAsia="楷体_GB2312" w:cs="Calibri"/>
                <w:sz w:val="20"/>
                <w:szCs w:val="20"/>
              </w:rPr>
            </w:pPr>
            <w:r>
              <w:rPr>
                <w:rFonts w:eastAsia="楷体" w:cs="Calibri"/>
                <w:b/>
                <w:bCs/>
                <w:sz w:val="20"/>
                <w:szCs w:val="20"/>
              </w:rPr>
              <w:t xml:space="preserve">Source: </w:t>
            </w:r>
            <w:r>
              <w:rPr>
                <w:rFonts w:hint="eastAsia" w:eastAsia="楷体" w:cs="Calibri"/>
                <w:sz w:val="20"/>
                <w:szCs w:val="20"/>
              </w:rPr>
              <w:t>W</w:t>
            </w:r>
            <w:r>
              <w:rPr>
                <w:rFonts w:eastAsia="楷体" w:cs="Calibri"/>
                <w:sz w:val="20"/>
                <w:szCs w:val="20"/>
              </w:rPr>
              <w:t>ind, HFI</w:t>
            </w:r>
          </w:p>
        </w:tc>
        <w:tc>
          <w:tcPr>
            <w:tcW w:w="240" w:type="dxa"/>
            <w:tcMar>
              <w:left w:w="0" w:type="dxa"/>
              <w:right w:w="28" w:type="dxa"/>
            </w:tcMar>
          </w:tcPr>
          <w:p w14:paraId="1302CBB1">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D4D0A4F">
            <w:pPr>
              <w:spacing w:before="48" w:beforeLines="20" w:after="48" w:afterLines="20"/>
              <w:jc w:val="both"/>
              <w:rPr>
                <w:rFonts w:eastAsia="楷体_GB2312" w:cs="Calibri"/>
                <w:sz w:val="20"/>
                <w:szCs w:val="20"/>
              </w:rPr>
            </w:pPr>
            <w:r>
              <w:rPr>
                <w:rFonts w:eastAsia="楷体" w:cs="Calibri"/>
                <w:b/>
                <w:bCs/>
                <w:sz w:val="20"/>
                <w:szCs w:val="20"/>
              </w:rPr>
              <w:t xml:space="preserve">Source: </w:t>
            </w:r>
            <w:r>
              <w:rPr>
                <w:rFonts w:hint="eastAsia" w:eastAsia="楷体" w:cs="Calibri"/>
                <w:sz w:val="20"/>
                <w:szCs w:val="20"/>
              </w:rPr>
              <w:t>W</w:t>
            </w:r>
            <w:r>
              <w:rPr>
                <w:rFonts w:eastAsia="楷体" w:cs="Calibri"/>
                <w:sz w:val="20"/>
                <w:szCs w:val="20"/>
              </w:rPr>
              <w:t>ind, HFI</w:t>
            </w:r>
          </w:p>
        </w:tc>
      </w:tr>
    </w:tbl>
    <w:p w14:paraId="46C49689">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7A85683">
        <w:trPr>
          <w:trHeight w:val="302" w:hRule="atLeast"/>
        </w:trPr>
        <w:tc>
          <w:tcPr>
            <w:tcW w:w="7466" w:type="dxa"/>
            <w:tcBorders>
              <w:bottom w:val="single" w:color="auto" w:sz="4" w:space="0"/>
            </w:tcBorders>
            <w:tcMar>
              <w:left w:w="0" w:type="dxa"/>
              <w:right w:w="28" w:type="dxa"/>
            </w:tcMar>
          </w:tcPr>
          <w:p w14:paraId="7ECFDEEE">
            <w:pPr>
              <w:rPr>
                <w:rFonts w:eastAsia="楷体" w:cs="Calibri"/>
                <w:sz w:val="20"/>
                <w:szCs w:val="20"/>
              </w:rPr>
            </w:pPr>
            <w:r>
              <w:rPr>
                <w:rStyle w:val="22"/>
                <w:rFonts w:eastAsia="Helvetica Neue" w:cs="Calibri"/>
                <w:color w:val="0F1115"/>
                <w:sz w:val="20"/>
                <w:szCs w:val="20"/>
                <w:shd w:val="clear" w:color="auto" w:fill="FFFFFF"/>
                <w:lang w:bidi="ar"/>
              </w:rPr>
              <w:t>Figure: Operating Profit Margin by Business Segment</w:t>
            </w:r>
          </w:p>
        </w:tc>
      </w:tr>
      <w:tr w14:paraId="36D687B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00B916A">
            <w:pPr>
              <w:spacing w:before="48" w:beforeLines="20" w:after="48" w:afterLines="20"/>
              <w:jc w:val="center"/>
              <w:textAlignment w:val="center"/>
              <w:rPr>
                <w:rFonts w:eastAsia="宋体" w:cs="Calibri"/>
                <w:b/>
                <w:bCs/>
                <w:sz w:val="20"/>
                <w:szCs w:val="20"/>
              </w:rPr>
            </w:pPr>
            <w:r>
              <w:rPr>
                <w:snapToGrid/>
              </w:rPr>
              <w:drawing>
                <wp:inline distT="0" distB="0" distL="0" distR="0">
                  <wp:extent cx="4603750" cy="2350770"/>
                  <wp:effectExtent l="0" t="0" r="6350" b="0"/>
                  <wp:docPr id="116953704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14:paraId="7BC07E7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F2078A0">
            <w:pPr>
              <w:spacing w:line="240" w:lineRule="atLeast"/>
              <w:jc w:val="both"/>
              <w:textAlignment w:val="center"/>
              <w:rPr>
                <w:rFonts w:cs="Calibri"/>
                <w:sz w:val="20"/>
                <w:szCs w:val="20"/>
              </w:rPr>
            </w:pPr>
            <w:r>
              <w:rPr>
                <w:rFonts w:eastAsia="楷体" w:cs="Calibri"/>
                <w:b/>
                <w:bCs/>
                <w:sz w:val="20"/>
                <w:szCs w:val="20"/>
              </w:rPr>
              <w:t xml:space="preserve">Source: </w:t>
            </w:r>
            <w:r>
              <w:rPr>
                <w:rFonts w:hint="eastAsia" w:eastAsia="楷体" w:cs="Calibri"/>
                <w:sz w:val="20"/>
                <w:szCs w:val="20"/>
              </w:rPr>
              <w:t>W</w:t>
            </w:r>
            <w:r>
              <w:rPr>
                <w:rFonts w:eastAsia="楷体" w:cs="Calibri"/>
                <w:sz w:val="20"/>
                <w:szCs w:val="20"/>
              </w:rPr>
              <w:t>ind, HFI</w:t>
            </w:r>
          </w:p>
        </w:tc>
      </w:tr>
    </w:tbl>
    <w:p w14:paraId="22C0B476">
      <w:pPr>
        <w:pStyle w:val="2"/>
        <w:spacing w:before="240" w:beforeLines="100" w:after="240" w:afterLines="100"/>
        <w:jc w:val="both"/>
        <w:rPr>
          <w:rFonts w:ascii="Calibri" w:hAnsi="Calibri" w:eastAsia="楷体" w:cs="Calibri"/>
          <w:b/>
          <w:bCs/>
          <w:color w:val="23558C"/>
          <w:sz w:val="28"/>
          <w:szCs w:val="28"/>
        </w:rPr>
      </w:pPr>
      <w:bookmarkStart w:id="10" w:name="_Toc220354656"/>
      <w:bookmarkStart w:id="11" w:name="_Toc220589928"/>
      <w:r>
        <w:rPr>
          <w:rFonts w:ascii="Calibri" w:hAnsi="Calibri" w:eastAsia="楷体" w:cs="Calibri"/>
          <w:b/>
          <w:bCs/>
          <w:color w:val="23558C"/>
          <w:sz w:val="28"/>
          <w:szCs w:val="28"/>
        </w:rPr>
        <w:t xml:space="preserve">2 </w:t>
      </w:r>
      <w:bookmarkEnd w:id="10"/>
      <w:r>
        <w:rPr>
          <w:rFonts w:ascii="Calibri" w:hAnsi="Calibri" w:eastAsia="楷体" w:cs="Calibri"/>
          <w:b/>
          <w:bCs/>
          <w:color w:val="23558C"/>
          <w:sz w:val="28"/>
          <w:szCs w:val="28"/>
        </w:rPr>
        <w:t>Textron Aviation: Broad Product Portfolio with Global Leadership in Business Jets</w:t>
      </w:r>
      <w:bookmarkEnd w:id="11"/>
    </w:p>
    <w:p w14:paraId="55D7D7E0">
      <w:pPr>
        <w:pStyle w:val="77"/>
        <w:jc w:val="both"/>
        <w:rPr>
          <w:rFonts w:ascii="Calibri" w:hAnsi="Calibri" w:eastAsia="楷体" w:cs="Calibri"/>
          <w:color w:val="23558C"/>
          <w:sz w:val="24"/>
        </w:rPr>
      </w:pPr>
      <w:bookmarkStart w:id="12" w:name="_Toc220354657"/>
      <w:bookmarkStart w:id="13" w:name="_Toc220589929"/>
      <w:r>
        <w:rPr>
          <w:rFonts w:ascii="Calibri" w:hAnsi="Calibri" w:eastAsia="楷体" w:cs="Calibri"/>
          <w:color w:val="23558C"/>
          <w:sz w:val="24"/>
        </w:rPr>
        <w:t>2.1</w:t>
      </w:r>
      <w:bookmarkEnd w:id="12"/>
      <w:r>
        <w:rPr>
          <w:rFonts w:ascii="Calibri" w:hAnsi="Calibri" w:eastAsia="楷体" w:cs="Calibri"/>
          <w:color w:val="23558C"/>
          <w:sz w:val="24"/>
        </w:rPr>
        <w:t>Business Jets: Cessna Maintains a Clear Global Lead</w:t>
      </w:r>
      <w:bookmarkEnd w:id="13"/>
    </w:p>
    <w:p w14:paraId="54819161">
      <w:pPr>
        <w:widowControl w:val="0"/>
        <w:jc w:val="both"/>
        <w:rPr>
          <w:rFonts w:eastAsiaTheme="minorEastAsia"/>
          <w:snapToGrid/>
        </w:rPr>
      </w:pPr>
      <w:r>
        <w:rPr>
          <w:rFonts w:eastAsia="楷体" w:cs="Calibri"/>
          <w:b/>
          <w:bCs/>
          <w:kern w:val="2"/>
          <w:sz w:val="22"/>
          <w:szCs w:val="22"/>
        </w:rPr>
        <w:t>Textron Aviation primarily operates through two core brands, Cessna and Beechcraft, with Cessna serving as the principal revenue contributor, particularly in the business jet segment.</w:t>
      </w:r>
      <w:r>
        <w:rPr>
          <w:rFonts w:cs="Calibri"/>
        </w:rPr>
        <w:t xml:space="preserve"> </w:t>
      </w:r>
      <w:r>
        <w:rPr>
          <w:rFonts w:eastAsia="楷体" w:cs="Calibri"/>
          <w:kern w:val="2"/>
          <w:sz w:val="22"/>
          <w:szCs w:val="22"/>
        </w:rPr>
        <w:t>From 2015 to 202</w:t>
      </w:r>
      <w:r>
        <w:rPr>
          <w:rFonts w:hint="eastAsia" w:eastAsia="楷体" w:cs="Calibri"/>
          <w:kern w:val="2"/>
          <w:sz w:val="22"/>
          <w:szCs w:val="22"/>
        </w:rPr>
        <w:t>5</w:t>
      </w:r>
      <w:r>
        <w:rPr>
          <w:rFonts w:eastAsia="楷体" w:cs="Calibri"/>
          <w:kern w:val="2"/>
          <w:sz w:val="22"/>
          <w:szCs w:val="22"/>
        </w:rPr>
        <w:t>, Textron Aviation’s revenues increased from USD 4.822 billion to USD 5.</w:t>
      </w:r>
      <w:r>
        <w:rPr>
          <w:rFonts w:hint="eastAsia" w:eastAsia="楷体" w:cs="Calibri"/>
          <w:kern w:val="2"/>
          <w:sz w:val="22"/>
          <w:szCs w:val="22"/>
        </w:rPr>
        <w:t>955</w:t>
      </w:r>
      <w:r>
        <w:rPr>
          <w:rFonts w:eastAsia="楷体" w:cs="Calibri"/>
          <w:kern w:val="2"/>
          <w:sz w:val="22"/>
          <w:szCs w:val="22"/>
        </w:rPr>
        <w:t xml:space="preserve"> billion, representing a CAGR of approximately </w:t>
      </w:r>
      <w:r>
        <w:rPr>
          <w:rFonts w:hint="eastAsia" w:eastAsia="楷体" w:cs="Calibri"/>
          <w:kern w:val="2"/>
          <w:sz w:val="22"/>
          <w:szCs w:val="22"/>
        </w:rPr>
        <w:t>2.1</w:t>
      </w:r>
      <w:r>
        <w:rPr>
          <w:rFonts w:eastAsia="楷体" w:cs="Calibri"/>
          <w:kern w:val="2"/>
          <w:sz w:val="22"/>
          <w:szCs w:val="22"/>
        </w:rPr>
        <w:t>%.</w:t>
      </w:r>
      <w:r>
        <w:rPr>
          <w:rFonts w:hint="eastAsia" w:eastAsia="楷体" w:cs="Calibri"/>
          <w:kern w:val="2"/>
          <w:sz w:val="22"/>
          <w:szCs w:val="22"/>
        </w:rPr>
        <w:t xml:space="preserve"> </w:t>
      </w:r>
      <w:r>
        <w:rPr>
          <w:rFonts w:eastAsia="楷体" w:cs="Calibri"/>
          <w:kern w:val="2"/>
          <w:sz w:val="22"/>
          <w:szCs w:val="22"/>
        </w:rPr>
        <w:t>The Cessna brand’s flagship products are the Citation series business jets, with key models including CJ3, CJ4, VI/Excel/XLS, Latitude, and Longitude. In 2024, business jets accounted for approximately 41% of Textron Aviation’s total segment revenue, underscoring Cessna’s strong positioning in the global light- and mid-size jet markets.Beyond business jets, the Cessna portfolio also includes single-engine piston aircraft (e.g., 206/T206), single-engine turboprop aircraft (e.g., Cessna Caravan), as well as new-generation twin-engine turboprops such as the Cessna SkyCourier, further enhancing product coverage across multiple general aviation categories.The Beechcraft brand is primarily focused on turboprop aircraft and high-performance piston aircraft. As of 2024, Beechcraft aircraft contributed approximately 24% of Textron Aviation’s segment revenue, serving as an important complement to Cessna’s jet-dominated product mix.</w:t>
      </w:r>
      <w:r>
        <w:rPr>
          <w:snapToGrid/>
        </w:rPr>
        <w:t xml:space="preserve"> </w:t>
      </w:r>
    </w:p>
    <w:p w14:paraId="2B2A554F">
      <w:pPr>
        <w:widowControl w:val="0"/>
        <w:jc w:val="both"/>
        <w:rPr>
          <w:rFonts w:hint="eastAsia" w:asciiTheme="minorHAnsi" w:hAnsiTheme="minorHAnsi" w:eastAsiaTheme="minorEastAsia" w:cstheme="minorHAnsi"/>
          <w:kern w:val="2"/>
          <w:sz w:val="22"/>
          <w:szCs w:val="22"/>
        </w:rPr>
      </w:pPr>
    </w:p>
    <w:bookmarkEnd w:id="9"/>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21105C95">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09B30A63">
            <w:pPr>
              <w:spacing w:before="48" w:beforeLines="20" w:after="48" w:afterLines="20"/>
              <w:jc w:val="both"/>
              <w:textAlignment w:val="center"/>
              <w:rPr>
                <w:rFonts w:hint="eastAsia" w:ascii="楷体" w:hAnsi="楷体" w:eastAsia="楷体" w:cs="Calibri"/>
                <w:b/>
                <w:sz w:val="20"/>
                <w:szCs w:val="20"/>
                <w:highlight w:val="yellow"/>
              </w:rPr>
            </w:pPr>
            <w:bookmarkStart w:id="14" w:name="_Hlk216642041"/>
            <w:bookmarkStart w:id="15" w:name="_Toc186105500"/>
            <w:r>
              <w:rPr>
                <w:rFonts w:eastAsia="楷体" w:cs="Calibri"/>
                <w:b/>
                <w:sz w:val="20"/>
                <w:szCs w:val="20"/>
              </w:rPr>
              <w:t>Figure: Revenue breakdown of Textron Aviation segment (USD million)</w:t>
            </w:r>
          </w:p>
        </w:tc>
        <w:tc>
          <w:tcPr>
            <w:tcW w:w="241" w:type="dxa"/>
            <w:tcMar>
              <w:left w:w="0" w:type="dxa"/>
              <w:right w:w="28" w:type="dxa"/>
            </w:tcMar>
          </w:tcPr>
          <w:p w14:paraId="34A22AC4">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4C4F80E3">
            <w:pPr>
              <w:spacing w:before="48" w:beforeLines="20" w:after="48" w:afterLines="20"/>
              <w:jc w:val="both"/>
              <w:rPr>
                <w:rFonts w:hint="eastAsia" w:ascii="楷体" w:hAnsi="楷体" w:eastAsia="楷体" w:cs="Calibri"/>
                <w:b/>
                <w:sz w:val="20"/>
                <w:szCs w:val="20"/>
              </w:rPr>
            </w:pPr>
            <w:r>
              <w:rPr>
                <w:rFonts w:eastAsia="楷体" w:cs="Calibri"/>
                <w:b/>
                <w:sz w:val="20"/>
                <w:szCs w:val="20"/>
              </w:rPr>
              <w:t>Figure: Cessna business jet revenue and share of aviation segment revenue (USD million)</w:t>
            </w:r>
          </w:p>
        </w:tc>
      </w:tr>
      <w:tr w14:paraId="5CEF54E4">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0BBC8AFC">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0070" cy="1821180"/>
                  <wp:effectExtent l="0" t="0" r="24130" b="7620"/>
                  <wp:docPr id="206049175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14:paraId="5B2CAAA1">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5B9ACE75">
            <w:pPr>
              <w:spacing w:before="48" w:beforeLines="20" w:after="48" w:afterLines="20"/>
              <w:jc w:val="both"/>
              <w:rPr>
                <w:rFonts w:eastAsia="楷体_GB2312" w:cs="Calibri"/>
                <w:b/>
                <w:sz w:val="20"/>
                <w:szCs w:val="20"/>
              </w:rPr>
            </w:pPr>
            <w:r>
              <w:rPr>
                <w:rFonts w:cs="Calibri"/>
                <w:snapToGrid/>
              </w:rPr>
              <w:drawing>
                <wp:inline distT="0" distB="0" distL="0" distR="0">
                  <wp:extent cx="3108960" cy="1821180"/>
                  <wp:effectExtent l="0" t="0" r="0" b="7620"/>
                  <wp:docPr id="123160283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14:paraId="13AD3E2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498885E">
            <w:pPr>
              <w:spacing w:before="48" w:beforeLines="20" w:after="48" w:afterLines="20"/>
              <w:jc w:val="both"/>
              <w:textAlignment w:val="center"/>
              <w:rPr>
                <w:rFonts w:eastAsia="楷体" w:cs="Calibri"/>
                <w:sz w:val="20"/>
                <w:szCs w:val="20"/>
              </w:rPr>
            </w:pPr>
            <w:r>
              <w:rPr>
                <w:rFonts w:eastAsia="楷体" w:cs="Calibri"/>
                <w:b/>
                <w:bCs/>
                <w:sz w:val="20"/>
                <w:szCs w:val="20"/>
              </w:rPr>
              <w:t xml:space="preserve">Source: </w:t>
            </w:r>
            <w:r>
              <w:rPr>
                <w:rFonts w:eastAsia="楷体" w:cs="Calibri"/>
                <w:sz w:val="20"/>
                <w:szCs w:val="20"/>
              </w:rPr>
              <w:t>Wind, HFI</w:t>
            </w:r>
          </w:p>
        </w:tc>
        <w:tc>
          <w:tcPr>
            <w:tcW w:w="241" w:type="dxa"/>
            <w:tcMar>
              <w:left w:w="0" w:type="dxa"/>
              <w:right w:w="28" w:type="dxa"/>
            </w:tcMar>
          </w:tcPr>
          <w:p w14:paraId="4AB45A4F">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03F97294">
            <w:pPr>
              <w:spacing w:before="48" w:beforeLines="20" w:after="48" w:afterLines="20"/>
              <w:jc w:val="both"/>
              <w:rPr>
                <w:rFonts w:eastAsia="楷体" w:cs="Calibri"/>
                <w:sz w:val="20"/>
                <w:szCs w:val="20"/>
              </w:rPr>
            </w:pPr>
            <w:r>
              <w:rPr>
                <w:rFonts w:eastAsia="楷体" w:cs="Calibri"/>
                <w:b/>
                <w:bCs/>
                <w:sz w:val="20"/>
                <w:szCs w:val="20"/>
              </w:rPr>
              <w:t xml:space="preserve">Source: </w:t>
            </w:r>
            <w:r>
              <w:rPr>
                <w:rFonts w:eastAsia="楷体" w:cs="Calibri"/>
                <w:sz w:val="20"/>
                <w:szCs w:val="20"/>
              </w:rPr>
              <w:t>Wind, HFI</w:t>
            </w:r>
          </w:p>
        </w:tc>
      </w:tr>
    </w:tbl>
    <w:p w14:paraId="783551D3">
      <w:pPr>
        <w:rPr>
          <w:rFonts w:cs="Calibri" w:eastAsiaTheme="minorEastAsia"/>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8D53C8F">
        <w:trPr>
          <w:trHeight w:val="227" w:hRule="atLeast"/>
        </w:trPr>
        <w:tc>
          <w:tcPr>
            <w:tcW w:w="5100" w:type="dxa"/>
            <w:tcBorders>
              <w:bottom w:val="single" w:color="auto" w:sz="4" w:space="0"/>
            </w:tcBorders>
            <w:tcMar>
              <w:left w:w="0" w:type="dxa"/>
              <w:right w:w="28" w:type="dxa"/>
            </w:tcMar>
          </w:tcPr>
          <w:p w14:paraId="309103B0">
            <w:pPr>
              <w:spacing w:before="48" w:beforeLines="20" w:after="48" w:afterLines="20"/>
              <w:jc w:val="both"/>
              <w:textAlignment w:val="center"/>
              <w:rPr>
                <w:rFonts w:eastAsia="楷体" w:cs="Calibri"/>
                <w:b/>
                <w:sz w:val="20"/>
                <w:szCs w:val="20"/>
                <w:highlight w:val="yellow"/>
              </w:rPr>
            </w:pPr>
            <w:r>
              <w:rPr>
                <w:rFonts w:eastAsia="楷体" w:cs="Calibri"/>
                <w:b/>
                <w:sz w:val="20"/>
                <w:szCs w:val="20"/>
              </w:rPr>
              <w:t>Figure: Cessna business jet portfolio</w:t>
            </w:r>
          </w:p>
        </w:tc>
        <w:tc>
          <w:tcPr>
            <w:tcW w:w="241" w:type="dxa"/>
            <w:tcMar>
              <w:left w:w="0" w:type="dxa"/>
              <w:right w:w="28" w:type="dxa"/>
            </w:tcMar>
          </w:tcPr>
          <w:p w14:paraId="4647507A">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38E7347C">
            <w:pPr>
              <w:spacing w:before="48" w:beforeLines="20" w:after="48" w:afterLines="20"/>
              <w:jc w:val="both"/>
              <w:rPr>
                <w:rFonts w:eastAsia="楷体" w:cs="Calibri"/>
                <w:b/>
                <w:sz w:val="20"/>
                <w:szCs w:val="20"/>
              </w:rPr>
            </w:pPr>
            <w:r>
              <w:rPr>
                <w:rFonts w:eastAsia="楷体" w:cs="Calibri"/>
                <w:b/>
                <w:bCs/>
                <w:sz w:val="20"/>
                <w:szCs w:val="20"/>
              </w:rPr>
              <w:t>Figure: Cessna turboprop aircraft portfolio</w:t>
            </w:r>
          </w:p>
        </w:tc>
      </w:tr>
      <w:tr w14:paraId="197B9B10">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478106AD">
            <w:pPr>
              <w:spacing w:before="48" w:beforeLines="20" w:after="48" w:afterLines="20"/>
              <w:jc w:val="both"/>
              <w:textAlignment w:val="center"/>
              <w:rPr>
                <w:rFonts w:eastAsia="楷体_GB2312" w:cs="Calibri"/>
                <w:b/>
                <w:color w:val="000000"/>
                <w:sz w:val="20"/>
                <w:szCs w:val="20"/>
                <w:lang w:bidi="ar"/>
              </w:rPr>
            </w:pPr>
            <w:r>
              <w:rPr>
                <w:rFonts w:cs="Calibri"/>
                <w:snapToGrid/>
              </w:rPr>
              <w:drawing>
                <wp:inline distT="0" distB="0" distL="0" distR="0">
                  <wp:extent cx="3100070" cy="1395095"/>
                  <wp:effectExtent l="0" t="0" r="24130" b="1905"/>
                  <wp:docPr id="1047048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48230" name="图片 1"/>
                          <pic:cNvPicPr>
                            <a:picLocks noChangeAspect="1"/>
                          </pic:cNvPicPr>
                        </pic:nvPicPr>
                        <pic:blipFill>
                          <a:blip r:embed="rId30"/>
                          <a:stretch>
                            <a:fillRect/>
                          </a:stretch>
                        </pic:blipFill>
                        <pic:spPr>
                          <a:xfrm>
                            <a:off x="0" y="0"/>
                            <a:ext cx="3110482" cy="1399752"/>
                          </a:xfrm>
                          <a:prstGeom prst="rect">
                            <a:avLst/>
                          </a:prstGeom>
                        </pic:spPr>
                      </pic:pic>
                    </a:graphicData>
                  </a:graphic>
                </wp:inline>
              </w:drawing>
            </w:r>
          </w:p>
        </w:tc>
        <w:tc>
          <w:tcPr>
            <w:tcW w:w="241" w:type="dxa"/>
          </w:tcPr>
          <w:p w14:paraId="3BE9F4B0">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195CD59D">
            <w:pPr>
              <w:spacing w:before="48" w:beforeLines="20" w:after="48" w:afterLines="20"/>
              <w:jc w:val="both"/>
              <w:rPr>
                <w:rFonts w:eastAsia="楷体_GB2312" w:cs="Calibri"/>
                <w:b/>
                <w:sz w:val="20"/>
                <w:szCs w:val="20"/>
              </w:rPr>
            </w:pPr>
            <w:r>
              <w:rPr>
                <w:rFonts w:cs="Calibri"/>
                <w:snapToGrid/>
              </w:rPr>
              <w:drawing>
                <wp:inline distT="0" distB="0" distL="0" distR="0">
                  <wp:extent cx="3132455" cy="1409700"/>
                  <wp:effectExtent l="0" t="0" r="17145" b="12700"/>
                  <wp:docPr id="1663251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51483" name="图片 1"/>
                          <pic:cNvPicPr>
                            <a:picLocks noChangeAspect="1"/>
                          </pic:cNvPicPr>
                        </pic:nvPicPr>
                        <pic:blipFill>
                          <a:blip r:embed="rId31"/>
                          <a:stretch>
                            <a:fillRect/>
                          </a:stretch>
                        </pic:blipFill>
                        <pic:spPr>
                          <a:xfrm>
                            <a:off x="0" y="0"/>
                            <a:ext cx="3137277" cy="1412083"/>
                          </a:xfrm>
                          <a:prstGeom prst="rect">
                            <a:avLst/>
                          </a:prstGeom>
                        </pic:spPr>
                      </pic:pic>
                    </a:graphicData>
                  </a:graphic>
                </wp:inline>
              </w:drawing>
            </w:r>
          </w:p>
        </w:tc>
      </w:tr>
      <w:tr w14:paraId="7BEAED6E">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5F8830A">
            <w:pPr>
              <w:spacing w:before="48" w:beforeLines="20" w:after="48" w:afterLines="20"/>
              <w:jc w:val="both"/>
              <w:textAlignment w:val="center"/>
              <w:rPr>
                <w:rFonts w:eastAsia="楷体" w:cs="Calibri"/>
                <w:sz w:val="20"/>
                <w:szCs w:val="20"/>
              </w:rPr>
            </w:pPr>
            <w:r>
              <w:rPr>
                <w:rFonts w:eastAsia="楷体" w:cs="Calibri"/>
                <w:b/>
                <w:bCs/>
                <w:sz w:val="20"/>
                <w:szCs w:val="20"/>
              </w:rPr>
              <w:t xml:space="preserve">Source: </w:t>
            </w:r>
            <w:r>
              <w:rPr>
                <w:rFonts w:eastAsia="楷体" w:cs="Calibri"/>
                <w:sz w:val="20"/>
                <w:szCs w:val="20"/>
              </w:rPr>
              <w:t>TXT, HFI</w:t>
            </w:r>
          </w:p>
        </w:tc>
        <w:tc>
          <w:tcPr>
            <w:tcW w:w="241" w:type="dxa"/>
            <w:tcMar>
              <w:left w:w="0" w:type="dxa"/>
              <w:right w:w="28" w:type="dxa"/>
            </w:tcMar>
          </w:tcPr>
          <w:p w14:paraId="19C7E263">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2444BBF2">
            <w:pPr>
              <w:spacing w:before="48" w:beforeLines="20" w:after="48" w:afterLines="20"/>
              <w:jc w:val="both"/>
              <w:rPr>
                <w:rFonts w:eastAsia="楷体" w:cs="Calibri"/>
                <w:sz w:val="20"/>
                <w:szCs w:val="20"/>
              </w:rPr>
            </w:pPr>
            <w:r>
              <w:rPr>
                <w:rFonts w:eastAsia="楷体" w:cs="Calibri"/>
                <w:b/>
                <w:bCs/>
                <w:sz w:val="20"/>
                <w:szCs w:val="20"/>
              </w:rPr>
              <w:t>Source:</w:t>
            </w:r>
            <w:r>
              <w:rPr>
                <w:rFonts w:eastAsia="楷体" w:cs="Calibri"/>
                <w:sz w:val="20"/>
                <w:szCs w:val="20"/>
              </w:rPr>
              <w:t xml:space="preserve"> TXT, HFI</w:t>
            </w:r>
          </w:p>
        </w:tc>
      </w:tr>
    </w:tbl>
    <w:p w14:paraId="7EA38FD7">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6CFAAAF">
        <w:trPr>
          <w:trHeight w:val="227" w:hRule="atLeast"/>
        </w:trPr>
        <w:tc>
          <w:tcPr>
            <w:tcW w:w="5100" w:type="dxa"/>
            <w:tcBorders>
              <w:bottom w:val="single" w:color="auto" w:sz="4" w:space="0"/>
            </w:tcBorders>
            <w:tcMar>
              <w:left w:w="0" w:type="dxa"/>
              <w:right w:w="28" w:type="dxa"/>
            </w:tcMar>
          </w:tcPr>
          <w:p w14:paraId="63D2271C">
            <w:pPr>
              <w:spacing w:before="48" w:beforeLines="20" w:after="48" w:afterLines="20"/>
              <w:jc w:val="both"/>
              <w:textAlignment w:val="center"/>
              <w:rPr>
                <w:rFonts w:eastAsia="楷体" w:cs="Calibri"/>
                <w:b/>
                <w:sz w:val="20"/>
                <w:szCs w:val="20"/>
              </w:rPr>
            </w:pPr>
            <w:r>
              <w:rPr>
                <w:rFonts w:eastAsia="楷体" w:cs="Calibri"/>
                <w:b/>
                <w:bCs/>
                <w:sz w:val="20"/>
                <w:szCs w:val="20"/>
              </w:rPr>
              <w:t>Figure: Cessna piston aircraft portfolio</w:t>
            </w:r>
          </w:p>
        </w:tc>
        <w:tc>
          <w:tcPr>
            <w:tcW w:w="241" w:type="dxa"/>
            <w:tcMar>
              <w:left w:w="0" w:type="dxa"/>
              <w:right w:w="28" w:type="dxa"/>
            </w:tcMar>
          </w:tcPr>
          <w:p w14:paraId="10334EB1">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1B5E96E6">
            <w:pPr>
              <w:spacing w:before="48" w:beforeLines="20" w:after="48" w:afterLines="20"/>
              <w:jc w:val="both"/>
              <w:rPr>
                <w:rFonts w:eastAsia="楷体" w:cs="Calibri"/>
                <w:b/>
                <w:sz w:val="20"/>
                <w:szCs w:val="20"/>
              </w:rPr>
            </w:pPr>
            <w:r>
              <w:rPr>
                <w:rFonts w:eastAsia="楷体" w:cs="Calibri"/>
                <w:b/>
                <w:sz w:val="20"/>
                <w:szCs w:val="20"/>
              </w:rPr>
              <w:t>Figure: Beechcraft aircraft portfolio</w:t>
            </w:r>
          </w:p>
        </w:tc>
      </w:tr>
      <w:tr w14:paraId="43B20859">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7D3A6BC">
            <w:pPr>
              <w:spacing w:before="48" w:beforeLines="20" w:after="48" w:afterLines="20"/>
              <w:jc w:val="both"/>
              <w:textAlignment w:val="center"/>
              <w:rPr>
                <w:rFonts w:eastAsia="楷体_GB2312" w:cs="Calibri"/>
                <w:b/>
                <w:color w:val="000000"/>
                <w:sz w:val="20"/>
                <w:szCs w:val="20"/>
                <w:lang w:bidi="ar"/>
              </w:rPr>
            </w:pPr>
            <w:r>
              <w:rPr>
                <w:rFonts w:cs="Calibri"/>
                <w:snapToGrid/>
              </w:rPr>
              <w:drawing>
                <wp:inline distT="0" distB="0" distL="0" distR="0">
                  <wp:extent cx="3099435" cy="1417955"/>
                  <wp:effectExtent l="0" t="0" r="24765" b="4445"/>
                  <wp:docPr id="625922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22384" name="图片 1"/>
                          <pic:cNvPicPr>
                            <a:picLocks noChangeAspect="1"/>
                          </pic:cNvPicPr>
                        </pic:nvPicPr>
                        <pic:blipFill>
                          <a:blip r:embed="rId32"/>
                          <a:stretch>
                            <a:fillRect/>
                          </a:stretch>
                        </pic:blipFill>
                        <pic:spPr>
                          <a:xfrm>
                            <a:off x="0" y="0"/>
                            <a:ext cx="3110110" cy="1422920"/>
                          </a:xfrm>
                          <a:prstGeom prst="rect">
                            <a:avLst/>
                          </a:prstGeom>
                        </pic:spPr>
                      </pic:pic>
                    </a:graphicData>
                  </a:graphic>
                </wp:inline>
              </w:drawing>
            </w:r>
          </w:p>
        </w:tc>
        <w:tc>
          <w:tcPr>
            <w:tcW w:w="241" w:type="dxa"/>
          </w:tcPr>
          <w:p w14:paraId="4DB045C0">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7E70AD37">
            <w:pPr>
              <w:spacing w:before="48" w:beforeLines="20" w:after="48" w:afterLines="20"/>
              <w:jc w:val="both"/>
              <w:rPr>
                <w:rFonts w:eastAsia="楷体_GB2312" w:cs="Calibri"/>
                <w:b/>
                <w:sz w:val="20"/>
                <w:szCs w:val="20"/>
              </w:rPr>
            </w:pPr>
            <w:r>
              <w:rPr>
                <w:rFonts w:cs="Calibri"/>
                <w:snapToGrid/>
              </w:rPr>
              <w:drawing>
                <wp:inline distT="0" distB="0" distL="0" distR="0">
                  <wp:extent cx="3132455" cy="1414780"/>
                  <wp:effectExtent l="0" t="0" r="17145" b="7620"/>
                  <wp:docPr id="1476474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74141" name="图片 1"/>
                          <pic:cNvPicPr>
                            <a:picLocks noChangeAspect="1"/>
                          </pic:cNvPicPr>
                        </pic:nvPicPr>
                        <pic:blipFill>
                          <a:blip r:embed="rId33"/>
                          <a:stretch>
                            <a:fillRect/>
                          </a:stretch>
                        </pic:blipFill>
                        <pic:spPr>
                          <a:xfrm>
                            <a:off x="0" y="0"/>
                            <a:ext cx="3137658" cy="1417371"/>
                          </a:xfrm>
                          <a:prstGeom prst="rect">
                            <a:avLst/>
                          </a:prstGeom>
                        </pic:spPr>
                      </pic:pic>
                    </a:graphicData>
                  </a:graphic>
                </wp:inline>
              </w:drawing>
            </w:r>
          </w:p>
        </w:tc>
      </w:tr>
      <w:tr w14:paraId="5452E236">
        <w:trPr>
          <w:trHeight w:val="227" w:hRule="atLeast"/>
        </w:trPr>
        <w:tc>
          <w:tcPr>
            <w:tcW w:w="5100" w:type="dxa"/>
            <w:tcBorders>
              <w:top w:val="single" w:color="auto" w:sz="4" w:space="0"/>
            </w:tcBorders>
            <w:tcMar>
              <w:left w:w="0" w:type="dxa"/>
              <w:right w:w="28" w:type="dxa"/>
            </w:tcMar>
            <w:vAlign w:val="center"/>
          </w:tcPr>
          <w:p w14:paraId="1FF7116E">
            <w:pPr>
              <w:spacing w:before="48" w:beforeLines="20" w:after="48" w:afterLines="20"/>
              <w:jc w:val="both"/>
              <w:textAlignment w:val="center"/>
              <w:rPr>
                <w:rFonts w:eastAsia="楷体" w:cs="Calibri"/>
                <w:sz w:val="20"/>
                <w:szCs w:val="20"/>
              </w:rPr>
            </w:pPr>
            <w:r>
              <w:rPr>
                <w:rFonts w:eastAsia="楷体" w:cs="Calibri"/>
                <w:b/>
                <w:bCs/>
                <w:sz w:val="20"/>
                <w:szCs w:val="20"/>
              </w:rPr>
              <w:t xml:space="preserve">Source: </w:t>
            </w:r>
            <w:r>
              <w:rPr>
                <w:rFonts w:eastAsia="楷体" w:cs="Calibri"/>
                <w:sz w:val="20"/>
                <w:szCs w:val="20"/>
              </w:rPr>
              <w:t>TXT, HFI</w:t>
            </w:r>
          </w:p>
        </w:tc>
        <w:tc>
          <w:tcPr>
            <w:tcW w:w="241" w:type="dxa"/>
            <w:tcMar>
              <w:left w:w="0" w:type="dxa"/>
              <w:right w:w="28" w:type="dxa"/>
            </w:tcMar>
          </w:tcPr>
          <w:p w14:paraId="64646D4B">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7BC1C942">
            <w:pPr>
              <w:spacing w:before="48" w:beforeLines="20" w:after="48" w:afterLines="20"/>
              <w:jc w:val="both"/>
              <w:rPr>
                <w:rFonts w:eastAsia="楷体" w:cs="Calibri"/>
                <w:sz w:val="20"/>
                <w:szCs w:val="20"/>
              </w:rPr>
            </w:pPr>
            <w:r>
              <w:rPr>
                <w:rFonts w:eastAsia="楷体" w:cs="Calibri"/>
                <w:b/>
                <w:bCs/>
                <w:sz w:val="20"/>
                <w:szCs w:val="20"/>
              </w:rPr>
              <w:t>Source:</w:t>
            </w:r>
            <w:r>
              <w:rPr>
                <w:rFonts w:eastAsia="楷体" w:cs="Calibri"/>
                <w:sz w:val="20"/>
                <w:szCs w:val="20"/>
              </w:rPr>
              <w:t xml:space="preserve"> TXT, HFI</w:t>
            </w:r>
          </w:p>
        </w:tc>
      </w:tr>
    </w:tbl>
    <w:p w14:paraId="52CFE77E">
      <w:pPr>
        <w:rPr>
          <w:rFonts w:eastAsia="楷体" w:cs="Calibri"/>
          <w:b/>
          <w:bCs/>
          <w:kern w:val="2"/>
          <w:sz w:val="22"/>
          <w:szCs w:val="22"/>
        </w:rPr>
      </w:pPr>
    </w:p>
    <w:p w14:paraId="0ABD0790">
      <w:pPr>
        <w:rPr>
          <w:rFonts w:eastAsia="楷体" w:cs="Calibri"/>
          <w:kern w:val="2"/>
          <w:sz w:val="22"/>
          <w:szCs w:val="22"/>
        </w:rPr>
      </w:pPr>
      <w:r>
        <w:rPr>
          <w:rFonts w:eastAsia="楷体" w:cs="Calibri"/>
          <w:b/>
          <w:bCs/>
          <w:kern w:val="2"/>
          <w:sz w:val="22"/>
          <w:szCs w:val="22"/>
        </w:rPr>
        <w:t xml:space="preserve">From an overall aircraft model perspective, Textron ranks second globally in terms of aircraft deliveries. </w:t>
      </w:r>
      <w:r>
        <w:rPr>
          <w:rFonts w:eastAsia="楷体" w:cs="Calibri"/>
          <w:kern w:val="2"/>
          <w:sz w:val="22"/>
          <w:szCs w:val="22"/>
        </w:rPr>
        <w:t>According to data from the GAMA, in 2023, Cirrus Aircraft, Cessna, and Diamond Aircraft delivered 708, 618, and 273 aircraft, respectively, with Cessna ranking second worldwide by unit deliveries.From a revenue (sales value) perspective, Textron Aviation accounted for approximately 15.5% of global general aviation aircraft sales, ranking first globally, reflecting the company’s strong product mix and higher average selling prices driven by its leadership in the business jet segment.</w:t>
      </w:r>
    </w:p>
    <w:p w14:paraId="10D7DFE7">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EC09257">
        <w:trPr>
          <w:trHeight w:val="302" w:hRule="atLeast"/>
        </w:trPr>
        <w:tc>
          <w:tcPr>
            <w:tcW w:w="7466" w:type="dxa"/>
            <w:tcBorders>
              <w:bottom w:val="single" w:color="auto" w:sz="4" w:space="0"/>
            </w:tcBorders>
            <w:tcMar>
              <w:left w:w="0" w:type="dxa"/>
              <w:right w:w="28" w:type="dxa"/>
            </w:tcMar>
          </w:tcPr>
          <w:p w14:paraId="44B56A6C">
            <w:pPr>
              <w:spacing w:before="48" w:beforeLines="20" w:after="48" w:afterLines="20"/>
              <w:jc w:val="both"/>
              <w:textAlignment w:val="center"/>
              <w:rPr>
                <w:rFonts w:hint="eastAsia" w:ascii="楷体" w:hAnsi="楷体" w:eastAsia="楷体" w:cs="Calibri"/>
                <w:b/>
                <w:sz w:val="20"/>
                <w:szCs w:val="20"/>
              </w:rPr>
            </w:pPr>
            <w:r>
              <w:rPr>
                <w:rFonts w:eastAsia="楷体" w:cs="Calibri"/>
                <w:b/>
                <w:sz w:val="20"/>
                <w:szCs w:val="20"/>
              </w:rPr>
              <w:t>Figure: Aircraft manufacturer rankings</w:t>
            </w:r>
          </w:p>
        </w:tc>
      </w:tr>
      <w:tr w14:paraId="6C89E54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CBAFD08">
            <w:pPr>
              <w:spacing w:before="48" w:beforeLines="20" w:after="48" w:afterLines="20"/>
              <w:jc w:val="center"/>
              <w:textAlignment w:val="center"/>
              <w:rPr>
                <w:rFonts w:eastAsia="宋体" w:cs="Calibri"/>
                <w:b/>
                <w:bCs/>
                <w:sz w:val="20"/>
                <w:szCs w:val="20"/>
              </w:rPr>
            </w:pPr>
            <w:r>
              <w:rPr>
                <w:snapToGrid/>
              </w:rPr>
              <w:drawing>
                <wp:inline distT="0" distB="0" distL="0" distR="0">
                  <wp:extent cx="4548505" cy="1369060"/>
                  <wp:effectExtent l="0" t="0" r="4445" b="254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551356" cy="1369749"/>
                          </a:xfrm>
                          <a:prstGeom prst="rect">
                            <a:avLst/>
                          </a:prstGeom>
                          <a:noFill/>
                        </pic:spPr>
                      </pic:pic>
                    </a:graphicData>
                  </a:graphic>
                </wp:inline>
              </w:drawing>
            </w:r>
          </w:p>
        </w:tc>
      </w:tr>
      <w:tr w14:paraId="3892830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12D0E84">
            <w:pPr>
              <w:spacing w:line="240" w:lineRule="atLeast"/>
              <w:jc w:val="both"/>
              <w:textAlignment w:val="center"/>
              <w:rPr>
                <w:rFonts w:hint="eastAsia" w:ascii="楷体" w:hAnsi="楷体" w:eastAsia="楷体" w:cs="Calibri"/>
                <w:sz w:val="20"/>
                <w:szCs w:val="20"/>
              </w:rPr>
            </w:pPr>
            <w:r>
              <w:rPr>
                <w:rFonts w:eastAsia="楷体" w:cs="Calibri"/>
                <w:b/>
                <w:bCs/>
                <w:sz w:val="20"/>
                <w:szCs w:val="20"/>
              </w:rPr>
              <w:t xml:space="preserve">Source: </w:t>
            </w:r>
            <w:r>
              <w:rPr>
                <w:rFonts w:eastAsia="楷体" w:cs="Calibri"/>
                <w:kern w:val="2"/>
                <w:sz w:val="22"/>
                <w:szCs w:val="22"/>
              </w:rPr>
              <w:t>GAMA</w:t>
            </w:r>
            <w:r>
              <w:rPr>
                <w:rFonts w:eastAsia="楷体" w:cs="Calibri"/>
                <w:sz w:val="20"/>
                <w:szCs w:val="20"/>
              </w:rPr>
              <w:t>, Wind, HFI</w:t>
            </w:r>
          </w:p>
        </w:tc>
      </w:tr>
    </w:tbl>
    <w:p w14:paraId="67BA1376">
      <w:pPr>
        <w:rPr>
          <w:rFonts w:eastAsiaTheme="minorEastAsia"/>
        </w:rPr>
      </w:pPr>
    </w:p>
    <w:p w14:paraId="5C2D06E7">
      <w:pPr>
        <w:rPr>
          <w:rFonts w:eastAsia="楷体" w:cs="Calibri"/>
          <w:b/>
          <w:bCs/>
          <w:sz w:val="22"/>
          <w:szCs w:val="22"/>
          <w:u w:val="single"/>
        </w:rPr>
      </w:pPr>
      <w:r>
        <w:rPr>
          <w:rFonts w:eastAsia="楷体" w:cs="Calibri"/>
          <w:b/>
          <w:bCs/>
          <w:sz w:val="22"/>
          <w:szCs w:val="22"/>
          <w:u w:val="single"/>
        </w:rPr>
        <w:t>Breaking down by aircraft type, Textron Aviation holds a clear leading position in the business jet segment.</w:t>
      </w:r>
    </w:p>
    <w:p w14:paraId="00CDA809">
      <w:pPr>
        <w:pStyle w:val="37"/>
        <w:numPr>
          <w:ilvl w:val="0"/>
          <w:numId w:val="3"/>
        </w:numPr>
        <w:rPr>
          <w:rFonts w:hint="eastAsia" w:eastAsia="楷体" w:asciiTheme="minorHAnsi" w:hAnsiTheme="minorHAnsi" w:cstheme="minorHAnsi"/>
          <w:kern w:val="2"/>
          <w:szCs w:val="22"/>
        </w:rPr>
      </w:pPr>
      <w:r>
        <w:rPr>
          <w:rFonts w:eastAsia="楷体" w:cs="Calibri"/>
          <w:b/>
          <w:bCs/>
          <w:sz w:val="22"/>
          <w:szCs w:val="22"/>
        </w:rPr>
        <w:t>Piston-engine aircraft:</w:t>
      </w:r>
      <w:r>
        <w:rPr>
          <w:rFonts w:cs="Calibri"/>
        </w:rPr>
        <w:t xml:space="preserve"> </w:t>
      </w:r>
      <w:r>
        <w:rPr>
          <w:rFonts w:eastAsia="楷体" w:cs="Calibri"/>
          <w:sz w:val="22"/>
          <w:szCs w:val="22"/>
        </w:rPr>
        <w:t>Based on delivery volumes, the top five global piston-engine aircraft manufacturers accounted for a combined 84.6% market share in 2024. Cirrus Aircraft ranked first with a 31.9% market share (a significant increase from approximately 24.1% in 2020), while Textron Aviation’s Cessna, Beechcraft, and Pipistrel brands together accounted for approximately 19% of the market.</w:t>
      </w:r>
    </w:p>
    <w:p w14:paraId="6CB40DED">
      <w:pPr>
        <w:rPr>
          <w:rFonts w:hint="eastAsia" w:eastAsia="楷体" w:asciiTheme="minorHAnsi" w:hAnsiTheme="minorHAnsi"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4DC16C3">
        <w:trPr>
          <w:trHeight w:val="302" w:hRule="atLeast"/>
        </w:trPr>
        <w:tc>
          <w:tcPr>
            <w:tcW w:w="7466" w:type="dxa"/>
            <w:tcBorders>
              <w:bottom w:val="single" w:color="auto" w:sz="4" w:space="0"/>
            </w:tcBorders>
            <w:tcMar>
              <w:left w:w="0" w:type="dxa"/>
              <w:right w:w="28" w:type="dxa"/>
            </w:tcMar>
          </w:tcPr>
          <w:p w14:paraId="3944862C">
            <w:pPr>
              <w:spacing w:before="48" w:beforeLines="20" w:after="48" w:afterLines="20"/>
              <w:jc w:val="both"/>
              <w:textAlignment w:val="center"/>
              <w:rPr>
                <w:rFonts w:hint="eastAsia" w:ascii="楷体" w:hAnsi="楷体" w:eastAsia="楷体" w:cs="Calibri"/>
                <w:b/>
                <w:sz w:val="20"/>
                <w:szCs w:val="20"/>
              </w:rPr>
            </w:pPr>
            <w:r>
              <w:rPr>
                <w:rFonts w:eastAsia="楷体" w:cs="Calibri"/>
                <w:b/>
                <w:sz w:val="20"/>
                <w:szCs w:val="20"/>
              </w:rPr>
              <w:t>Figure: Global piston aircraft delivery market share(units)</w:t>
            </w:r>
          </w:p>
        </w:tc>
      </w:tr>
      <w:tr w14:paraId="784D43C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A61E2F9">
            <w:pPr>
              <w:spacing w:before="48" w:beforeLines="20" w:after="48" w:afterLines="20"/>
              <w:jc w:val="center"/>
              <w:textAlignment w:val="center"/>
              <w:rPr>
                <w:rFonts w:eastAsia="宋体" w:cs="Calibri"/>
                <w:b/>
                <w:bCs/>
                <w:sz w:val="15"/>
                <w:szCs w:val="15"/>
              </w:rPr>
            </w:pPr>
            <w:r>
              <w:rPr>
                <w:snapToGrid/>
              </w:rPr>
              <w:drawing>
                <wp:inline distT="0" distB="0" distL="0" distR="0">
                  <wp:extent cx="4603750" cy="2621280"/>
                  <wp:effectExtent l="0" t="0" r="6350" b="7620"/>
                  <wp:docPr id="106301791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14:paraId="42B26363">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72DCA30">
            <w:pPr>
              <w:spacing w:line="240" w:lineRule="atLeast"/>
              <w:jc w:val="both"/>
              <w:textAlignment w:val="center"/>
              <w:rPr>
                <w:rFonts w:hint="eastAsia" w:ascii="楷体" w:hAnsi="楷体" w:eastAsia="楷体" w:cs="Calibri"/>
                <w:sz w:val="20"/>
                <w:szCs w:val="20"/>
              </w:rPr>
            </w:pPr>
            <w:r>
              <w:rPr>
                <w:rFonts w:eastAsia="楷体" w:cs="Calibri"/>
                <w:b/>
                <w:bCs/>
                <w:sz w:val="20"/>
                <w:szCs w:val="20"/>
              </w:rPr>
              <w:t xml:space="preserve">Source: </w:t>
            </w:r>
            <w:r>
              <w:rPr>
                <w:rFonts w:eastAsia="楷体" w:cs="Calibri"/>
                <w:kern w:val="2"/>
                <w:sz w:val="22"/>
                <w:szCs w:val="22"/>
              </w:rPr>
              <w:t>GAMA</w:t>
            </w:r>
            <w:r>
              <w:rPr>
                <w:rFonts w:eastAsia="楷体" w:cs="Calibri"/>
                <w:sz w:val="20"/>
                <w:szCs w:val="20"/>
              </w:rPr>
              <w:t>, HFI</w:t>
            </w:r>
          </w:p>
        </w:tc>
      </w:tr>
    </w:tbl>
    <w:p w14:paraId="5ACB0325">
      <w:pPr>
        <w:rPr>
          <w:rFonts w:hint="eastAsia" w:eastAsia="楷体" w:asciiTheme="minorHAnsi" w:hAnsiTheme="minorHAnsi" w:cstheme="minorHAnsi"/>
          <w:kern w:val="2"/>
          <w:szCs w:val="22"/>
        </w:rPr>
      </w:pPr>
    </w:p>
    <w:p w14:paraId="54EDE05D">
      <w:pPr>
        <w:rPr>
          <w:rFonts w:hint="eastAsia" w:eastAsia="楷体" w:asciiTheme="minorHAnsi" w:hAnsiTheme="minorHAnsi" w:cstheme="minorHAnsi"/>
          <w:kern w:val="2"/>
          <w:szCs w:val="22"/>
        </w:rPr>
      </w:pPr>
    </w:p>
    <w:p w14:paraId="70BEA0E2">
      <w:pPr>
        <w:rPr>
          <w:rFonts w:eastAsia="楷体" w:cs="Calibri"/>
          <w:kern w:val="2"/>
          <w:sz w:val="22"/>
          <w:szCs w:val="22"/>
        </w:rPr>
      </w:pPr>
      <w:r>
        <w:rPr>
          <w:rFonts w:eastAsia="楷体" w:cs="Calibri"/>
          <w:b/>
          <w:bCs/>
          <w:kern w:val="2"/>
          <w:sz w:val="22"/>
          <w:szCs w:val="22"/>
        </w:rPr>
        <w:t>2)</w:t>
      </w:r>
      <w:r>
        <w:rPr>
          <w:rFonts w:cs="Calibri"/>
        </w:rPr>
        <w:t xml:space="preserve"> </w:t>
      </w:r>
      <w:r>
        <w:rPr>
          <w:rFonts w:eastAsia="楷体" w:cs="Calibri"/>
          <w:b/>
          <w:bCs/>
          <w:kern w:val="2"/>
          <w:sz w:val="22"/>
          <w:szCs w:val="22"/>
        </w:rPr>
        <w:t>Business jets:</w:t>
      </w:r>
      <w:r>
        <w:rPr>
          <w:rFonts w:cs="Calibri"/>
        </w:rPr>
        <w:t xml:space="preserve"> </w:t>
      </w:r>
      <w:r>
        <w:rPr>
          <w:rFonts w:eastAsia="楷体" w:cs="Calibri"/>
          <w:kern w:val="2"/>
          <w:sz w:val="22"/>
          <w:szCs w:val="22"/>
        </w:rPr>
        <w:t>In 2024, the top five global business jet manufacturers accounted for a combined 86.91% market share, with Cessna ranking first at approximately 20%.</w:t>
      </w:r>
    </w:p>
    <w:p w14:paraId="5C2EE1D4">
      <w:pPr>
        <w:rPr>
          <w:rFonts w:eastAsia="楷体" w:cs="Calibri"/>
          <w:kern w:val="2"/>
          <w:sz w:val="22"/>
          <w:szCs w:val="22"/>
        </w:rPr>
      </w:pPr>
    </w:p>
    <w:p w14:paraId="0D75D31D">
      <w:pPr>
        <w:rPr>
          <w:rFonts w:eastAsia="楷体" w:cs="Calibri"/>
          <w:kern w:val="2"/>
          <w:sz w:val="22"/>
          <w:szCs w:val="22"/>
        </w:rPr>
      </w:pPr>
    </w:p>
    <w:p w14:paraId="7D120AB2">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A297F88">
        <w:trPr>
          <w:trHeight w:val="302" w:hRule="atLeast"/>
        </w:trPr>
        <w:tc>
          <w:tcPr>
            <w:tcW w:w="7466" w:type="dxa"/>
            <w:tcBorders>
              <w:bottom w:val="single" w:color="auto" w:sz="4" w:space="0"/>
            </w:tcBorders>
            <w:tcMar>
              <w:left w:w="0" w:type="dxa"/>
              <w:right w:w="28" w:type="dxa"/>
            </w:tcMar>
          </w:tcPr>
          <w:p w14:paraId="0D9A793B">
            <w:pPr>
              <w:spacing w:before="48" w:beforeLines="20" w:after="48" w:afterLines="20"/>
              <w:jc w:val="both"/>
              <w:textAlignment w:val="center"/>
              <w:rPr>
                <w:rFonts w:hint="eastAsia" w:ascii="楷体" w:hAnsi="楷体" w:eastAsia="楷体" w:cs="Calibri"/>
                <w:b/>
                <w:sz w:val="20"/>
                <w:szCs w:val="20"/>
              </w:rPr>
            </w:pPr>
            <w:r>
              <w:rPr>
                <w:rFonts w:eastAsia="楷体" w:cs="Calibri"/>
                <w:b/>
                <w:sz w:val="20"/>
                <w:szCs w:val="20"/>
              </w:rPr>
              <w:t>Figure: Global business jet delivery market share(units)</w:t>
            </w:r>
          </w:p>
        </w:tc>
      </w:tr>
      <w:tr w14:paraId="384FEE7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50E7FF7">
            <w:pPr>
              <w:spacing w:before="48" w:beforeLines="20" w:after="48" w:afterLines="20"/>
              <w:jc w:val="center"/>
              <w:textAlignment w:val="center"/>
              <w:rPr>
                <w:rFonts w:eastAsia="宋体" w:cs="Calibri"/>
                <w:b/>
                <w:bCs/>
                <w:sz w:val="15"/>
                <w:szCs w:val="15"/>
              </w:rPr>
            </w:pPr>
            <w:r>
              <w:rPr>
                <w:snapToGrid/>
              </w:rPr>
              <w:drawing>
                <wp:inline distT="0" distB="0" distL="0" distR="0">
                  <wp:extent cx="4572000" cy="2512060"/>
                  <wp:effectExtent l="0" t="0" r="0" b="2540"/>
                  <wp:docPr id="146199010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14:paraId="256EAFF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D7B1201">
            <w:pPr>
              <w:spacing w:line="240" w:lineRule="atLeast"/>
              <w:jc w:val="both"/>
              <w:textAlignment w:val="center"/>
              <w:rPr>
                <w:rFonts w:hint="eastAsia" w:ascii="楷体" w:hAnsi="楷体" w:eastAsia="楷体" w:cs="Calibri"/>
                <w:sz w:val="20"/>
                <w:szCs w:val="20"/>
              </w:rPr>
            </w:pPr>
            <w:r>
              <w:rPr>
                <w:rFonts w:eastAsia="楷体" w:cs="Calibri"/>
                <w:b/>
                <w:bCs/>
                <w:sz w:val="20"/>
                <w:szCs w:val="20"/>
              </w:rPr>
              <w:t xml:space="preserve">Source: </w:t>
            </w:r>
            <w:r>
              <w:rPr>
                <w:rFonts w:eastAsia="楷体" w:cs="Calibri"/>
                <w:kern w:val="2"/>
                <w:sz w:val="22"/>
                <w:szCs w:val="22"/>
              </w:rPr>
              <w:t>GAMA</w:t>
            </w:r>
            <w:r>
              <w:rPr>
                <w:rFonts w:eastAsia="楷体" w:cs="Calibri"/>
                <w:sz w:val="20"/>
                <w:szCs w:val="20"/>
              </w:rPr>
              <w:t>, HFI</w:t>
            </w:r>
          </w:p>
        </w:tc>
      </w:tr>
      <w:bookmarkEnd w:id="14"/>
    </w:tbl>
    <w:p w14:paraId="1116CC78">
      <w:pPr>
        <w:pStyle w:val="77"/>
        <w:jc w:val="both"/>
        <w:rPr>
          <w:rFonts w:ascii="Calibri" w:hAnsi="Calibri" w:eastAsia="楷体" w:cs="Calibri"/>
          <w:color w:val="23558C"/>
          <w:sz w:val="24"/>
        </w:rPr>
      </w:pPr>
      <w:bookmarkStart w:id="16" w:name="_Toc220354658"/>
      <w:bookmarkStart w:id="17" w:name="_Toc220589930"/>
      <w:r>
        <w:rPr>
          <w:rFonts w:ascii="Calibri" w:hAnsi="Calibri" w:eastAsia="楷体" w:cs="Calibri"/>
          <w:color w:val="23558C"/>
          <w:sz w:val="24"/>
        </w:rPr>
        <w:t xml:space="preserve">2.2 </w:t>
      </w:r>
      <w:bookmarkEnd w:id="16"/>
      <w:r>
        <w:rPr>
          <w:rFonts w:ascii="Calibri" w:hAnsi="Calibri" w:eastAsia="楷体" w:cs="Calibri"/>
          <w:color w:val="23558C"/>
          <w:sz w:val="24"/>
        </w:rPr>
        <w:t>Why Is the Cessna Jet Series the Global Leader?</w:t>
      </w:r>
      <w:bookmarkEnd w:id="17"/>
    </w:p>
    <w:p w14:paraId="32AEDEB4">
      <w:pPr>
        <w:rPr>
          <w:rFonts w:eastAsia="楷体" w:cs="Calibri"/>
          <w:kern w:val="2"/>
          <w:sz w:val="22"/>
          <w:szCs w:val="22"/>
        </w:rPr>
      </w:pPr>
      <w:r>
        <w:rPr>
          <w:rFonts w:eastAsia="楷体" w:cs="Calibri"/>
          <w:b/>
          <w:bCs/>
          <w:kern w:val="2"/>
          <w:sz w:val="22"/>
          <w:szCs w:val="22"/>
        </w:rPr>
        <w:t>The Citation product lineup is characterized by its broadest and most comprehensive tiered coverage.</w:t>
      </w:r>
      <w:r>
        <w:rPr>
          <w:rFonts w:cs="Calibri"/>
        </w:rPr>
        <w:t xml:space="preserve"> </w:t>
      </w:r>
      <w:r>
        <w:rPr>
          <w:rFonts w:eastAsia="楷体" w:cs="Calibri"/>
          <w:kern w:val="2"/>
          <w:sz w:val="22"/>
          <w:szCs w:val="22"/>
        </w:rPr>
        <w:t>Textron’s business jets span entry-level models such as the M2 and CJ series, mid-size aircraft including the Latitude and Ascend, and super-midsize jets such as the Longitude, effectively covering nearly all mainstream demand from the light to the super-midsize business jet segments.</w:t>
      </w:r>
    </w:p>
    <w:p w14:paraId="11FE7508">
      <w:pPr>
        <w:rPr>
          <w:rFonts w:eastAsia="楷体" w:cs="Calibri"/>
          <w:kern w:val="2"/>
          <w:sz w:val="22"/>
          <w:szCs w:val="22"/>
        </w:rPr>
      </w:pPr>
    </w:p>
    <w:p w14:paraId="79A26153">
      <w:pPr>
        <w:pStyle w:val="37"/>
        <w:numPr>
          <w:ilvl w:val="0"/>
          <w:numId w:val="4"/>
        </w:numPr>
        <w:rPr>
          <w:rFonts w:eastAsia="楷体" w:cs="Calibri"/>
          <w:b/>
          <w:bCs/>
          <w:kern w:val="2"/>
          <w:sz w:val="22"/>
          <w:szCs w:val="22"/>
        </w:rPr>
      </w:pPr>
      <w:r>
        <w:rPr>
          <w:rFonts w:eastAsia="楷体" w:cs="Calibri"/>
          <w:b/>
          <w:bCs/>
          <w:kern w:val="2"/>
          <w:sz w:val="22"/>
          <w:szCs w:val="22"/>
        </w:rPr>
        <w:t>Entry-level and light business jets</w:t>
      </w:r>
    </w:p>
    <w:p w14:paraId="657CA75C">
      <w:pPr>
        <w:rPr>
          <w:rFonts w:eastAsia="楷体" w:cs="Calibri"/>
          <w:kern w:val="2"/>
          <w:sz w:val="22"/>
          <w:szCs w:val="22"/>
        </w:rPr>
      </w:pPr>
      <w:r>
        <w:rPr>
          <w:rFonts w:eastAsia="楷体" w:cs="Calibri"/>
          <w:kern w:val="2"/>
          <w:sz w:val="22"/>
          <w:szCs w:val="22"/>
        </w:rPr>
        <w:t>The segment mainly includes the Citation M2 Gen3, CJ3 Gen3, and CJ4 Gen3 models, positioned for short- to medium-range, high-efficiency business travel, single-pilot operations, and entry-level private or corporate use. The Citation M2 Gen3 has a range of approximately 2,870 km, the Citation CJ3 Gen3 about 3,780 km, and the Citation CJ4 Gen3 around 4,010 km, with unit prices generally ranging from USD 6–12 million. Aircraft in this category emphasize low operating costs, short-field performance, and ease of operation, making them well suited for first-time business jet owners or as supplements for pilot training fleets.</w:t>
      </w:r>
    </w:p>
    <w:p w14:paraId="7A2D5826">
      <w:pPr>
        <w:rPr>
          <w:rFonts w:eastAsia="楷体" w:cs="Calibri"/>
          <w:kern w:val="2"/>
          <w:sz w:val="22"/>
          <w:szCs w:val="22"/>
        </w:rPr>
      </w:pPr>
    </w:p>
    <w:p w14:paraId="389BA0F1">
      <w:pPr>
        <w:pStyle w:val="37"/>
        <w:numPr>
          <w:ilvl w:val="0"/>
          <w:numId w:val="4"/>
        </w:numPr>
        <w:rPr>
          <w:rFonts w:eastAsia="楷体" w:cs="Calibri"/>
          <w:b/>
          <w:bCs/>
          <w:kern w:val="2"/>
          <w:sz w:val="22"/>
          <w:szCs w:val="22"/>
        </w:rPr>
      </w:pPr>
      <w:r>
        <w:rPr>
          <w:rFonts w:eastAsia="楷体" w:cs="Calibri"/>
          <w:b/>
          <w:bCs/>
          <w:kern w:val="2"/>
          <w:sz w:val="22"/>
          <w:szCs w:val="22"/>
        </w:rPr>
        <w:t>Mid-size business jets</w:t>
      </w:r>
    </w:p>
    <w:p w14:paraId="457A1032">
      <w:pPr>
        <w:rPr>
          <w:rFonts w:eastAsia="楷体" w:cs="Calibri"/>
          <w:kern w:val="2"/>
          <w:sz w:val="22"/>
          <w:szCs w:val="22"/>
        </w:rPr>
      </w:pPr>
      <w:r>
        <w:rPr>
          <w:rFonts w:eastAsia="楷体" w:cs="Calibri"/>
          <w:kern w:val="2"/>
          <w:sz w:val="22"/>
          <w:szCs w:val="22"/>
        </w:rPr>
        <w:t>The Latitude offers a range of approximately 5,000–5,280 km, while the Citation Ascend (entering service soon) provides a range of about 3,590 km in a four-passenger configuration. Both aircraft feature flat-floor, wide cabins, low cabin altitude (6,000 ft at FL450), and a high level of passenger comfort, with unit prices of approximately USD 18–20 million. The Latitude has historically been a best-selling model in the mid-size segment, while the Ascend, leveraging next-generation Garmin avionics and improved fuel efficiency, is positioned to redefine efficiency in the mid-size market, making both aircraft well suited for transcontinental business travel and corporate commuting.</w:t>
      </w:r>
    </w:p>
    <w:p w14:paraId="76CC356A">
      <w:pPr>
        <w:rPr>
          <w:rFonts w:eastAsia="楷体" w:cs="Calibri"/>
          <w:kern w:val="2"/>
          <w:sz w:val="22"/>
          <w:szCs w:val="22"/>
        </w:rPr>
      </w:pPr>
    </w:p>
    <w:p w14:paraId="132A08E4">
      <w:pPr>
        <w:pStyle w:val="37"/>
        <w:numPr>
          <w:ilvl w:val="0"/>
          <w:numId w:val="4"/>
        </w:numPr>
        <w:rPr>
          <w:rFonts w:eastAsia="楷体" w:cs="Calibri"/>
          <w:b/>
          <w:bCs/>
          <w:kern w:val="2"/>
          <w:sz w:val="22"/>
          <w:szCs w:val="22"/>
        </w:rPr>
      </w:pPr>
      <w:r>
        <w:rPr>
          <w:rFonts w:eastAsia="楷体" w:cs="Calibri"/>
          <w:b/>
          <w:bCs/>
          <w:kern w:val="2"/>
          <w:sz w:val="22"/>
          <w:szCs w:val="22"/>
        </w:rPr>
        <w:t>Super-midsize business jets</w:t>
      </w:r>
    </w:p>
    <w:p w14:paraId="4EA3BD29">
      <w:pPr>
        <w:rPr>
          <w:rFonts w:eastAsia="楷体" w:cs="Calibri"/>
          <w:kern w:val="2"/>
          <w:sz w:val="22"/>
          <w:szCs w:val="22"/>
        </w:rPr>
      </w:pPr>
      <w:r>
        <w:rPr>
          <w:rFonts w:eastAsia="楷体" w:cs="Calibri"/>
          <w:kern w:val="2"/>
          <w:sz w:val="22"/>
          <w:szCs w:val="22"/>
        </w:rPr>
        <w:t>The flagship Citation Longitude offers a range of approximately 6,480 km (four-passenger configuration) and a cruise speed of 483 knots, enabling long-range missions including transatlantic flights. With a unit price of approximately USD 28–30 million, the Longitude stands out in the super-midsize segment due to its low operating costs, large flat-floor cabin, and advanced avionics, making it one of the most competitive offerings in the category and widely used for high-end private and long-range corporate travel.</w:t>
      </w:r>
    </w:p>
    <w:p w14:paraId="7A9CBFC8">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A38D27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A765F74">
            <w:pPr>
              <w:spacing w:before="48" w:beforeLines="20" w:after="48" w:afterLines="20"/>
              <w:jc w:val="both"/>
              <w:textAlignment w:val="center"/>
              <w:rPr>
                <w:rFonts w:hint="eastAsia" w:ascii="楷体" w:hAnsi="楷体" w:eastAsia="楷体" w:cs="Calibri"/>
                <w:b/>
                <w:sz w:val="20"/>
                <w:szCs w:val="20"/>
              </w:rPr>
            </w:pPr>
            <w:r>
              <w:rPr>
                <w:rFonts w:eastAsia="楷体" w:cs="Calibri"/>
                <w:b/>
                <w:sz w:val="20"/>
                <w:szCs w:val="20"/>
              </w:rPr>
              <w:t>Figure: Performance comparison of Cessna’s core models</w:t>
            </w:r>
          </w:p>
        </w:tc>
      </w:tr>
      <w:tr w14:paraId="752A5A8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0EED33B">
            <w:pPr>
              <w:spacing w:before="48" w:beforeLines="20" w:after="48" w:afterLines="20"/>
              <w:jc w:val="center"/>
              <w:textAlignment w:val="center"/>
              <w:rPr>
                <w:rFonts w:eastAsia="宋体" w:cs="Calibri"/>
                <w:b/>
                <w:bCs/>
                <w:sz w:val="15"/>
                <w:szCs w:val="15"/>
              </w:rPr>
            </w:pPr>
            <w:r>
              <w:rPr>
                <w:snapToGrid/>
              </w:rPr>
              <w:drawing>
                <wp:inline distT="0" distB="0" distL="0" distR="0">
                  <wp:extent cx="4603750" cy="2786380"/>
                  <wp:effectExtent l="0" t="0" r="6350" b="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603750" cy="2786380"/>
                          </a:xfrm>
                          <a:prstGeom prst="rect">
                            <a:avLst/>
                          </a:prstGeom>
                          <a:noFill/>
                        </pic:spPr>
                      </pic:pic>
                    </a:graphicData>
                  </a:graphic>
                </wp:inline>
              </w:drawing>
            </w:r>
          </w:p>
        </w:tc>
      </w:tr>
      <w:tr w14:paraId="3DB9F28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4DF8338">
            <w:pPr>
              <w:spacing w:line="240" w:lineRule="atLeast"/>
              <w:jc w:val="both"/>
              <w:textAlignment w:val="center"/>
              <w:rPr>
                <w:rFonts w:hint="eastAsia" w:ascii="楷体" w:hAnsi="楷体" w:eastAsia="楷体" w:cs="Calibri"/>
                <w:sz w:val="20"/>
                <w:szCs w:val="20"/>
              </w:rPr>
            </w:pPr>
            <w:r>
              <w:rPr>
                <w:rFonts w:eastAsia="楷体" w:cs="Calibri"/>
                <w:b/>
                <w:bCs/>
                <w:sz w:val="20"/>
                <w:szCs w:val="20"/>
              </w:rPr>
              <w:t xml:space="preserve">Source: </w:t>
            </w:r>
            <w:r>
              <w:rPr>
                <w:rFonts w:eastAsia="楷体" w:cs="Calibri"/>
                <w:kern w:val="2"/>
                <w:sz w:val="22"/>
                <w:szCs w:val="22"/>
              </w:rPr>
              <w:t>Cessna</w:t>
            </w:r>
            <w:r>
              <w:rPr>
                <w:rFonts w:eastAsia="楷体" w:cs="Calibri"/>
                <w:sz w:val="20"/>
                <w:szCs w:val="20"/>
              </w:rPr>
              <w:t>, HFI</w:t>
            </w:r>
          </w:p>
        </w:tc>
      </w:tr>
    </w:tbl>
    <w:p w14:paraId="219B0B21">
      <w:pPr>
        <w:rPr>
          <w:rFonts w:hint="eastAsia" w:eastAsia="楷体" w:asciiTheme="minorHAnsi" w:hAnsiTheme="minorHAnsi" w:cstheme="minorHAnsi"/>
          <w:kern w:val="2"/>
          <w:sz w:val="22"/>
          <w:szCs w:val="22"/>
        </w:rPr>
      </w:pPr>
    </w:p>
    <w:p w14:paraId="5406A6C9">
      <w:pPr>
        <w:rPr>
          <w:rFonts w:hint="eastAsia" w:eastAsia="楷体" w:asciiTheme="minorHAnsi" w:hAnsiTheme="minorHAnsi" w:cstheme="minorHAnsi"/>
          <w:kern w:val="2"/>
          <w:sz w:val="22"/>
          <w:szCs w:val="22"/>
        </w:rPr>
      </w:pPr>
      <w:r>
        <w:rPr>
          <w:rFonts w:eastAsia="楷体" w:cs="Calibri"/>
          <w:b/>
          <w:bCs/>
          <w:kern w:val="2"/>
          <w:sz w:val="22"/>
          <w:szCs w:val="22"/>
        </w:rPr>
        <w:t>Cessna business jets emphasize a balanced combination of light-jet economics and mid-size comfort, enabling the brand to maintain long-term leadership in deliveries and market share across the light and mid-size business jet segments.</w:t>
      </w:r>
      <w:r>
        <w:rPr>
          <w:rFonts w:eastAsia="宋体" w:cs="Calibri"/>
          <w:sz w:val="24"/>
        </w:rPr>
        <w:t xml:space="preserve"> </w:t>
      </w:r>
      <w:r>
        <w:rPr>
          <w:rFonts w:eastAsia="楷体" w:cs="Calibri"/>
          <w:kern w:val="2"/>
          <w:sz w:val="22"/>
          <w:szCs w:val="22"/>
        </w:rPr>
        <w:t>In the mid-size and super-midsize categories, the Latitude and Longitude offer low cabin altitude (6,000 ft at FL450, reducing passenger fatigue), flat-floor wide cabins, and strong short-field performance (short takeoff distances allowing access to more airports), while maintaining ownership thresholds and maintenance simplicity closer to those of light jets. By comparison, competitors such as the Phenom 300E offer higher cruise speeds but feature narrower cabins and higher cabin altitudes, while the Gulfstream G280 provides a more luxurious experience at a significantly higher cost. In the light jet segment, according to Textron Aviation’s 2024 disclosures, the Citation CJ4 Gen3’s operating costs are nearly 10% lower than those of its closest competitor.</w:t>
      </w:r>
    </w:p>
    <w:p w14:paraId="1E3956E5">
      <w:pPr>
        <w:rPr>
          <w:rFonts w:hint="eastAsia" w:eastAsia="楷体" w:asciiTheme="minorHAnsi" w:hAnsiTheme="minorHAnsi"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6"/>
      </w:tblGrid>
      <w:tr w14:paraId="331E2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18C75BEC">
            <w:pPr>
              <w:rPr>
                <w:rFonts w:hint="eastAsia" w:eastAsia="楷体" w:asciiTheme="minorHAnsi" w:hAnsiTheme="minorHAnsi" w:cstheme="minorHAnsi"/>
                <w:b/>
                <w:bCs/>
                <w:kern w:val="2"/>
                <w:sz w:val="22"/>
                <w:szCs w:val="22"/>
              </w:rPr>
            </w:pPr>
            <w:r>
              <w:rPr>
                <w:rFonts w:eastAsia="楷体" w:cs="Calibri"/>
                <w:b/>
                <w:bCs/>
                <w:kern w:val="2"/>
                <w:sz w:val="22"/>
                <w:szCs w:val="22"/>
              </w:rPr>
              <w:t>Figure: Performance comparison between Citation mid-size and super-midsize jets and competitors</w:t>
            </w:r>
          </w:p>
        </w:tc>
      </w:tr>
      <w:tr w14:paraId="4C8DB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5C6894A">
            <w:pPr>
              <w:rPr>
                <w:rFonts w:hint="eastAsia" w:eastAsia="楷体" w:asciiTheme="minorHAnsi" w:hAnsiTheme="minorHAnsi" w:cstheme="minorHAnsi"/>
                <w:kern w:val="2"/>
                <w:sz w:val="22"/>
                <w:szCs w:val="22"/>
              </w:rPr>
            </w:pPr>
            <w:r>
              <w:rPr>
                <w:rFonts w:cs="等线"/>
                <w:snapToGrid/>
              </w:rPr>
              <w:drawing>
                <wp:inline distT="0" distB="0" distL="0" distR="0">
                  <wp:extent cx="4853305" cy="1022985"/>
                  <wp:effectExtent l="0" t="0" r="4445" b="5715"/>
                  <wp:docPr id="14045998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99881" name="图片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853530" cy="1023022"/>
                          </a:xfrm>
                          <a:prstGeom prst="rect">
                            <a:avLst/>
                          </a:prstGeom>
                          <a:noFill/>
                        </pic:spPr>
                      </pic:pic>
                    </a:graphicData>
                  </a:graphic>
                </wp:inline>
              </w:drawing>
            </w:r>
          </w:p>
        </w:tc>
      </w:tr>
      <w:tr w14:paraId="2CA25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top w:val="single" w:color="auto" w:sz="4" w:space="0"/>
            </w:tcBorders>
          </w:tcPr>
          <w:p w14:paraId="73700CA7">
            <w:pPr>
              <w:rPr>
                <w:rFonts w:hint="eastAsia" w:eastAsia="楷体" w:asciiTheme="minorHAnsi" w:hAnsiTheme="minorHAnsi" w:cstheme="minorHAns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Cessna</w:t>
            </w:r>
            <w:r>
              <w:rPr>
                <w:rFonts w:hint="eastAsia" w:eastAsia="楷体" w:cs="Calibri"/>
                <w:kern w:val="2"/>
                <w:sz w:val="22"/>
                <w:szCs w:val="22"/>
              </w:rPr>
              <w:t xml:space="preserve">, </w:t>
            </w:r>
            <w:r>
              <w:rPr>
                <w:rFonts w:eastAsia="楷体" w:cs="Calibri"/>
                <w:kern w:val="2"/>
                <w:sz w:val="22"/>
                <w:szCs w:val="22"/>
              </w:rPr>
              <w:t>Gulfstream</w:t>
            </w:r>
            <w:r>
              <w:rPr>
                <w:rFonts w:hint="eastAsia" w:eastAsia="楷体" w:cs="Calibri"/>
                <w:kern w:val="2"/>
                <w:sz w:val="22"/>
                <w:szCs w:val="22"/>
              </w:rPr>
              <w:t xml:space="preserve">, </w:t>
            </w:r>
            <w:r>
              <w:rPr>
                <w:rFonts w:eastAsia="楷体" w:cs="Calibri"/>
                <w:kern w:val="2"/>
                <w:sz w:val="22"/>
                <w:szCs w:val="22"/>
              </w:rPr>
              <w:t>EMBRAER</w:t>
            </w:r>
            <w:r>
              <w:rPr>
                <w:rFonts w:hint="eastAsia" w:eastAsia="楷体" w:cs="Calibri"/>
                <w:kern w:val="2"/>
                <w:sz w:val="22"/>
                <w:szCs w:val="22"/>
              </w:rPr>
              <w:t xml:space="preserve">, </w:t>
            </w:r>
            <w:r>
              <w:rPr>
                <w:rFonts w:eastAsia="楷体" w:cs="Calibri"/>
                <w:kern w:val="2"/>
                <w:sz w:val="22"/>
                <w:szCs w:val="22"/>
              </w:rPr>
              <w:t>AviaCost</w:t>
            </w:r>
            <w:r>
              <w:rPr>
                <w:rFonts w:hint="eastAsia" w:eastAsia="楷体" w:cs="Calibri"/>
                <w:kern w:val="2"/>
                <w:sz w:val="22"/>
                <w:szCs w:val="22"/>
              </w:rPr>
              <w:t xml:space="preserve">, </w:t>
            </w:r>
            <w:r>
              <w:rPr>
                <w:rFonts w:eastAsia="楷体" w:cs="Calibri"/>
                <w:sz w:val="20"/>
                <w:szCs w:val="20"/>
              </w:rPr>
              <w:t>HFI</w:t>
            </w:r>
          </w:p>
        </w:tc>
      </w:tr>
    </w:tbl>
    <w:p w14:paraId="6A9B6F12">
      <w:pPr>
        <w:rPr>
          <w:rFonts w:hint="eastAsia" w:eastAsia="楷体" w:asciiTheme="minorHAnsi" w:hAnsiTheme="minorHAnsi" w:cstheme="minorHAnsi"/>
          <w:kern w:val="2"/>
          <w:sz w:val="22"/>
          <w:szCs w:val="22"/>
        </w:rPr>
      </w:pPr>
    </w:p>
    <w:p w14:paraId="6800ED63">
      <w:pPr>
        <w:rPr>
          <w:rFonts w:eastAsia="楷体" w:cs="Calibri"/>
          <w:kern w:val="2"/>
          <w:sz w:val="22"/>
          <w:szCs w:val="22"/>
        </w:rPr>
      </w:pPr>
      <w:r>
        <w:rPr>
          <w:rFonts w:eastAsia="楷体" w:cs="Calibri"/>
          <w:b/>
          <w:bCs/>
          <w:kern w:val="2"/>
          <w:sz w:val="22"/>
          <w:szCs w:val="22"/>
        </w:rPr>
        <w:t xml:space="preserve">Cessna aircraft are known for their reliability, durability, and the world’s largest aftermarket support ecosystem, which together constitute a key source of competitive advantage. </w:t>
      </w:r>
      <w:r>
        <w:rPr>
          <w:rFonts w:eastAsia="楷体" w:cs="Calibri"/>
          <w:kern w:val="2"/>
          <w:sz w:val="22"/>
          <w:szCs w:val="22"/>
        </w:rPr>
        <w:t>Textron Aviation operates a global service network spanning over 170 countries, offering rapid parts availability, short response times, and industry-leading MRO (maintenance, repair, and overhaul) capabilities. By comparison, fleets operated by Pilatus and Embraer are smaller in scale, with less dense aftermarket coverage and slower response times in Europe and the Asia-Pacific region, resulting in longer parts lead times and higher operating costs. In addition, the Citation family is built on proven, time-tested designs—with the first Citation delivered in 1972—combined with continuous Gen-series upgrades (including Garmin G3000/G5000 avionics, Autoland, and lithium battery systems), delivering exceptionally high reliability. As a result, Citation aircraft demonstrate stable performance under high-intensity operating conditions—such as charter operations, special missions, and government use—with low failure rates and high dispatch availability.</w:t>
      </w:r>
    </w:p>
    <w:p w14:paraId="069FE5BB">
      <w:pPr>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9"/>
      </w:tblGrid>
      <w:tr w14:paraId="1E66F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3F3CE697">
            <w:pPr>
              <w:rPr>
                <w:rFonts w:hint="eastAsia" w:eastAsia="楷体" w:asciiTheme="minorHAnsi" w:hAnsiTheme="minorHAnsi" w:cstheme="minorHAnsi"/>
                <w:b/>
                <w:bCs/>
                <w:kern w:val="2"/>
                <w:sz w:val="22"/>
                <w:szCs w:val="22"/>
              </w:rPr>
            </w:pPr>
            <w:r>
              <w:rPr>
                <w:rFonts w:eastAsia="楷体" w:cs="Calibri"/>
                <w:b/>
                <w:bCs/>
                <w:kern w:val="2"/>
                <w:sz w:val="22"/>
                <w:szCs w:val="22"/>
              </w:rPr>
              <w:t>Figure: Global service locations of Cessna</w:t>
            </w:r>
          </w:p>
        </w:tc>
      </w:tr>
      <w:tr w14:paraId="21D6D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6F0805E4">
            <w:pPr>
              <w:rPr>
                <w:rFonts w:hint="eastAsia" w:eastAsia="宋体" w:asciiTheme="minorHAnsi" w:hAnsiTheme="minorHAnsi" w:cstheme="minorHAnsi"/>
                <w:kern w:val="2"/>
                <w:sz w:val="22"/>
                <w:szCs w:val="22"/>
              </w:rPr>
            </w:pPr>
            <w:r>
              <w:rPr>
                <w:rFonts w:cs="Calibri"/>
                <w:snapToGrid/>
              </w:rPr>
              <w:drawing>
                <wp:inline distT="0" distB="0" distL="0" distR="0">
                  <wp:extent cx="4916805" cy="1967865"/>
                  <wp:effectExtent l="0" t="0" r="10795" b="13335"/>
                  <wp:docPr id="123959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2339" name="图片 1"/>
                          <pic:cNvPicPr>
                            <a:picLocks noChangeAspect="1"/>
                          </pic:cNvPicPr>
                        </pic:nvPicPr>
                        <pic:blipFill>
                          <a:blip r:embed="rId39"/>
                          <a:stretch>
                            <a:fillRect/>
                          </a:stretch>
                        </pic:blipFill>
                        <pic:spPr>
                          <a:xfrm>
                            <a:off x="0" y="0"/>
                            <a:ext cx="4916805" cy="1967865"/>
                          </a:xfrm>
                          <a:prstGeom prst="rect">
                            <a:avLst/>
                          </a:prstGeom>
                        </pic:spPr>
                      </pic:pic>
                    </a:graphicData>
                  </a:graphic>
                </wp:inline>
              </w:drawing>
            </w:r>
          </w:p>
        </w:tc>
      </w:tr>
      <w:tr w14:paraId="34E79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4AF505AD">
            <w:pPr>
              <w:rPr>
                <w:rFonts w:hint="eastAsia" w:eastAsia="楷体" w:asciiTheme="minorHAnsi" w:hAnsiTheme="minorHAnsi" w:cstheme="minorHAns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Cessna</w:t>
            </w:r>
            <w:r>
              <w:rPr>
                <w:rFonts w:hint="eastAsia" w:eastAsia="楷体" w:cs="Calibri"/>
                <w:kern w:val="2"/>
                <w:sz w:val="22"/>
                <w:szCs w:val="22"/>
              </w:rPr>
              <w:t xml:space="preserve">, </w:t>
            </w:r>
            <w:r>
              <w:rPr>
                <w:rFonts w:eastAsia="楷体" w:cs="Calibri"/>
                <w:sz w:val="20"/>
                <w:szCs w:val="20"/>
              </w:rPr>
              <w:t>HFI</w:t>
            </w:r>
          </w:p>
        </w:tc>
      </w:tr>
    </w:tbl>
    <w:p w14:paraId="34EC5E84">
      <w:pPr>
        <w:rPr>
          <w:rFonts w:hint="eastAsia" w:eastAsia="楷体" w:asciiTheme="minorHAnsi" w:hAnsiTheme="minorHAnsi" w:cstheme="minorHAnsi"/>
          <w:kern w:val="2"/>
          <w:sz w:val="22"/>
          <w:szCs w:val="22"/>
        </w:rPr>
      </w:pPr>
    </w:p>
    <w:p w14:paraId="6AF2AC24">
      <w:pPr>
        <w:pStyle w:val="77"/>
        <w:jc w:val="both"/>
        <w:rPr>
          <w:rFonts w:ascii="Calibri" w:hAnsi="Calibri" w:eastAsia="楷体" w:cs="Calibri"/>
          <w:color w:val="23558C"/>
          <w:sz w:val="24"/>
        </w:rPr>
      </w:pPr>
      <w:bookmarkStart w:id="18" w:name="_Toc220354659"/>
      <w:bookmarkStart w:id="19" w:name="_Toc220589931"/>
      <w:r>
        <w:rPr>
          <w:rFonts w:ascii="Calibri" w:hAnsi="Calibri" w:eastAsia="楷体" w:cs="Calibri"/>
          <w:color w:val="23558C"/>
          <w:sz w:val="24"/>
        </w:rPr>
        <w:t xml:space="preserve">2.3 </w:t>
      </w:r>
      <w:bookmarkEnd w:id="18"/>
      <w:r>
        <w:rPr>
          <w:rFonts w:ascii="Calibri" w:hAnsi="Calibri" w:eastAsia="楷体" w:cs="Calibri"/>
          <w:color w:val="23558C"/>
          <w:sz w:val="24"/>
        </w:rPr>
        <w:t>Cessna Orders Outpace Supply</w:t>
      </w:r>
      <w:r>
        <w:rPr>
          <w:rFonts w:hint="eastAsia" w:ascii="Calibri" w:hAnsi="Calibri" w:eastAsia="楷体" w:cs="Calibri"/>
          <w:color w:val="23558C"/>
          <w:sz w:val="24"/>
        </w:rPr>
        <w:t>,</w:t>
      </w:r>
      <w:r>
        <w:rPr>
          <w:rFonts w:ascii="Segoe UI" w:hAnsi="Segoe UI" w:eastAsia="MS Mincho" w:cs="Segoe UI"/>
          <w:b w:val="0"/>
          <w:bCs w:val="0"/>
          <w:snapToGrid w:val="0"/>
          <w:color w:val="09090B"/>
          <w:sz w:val="16"/>
          <w:szCs w:val="16"/>
          <w:shd w:val="clear" w:color="auto" w:fill="FFFFFF"/>
        </w:rPr>
        <w:t xml:space="preserve"> </w:t>
      </w:r>
      <w:r>
        <w:rPr>
          <w:rFonts w:ascii="Calibri" w:hAnsi="Calibri" w:eastAsia="楷体" w:cs="Calibri"/>
          <w:color w:val="23558C"/>
          <w:sz w:val="24"/>
        </w:rPr>
        <w:t>Production still needs to increase</w:t>
      </w:r>
      <w:bookmarkEnd w:id="19"/>
    </w:p>
    <w:p w14:paraId="7AC2D823">
      <w:pPr>
        <w:rPr>
          <w:rFonts w:eastAsia="楷体" w:cs="Calibri"/>
          <w:kern w:val="2"/>
          <w:sz w:val="22"/>
          <w:szCs w:val="22"/>
        </w:rPr>
      </w:pPr>
      <w:r>
        <w:rPr>
          <w:rFonts w:eastAsia="楷体" w:cs="Calibri"/>
          <w:b/>
          <w:bCs/>
          <w:kern w:val="2"/>
          <w:sz w:val="22"/>
          <w:szCs w:val="22"/>
        </w:rPr>
        <w:t>From an industry perspective, the global private aircraft market is expected to maintain a sustained upward trend in both delivery volumes and value.</w:t>
      </w:r>
      <w:r>
        <w:rPr>
          <w:rFonts w:cs="Calibri"/>
        </w:rPr>
        <w:t xml:space="preserve"> </w:t>
      </w:r>
      <w:r>
        <w:rPr>
          <w:rFonts w:eastAsia="楷体" w:cs="Calibri"/>
          <w:kern w:val="2"/>
          <w:sz w:val="22"/>
          <w:szCs w:val="22"/>
        </w:rPr>
        <w:t>Private aircraft are increasingly favored due to their high flexibility, privacy protection, safety, time efficiency, and year-round availability. Global deliveries increased from 1,894 aircraft in 2019 to 2,215 aircraft in 2023, representing a four-year CAGR of 4%, while delivery value rose from USD 2.7 billion to USD 3.7 billion over the same period, implying a four-year CAGR of 8.5%. The average selling price increased from USD 1.43 million in 2019 to USD 1.67 million in 2023. Looking ahead, global deliveries are projected to reach 3,185 aircraft during 2025–2028, with delivery value expected to increase to approximately USD 6.4 billion.</w:t>
      </w:r>
    </w:p>
    <w:p w14:paraId="549FBB44">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7FE498F">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1FEAA8AF">
            <w:pPr>
              <w:spacing w:before="48" w:beforeLines="20" w:after="48" w:afterLines="20"/>
              <w:jc w:val="both"/>
              <w:textAlignment w:val="center"/>
              <w:rPr>
                <w:rFonts w:eastAsia="楷体" w:cs="Calibri"/>
                <w:b/>
                <w:sz w:val="20"/>
                <w:szCs w:val="20"/>
                <w:highlight w:val="yellow"/>
              </w:rPr>
            </w:pPr>
            <w:r>
              <w:rPr>
                <w:rFonts w:eastAsia="楷体_GB2312" w:cs="Calibri"/>
                <w:b/>
                <w:sz w:val="20"/>
                <w:szCs w:val="20"/>
              </w:rPr>
              <w:t>Figure:</w:t>
            </w:r>
            <w:r>
              <w:rPr>
                <w:rFonts w:hint="eastAsia" w:eastAsia="楷体_GB2312" w:cs="Calibri"/>
                <w:b/>
                <w:sz w:val="20"/>
                <w:szCs w:val="20"/>
              </w:rPr>
              <w:t xml:space="preserve"> </w:t>
            </w:r>
            <w:r>
              <w:rPr>
                <w:rFonts w:eastAsia="楷体_GB2312" w:cs="Calibri"/>
                <w:b/>
                <w:sz w:val="20"/>
                <w:szCs w:val="20"/>
              </w:rPr>
              <w:t xml:space="preserve">Worldwide </w:t>
            </w:r>
            <w:r>
              <w:rPr>
                <w:rFonts w:hint="eastAsia" w:eastAsia="楷体_GB2312" w:cs="Calibri"/>
                <w:b/>
                <w:sz w:val="20"/>
                <w:szCs w:val="20"/>
              </w:rPr>
              <w:t>Private</w:t>
            </w:r>
            <w:r>
              <w:rPr>
                <w:rFonts w:eastAsia="楷体_GB2312" w:cs="Calibri"/>
                <w:b/>
                <w:sz w:val="20"/>
                <w:szCs w:val="20"/>
              </w:rPr>
              <w:t xml:space="preserve"> Aircraft Deliveries (</w:t>
            </w:r>
            <w:r>
              <w:rPr>
                <w:rFonts w:hint="eastAsia" w:eastAsia="楷体_GB2312" w:cs="Calibri"/>
                <w:b/>
                <w:sz w:val="20"/>
                <w:szCs w:val="20"/>
              </w:rPr>
              <w:t>units</w:t>
            </w:r>
            <w:r>
              <w:rPr>
                <w:rFonts w:eastAsia="楷体_GB2312" w:cs="Calibri"/>
                <w:b/>
                <w:sz w:val="20"/>
                <w:szCs w:val="20"/>
              </w:rPr>
              <w:t>)</w:t>
            </w:r>
          </w:p>
        </w:tc>
        <w:tc>
          <w:tcPr>
            <w:tcW w:w="241" w:type="dxa"/>
            <w:tcMar>
              <w:left w:w="0" w:type="dxa"/>
              <w:right w:w="28" w:type="dxa"/>
            </w:tcMar>
          </w:tcPr>
          <w:p w14:paraId="0855FFB2">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63EF307">
            <w:pPr>
              <w:spacing w:before="48" w:beforeLines="20" w:after="48" w:afterLines="20"/>
              <w:jc w:val="both"/>
              <w:rPr>
                <w:rFonts w:eastAsia="楷体" w:cs="Calibri"/>
                <w:b/>
                <w:sz w:val="20"/>
                <w:szCs w:val="20"/>
                <w:highlight w:val="yellow"/>
              </w:rPr>
            </w:pPr>
            <w:r>
              <w:rPr>
                <w:rFonts w:eastAsia="楷体" w:cs="Calibri"/>
                <w:b/>
                <w:sz w:val="20"/>
                <w:szCs w:val="20"/>
              </w:rPr>
              <w:t>Figure: Global Private Aircraft Delivery Value(USD)</w:t>
            </w:r>
          </w:p>
        </w:tc>
      </w:tr>
      <w:tr w14:paraId="44961C73">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1158A9A6">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60550"/>
                  <wp:effectExtent l="0" t="0" r="3810" b="6350"/>
                  <wp:docPr id="9766143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c>
          <w:tcPr>
            <w:tcW w:w="241" w:type="dxa"/>
          </w:tcPr>
          <w:p w14:paraId="11710FB6">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9747AC1">
            <w:pPr>
              <w:spacing w:before="48" w:beforeLines="20" w:after="48" w:afterLines="20"/>
              <w:jc w:val="both"/>
              <w:rPr>
                <w:rFonts w:eastAsia="楷体_GB2312" w:cs="Calibri"/>
                <w:b/>
                <w:sz w:val="20"/>
                <w:szCs w:val="20"/>
              </w:rPr>
            </w:pPr>
            <w:r>
              <w:rPr>
                <w:snapToGrid/>
              </w:rPr>
              <w:drawing>
                <wp:inline distT="0" distB="0" distL="0" distR="0">
                  <wp:extent cx="3132455" cy="1879600"/>
                  <wp:effectExtent l="0" t="0" r="0" b="6350"/>
                  <wp:docPr id="208048281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14:paraId="68B3830A">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4DCE358D">
            <w:pPr>
              <w:spacing w:before="48" w:beforeLines="20" w:after="48" w:afterLines="20"/>
              <w:jc w:val="both"/>
              <w:textAlignment w:val="center"/>
              <w:rPr>
                <w:rFonts w:eastAsia="楷体" w:cs="Calibri"/>
                <w:sz w:val="20"/>
                <w:szCs w:val="20"/>
              </w:rPr>
            </w:pPr>
            <w:r>
              <w:rPr>
                <w:rFonts w:eastAsia="楷体" w:cs="Calibri"/>
                <w:b/>
                <w:bCs/>
                <w:sz w:val="20"/>
                <w:szCs w:val="20"/>
              </w:rPr>
              <w:t xml:space="preserve">Source: </w:t>
            </w:r>
            <w:r>
              <w:rPr>
                <w:rFonts w:eastAsia="楷体" w:cs="Calibri"/>
                <w:kern w:val="2"/>
                <w:sz w:val="22"/>
                <w:szCs w:val="22"/>
              </w:rPr>
              <w:t>GAMA</w:t>
            </w:r>
            <w:r>
              <w:rPr>
                <w:rFonts w:eastAsia="楷体" w:cs="Calibri"/>
                <w:sz w:val="20"/>
                <w:szCs w:val="20"/>
              </w:rPr>
              <w:t>, HFI</w:t>
            </w:r>
          </w:p>
        </w:tc>
        <w:tc>
          <w:tcPr>
            <w:tcW w:w="241" w:type="dxa"/>
            <w:tcMar>
              <w:left w:w="0" w:type="dxa"/>
              <w:right w:w="28" w:type="dxa"/>
            </w:tcMar>
          </w:tcPr>
          <w:p w14:paraId="7AE950E3">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63D11F88">
            <w:pPr>
              <w:spacing w:before="48" w:beforeLines="20" w:after="48" w:afterLines="20"/>
              <w:jc w:val="both"/>
              <w:rPr>
                <w:rFonts w:eastAsia="楷体" w:cs="Calibri"/>
                <w:sz w:val="20"/>
                <w:szCs w:val="20"/>
              </w:rPr>
            </w:pPr>
            <w:r>
              <w:rPr>
                <w:rFonts w:eastAsia="楷体" w:cs="Calibri"/>
                <w:b/>
                <w:bCs/>
                <w:sz w:val="20"/>
                <w:szCs w:val="20"/>
              </w:rPr>
              <w:t xml:space="preserve">Source: </w:t>
            </w:r>
            <w:r>
              <w:rPr>
                <w:rFonts w:eastAsia="楷体" w:cs="Calibri"/>
                <w:kern w:val="2"/>
                <w:sz w:val="22"/>
                <w:szCs w:val="22"/>
              </w:rPr>
              <w:t>GAMA</w:t>
            </w:r>
            <w:r>
              <w:rPr>
                <w:rFonts w:eastAsia="楷体" w:cs="Calibri"/>
                <w:sz w:val="20"/>
                <w:szCs w:val="20"/>
              </w:rPr>
              <w:t>, HFI</w:t>
            </w:r>
          </w:p>
        </w:tc>
      </w:tr>
    </w:tbl>
    <w:p w14:paraId="7150F7CE">
      <w:pPr>
        <w:rPr>
          <w:rFonts w:eastAsia="楷体" w:cs="Calibri"/>
          <w:kern w:val="2"/>
          <w:sz w:val="22"/>
          <w:szCs w:val="22"/>
        </w:rPr>
      </w:pPr>
      <w:r>
        <w:rPr>
          <w:rFonts w:eastAsia="楷体" w:cs="Calibri"/>
          <w:b/>
          <w:bCs/>
          <w:kern w:val="2"/>
          <w:sz w:val="22"/>
          <w:szCs w:val="22"/>
        </w:rPr>
        <w:t xml:space="preserve">From a company perspective, demand for Cessna business jets remains robust, accompanied by sustained upward pricing trends. </w:t>
      </w:r>
      <w:r>
        <w:rPr>
          <w:rFonts w:eastAsia="楷体" w:cs="Calibri"/>
          <w:kern w:val="2"/>
          <w:sz w:val="22"/>
          <w:szCs w:val="22"/>
        </w:rPr>
        <w:t>The average backlog coverage for Cessna aircraft is approximately two years. In value terms, order backlog increased by more than 90% from USD 4.1 billion in 2021 to USD 7.8 billion in 2024, representing over a fourfold increase compared with pre-pandemic levels. In addition, certain models are fully sold out through 2028. From a pricing standpoint, price increases for Cessna’s core models have consistently outpaced inflation, with the average aircraft price posting a CAGR of 3.56% over 2014–2024, compared with an average annual increase of 2.98% in U.S. core CPI and 2.85% in headline U.S. CPI.</w:t>
      </w:r>
    </w:p>
    <w:p w14:paraId="4A3F90BF">
      <w:pPr>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BDB7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03A0D36C">
            <w:pPr>
              <w:rPr>
                <w:rFonts w:eastAsia="楷体" w:cs="Calibri"/>
                <w:b/>
                <w:bCs/>
                <w:kern w:val="2"/>
                <w:sz w:val="22"/>
                <w:szCs w:val="22"/>
              </w:rPr>
            </w:pPr>
            <w:r>
              <w:rPr>
                <w:rFonts w:eastAsia="楷体" w:cs="Calibri"/>
                <w:b/>
                <w:bCs/>
                <w:kern w:val="2"/>
                <w:sz w:val="22"/>
                <w:szCs w:val="22"/>
              </w:rPr>
              <w:t>Figure: Comparison of average Cessna business jet prices and U.S. inflation</w:t>
            </w:r>
          </w:p>
        </w:tc>
      </w:tr>
      <w:tr w14:paraId="58DF1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3D509E8B">
            <w:pPr>
              <w:rPr>
                <w:rFonts w:eastAsia="楷体" w:cs="Calibri"/>
                <w:kern w:val="2"/>
                <w:sz w:val="22"/>
                <w:szCs w:val="22"/>
              </w:rPr>
            </w:pPr>
            <w:r>
              <w:rPr>
                <w:rFonts w:cs="Calibri"/>
                <w:snapToGrid/>
              </w:rPr>
              <w:drawing>
                <wp:inline distT="0" distB="0" distL="0" distR="0">
                  <wp:extent cx="4743450" cy="2091690"/>
                  <wp:effectExtent l="0" t="0" r="0" b="3810"/>
                  <wp:docPr id="110541573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14:paraId="42BC6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top w:val="single" w:color="auto" w:sz="4" w:space="0"/>
            </w:tcBorders>
          </w:tcPr>
          <w:p w14:paraId="0141573D">
            <w:pPr>
              <w:rPr>
                <w:rFonts w:eastAsia="楷体" w:cs="Calibr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Cessna</w:t>
            </w:r>
            <w:r>
              <w:rPr>
                <w:rFonts w:hint="eastAsia" w:eastAsia="楷体" w:cs="Calibri"/>
                <w:kern w:val="2"/>
                <w:sz w:val="22"/>
                <w:szCs w:val="22"/>
              </w:rPr>
              <w:t xml:space="preserve"> Annual Report, Wind, H</w:t>
            </w:r>
            <w:r>
              <w:rPr>
                <w:rFonts w:eastAsia="楷体" w:cs="Calibri"/>
                <w:sz w:val="20"/>
                <w:szCs w:val="20"/>
              </w:rPr>
              <w:t>FI</w:t>
            </w:r>
          </w:p>
        </w:tc>
      </w:tr>
    </w:tbl>
    <w:p w14:paraId="502DE3EB">
      <w:pPr>
        <w:rPr>
          <w:rFonts w:eastAsia="楷体" w:cs="Calibri"/>
          <w:kern w:val="2"/>
          <w:sz w:val="22"/>
          <w:szCs w:val="22"/>
        </w:rPr>
      </w:pPr>
      <w:r>
        <w:rPr>
          <w:rFonts w:hint="eastAsia" w:eastAsia="楷体" w:cs="Calibri"/>
          <w:kern w:val="2"/>
          <w:sz w:val="22"/>
          <w:szCs w:val="22"/>
        </w:rPr>
        <w:t xml:space="preserve"> </w:t>
      </w:r>
    </w:p>
    <w:p w14:paraId="0B8D7E2C">
      <w:pPr>
        <w:rPr>
          <w:rFonts w:eastAsia="楷体" w:cs="Calibri"/>
          <w:b/>
          <w:bCs/>
          <w:kern w:val="2"/>
          <w:sz w:val="22"/>
          <w:szCs w:val="22"/>
        </w:rPr>
      </w:pPr>
      <w:r>
        <w:rPr>
          <w:rFonts w:eastAsia="楷体" w:cs="Calibri"/>
          <w:b/>
          <w:bCs/>
          <w:kern w:val="2"/>
          <w:sz w:val="22"/>
          <w:szCs w:val="22"/>
        </w:rPr>
        <w:t xml:space="preserve">In addition, Cessna continues to secure certifications for new and upgraded models, which is expected to further stimulate demand. </w:t>
      </w:r>
      <w:r>
        <w:rPr>
          <w:rFonts w:eastAsia="楷体" w:cs="Calibri"/>
          <w:kern w:val="2"/>
          <w:sz w:val="22"/>
          <w:szCs w:val="22"/>
        </w:rPr>
        <w:t>In 2025, Cessna aircraft obtained several key certifications, including the type certification of the Citation Ascend (a next-generation mid-size business jet), the type certification of the CJ3 Gen2 (an upgraded light jet), and the Garmin Autothrottle certification for the M2 Gen2.The Citation Ascend, featuring next-generation Garmin avionics, improved fuel efficiency, and a flat-floor cabin design, is positioned to redefine efficiency in the mid-size jet segment and fill the gap between the Latitude and Longitude. Meanwhile, the CJ3 Gen2 and M2 Gen2, through avionics modernization and autothrottle upgrades, significantly reduce pilot workload while enhancing safety and operational convenience.Through new model certifications and upgrades to existing platforms, Cessna is expected to continuously strengthen product competitiveness and further stimulate demand in the business jet market.</w:t>
      </w:r>
    </w:p>
    <w:p w14:paraId="4E2E229E">
      <w:pPr>
        <w:rPr>
          <w:rFonts w:hint="eastAsia" w:eastAsia="楷体" w:asciiTheme="minorHAnsi" w:hAnsiTheme="minorHAnsi" w:cstheme="minorHAnsi"/>
          <w:kern w:val="2"/>
          <w:sz w:val="22"/>
          <w:szCs w:val="22"/>
        </w:rPr>
      </w:pPr>
    </w:p>
    <w:p w14:paraId="3899EB75">
      <w:pPr>
        <w:rPr>
          <w:rFonts w:hint="eastAsia" w:eastAsia="楷体" w:asciiTheme="minorHAnsi" w:hAnsiTheme="minorHAnsi" w:cstheme="minorHAnsi"/>
          <w:kern w:val="2"/>
          <w:sz w:val="22"/>
          <w:szCs w:val="22"/>
        </w:rPr>
      </w:pPr>
    </w:p>
    <w:p w14:paraId="5FD18119">
      <w:pPr>
        <w:rPr>
          <w:rFonts w:hint="eastAsia" w:eastAsia="楷体" w:asciiTheme="minorHAnsi" w:hAnsiTheme="minorHAnsi" w:cstheme="minorHAnsi"/>
          <w:kern w:val="2"/>
          <w:sz w:val="22"/>
          <w:szCs w:val="22"/>
        </w:rPr>
      </w:pPr>
    </w:p>
    <w:p w14:paraId="0DADCE78">
      <w:pPr>
        <w:rPr>
          <w:rFonts w:hint="eastAsia" w:eastAsia="楷体" w:asciiTheme="minorHAnsi" w:hAnsiTheme="minorHAnsi" w:cstheme="minorHAnsi"/>
          <w:kern w:val="2"/>
          <w:sz w:val="22"/>
          <w:szCs w:val="22"/>
        </w:rPr>
      </w:pPr>
    </w:p>
    <w:p w14:paraId="45E6B341">
      <w:pPr>
        <w:rPr>
          <w:rFonts w:hint="eastAsia" w:eastAsia="楷体" w:asciiTheme="minorHAnsi" w:hAnsiTheme="minorHAnsi" w:cstheme="minorHAnsi"/>
          <w:kern w:val="2"/>
          <w:sz w:val="22"/>
          <w:szCs w:val="22"/>
        </w:rPr>
      </w:pPr>
    </w:p>
    <w:p w14:paraId="0E235886">
      <w:pPr>
        <w:rPr>
          <w:rFonts w:hint="eastAsia" w:eastAsia="楷体" w:asciiTheme="minorHAnsi" w:hAnsiTheme="minorHAnsi" w:cstheme="minorHAnsi"/>
          <w:kern w:val="2"/>
          <w:sz w:val="22"/>
          <w:szCs w:val="22"/>
        </w:rPr>
      </w:pPr>
    </w:p>
    <w:p w14:paraId="2CE515E5">
      <w:pPr>
        <w:rPr>
          <w:rFonts w:hint="eastAsia" w:eastAsia="楷体" w:asciiTheme="minorHAnsi" w:hAnsiTheme="minorHAnsi" w:cstheme="minorHAnsi"/>
          <w:kern w:val="2"/>
          <w:sz w:val="22"/>
          <w:szCs w:val="22"/>
        </w:rPr>
      </w:pPr>
    </w:p>
    <w:p w14:paraId="05533334">
      <w:pPr>
        <w:rPr>
          <w:rFonts w:hint="eastAsia" w:eastAsia="楷体" w:asciiTheme="minorHAnsi" w:hAnsiTheme="minorHAnsi" w:cstheme="minorHAnsi"/>
          <w:kern w:val="2"/>
          <w:sz w:val="22"/>
          <w:szCs w:val="22"/>
        </w:rPr>
      </w:pPr>
    </w:p>
    <w:p w14:paraId="26E11A4D">
      <w:pPr>
        <w:rPr>
          <w:rFonts w:hint="eastAsia" w:eastAsia="楷体" w:asciiTheme="minorHAnsi" w:hAnsiTheme="minorHAnsi" w:cstheme="minorHAnsi"/>
          <w:kern w:val="2"/>
          <w:sz w:val="22"/>
          <w:szCs w:val="22"/>
        </w:rPr>
      </w:pPr>
    </w:p>
    <w:p w14:paraId="2C92B64A">
      <w:pPr>
        <w:rPr>
          <w:rFonts w:hint="eastAsia" w:eastAsia="楷体" w:asciiTheme="minorHAnsi" w:hAnsiTheme="minorHAnsi" w:cstheme="minorHAnsi"/>
          <w:kern w:val="2"/>
          <w:sz w:val="22"/>
          <w:szCs w:val="22"/>
        </w:rPr>
      </w:pPr>
    </w:p>
    <w:p w14:paraId="19DBA2F3">
      <w:pPr>
        <w:rPr>
          <w:rFonts w:hint="eastAsia" w:eastAsia="楷体" w:asciiTheme="minorHAnsi" w:hAnsiTheme="minorHAnsi" w:cstheme="minorHAnsi"/>
          <w:kern w:val="2"/>
          <w:sz w:val="22"/>
          <w:szCs w:val="22"/>
        </w:rPr>
      </w:pPr>
    </w:p>
    <w:p w14:paraId="1C6C09F9">
      <w:pPr>
        <w:rPr>
          <w:rFonts w:hint="eastAsia" w:eastAsia="楷体" w:asciiTheme="minorHAnsi" w:hAnsiTheme="minorHAnsi" w:cstheme="minorHAnsi"/>
          <w:kern w:val="2"/>
          <w:sz w:val="22"/>
          <w:szCs w:val="22"/>
        </w:rPr>
      </w:pPr>
    </w:p>
    <w:p w14:paraId="33DB43C6">
      <w:pPr>
        <w:rPr>
          <w:rFonts w:hint="eastAsia" w:eastAsia="楷体" w:asciiTheme="minorHAnsi" w:hAnsiTheme="minorHAnsi"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36"/>
      </w:tblGrid>
      <w:tr w14:paraId="34EB1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5AF2EFEC">
            <w:pPr>
              <w:rPr>
                <w:rFonts w:hint="eastAsia" w:eastAsia="楷体" w:asciiTheme="minorHAnsi" w:hAnsiTheme="minorHAnsi" w:cstheme="minorHAnsi"/>
                <w:b/>
                <w:bCs/>
                <w:kern w:val="2"/>
                <w:sz w:val="22"/>
                <w:szCs w:val="22"/>
              </w:rPr>
            </w:pPr>
            <w:r>
              <w:rPr>
                <w:rFonts w:eastAsia="楷体" w:cs="Calibri"/>
                <w:b/>
                <w:bCs/>
                <w:kern w:val="2"/>
                <w:sz w:val="22"/>
                <w:szCs w:val="22"/>
              </w:rPr>
              <w:t>Figure: Advantages of the new models</w:t>
            </w:r>
          </w:p>
        </w:tc>
      </w:tr>
      <w:tr w14:paraId="6497B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3A3D8157">
            <w:pPr>
              <w:rPr>
                <w:rFonts w:hint="eastAsia" w:eastAsia="楷体" w:asciiTheme="minorHAnsi" w:hAnsiTheme="minorHAnsi" w:cstheme="minorHAnsi"/>
                <w:kern w:val="2"/>
                <w:sz w:val="22"/>
                <w:szCs w:val="22"/>
              </w:rPr>
            </w:pPr>
            <w:r>
              <w:rPr>
                <w:rFonts w:eastAsia="楷体" w:cs="Calibri"/>
                <w:kern w:val="2"/>
                <w:sz w:val="22"/>
                <w:szCs w:val="22"/>
              </w:rPr>
              <w:drawing>
                <wp:inline distT="0" distB="0" distL="0" distR="0">
                  <wp:extent cx="4829175" cy="3681095"/>
                  <wp:effectExtent l="0" t="0" r="9525" b="0"/>
                  <wp:docPr id="173397120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71205" name="图片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836830" cy="3686810"/>
                          </a:xfrm>
                          <a:prstGeom prst="rect">
                            <a:avLst/>
                          </a:prstGeom>
                          <a:noFill/>
                          <a:ln>
                            <a:noFill/>
                          </a:ln>
                        </pic:spPr>
                      </pic:pic>
                    </a:graphicData>
                  </a:graphic>
                </wp:inline>
              </w:drawing>
            </w:r>
          </w:p>
        </w:tc>
      </w:tr>
      <w:tr w14:paraId="70608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2A82A0D3">
            <w:pPr>
              <w:rPr>
                <w:rFonts w:hint="eastAsia" w:eastAsia="楷体" w:asciiTheme="minorHAnsi" w:hAnsiTheme="minorHAnsi" w:cstheme="minorHAns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Cessna，</w:t>
            </w:r>
            <w:r>
              <w:rPr>
                <w:rFonts w:eastAsia="楷体" w:cs="Calibri"/>
                <w:sz w:val="20"/>
                <w:szCs w:val="20"/>
              </w:rPr>
              <w:t>HFI</w:t>
            </w:r>
          </w:p>
        </w:tc>
      </w:tr>
    </w:tbl>
    <w:p w14:paraId="4120B57A">
      <w:pPr>
        <w:rPr>
          <w:rFonts w:hint="eastAsia" w:eastAsia="楷体" w:asciiTheme="minorHAnsi" w:hAnsiTheme="minorHAnsi" w:cstheme="minorHAnsi"/>
          <w:kern w:val="2"/>
          <w:sz w:val="22"/>
          <w:szCs w:val="22"/>
        </w:rPr>
      </w:pPr>
    </w:p>
    <w:p w14:paraId="090CFE2B">
      <w:pPr>
        <w:rPr>
          <w:rFonts w:eastAsia="楷体" w:cs="Calibri"/>
          <w:kern w:val="2"/>
          <w:sz w:val="22"/>
          <w:szCs w:val="22"/>
        </w:rPr>
      </w:pPr>
      <w:r>
        <w:rPr>
          <w:rFonts w:eastAsia="楷体" w:cs="Calibri"/>
          <w:b/>
          <w:bCs/>
          <w:kern w:val="2"/>
          <w:sz w:val="22"/>
          <w:szCs w:val="22"/>
        </w:rPr>
        <w:t xml:space="preserve">However, production remains below 2019 levels due to ongoing supply chain constraints. </w:t>
      </w:r>
      <w:r>
        <w:rPr>
          <w:rFonts w:eastAsia="楷体" w:cs="Calibri"/>
          <w:kern w:val="2"/>
          <w:sz w:val="22"/>
          <w:szCs w:val="22"/>
        </w:rPr>
        <w:t>In 2019, Cessna delivered 206 business jets, representing a 9.6% year-on-year increase, after which deliveries declined to 151 aircraft in 2024. Despite sustained strong demand, business jet deliveries have yet to recover to 2019 levels, primarily due to supply chain disruptions. On the one hand, business jet production is highly dependent on key systems such as avionics and engines, with engine supply delays in particular proving pronounced, resulting in a significant number of completed airframes awaiting engines prior to delivery. On the other hand, misalignment between component deliveries and final assembly schedules has extended delivery lead times. In addition, a labor strike at Textron Aviation’s production facilities in 4Q24 led to a slower recovery in production efficiency, collectively constraining near-term output growth.</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13E30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F607E88">
            <w:pPr>
              <w:rPr>
                <w:rFonts w:hint="eastAsia" w:ascii="楷体" w:hAnsi="楷体" w:eastAsia="楷体" w:cstheme="minorHAnsi"/>
                <w:b/>
                <w:bCs/>
                <w:kern w:val="2"/>
                <w:sz w:val="22"/>
                <w:szCs w:val="22"/>
              </w:rPr>
            </w:pPr>
            <w:r>
              <w:rPr>
                <w:rFonts w:eastAsia="楷体" w:cs="Calibri"/>
                <w:b/>
                <w:bCs/>
                <w:kern w:val="2"/>
                <w:sz w:val="22"/>
                <w:szCs w:val="22"/>
              </w:rPr>
              <w:t>Figure: Textron aircraft deliveries, 2019–2024 (units)</w:t>
            </w:r>
          </w:p>
        </w:tc>
      </w:tr>
      <w:tr w14:paraId="4B6B4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07E731B9">
            <w:pPr>
              <w:rPr>
                <w:rFonts w:hint="eastAsia" w:eastAsia="楷体" w:asciiTheme="minorHAnsi" w:hAnsiTheme="minorHAnsi" w:cstheme="minorHAnsi"/>
                <w:kern w:val="2"/>
                <w:sz w:val="22"/>
                <w:szCs w:val="22"/>
              </w:rPr>
            </w:pPr>
            <w:r>
              <w:rPr>
                <w:rFonts w:cs="Calibri"/>
                <w:snapToGrid/>
              </w:rPr>
              <w:drawing>
                <wp:inline distT="0" distB="0" distL="0" distR="0">
                  <wp:extent cx="4659630" cy="2345690"/>
                  <wp:effectExtent l="0" t="0" r="7620" b="0"/>
                  <wp:docPr id="179851063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14:paraId="26C2B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E67FF86">
            <w:pPr>
              <w:rPr>
                <w:rFonts w:hint="eastAsia" w:ascii="楷体" w:hAnsi="楷体" w:eastAsia="楷体" w:cstheme="minorHAns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GAMA，</w:t>
            </w:r>
            <w:r>
              <w:rPr>
                <w:rFonts w:eastAsia="楷体" w:cs="Calibri"/>
                <w:sz w:val="20"/>
                <w:szCs w:val="20"/>
              </w:rPr>
              <w:t>HFI</w:t>
            </w:r>
          </w:p>
        </w:tc>
      </w:tr>
    </w:tbl>
    <w:p w14:paraId="596E67AA">
      <w:pPr>
        <w:pStyle w:val="2"/>
        <w:spacing w:before="240" w:beforeLines="100" w:after="240" w:afterLines="100"/>
        <w:jc w:val="both"/>
        <w:rPr>
          <w:rFonts w:ascii="Calibri" w:hAnsi="Calibri" w:eastAsia="楷体" w:cs="Calibri"/>
          <w:b/>
          <w:bCs/>
          <w:color w:val="23558C"/>
          <w:sz w:val="28"/>
          <w:szCs w:val="28"/>
        </w:rPr>
      </w:pPr>
      <w:bookmarkStart w:id="20" w:name="_Toc220589932"/>
      <w:bookmarkStart w:id="21" w:name="_Toc220275545"/>
      <w:r>
        <w:rPr>
          <w:rFonts w:ascii="Calibri" w:hAnsi="Calibri" w:eastAsia="楷体" w:cs="Calibri"/>
          <w:b/>
          <w:bCs/>
          <w:color w:val="23558C"/>
          <w:sz w:val="28"/>
          <w:szCs w:val="28"/>
        </w:rPr>
        <w:t>3 Bell Segment: Accelerating Military and Commercial Deliveries</w:t>
      </w:r>
      <w:bookmarkEnd w:id="20"/>
    </w:p>
    <w:p w14:paraId="7B8BD320">
      <w:pPr>
        <w:pStyle w:val="77"/>
        <w:jc w:val="both"/>
        <w:rPr>
          <w:rFonts w:ascii="Calibri" w:hAnsi="Calibri" w:eastAsia="楷体" w:cs="Calibri"/>
          <w:color w:val="23558C"/>
          <w:sz w:val="24"/>
          <w:szCs w:val="24"/>
        </w:rPr>
      </w:pPr>
      <w:bookmarkStart w:id="22" w:name="_Toc220354661"/>
      <w:bookmarkStart w:id="23" w:name="_Toc220589933"/>
      <w:r>
        <w:rPr>
          <w:rFonts w:ascii="Calibri" w:hAnsi="Calibri" w:eastAsia="楷体" w:cs="Calibri"/>
          <w:color w:val="23558C"/>
          <w:sz w:val="24"/>
          <w:szCs w:val="24"/>
        </w:rPr>
        <w:t>3.1</w:t>
      </w:r>
      <w:bookmarkEnd w:id="22"/>
      <w:r>
        <w:rPr>
          <w:rFonts w:ascii="Calibri" w:hAnsi="Calibri" w:eastAsia="楷体" w:cs="Calibri"/>
          <w:color w:val="23558C"/>
          <w:sz w:val="24"/>
          <w:szCs w:val="24"/>
        </w:rPr>
        <w:t xml:space="preserve"> Military aircraft: MV-75 as a key growth driver</w:t>
      </w:r>
      <w:bookmarkEnd w:id="23"/>
    </w:p>
    <w:p w14:paraId="3E2F61D2">
      <w:pPr>
        <w:jc w:val="both"/>
        <w:rPr>
          <w:rFonts w:eastAsia="楷体" w:cs="Calibri"/>
          <w:kern w:val="2"/>
          <w:sz w:val="22"/>
          <w:szCs w:val="22"/>
        </w:rPr>
      </w:pPr>
      <w:r>
        <w:rPr>
          <w:rFonts w:eastAsia="楷体" w:cs="Calibri"/>
          <w:b/>
          <w:bCs/>
          <w:kern w:val="2"/>
          <w:sz w:val="22"/>
          <w:szCs w:val="22"/>
        </w:rPr>
        <w:t>Within the Bell segment’s military portfolio, future growth is expected to be increasingly driven by the MV-75, the aircraft selected as the winning platform for the U.S. Army’s FLRAA program.</w:t>
      </w:r>
      <w:r>
        <w:rPr>
          <w:rFonts w:cs="Calibri"/>
        </w:rPr>
        <w:t xml:space="preserve"> </w:t>
      </w:r>
      <w:r>
        <w:rPr>
          <w:rFonts w:eastAsia="楷体" w:cs="Calibri"/>
          <w:kern w:val="2"/>
          <w:sz w:val="22"/>
          <w:szCs w:val="22"/>
        </w:rPr>
        <w:t>Prior to 2022, Bell’s military business was primarily centered on the V-22 Osprey and the H-1 helicopter families.</w:t>
      </w:r>
      <w:r>
        <w:rPr>
          <w:rFonts w:cs="Calibri"/>
        </w:rPr>
        <w:t xml:space="preserve"> </w:t>
      </w:r>
      <w:r>
        <w:rPr>
          <w:rFonts w:eastAsia="楷体" w:cs="Calibri"/>
          <w:kern w:val="2"/>
          <w:sz w:val="22"/>
          <w:szCs w:val="22"/>
        </w:rPr>
        <w:t>Following the formal award of the FLRAA contract to the MV-75 in late 2022, the program has begun to generate initial revenue contributions in line with project milestones. Looking ahead, workload is set to increase materially in 2025, which is expected to drive a significant step-up in military segment revenue on a quarterly basis.</w:t>
      </w:r>
    </w:p>
    <w:p w14:paraId="3AC87E0C">
      <w:pPr>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5079F81">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38985426">
            <w:pPr>
              <w:spacing w:before="48" w:beforeLines="20" w:after="48" w:afterLines="20"/>
              <w:jc w:val="both"/>
              <w:textAlignment w:val="center"/>
              <w:rPr>
                <w:rFonts w:eastAsia="楷体" w:cs="Calibri"/>
                <w:b/>
                <w:sz w:val="20"/>
                <w:szCs w:val="20"/>
                <w:highlight w:val="yellow"/>
              </w:rPr>
            </w:pPr>
            <w:r>
              <w:rPr>
                <w:rFonts w:eastAsia="楷体" w:cs="Calibri"/>
                <w:b/>
                <w:sz w:val="20"/>
                <w:szCs w:val="20"/>
              </w:rPr>
              <w:t>Figure: Textron Bell military revenue and share (USD million)</w:t>
            </w:r>
          </w:p>
        </w:tc>
        <w:tc>
          <w:tcPr>
            <w:tcW w:w="241" w:type="dxa"/>
            <w:tcMar>
              <w:left w:w="0" w:type="dxa"/>
              <w:right w:w="28" w:type="dxa"/>
            </w:tcMar>
          </w:tcPr>
          <w:p w14:paraId="46E0FBB6">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40256104">
            <w:pPr>
              <w:spacing w:before="48" w:beforeLines="20" w:after="48" w:afterLines="20"/>
              <w:jc w:val="both"/>
              <w:rPr>
                <w:rFonts w:eastAsia="楷体" w:cs="Calibri"/>
                <w:b/>
                <w:sz w:val="20"/>
                <w:szCs w:val="20"/>
              </w:rPr>
            </w:pPr>
            <w:r>
              <w:rPr>
                <w:rFonts w:eastAsia="楷体" w:cs="Calibri"/>
                <w:b/>
                <w:sz w:val="20"/>
                <w:szCs w:val="20"/>
              </w:rPr>
              <w:t>Figure: V-22 and H-1 revenue and year-on-year growth (USD million)</w:t>
            </w:r>
          </w:p>
        </w:tc>
      </w:tr>
      <w:tr w14:paraId="0A39CA0F">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407F1BE3">
            <w:pPr>
              <w:spacing w:before="48" w:beforeLines="20" w:after="48" w:afterLines="20"/>
              <w:jc w:val="both"/>
              <w:textAlignment w:val="center"/>
              <w:rPr>
                <w:rFonts w:eastAsia="楷体_GB2312" w:cs="Calibri"/>
                <w:b/>
                <w:color w:val="000000"/>
                <w:sz w:val="20"/>
                <w:szCs w:val="20"/>
                <w:lang w:bidi="ar"/>
              </w:rPr>
            </w:pPr>
            <w:r>
              <w:rPr>
                <w:rFonts w:cs="Calibri"/>
                <w:snapToGrid/>
              </w:rPr>
              <w:drawing>
                <wp:inline distT="0" distB="0" distL="0" distR="0">
                  <wp:extent cx="3101340" cy="1879600"/>
                  <wp:effectExtent l="0" t="0" r="3810" b="6350"/>
                  <wp:docPr id="75706217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c>
          <w:tcPr>
            <w:tcW w:w="241" w:type="dxa"/>
          </w:tcPr>
          <w:p w14:paraId="675DAF66">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101ED764">
            <w:pPr>
              <w:spacing w:before="48" w:beforeLines="20" w:after="48" w:afterLines="20"/>
              <w:jc w:val="both"/>
              <w:rPr>
                <w:rFonts w:eastAsia="楷体_GB2312" w:cs="Calibri"/>
                <w:b/>
                <w:sz w:val="20"/>
                <w:szCs w:val="20"/>
              </w:rPr>
            </w:pPr>
            <w:r>
              <w:rPr>
                <w:rFonts w:cs="Calibri"/>
                <w:snapToGrid/>
              </w:rPr>
              <w:drawing>
                <wp:inline distT="0" distB="0" distL="0" distR="0">
                  <wp:extent cx="3132455" cy="1879600"/>
                  <wp:effectExtent l="0" t="0" r="0" b="6350"/>
                  <wp:docPr id="793792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r>
      <w:tr w14:paraId="08935931">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60953CD">
            <w:pPr>
              <w:spacing w:before="48" w:beforeLines="20" w:after="48" w:afterLines="20"/>
              <w:jc w:val="both"/>
              <w:textAlignment w:val="center"/>
              <w:rPr>
                <w:rFonts w:eastAsia="楷体" w:cs="Calibri"/>
                <w:sz w:val="20"/>
                <w:szCs w:val="20"/>
              </w:rPr>
            </w:pPr>
            <w:r>
              <w:rPr>
                <w:rFonts w:eastAsia="楷体" w:cs="Calibri"/>
                <w:b/>
                <w:bCs/>
                <w:sz w:val="20"/>
                <w:szCs w:val="20"/>
              </w:rPr>
              <w:t xml:space="preserve">Source: </w:t>
            </w:r>
            <w:r>
              <w:rPr>
                <w:rFonts w:eastAsia="楷体" w:cs="Calibri"/>
                <w:sz w:val="20"/>
                <w:szCs w:val="20"/>
              </w:rPr>
              <w:t>Wind, HFI</w:t>
            </w:r>
          </w:p>
        </w:tc>
        <w:tc>
          <w:tcPr>
            <w:tcW w:w="241" w:type="dxa"/>
            <w:tcMar>
              <w:left w:w="0" w:type="dxa"/>
              <w:right w:w="28" w:type="dxa"/>
            </w:tcMar>
          </w:tcPr>
          <w:p w14:paraId="0EE0BBB6">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5E8DFF98">
            <w:pPr>
              <w:spacing w:before="48" w:beforeLines="20" w:after="48" w:afterLines="20"/>
              <w:jc w:val="both"/>
              <w:rPr>
                <w:rFonts w:eastAsia="楷体" w:cs="Calibri"/>
                <w:sz w:val="20"/>
                <w:szCs w:val="20"/>
              </w:rPr>
            </w:pPr>
            <w:r>
              <w:rPr>
                <w:rFonts w:eastAsia="楷体" w:cs="Calibri"/>
                <w:b/>
                <w:bCs/>
                <w:sz w:val="20"/>
                <w:szCs w:val="20"/>
              </w:rPr>
              <w:t>Source:</w:t>
            </w:r>
            <w:r>
              <w:rPr>
                <w:rFonts w:eastAsia="楷体" w:cs="Calibri"/>
                <w:sz w:val="20"/>
                <w:szCs w:val="20"/>
              </w:rPr>
              <w:t xml:space="preserve"> Wind, HFI</w:t>
            </w:r>
          </w:p>
        </w:tc>
      </w:tr>
    </w:tbl>
    <w:p w14:paraId="5675B4D1">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1F7E2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7CA6A112">
            <w:pPr>
              <w:rPr>
                <w:rFonts w:eastAsia="楷体" w:cs="Calibri"/>
                <w:b/>
                <w:bCs/>
                <w:kern w:val="2"/>
                <w:sz w:val="22"/>
                <w:szCs w:val="22"/>
              </w:rPr>
            </w:pPr>
            <w:r>
              <w:rPr>
                <w:rFonts w:eastAsia="楷体" w:cs="Calibri"/>
                <w:b/>
                <w:bCs/>
                <w:kern w:val="2"/>
                <w:sz w:val="22"/>
                <w:szCs w:val="22"/>
              </w:rPr>
              <w:t>Figure: Textron Bell military aircraft product portfolio</w:t>
            </w:r>
          </w:p>
        </w:tc>
      </w:tr>
      <w:tr w14:paraId="0E2A6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4584AE95">
            <w:pPr>
              <w:rPr>
                <w:rFonts w:eastAsia="楷体" w:cs="Calibri"/>
                <w:kern w:val="2"/>
                <w:sz w:val="22"/>
                <w:szCs w:val="22"/>
              </w:rPr>
            </w:pPr>
            <w:r>
              <w:rPr>
                <w:rFonts w:cs="Calibri"/>
                <w:snapToGrid/>
              </w:rPr>
              <w:drawing>
                <wp:inline distT="0" distB="0" distL="0" distR="0">
                  <wp:extent cx="4572000" cy="2165350"/>
                  <wp:effectExtent l="0" t="0" r="0" b="6350"/>
                  <wp:docPr id="120270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9492" name="图片 1"/>
                          <pic:cNvPicPr>
                            <a:picLocks noChangeAspect="1"/>
                          </pic:cNvPicPr>
                        </pic:nvPicPr>
                        <pic:blipFill>
                          <a:blip r:embed="rId47"/>
                          <a:stretch>
                            <a:fillRect/>
                          </a:stretch>
                        </pic:blipFill>
                        <pic:spPr>
                          <a:xfrm>
                            <a:off x="0" y="0"/>
                            <a:ext cx="4586320" cy="2172623"/>
                          </a:xfrm>
                          <a:prstGeom prst="rect">
                            <a:avLst/>
                          </a:prstGeom>
                        </pic:spPr>
                      </pic:pic>
                    </a:graphicData>
                  </a:graphic>
                </wp:inline>
              </w:drawing>
            </w:r>
          </w:p>
        </w:tc>
      </w:tr>
      <w:tr w14:paraId="67EDA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0C1049D8">
            <w:pPr>
              <w:rPr>
                <w:rFonts w:eastAsia="楷体" w:cs="Calibr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TXT</w:t>
            </w:r>
            <w:r>
              <w:rPr>
                <w:rFonts w:hint="eastAsia" w:eastAsia="楷体" w:cs="Calibri"/>
                <w:kern w:val="2"/>
                <w:sz w:val="22"/>
                <w:szCs w:val="22"/>
              </w:rPr>
              <w:t xml:space="preserve">, </w:t>
            </w:r>
            <w:r>
              <w:rPr>
                <w:rFonts w:eastAsia="楷体" w:cs="Calibri"/>
                <w:sz w:val="20"/>
                <w:szCs w:val="20"/>
              </w:rPr>
              <w:t>HFI</w:t>
            </w:r>
          </w:p>
        </w:tc>
      </w:tr>
    </w:tbl>
    <w:p w14:paraId="24148D70">
      <w:pPr>
        <w:jc w:val="both"/>
        <w:rPr>
          <w:rFonts w:eastAsia="楷体" w:cs="Calibri"/>
          <w:kern w:val="2"/>
          <w:sz w:val="22"/>
          <w:szCs w:val="22"/>
        </w:rPr>
      </w:pPr>
    </w:p>
    <w:p w14:paraId="4382C0A1">
      <w:pPr>
        <w:pStyle w:val="37"/>
        <w:numPr>
          <w:ilvl w:val="0"/>
          <w:numId w:val="4"/>
        </w:numPr>
        <w:jc w:val="both"/>
        <w:rPr>
          <w:rFonts w:eastAsia="楷体" w:cs="Calibri"/>
          <w:b/>
          <w:bCs/>
          <w:kern w:val="2"/>
          <w:sz w:val="22"/>
          <w:szCs w:val="22"/>
        </w:rPr>
      </w:pPr>
      <w:r>
        <w:rPr>
          <w:rFonts w:eastAsia="楷体" w:cs="Calibri"/>
          <w:b/>
          <w:bCs/>
          <w:kern w:val="2"/>
          <w:sz w:val="22"/>
          <w:szCs w:val="22"/>
        </w:rPr>
        <w:t>Why did the MV-75 win the FLRAA contract?</w:t>
      </w:r>
    </w:p>
    <w:p w14:paraId="0A24AA25">
      <w:pPr>
        <w:jc w:val="both"/>
        <w:rPr>
          <w:rFonts w:eastAsia="楷体" w:cs="Calibri"/>
          <w:b/>
          <w:bCs/>
          <w:kern w:val="2"/>
          <w:sz w:val="22"/>
          <w:szCs w:val="22"/>
        </w:rPr>
      </w:pPr>
      <w:r>
        <w:rPr>
          <w:rFonts w:eastAsia="楷体" w:cs="Calibri"/>
          <w:b/>
          <w:bCs/>
          <w:kern w:val="2"/>
          <w:sz w:val="22"/>
          <w:szCs w:val="22"/>
        </w:rPr>
        <w:t>1）High technical maturity and the lowest execution risk</w:t>
      </w:r>
    </w:p>
    <w:p w14:paraId="3BA0161F">
      <w:pPr>
        <w:jc w:val="both"/>
        <w:rPr>
          <w:rFonts w:eastAsia="楷体" w:cs="Calibri"/>
          <w:kern w:val="2"/>
          <w:sz w:val="22"/>
          <w:szCs w:val="22"/>
        </w:rPr>
      </w:pPr>
      <w:r>
        <w:rPr>
          <w:rFonts w:eastAsia="楷体" w:cs="Calibri"/>
          <w:kern w:val="2"/>
          <w:sz w:val="22"/>
          <w:szCs w:val="22"/>
        </w:rPr>
        <w:t>Bell’s V-280 is a second-generation tiltrotor, optimized based on the extensive operational experience accumulated from the Bell–Boeing V-22 Osprey, which has been fielded in hundreds of aircraft with millions of flight hours. Key improvements include a simplified clutch system, a straight-wing configuration, lower disk loading, and reduced cost per flight hour. The V-280 program began in 2013 under the JMR-TD (Joint Multi-Role Technology Demonstrator) initiative and has since completed over 200 flight hours of rigorous testing, including high-speed cruise exceeding 300 knots, low-speed agility evaluations, and long-range mission validation, significantly reducing technical risk.</w:t>
      </w:r>
    </w:p>
    <w:p w14:paraId="077D8473">
      <w:pPr>
        <w:jc w:val="both"/>
        <w:rPr>
          <w:rFonts w:eastAsia="楷体" w:cs="Calibri"/>
          <w:kern w:val="2"/>
          <w:sz w:val="22"/>
          <w:szCs w:val="22"/>
        </w:rPr>
      </w:pPr>
      <w:r>
        <w:rPr>
          <w:rFonts w:eastAsia="楷体" w:cs="Calibri"/>
          <w:kern w:val="2"/>
          <w:sz w:val="22"/>
          <w:szCs w:val="22"/>
        </w:rPr>
        <w:t>By comparison, the Sikorsky–Boeing SB-1 Defiant X, Bell’s competing bid, adopted a clean-sheet compound helicopter design that was more technically aggressive and carried higher execution risk, having encountered testing delays and technical issues, resulting in a lower level of maturity than the V-280.</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6C128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754ED371">
            <w:pPr>
              <w:rPr>
                <w:rFonts w:eastAsia="楷体" w:cs="Calibri"/>
                <w:b/>
                <w:bCs/>
                <w:kern w:val="2"/>
                <w:sz w:val="22"/>
                <w:szCs w:val="22"/>
              </w:rPr>
            </w:pPr>
            <w:r>
              <w:rPr>
                <w:rFonts w:eastAsia="楷体" w:cs="Calibri"/>
                <w:b/>
                <w:bCs/>
                <w:kern w:val="2"/>
                <w:sz w:val="22"/>
                <w:szCs w:val="22"/>
              </w:rPr>
              <w:t>Figure: Comparison of maturity and execution risk between the MV-75 and SB-1 Defiant X</w:t>
            </w:r>
          </w:p>
        </w:tc>
      </w:tr>
      <w:tr w14:paraId="64F23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D01B10E">
            <w:pPr>
              <w:rPr>
                <w:rFonts w:eastAsia="楷体" w:cs="Calibri"/>
                <w:kern w:val="2"/>
                <w:sz w:val="22"/>
                <w:szCs w:val="22"/>
              </w:rPr>
            </w:pPr>
            <w:r>
              <w:rPr>
                <w:rFonts w:cs="等线"/>
                <w:snapToGrid/>
              </w:rPr>
              <w:drawing>
                <wp:inline distT="0" distB="0" distL="0" distR="0">
                  <wp:extent cx="4689475" cy="2125980"/>
                  <wp:effectExtent l="0" t="0" r="0" b="7620"/>
                  <wp:docPr id="17883178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17804" name="图片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692482" cy="2127162"/>
                          </a:xfrm>
                          <a:prstGeom prst="rect">
                            <a:avLst/>
                          </a:prstGeom>
                          <a:noFill/>
                        </pic:spPr>
                      </pic:pic>
                    </a:graphicData>
                  </a:graphic>
                </wp:inline>
              </w:drawing>
            </w:r>
          </w:p>
        </w:tc>
      </w:tr>
      <w:tr w14:paraId="22BFA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B82C4AB">
            <w:pPr>
              <w:rPr>
                <w:rFonts w:eastAsia="楷体" w:cs="Calibr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b/>
                <w:bCs/>
                <w:kern w:val="2"/>
                <w:sz w:val="22"/>
                <w:szCs w:val="22"/>
              </w:rPr>
              <w:t>GAO</w:t>
            </w:r>
            <w:r>
              <w:rPr>
                <w:rFonts w:hint="eastAsia" w:eastAsia="楷体" w:cs="Calibri"/>
                <w:b/>
                <w:bCs/>
                <w:kern w:val="2"/>
                <w:sz w:val="22"/>
                <w:szCs w:val="22"/>
              </w:rPr>
              <w:t xml:space="preserve">, </w:t>
            </w:r>
            <w:r>
              <w:rPr>
                <w:rFonts w:eastAsia="楷体" w:cs="Calibri"/>
                <w:b/>
                <w:bCs/>
                <w:kern w:val="2"/>
                <w:sz w:val="22"/>
                <w:szCs w:val="22"/>
              </w:rPr>
              <w:t>The War Zone</w:t>
            </w:r>
            <w:r>
              <w:rPr>
                <w:rFonts w:hint="eastAsia" w:eastAsia="楷体" w:cs="Calibri"/>
                <w:b/>
                <w:bCs/>
                <w:kern w:val="2"/>
                <w:sz w:val="22"/>
                <w:szCs w:val="22"/>
              </w:rPr>
              <w:t xml:space="preserve">, </w:t>
            </w:r>
            <w:r>
              <w:rPr>
                <w:rFonts w:eastAsia="楷体" w:cs="Calibri"/>
                <w:b/>
                <w:bCs/>
                <w:kern w:val="2"/>
                <w:sz w:val="22"/>
                <w:szCs w:val="22"/>
              </w:rPr>
              <w:t>Wikipedia</w:t>
            </w:r>
            <w:r>
              <w:rPr>
                <w:rFonts w:hint="eastAsia" w:eastAsia="楷体" w:cs="Calibri"/>
                <w:b/>
                <w:bCs/>
                <w:kern w:val="2"/>
                <w:sz w:val="22"/>
                <w:szCs w:val="22"/>
              </w:rPr>
              <w:t xml:space="preserve">, </w:t>
            </w:r>
            <w:r>
              <w:rPr>
                <w:rFonts w:eastAsia="楷体" w:cs="Calibri"/>
                <w:b/>
                <w:bCs/>
                <w:sz w:val="20"/>
                <w:szCs w:val="20"/>
              </w:rPr>
              <w:t>HFI</w:t>
            </w:r>
          </w:p>
        </w:tc>
      </w:tr>
    </w:tbl>
    <w:p w14:paraId="2DC3D093">
      <w:pPr>
        <w:jc w:val="both"/>
        <w:rPr>
          <w:rFonts w:eastAsia="楷体" w:cs="Calibri"/>
          <w:kern w:val="2"/>
          <w:sz w:val="22"/>
          <w:szCs w:val="22"/>
        </w:rPr>
      </w:pPr>
    </w:p>
    <w:p w14:paraId="4C25743D">
      <w:pPr>
        <w:jc w:val="both"/>
        <w:rPr>
          <w:rFonts w:eastAsia="楷体" w:cs="Calibri"/>
          <w:b/>
          <w:bCs/>
          <w:kern w:val="2"/>
          <w:sz w:val="22"/>
          <w:szCs w:val="22"/>
        </w:rPr>
      </w:pPr>
      <w:r>
        <w:rPr>
          <w:rFonts w:eastAsia="楷体" w:cs="Calibri"/>
          <w:b/>
          <w:bCs/>
          <w:kern w:val="2"/>
          <w:sz w:val="22"/>
          <w:szCs w:val="22"/>
        </w:rPr>
        <w:t>2）Comprehensive performance fully meeting operational requirements</w:t>
      </w:r>
    </w:p>
    <w:p w14:paraId="53E92405">
      <w:pPr>
        <w:jc w:val="both"/>
        <w:rPr>
          <w:rFonts w:eastAsia="楷体" w:cs="Calibri"/>
          <w:kern w:val="2"/>
          <w:sz w:val="22"/>
          <w:szCs w:val="22"/>
        </w:rPr>
      </w:pPr>
      <w:r>
        <w:rPr>
          <w:rFonts w:eastAsia="楷体" w:cs="Calibri"/>
          <w:kern w:val="2"/>
          <w:sz w:val="22"/>
          <w:szCs w:val="22"/>
        </w:rPr>
        <w:t>The core FLRAA requirements include a cruise speed of approximately 280 knots (~520 km/h), a minimum range of 1,700 nautical miles without aerial refueling, a troop capacity of around 12 personnel, and hot-and-high operational capability. During the demonstrator phase, the V-280 demonstrated cruise speeds exceeding 300 knots, ranges well above program requirements, and strong agility, fully aligning with the program objective of “twice as far, twice as fast.” In addition, the U.S. Army has placed particular emphasis on high-intensity conflict scenarios in the Pacific theater, where long-range, rapid force projection is critical. The V-280’s tiltrotor configuration—combining vertical takeoff and landing with fixed-wing high-speed cruise—offers a distinct operational advantage in meeting these requirements.</w:t>
      </w:r>
    </w:p>
    <w:p w14:paraId="2CB6C6C8">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6"/>
      </w:tblGrid>
      <w:tr w14:paraId="55676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3217C82E">
            <w:pPr>
              <w:rPr>
                <w:rFonts w:eastAsia="楷体" w:cs="Calibri"/>
                <w:b/>
                <w:bCs/>
                <w:kern w:val="2"/>
                <w:sz w:val="22"/>
                <w:szCs w:val="22"/>
              </w:rPr>
            </w:pPr>
            <w:r>
              <w:rPr>
                <w:rFonts w:eastAsia="楷体" w:cs="Calibri"/>
                <w:b/>
                <w:bCs/>
                <w:kern w:val="2"/>
                <w:sz w:val="22"/>
                <w:szCs w:val="22"/>
              </w:rPr>
              <w:t>Figure: Performance comparison between the MV-75 and SB-1 Defiant X</w:t>
            </w:r>
          </w:p>
        </w:tc>
      </w:tr>
      <w:tr w14:paraId="614DC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7B575B12">
            <w:pPr>
              <w:rPr>
                <w:rFonts w:eastAsia="楷体" w:cs="Calibri"/>
                <w:kern w:val="2"/>
                <w:sz w:val="22"/>
                <w:szCs w:val="22"/>
              </w:rPr>
            </w:pPr>
            <w:r>
              <w:rPr>
                <w:rFonts w:cs="等线"/>
                <w:snapToGrid/>
              </w:rPr>
              <w:drawing>
                <wp:inline distT="0" distB="0" distL="0" distR="0">
                  <wp:extent cx="4778375" cy="1366520"/>
                  <wp:effectExtent l="0" t="0" r="3175"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783911" cy="1368508"/>
                          </a:xfrm>
                          <a:prstGeom prst="rect">
                            <a:avLst/>
                          </a:prstGeom>
                          <a:noFill/>
                        </pic:spPr>
                      </pic:pic>
                    </a:graphicData>
                  </a:graphic>
                </wp:inline>
              </w:drawing>
            </w:r>
          </w:p>
        </w:tc>
      </w:tr>
      <w:tr w14:paraId="6E6D5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7FF17DA0">
            <w:pPr>
              <w:rPr>
                <w:rFonts w:eastAsia="楷体" w:cs="Calibri"/>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Breaking Defense</w:t>
            </w:r>
            <w:r>
              <w:rPr>
                <w:rFonts w:hint="eastAsia" w:eastAsia="楷体" w:cs="Calibri"/>
                <w:kern w:val="2"/>
                <w:sz w:val="22"/>
                <w:szCs w:val="22"/>
              </w:rPr>
              <w:t xml:space="preserve">, </w:t>
            </w:r>
            <w:r>
              <w:rPr>
                <w:rFonts w:eastAsia="楷体" w:cs="Calibri"/>
                <w:kern w:val="2"/>
                <w:sz w:val="22"/>
                <w:szCs w:val="22"/>
              </w:rPr>
              <w:t>The War Zone</w:t>
            </w:r>
            <w:r>
              <w:rPr>
                <w:rFonts w:hint="eastAsia" w:eastAsia="楷体" w:cs="Calibri"/>
                <w:kern w:val="2"/>
                <w:sz w:val="22"/>
                <w:szCs w:val="22"/>
              </w:rPr>
              <w:t xml:space="preserve">, </w:t>
            </w:r>
            <w:r>
              <w:rPr>
                <w:rFonts w:eastAsia="楷体" w:cs="Calibri"/>
                <w:kern w:val="2"/>
                <w:sz w:val="22"/>
                <w:szCs w:val="22"/>
              </w:rPr>
              <w:t>Wikipedia</w:t>
            </w:r>
            <w:r>
              <w:rPr>
                <w:rFonts w:hint="eastAsia" w:eastAsia="楷体" w:cs="Calibri"/>
                <w:kern w:val="2"/>
                <w:sz w:val="22"/>
                <w:szCs w:val="22"/>
              </w:rPr>
              <w:t xml:space="preserve">, </w:t>
            </w:r>
            <w:r>
              <w:rPr>
                <w:rFonts w:eastAsia="楷体" w:cs="Calibri"/>
                <w:kern w:val="2"/>
                <w:sz w:val="22"/>
                <w:szCs w:val="22"/>
              </w:rPr>
              <w:t>CRS</w:t>
            </w:r>
            <w:r>
              <w:rPr>
                <w:rFonts w:hint="eastAsia" w:eastAsia="楷体" w:cs="Calibri"/>
                <w:kern w:val="2"/>
                <w:sz w:val="22"/>
                <w:szCs w:val="22"/>
              </w:rPr>
              <w:t xml:space="preserve">, </w:t>
            </w:r>
            <w:r>
              <w:rPr>
                <w:rFonts w:eastAsia="楷体" w:cs="Calibri"/>
                <w:sz w:val="20"/>
                <w:szCs w:val="20"/>
              </w:rPr>
              <w:t>HFI</w:t>
            </w:r>
          </w:p>
        </w:tc>
      </w:tr>
    </w:tbl>
    <w:p w14:paraId="74C20842">
      <w:pPr>
        <w:jc w:val="both"/>
        <w:rPr>
          <w:rFonts w:eastAsia="楷体" w:cs="Calibri"/>
          <w:b/>
          <w:bCs/>
          <w:kern w:val="2"/>
          <w:sz w:val="22"/>
          <w:szCs w:val="22"/>
        </w:rPr>
      </w:pPr>
    </w:p>
    <w:p w14:paraId="08B241E9">
      <w:pPr>
        <w:jc w:val="both"/>
        <w:rPr>
          <w:rFonts w:eastAsia="楷体" w:cs="Calibri"/>
          <w:b/>
          <w:bCs/>
          <w:kern w:val="2"/>
          <w:sz w:val="22"/>
          <w:szCs w:val="22"/>
        </w:rPr>
      </w:pPr>
    </w:p>
    <w:p w14:paraId="52C3C330">
      <w:pPr>
        <w:pStyle w:val="37"/>
        <w:numPr>
          <w:ilvl w:val="0"/>
          <w:numId w:val="4"/>
        </w:numPr>
        <w:jc w:val="both"/>
        <w:rPr>
          <w:rFonts w:eastAsia="楷体" w:cs="Calibri"/>
          <w:b/>
          <w:bCs/>
          <w:kern w:val="2"/>
          <w:sz w:val="22"/>
          <w:szCs w:val="22"/>
        </w:rPr>
      </w:pPr>
      <w:r>
        <w:rPr>
          <w:rFonts w:eastAsia="楷体" w:cs="Calibri"/>
          <w:b/>
          <w:bCs/>
          <w:kern w:val="2"/>
          <w:sz w:val="22"/>
          <w:szCs w:val="22"/>
        </w:rPr>
        <w:t>Assessing MV-75's Future Growth Drivers for Bell's Military Sector</w:t>
      </w:r>
    </w:p>
    <w:p w14:paraId="547CDF0D">
      <w:pPr>
        <w:pStyle w:val="37"/>
        <w:ind w:left="440"/>
        <w:jc w:val="both"/>
        <w:rPr>
          <w:rFonts w:eastAsia="楷体" w:cs="Calibri"/>
          <w:b/>
          <w:bCs/>
          <w:kern w:val="2"/>
          <w:sz w:val="22"/>
          <w:szCs w:val="22"/>
        </w:rPr>
      </w:pPr>
    </w:p>
    <w:p w14:paraId="3B23E1FA">
      <w:pPr>
        <w:jc w:val="both"/>
        <w:rPr>
          <w:rFonts w:eastAsia="楷体" w:cs="Calibri"/>
          <w:kern w:val="2"/>
          <w:sz w:val="22"/>
          <w:szCs w:val="22"/>
        </w:rPr>
      </w:pPr>
      <w:r>
        <w:rPr>
          <w:rFonts w:eastAsia="楷体" w:cs="Calibri"/>
          <w:b/>
          <w:bCs/>
          <w:kern w:val="2"/>
          <w:sz w:val="22"/>
          <w:szCs w:val="22"/>
        </w:rPr>
        <w:t>1）From a revenue perspective</w:t>
      </w:r>
      <w:r>
        <w:rPr>
          <w:rFonts w:eastAsia="楷体" w:cs="Calibri"/>
          <w:b/>
          <w:bCs/>
          <w:kern w:val="2"/>
          <w:sz w:val="22"/>
          <w:szCs w:val="22"/>
        </w:rPr>
        <w:br w:type="textWrapping"/>
      </w:r>
      <w:r>
        <w:rPr>
          <w:rFonts w:eastAsia="楷体" w:cs="Calibri"/>
          <w:b/>
          <w:bCs/>
          <w:kern w:val="2"/>
          <w:sz w:val="22"/>
          <w:szCs w:val="22"/>
        </w:rPr>
        <w:t xml:space="preserve">The U.S. Army is actively accelerating the FLRAA program timeline, pulling forward all key milestones, which is expected to drive rapid growth in revenue. </w:t>
      </w:r>
      <w:r>
        <w:rPr>
          <w:rFonts w:eastAsia="楷体" w:cs="Calibri"/>
          <w:kern w:val="2"/>
          <w:sz w:val="22"/>
          <w:szCs w:val="22"/>
        </w:rPr>
        <w:t xml:space="preserve">Under the original schedule, prototype first flight (six aircraft) was planned for 2026, LRIP (eight aircraft) for 2028, and initial operational capability around 2030. The updated timeline reflects a comprehensive acceleration effort, with the Army now targeting delivery and testing in 2027 and initial operational capability in 2028, representing a 3–5 year advancement versus the original plan. From a revenue perspective, the program is currently in the development, testing, and LRIP phases, during which revenue is recognized under a cost-plus contract structure. As the program transitions into the full-rate production and delivery phase, revenue will increasingly be recognized on a per-aircraft delivery basis, implying a </w:t>
      </w:r>
      <w:r>
        <w:rPr>
          <w:rFonts w:eastAsia="楷体" w:cs="Calibri"/>
          <w:b/>
          <w:bCs/>
          <w:kern w:val="2"/>
          <w:sz w:val="22"/>
          <w:szCs w:val="22"/>
        </w:rPr>
        <w:t>material step-up in revenue contribution over time.</w:t>
      </w:r>
    </w:p>
    <w:p w14:paraId="6AA10FFB">
      <w:pPr>
        <w:pStyle w:val="37"/>
        <w:ind w:left="360"/>
        <w:jc w:val="both"/>
        <w:rPr>
          <w:rFonts w:eastAsia="楷体" w:cs="Calibri"/>
          <w:b/>
          <w:bCs/>
          <w:kern w:val="2"/>
          <w:sz w:val="22"/>
          <w:szCs w:val="22"/>
        </w:rPr>
      </w:pPr>
    </w:p>
    <w:p w14:paraId="3FEEFA0F">
      <w:pPr>
        <w:jc w:val="both"/>
        <w:rPr>
          <w:rFonts w:eastAsia="楷体" w:cs="Calibri"/>
          <w:b/>
          <w:bCs/>
          <w:kern w:val="2"/>
          <w:sz w:val="22"/>
          <w:szCs w:val="22"/>
        </w:rPr>
      </w:pPr>
      <w:r>
        <w:rPr>
          <w:rFonts w:eastAsia="楷体" w:cs="Calibri"/>
          <w:b/>
          <w:bCs/>
          <w:kern w:val="2"/>
          <w:sz w:val="22"/>
          <w:szCs w:val="22"/>
        </w:rPr>
        <w:t>2）From a profitability perspective</w:t>
      </w:r>
    </w:p>
    <w:p w14:paraId="4DFBDE2D">
      <w:pPr>
        <w:jc w:val="both"/>
        <w:rPr>
          <w:rFonts w:eastAsia="楷体" w:cs="Calibri"/>
          <w:kern w:val="2"/>
          <w:sz w:val="22"/>
          <w:szCs w:val="22"/>
        </w:rPr>
      </w:pPr>
      <w:r>
        <w:rPr>
          <w:rFonts w:eastAsia="楷体" w:cs="Calibri"/>
          <w:kern w:val="2"/>
          <w:sz w:val="22"/>
          <w:szCs w:val="22"/>
        </w:rPr>
        <w:t>In the near term, as the program remains in the early development, testing, and LRIP phases, margins may have a negative impact on the overall profitability of the Bell segment. Over the longer term, as the program transitions into aircraft deliveries and full-rate production, the Bell business is expected to achieve strong profit growth.</w:t>
      </w:r>
    </w:p>
    <w:p w14:paraId="52873E30">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50BDD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2969891C">
            <w:pPr>
              <w:rPr>
                <w:rFonts w:eastAsia="楷体" w:cs="Calibri"/>
                <w:b/>
                <w:bCs/>
                <w:kern w:val="2"/>
                <w:sz w:val="22"/>
                <w:szCs w:val="22"/>
              </w:rPr>
            </w:pPr>
            <w:r>
              <w:rPr>
                <w:rFonts w:eastAsia="楷体" w:cs="Calibri"/>
                <w:b/>
                <w:bCs/>
                <w:kern w:val="2"/>
                <w:sz w:val="22"/>
                <w:szCs w:val="22"/>
              </w:rPr>
              <w:t>Figure: Bell segment operating margin</w:t>
            </w:r>
          </w:p>
        </w:tc>
      </w:tr>
      <w:tr w14:paraId="48C36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CF6F28A">
            <w:pPr>
              <w:rPr>
                <w:rFonts w:eastAsia="楷体" w:cs="Calibri"/>
                <w:kern w:val="2"/>
                <w:sz w:val="22"/>
                <w:szCs w:val="22"/>
              </w:rPr>
            </w:pPr>
            <w:r>
              <w:rPr>
                <w:rFonts w:eastAsia="楷体" w:cs="等线"/>
                <w:snapToGrid/>
              </w:rPr>
              <w:drawing>
                <wp:inline distT="0" distB="0" distL="0" distR="0">
                  <wp:extent cx="4733290" cy="2534920"/>
                  <wp:effectExtent l="0" t="0" r="0" b="0"/>
                  <wp:docPr id="105826005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r w14:paraId="2C7F1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0ADBC772">
            <w:pPr>
              <w:rPr>
                <w:rFonts w:eastAsia="楷体" w:cs="Calibr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 xml:space="preserve">Wind, </w:t>
            </w:r>
            <w:r>
              <w:rPr>
                <w:rFonts w:eastAsia="楷体" w:cs="Calibri"/>
                <w:sz w:val="20"/>
                <w:szCs w:val="20"/>
              </w:rPr>
              <w:t>HFI</w:t>
            </w:r>
          </w:p>
        </w:tc>
      </w:tr>
    </w:tbl>
    <w:p w14:paraId="23391758">
      <w:pPr>
        <w:jc w:val="both"/>
        <w:rPr>
          <w:rFonts w:eastAsia="楷体" w:cs="Calibri"/>
          <w:kern w:val="2"/>
          <w:sz w:val="22"/>
          <w:szCs w:val="22"/>
        </w:rPr>
      </w:pPr>
    </w:p>
    <w:p w14:paraId="6041609C">
      <w:pPr>
        <w:pStyle w:val="77"/>
        <w:jc w:val="both"/>
        <w:rPr>
          <w:rFonts w:ascii="Calibri" w:hAnsi="Calibri" w:eastAsia="楷体" w:cs="Calibri"/>
          <w:color w:val="23558C"/>
          <w:sz w:val="24"/>
          <w:szCs w:val="24"/>
        </w:rPr>
      </w:pPr>
      <w:bookmarkStart w:id="24" w:name="_Toc220354662"/>
      <w:bookmarkStart w:id="25" w:name="_Toc220589934"/>
      <w:r>
        <w:rPr>
          <w:rFonts w:ascii="Calibri" w:hAnsi="Calibri" w:eastAsia="楷体" w:cs="Calibri"/>
          <w:color w:val="23558C"/>
          <w:sz w:val="24"/>
          <w:szCs w:val="24"/>
        </w:rPr>
        <w:t>3.2</w:t>
      </w:r>
      <w:bookmarkEnd w:id="24"/>
      <w:r>
        <w:rPr>
          <w:rFonts w:ascii="Calibri" w:hAnsi="Calibri" w:cs="Calibri" w:eastAsiaTheme="minorEastAsia"/>
          <w:b w:val="0"/>
          <w:bCs w:val="0"/>
          <w:snapToGrid w:val="0"/>
          <w:sz w:val="16"/>
          <w:szCs w:val="16"/>
        </w:rPr>
        <w:t xml:space="preserve"> </w:t>
      </w:r>
      <w:r>
        <w:rPr>
          <w:rFonts w:ascii="Calibri" w:hAnsi="Calibri" w:eastAsia="楷体" w:cs="Calibri"/>
          <w:color w:val="23558C"/>
          <w:sz w:val="24"/>
          <w:szCs w:val="24"/>
        </w:rPr>
        <w:t>Commercial aircraft: Strong demand with improving deliveries</w:t>
      </w:r>
      <w:bookmarkEnd w:id="25"/>
    </w:p>
    <w:p w14:paraId="4724321D">
      <w:pPr>
        <w:jc w:val="both"/>
        <w:rPr>
          <w:rFonts w:eastAsia="楷体" w:cs="Calibri"/>
          <w:kern w:val="2"/>
          <w:sz w:val="22"/>
          <w:szCs w:val="22"/>
        </w:rPr>
      </w:pPr>
      <w:r>
        <w:rPr>
          <w:rFonts w:eastAsia="楷体" w:cs="Calibri"/>
          <w:b/>
          <w:bCs/>
          <w:kern w:val="2"/>
          <w:sz w:val="22"/>
          <w:szCs w:val="22"/>
        </w:rPr>
        <w:t xml:space="preserve">Textron’s commercial helicopter portfolio is primarily composed of the Bell 505, Bell 407, Bell 429, Bell 412, and Bell 525, with Bell 505, Bell 407, and Bell 429 accounting for the largest shares. </w:t>
      </w:r>
      <w:r>
        <w:rPr>
          <w:rFonts w:eastAsia="楷体" w:cs="Calibri"/>
          <w:kern w:val="2"/>
          <w:sz w:val="22"/>
          <w:szCs w:val="22"/>
        </w:rPr>
        <w:t>Based on total deliveries over the past three years, the Bell 505 represents the largest proportion, followed by the Bell 407 and Bell 429, with the remainder mainly comprising the Bell 412 and other models. From a revenue perspective over the same period, the Bell 429 contributes the most, followed by the Bell 407, Bell 505, and Bell 412. The Bell 505 Jet Ranger X is positioned as a light single-engine, five-seat helicopter, with pricing in the range of USD 2.0–2.5 million. The Bell 407 is positioned as a light-to-medium single-engine helicopter with six to seven seats, priced at approximately USD 3.0–4.7 million. The Bell 429 is a medium twin-engine, eight-seat helicopter, with pricing of around USD 7.3–7.5 million.</w:t>
      </w:r>
    </w:p>
    <w:p w14:paraId="776DA51E">
      <w:pPr>
        <w:jc w:val="both"/>
        <w:rPr>
          <w:rFonts w:eastAsia="楷体" w:cs="Calibri"/>
          <w:kern w:val="2"/>
          <w:sz w:val="22"/>
          <w:szCs w:val="22"/>
        </w:rPr>
      </w:pPr>
    </w:p>
    <w:p w14:paraId="5D751873">
      <w:pPr>
        <w:jc w:val="both"/>
        <w:rPr>
          <w:rFonts w:eastAsia="楷体" w:cs="Calibri"/>
          <w:kern w:val="2"/>
          <w:sz w:val="22"/>
          <w:szCs w:val="22"/>
        </w:rPr>
      </w:pPr>
    </w:p>
    <w:p w14:paraId="2767DD1E">
      <w:pPr>
        <w:jc w:val="both"/>
        <w:rPr>
          <w:rFonts w:eastAsia="楷体" w:cs="Calibri"/>
          <w:kern w:val="2"/>
          <w:sz w:val="22"/>
          <w:szCs w:val="22"/>
        </w:rPr>
      </w:pPr>
    </w:p>
    <w:p w14:paraId="3871CA3F">
      <w:pPr>
        <w:jc w:val="both"/>
        <w:rPr>
          <w:rFonts w:eastAsia="楷体" w:cs="Calibri"/>
          <w:kern w:val="2"/>
          <w:sz w:val="22"/>
          <w:szCs w:val="22"/>
        </w:rPr>
      </w:pPr>
    </w:p>
    <w:p w14:paraId="52A35C86">
      <w:pPr>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B1F07F7">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0216049">
            <w:pPr>
              <w:spacing w:before="48" w:beforeLines="20" w:after="48" w:afterLines="20"/>
              <w:jc w:val="both"/>
              <w:textAlignment w:val="center"/>
              <w:rPr>
                <w:rFonts w:eastAsia="楷体" w:cs="Calibri"/>
                <w:b/>
                <w:sz w:val="20"/>
                <w:szCs w:val="20"/>
                <w:highlight w:val="yellow"/>
              </w:rPr>
            </w:pPr>
            <w:r>
              <w:rPr>
                <w:rFonts w:eastAsia="楷体" w:cs="Calibri"/>
                <w:b/>
                <w:sz w:val="20"/>
                <w:szCs w:val="20"/>
              </w:rPr>
              <w:t>Figure: Deliveries of Bell’s major commercial aircraft (units)</w:t>
            </w:r>
          </w:p>
        </w:tc>
        <w:tc>
          <w:tcPr>
            <w:tcW w:w="241" w:type="dxa"/>
            <w:tcMar>
              <w:left w:w="0" w:type="dxa"/>
              <w:right w:w="28" w:type="dxa"/>
            </w:tcMar>
          </w:tcPr>
          <w:p w14:paraId="7B77C807">
            <w:pPr>
              <w:spacing w:before="48" w:beforeLines="20" w:after="48" w:afterLines="20"/>
              <w:jc w:val="both"/>
              <w:rPr>
                <w:rFonts w:eastAsia="楷体" w:cs="Calibri"/>
                <w:sz w:val="20"/>
                <w:szCs w:val="20"/>
                <w:highlight w:val="yellow"/>
              </w:rPr>
            </w:pPr>
          </w:p>
        </w:tc>
        <w:tc>
          <w:tcPr>
            <w:tcW w:w="5149" w:type="dxa"/>
            <w:tcBorders>
              <w:bottom w:val="single" w:color="auto" w:sz="4" w:space="0"/>
            </w:tcBorders>
            <w:tcMar>
              <w:left w:w="0" w:type="dxa"/>
              <w:right w:w="28" w:type="dxa"/>
            </w:tcMar>
          </w:tcPr>
          <w:p w14:paraId="3D41A9E2">
            <w:pPr>
              <w:spacing w:before="48" w:beforeLines="20" w:after="48" w:afterLines="20"/>
              <w:jc w:val="both"/>
              <w:rPr>
                <w:rFonts w:eastAsia="楷体" w:cs="Calibri"/>
                <w:b/>
                <w:sz w:val="20"/>
                <w:szCs w:val="20"/>
              </w:rPr>
            </w:pPr>
            <w:r>
              <w:rPr>
                <w:rFonts w:eastAsia="楷体" w:cs="Calibri"/>
                <w:b/>
                <w:sz w:val="20"/>
                <w:szCs w:val="20"/>
              </w:rPr>
              <w:t>Figure: Revenue share of Bell’s major commercial aircraft within total commercial aircraft revenue</w:t>
            </w:r>
          </w:p>
        </w:tc>
      </w:tr>
      <w:tr w14:paraId="38145722">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10813F70">
            <w:pPr>
              <w:spacing w:before="48" w:beforeLines="20" w:after="48" w:afterLines="20"/>
              <w:jc w:val="both"/>
              <w:textAlignment w:val="center"/>
              <w:rPr>
                <w:rFonts w:eastAsia="楷体_GB2312" w:cs="Calibri"/>
                <w:b/>
                <w:color w:val="000000"/>
                <w:sz w:val="20"/>
                <w:szCs w:val="20"/>
                <w:lang w:bidi="ar"/>
              </w:rPr>
            </w:pPr>
            <w:r>
              <w:rPr>
                <w:rFonts w:cs="Calibri"/>
                <w:snapToGrid/>
              </w:rPr>
              <w:drawing>
                <wp:inline distT="0" distB="0" distL="0" distR="0">
                  <wp:extent cx="3101340" cy="2047240"/>
                  <wp:effectExtent l="0" t="0" r="3810" b="0"/>
                  <wp:docPr id="206768477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c>
          <w:tcPr>
            <w:tcW w:w="241" w:type="dxa"/>
          </w:tcPr>
          <w:p w14:paraId="496B61B6">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7905B89">
            <w:pPr>
              <w:spacing w:before="48" w:beforeLines="20" w:after="48" w:afterLines="20"/>
              <w:jc w:val="both"/>
              <w:rPr>
                <w:rFonts w:eastAsia="楷体_GB2312" w:cs="Calibri"/>
                <w:b/>
                <w:sz w:val="20"/>
                <w:szCs w:val="20"/>
              </w:rPr>
            </w:pPr>
            <w:r>
              <w:rPr>
                <w:rFonts w:cs="Calibri"/>
                <w:snapToGrid/>
              </w:rPr>
              <w:drawing>
                <wp:inline distT="0" distB="0" distL="0" distR="0">
                  <wp:extent cx="3132455" cy="2061210"/>
                  <wp:effectExtent l="0" t="0" r="0" b="0"/>
                  <wp:docPr id="34761151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r w14:paraId="5637D878">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7F5F8E50">
            <w:pPr>
              <w:spacing w:before="48" w:beforeLines="20" w:after="48" w:afterLines="20"/>
              <w:jc w:val="both"/>
              <w:textAlignment w:val="center"/>
              <w:rPr>
                <w:rFonts w:eastAsia="楷体_GB2312" w:cs="Calibri"/>
                <w:sz w:val="20"/>
                <w:szCs w:val="20"/>
              </w:rPr>
            </w:pPr>
            <w:r>
              <w:rPr>
                <w:rFonts w:eastAsia="楷体" w:cs="Calibri"/>
                <w:b/>
                <w:bCs/>
                <w:sz w:val="20"/>
                <w:szCs w:val="20"/>
              </w:rPr>
              <w:t>Source</w:t>
            </w:r>
            <w:r>
              <w:rPr>
                <w:rFonts w:hint="eastAsia" w:eastAsia="楷体" w:cs="Calibri"/>
                <w:b/>
                <w:bCs/>
                <w:sz w:val="20"/>
                <w:szCs w:val="20"/>
              </w:rPr>
              <w:t xml:space="preserve">: </w:t>
            </w:r>
            <w:r>
              <w:rPr>
                <w:rFonts w:eastAsia="楷体" w:cs="Calibri"/>
                <w:sz w:val="20"/>
                <w:szCs w:val="20"/>
              </w:rPr>
              <w:t>Textron Annual Report, HFI</w:t>
            </w:r>
          </w:p>
        </w:tc>
        <w:tc>
          <w:tcPr>
            <w:tcW w:w="241" w:type="dxa"/>
            <w:tcMar>
              <w:left w:w="0" w:type="dxa"/>
              <w:right w:w="28" w:type="dxa"/>
            </w:tcMar>
          </w:tcPr>
          <w:p w14:paraId="0FE38089">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25C6C9C9">
            <w:pPr>
              <w:spacing w:before="48" w:beforeLines="20" w:after="48" w:afterLines="20"/>
              <w:jc w:val="both"/>
              <w:rPr>
                <w:rFonts w:eastAsia="楷体_GB2312" w:cs="Calibri"/>
                <w:sz w:val="20"/>
                <w:szCs w:val="20"/>
              </w:rPr>
            </w:pPr>
            <w:r>
              <w:rPr>
                <w:rFonts w:eastAsia="楷体" w:cs="Calibri"/>
                <w:b/>
                <w:bCs/>
                <w:sz w:val="20"/>
                <w:szCs w:val="20"/>
              </w:rPr>
              <w:t>Source</w:t>
            </w:r>
            <w:r>
              <w:rPr>
                <w:rFonts w:hint="eastAsia" w:eastAsia="楷体" w:cs="Calibri"/>
                <w:b/>
                <w:bCs/>
                <w:sz w:val="20"/>
                <w:szCs w:val="20"/>
              </w:rPr>
              <w:t xml:space="preserve">: </w:t>
            </w:r>
            <w:r>
              <w:rPr>
                <w:rFonts w:eastAsia="楷体" w:cs="Calibri"/>
                <w:sz w:val="20"/>
                <w:szCs w:val="20"/>
              </w:rPr>
              <w:t>Textron Annual Report, HFI</w:t>
            </w:r>
          </w:p>
        </w:tc>
      </w:tr>
    </w:tbl>
    <w:p w14:paraId="37785321">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622CB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1E19E32B">
            <w:pPr>
              <w:rPr>
                <w:rFonts w:eastAsia="楷体" w:cs="Calibri"/>
                <w:b/>
                <w:bCs/>
                <w:kern w:val="2"/>
                <w:sz w:val="22"/>
                <w:szCs w:val="22"/>
              </w:rPr>
            </w:pPr>
            <w:r>
              <w:rPr>
                <w:rFonts w:eastAsia="楷体" w:cs="Calibri"/>
                <w:b/>
                <w:bCs/>
                <w:kern w:val="2"/>
                <w:sz w:val="22"/>
                <w:szCs w:val="22"/>
              </w:rPr>
              <w:t>Figure: Performance comparison of Bell’s core commercial helicopter models</w:t>
            </w:r>
          </w:p>
        </w:tc>
      </w:tr>
      <w:tr w14:paraId="15D31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692A462D">
            <w:pPr>
              <w:ind w:firstLine="220" w:firstLineChars="100"/>
              <w:rPr>
                <w:rFonts w:eastAsia="楷体" w:cs="Calibri"/>
                <w:kern w:val="2"/>
                <w:sz w:val="22"/>
                <w:szCs w:val="22"/>
              </w:rPr>
            </w:pPr>
            <w:r>
              <w:rPr>
                <w:rFonts w:eastAsia="楷体" w:cs="Calibri"/>
                <w:kern w:val="2"/>
                <w:sz w:val="22"/>
                <w:szCs w:val="22"/>
              </w:rPr>
              <w:drawing>
                <wp:inline distT="0" distB="0" distL="0" distR="0">
                  <wp:extent cx="4647565" cy="2712720"/>
                  <wp:effectExtent l="0" t="0" r="635" b="0"/>
                  <wp:docPr id="5539807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80761" name="图片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671806" cy="2727220"/>
                          </a:xfrm>
                          <a:prstGeom prst="rect">
                            <a:avLst/>
                          </a:prstGeom>
                          <a:noFill/>
                          <a:ln>
                            <a:noFill/>
                          </a:ln>
                        </pic:spPr>
                      </pic:pic>
                    </a:graphicData>
                  </a:graphic>
                </wp:inline>
              </w:drawing>
            </w:r>
          </w:p>
        </w:tc>
      </w:tr>
      <w:tr w14:paraId="0E50D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5F6705A7">
            <w:pPr>
              <w:rPr>
                <w:rFonts w:eastAsia="楷体" w:cs="Calibri"/>
                <w:b/>
                <w:bCs/>
                <w:kern w:val="2"/>
                <w:sz w:val="22"/>
                <w:szCs w:val="22"/>
              </w:rPr>
            </w:pPr>
            <w:r>
              <w:rPr>
                <w:rFonts w:eastAsia="楷体" w:cs="Calibri"/>
                <w:b/>
                <w:bCs/>
                <w:kern w:val="2"/>
                <w:sz w:val="22"/>
                <w:szCs w:val="22"/>
              </w:rPr>
              <w:t>Source</w:t>
            </w:r>
            <w:r>
              <w:rPr>
                <w:rFonts w:hint="eastAsia" w:eastAsia="楷体" w:cs="Calibri"/>
                <w:b/>
                <w:bCs/>
                <w:kern w:val="2"/>
                <w:sz w:val="22"/>
                <w:szCs w:val="22"/>
              </w:rPr>
              <w:t xml:space="preserve">: </w:t>
            </w:r>
            <w:r>
              <w:rPr>
                <w:rFonts w:eastAsia="楷体" w:cs="Calibri"/>
                <w:kern w:val="2"/>
                <w:sz w:val="22"/>
                <w:szCs w:val="22"/>
              </w:rPr>
              <w:t xml:space="preserve">Textron, </w:t>
            </w:r>
            <w:r>
              <w:rPr>
                <w:rFonts w:eastAsia="楷体" w:cs="Calibri"/>
                <w:sz w:val="20"/>
                <w:szCs w:val="20"/>
              </w:rPr>
              <w:t>HFI</w:t>
            </w:r>
          </w:p>
        </w:tc>
      </w:tr>
    </w:tbl>
    <w:p w14:paraId="4DDB1EAB">
      <w:pPr>
        <w:jc w:val="both"/>
        <w:rPr>
          <w:rFonts w:eastAsia="楷体" w:cs="Calibri"/>
          <w:kern w:val="2"/>
          <w:sz w:val="22"/>
          <w:szCs w:val="22"/>
        </w:rPr>
      </w:pPr>
    </w:p>
    <w:p w14:paraId="6A3457DE">
      <w:pPr>
        <w:jc w:val="both"/>
        <w:rPr>
          <w:rFonts w:eastAsia="楷体" w:cs="Calibri"/>
          <w:b/>
          <w:bCs/>
          <w:kern w:val="2"/>
          <w:sz w:val="22"/>
          <w:szCs w:val="22"/>
        </w:rPr>
      </w:pPr>
      <w:r>
        <w:rPr>
          <w:rFonts w:eastAsia="楷体" w:cs="Calibri"/>
          <w:b/>
          <w:bCs/>
          <w:kern w:val="2"/>
          <w:sz w:val="22"/>
          <w:szCs w:val="22"/>
        </w:rPr>
        <w:t xml:space="preserve">The global commercial helicopter market is approaching USD 10 billion in scale and is highly concentrated. </w:t>
      </w:r>
      <w:r>
        <w:rPr>
          <w:rFonts w:eastAsia="楷体" w:cs="Calibri"/>
          <w:kern w:val="2"/>
          <w:sz w:val="22"/>
          <w:szCs w:val="22"/>
        </w:rPr>
        <w:t>As of 2025, the market size reached USD 7.1 billion, and is expected to grow at a CAGR of 4.3% during 2025–2033, reaching USD 9.96 billion by 2033.From a market structure perspective, industry concentration remains high, with the top three players—Airbus Helicopters, Bell Textron, and Leonardo S.p.A.—accounting for over 85% of global market share over the past decade. As of 2024, Airbus Helicopters held 57% market share, followed by Leonardo at 19% and Bell Textron at 18%.</w:t>
      </w:r>
    </w:p>
    <w:p w14:paraId="5C27EBF0">
      <w:pPr>
        <w:jc w:val="both"/>
        <w:rPr>
          <w:rFonts w:eastAsia="楷体" w:cs="Calibri"/>
          <w:kern w:val="2"/>
          <w:sz w:val="22"/>
          <w:szCs w:val="22"/>
        </w:rPr>
      </w:pPr>
    </w:p>
    <w:p w14:paraId="771DDAEE">
      <w:pPr>
        <w:jc w:val="both"/>
        <w:rPr>
          <w:rFonts w:eastAsia="楷体" w:cs="Calibri"/>
          <w:kern w:val="2"/>
          <w:sz w:val="22"/>
          <w:szCs w:val="22"/>
        </w:rPr>
      </w:pPr>
    </w:p>
    <w:p w14:paraId="566EA7A6">
      <w:pPr>
        <w:jc w:val="both"/>
        <w:rPr>
          <w:rFonts w:eastAsia="楷体" w:cs="Calibri"/>
          <w:kern w:val="2"/>
          <w:sz w:val="22"/>
          <w:szCs w:val="22"/>
        </w:rPr>
      </w:pPr>
    </w:p>
    <w:p w14:paraId="3C99DF8E">
      <w:pPr>
        <w:jc w:val="both"/>
        <w:rPr>
          <w:rFonts w:eastAsia="楷体" w:cs="Calibri"/>
          <w:kern w:val="2"/>
          <w:sz w:val="22"/>
          <w:szCs w:val="22"/>
        </w:rPr>
      </w:pPr>
    </w:p>
    <w:p w14:paraId="18B3A610">
      <w:pPr>
        <w:jc w:val="both"/>
        <w:rPr>
          <w:rFonts w:eastAsia="楷体" w:cs="Calibri"/>
          <w:kern w:val="2"/>
          <w:sz w:val="22"/>
          <w:szCs w:val="22"/>
        </w:rPr>
      </w:pPr>
    </w:p>
    <w:p w14:paraId="100D3ABA">
      <w:pPr>
        <w:jc w:val="both"/>
        <w:rPr>
          <w:rFonts w:eastAsia="楷体" w:cs="Calibri"/>
          <w:kern w:val="2"/>
          <w:sz w:val="22"/>
          <w:szCs w:val="22"/>
        </w:rPr>
      </w:pPr>
    </w:p>
    <w:p w14:paraId="24E936FB">
      <w:pPr>
        <w:jc w:val="both"/>
        <w:rPr>
          <w:rFonts w:eastAsia="楷体" w:cs="Calibri"/>
          <w:kern w:val="2"/>
          <w:sz w:val="22"/>
          <w:szCs w:val="22"/>
        </w:rPr>
      </w:pPr>
    </w:p>
    <w:p w14:paraId="66521A8C">
      <w:pPr>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38A7A3BE">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44A1D6D5">
            <w:pPr>
              <w:spacing w:before="48" w:beforeLines="20" w:after="48" w:afterLines="20"/>
              <w:jc w:val="both"/>
              <w:textAlignment w:val="center"/>
              <w:rPr>
                <w:rFonts w:eastAsia="楷体" w:cs="Calibri"/>
                <w:b/>
                <w:sz w:val="20"/>
                <w:szCs w:val="20"/>
                <w:highlight w:val="yellow"/>
              </w:rPr>
            </w:pPr>
            <w:r>
              <w:rPr>
                <w:rFonts w:eastAsia="楷体" w:cs="Calibri"/>
                <w:b/>
                <w:sz w:val="20"/>
                <w:szCs w:val="20"/>
              </w:rPr>
              <w:t>Figure: Global commercial helicopter market size and projected growth (USD billion)</w:t>
            </w:r>
          </w:p>
        </w:tc>
        <w:tc>
          <w:tcPr>
            <w:tcW w:w="241" w:type="dxa"/>
            <w:tcMar>
              <w:left w:w="0" w:type="dxa"/>
              <w:right w:w="28" w:type="dxa"/>
            </w:tcMar>
          </w:tcPr>
          <w:p w14:paraId="0FBB7596">
            <w:pPr>
              <w:spacing w:before="48" w:beforeLines="20" w:after="48" w:afterLines="20"/>
              <w:jc w:val="both"/>
              <w:rPr>
                <w:rFonts w:eastAsia="楷体" w:cs="Calibri"/>
                <w:sz w:val="20"/>
                <w:szCs w:val="20"/>
                <w:highlight w:val="yellow"/>
              </w:rPr>
            </w:pPr>
          </w:p>
        </w:tc>
        <w:tc>
          <w:tcPr>
            <w:tcW w:w="5149" w:type="dxa"/>
            <w:tcBorders>
              <w:bottom w:val="single" w:color="auto" w:sz="4" w:space="0"/>
            </w:tcBorders>
            <w:tcMar>
              <w:left w:w="0" w:type="dxa"/>
              <w:right w:w="28" w:type="dxa"/>
            </w:tcMar>
          </w:tcPr>
          <w:p w14:paraId="259AA48E">
            <w:pPr>
              <w:spacing w:before="48" w:beforeLines="20" w:after="48" w:afterLines="20"/>
              <w:jc w:val="both"/>
              <w:rPr>
                <w:rFonts w:eastAsia="楷体" w:cs="Calibri"/>
                <w:b/>
                <w:sz w:val="20"/>
                <w:szCs w:val="20"/>
              </w:rPr>
            </w:pPr>
            <w:r>
              <w:rPr>
                <w:rFonts w:eastAsia="楷体" w:cs="Calibri"/>
                <w:b/>
                <w:sz w:val="20"/>
                <w:szCs w:val="20"/>
              </w:rPr>
              <w:t>Figure: Revenue share of Bell’s major commercial aircraft within total commercial aircraft revenue</w:t>
            </w:r>
          </w:p>
        </w:tc>
      </w:tr>
      <w:tr w14:paraId="5B17BC9A">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124186CB">
            <w:pPr>
              <w:spacing w:before="48" w:beforeLines="20" w:after="48" w:afterLines="20"/>
              <w:jc w:val="both"/>
              <w:textAlignment w:val="center"/>
              <w:rPr>
                <w:rFonts w:eastAsia="楷体_GB2312" w:cs="Calibri"/>
                <w:b/>
                <w:color w:val="000000"/>
                <w:sz w:val="20"/>
                <w:szCs w:val="20"/>
                <w:lang w:bidi="ar"/>
              </w:rPr>
            </w:pPr>
            <w:r>
              <w:rPr>
                <w:rFonts w:cs="Calibri"/>
                <w:snapToGrid/>
              </w:rPr>
              <w:drawing>
                <wp:inline distT="0" distB="0" distL="0" distR="0">
                  <wp:extent cx="3101340" cy="1732915"/>
                  <wp:effectExtent l="0" t="0" r="22860" b="19685"/>
                  <wp:docPr id="1631640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40297" name="图片 1"/>
                          <pic:cNvPicPr>
                            <a:picLocks noChangeAspect="1"/>
                          </pic:cNvPicPr>
                        </pic:nvPicPr>
                        <pic:blipFill>
                          <a:blip r:embed="rId54"/>
                          <a:stretch>
                            <a:fillRect/>
                          </a:stretch>
                        </pic:blipFill>
                        <pic:spPr>
                          <a:xfrm>
                            <a:off x="0" y="0"/>
                            <a:ext cx="3101340" cy="1732915"/>
                          </a:xfrm>
                          <a:prstGeom prst="rect">
                            <a:avLst/>
                          </a:prstGeom>
                        </pic:spPr>
                      </pic:pic>
                    </a:graphicData>
                  </a:graphic>
                </wp:inline>
              </w:drawing>
            </w:r>
          </w:p>
        </w:tc>
        <w:tc>
          <w:tcPr>
            <w:tcW w:w="241" w:type="dxa"/>
          </w:tcPr>
          <w:p w14:paraId="76DCDA42">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11ADFEE1">
            <w:pPr>
              <w:spacing w:before="48" w:beforeLines="20" w:after="48" w:afterLines="20"/>
              <w:jc w:val="both"/>
              <w:rPr>
                <w:rFonts w:eastAsia="楷体_GB2312" w:cs="Calibri"/>
                <w:b/>
                <w:sz w:val="20"/>
                <w:szCs w:val="20"/>
              </w:rPr>
            </w:pPr>
            <w:r>
              <w:rPr>
                <w:rFonts w:cs="Calibri"/>
                <w:snapToGrid/>
              </w:rPr>
              <w:drawing>
                <wp:inline distT="0" distB="0" distL="0" distR="0">
                  <wp:extent cx="3132455" cy="1879600"/>
                  <wp:effectExtent l="0" t="0" r="0" b="6350"/>
                  <wp:docPr id="65099321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r w14:paraId="60D8FDB0">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8AB48FF">
            <w:pPr>
              <w:spacing w:before="48" w:beforeLines="20" w:after="48" w:afterLines="20"/>
              <w:jc w:val="both"/>
              <w:textAlignment w:val="center"/>
              <w:rPr>
                <w:rFonts w:eastAsia="楷体_GB2312" w:cs="Calibri"/>
                <w:sz w:val="20"/>
                <w:szCs w:val="20"/>
              </w:rPr>
            </w:pPr>
            <w:r>
              <w:rPr>
                <w:rFonts w:eastAsia="楷体" w:cs="Calibri"/>
                <w:b/>
                <w:bCs/>
                <w:sz w:val="20"/>
                <w:szCs w:val="20"/>
              </w:rPr>
              <w:t>Source</w:t>
            </w:r>
            <w:r>
              <w:rPr>
                <w:rFonts w:hint="eastAsia" w:eastAsia="楷体" w:cs="Calibri"/>
                <w:b/>
                <w:bCs/>
                <w:sz w:val="20"/>
                <w:szCs w:val="20"/>
              </w:rPr>
              <w:t xml:space="preserve">: </w:t>
            </w:r>
            <w:r>
              <w:rPr>
                <w:rFonts w:eastAsia="楷体" w:cs="Calibri"/>
                <w:sz w:val="20"/>
                <w:szCs w:val="20"/>
              </w:rPr>
              <w:t>Grand View Research</w:t>
            </w:r>
            <w:r>
              <w:rPr>
                <w:rFonts w:eastAsia="楷体" w:cs="Calibri"/>
                <w:kern w:val="2"/>
                <w:sz w:val="22"/>
                <w:szCs w:val="22"/>
              </w:rPr>
              <w:t xml:space="preserve">, </w:t>
            </w:r>
            <w:r>
              <w:rPr>
                <w:rFonts w:eastAsia="楷体" w:cs="Calibri"/>
                <w:sz w:val="20"/>
                <w:szCs w:val="20"/>
              </w:rPr>
              <w:t>HFI</w:t>
            </w:r>
          </w:p>
        </w:tc>
        <w:tc>
          <w:tcPr>
            <w:tcW w:w="241" w:type="dxa"/>
            <w:tcMar>
              <w:left w:w="0" w:type="dxa"/>
              <w:right w:w="28" w:type="dxa"/>
            </w:tcMar>
          </w:tcPr>
          <w:p w14:paraId="1E1C2B71">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39BB487F">
            <w:pPr>
              <w:spacing w:before="48" w:beforeLines="20" w:after="48" w:afterLines="20"/>
              <w:jc w:val="both"/>
              <w:rPr>
                <w:rFonts w:eastAsia="楷体_GB2312" w:cs="Calibri"/>
                <w:sz w:val="20"/>
                <w:szCs w:val="20"/>
              </w:rPr>
            </w:pPr>
            <w:r>
              <w:rPr>
                <w:rFonts w:eastAsia="楷体" w:cs="Calibri"/>
                <w:b/>
                <w:bCs/>
                <w:sz w:val="20"/>
                <w:szCs w:val="20"/>
              </w:rPr>
              <w:t>Source</w:t>
            </w:r>
            <w:r>
              <w:rPr>
                <w:rFonts w:hint="eastAsia" w:eastAsia="楷体" w:cs="Calibri"/>
                <w:b/>
                <w:bCs/>
                <w:sz w:val="20"/>
                <w:szCs w:val="20"/>
              </w:rPr>
              <w:t xml:space="preserve">: </w:t>
            </w:r>
            <w:r>
              <w:rPr>
                <w:rFonts w:eastAsia="楷体" w:cs="Calibri"/>
                <w:sz w:val="20"/>
                <w:szCs w:val="20"/>
              </w:rPr>
              <w:t>GAMA</w:t>
            </w:r>
            <w:r>
              <w:rPr>
                <w:rFonts w:eastAsia="楷体" w:cs="Calibri"/>
                <w:kern w:val="2"/>
                <w:sz w:val="22"/>
                <w:szCs w:val="22"/>
              </w:rPr>
              <w:t xml:space="preserve">, </w:t>
            </w:r>
            <w:r>
              <w:rPr>
                <w:rFonts w:eastAsia="楷体" w:cs="Calibri"/>
                <w:sz w:val="20"/>
                <w:szCs w:val="20"/>
              </w:rPr>
              <w:t>HFI</w:t>
            </w:r>
          </w:p>
        </w:tc>
      </w:tr>
    </w:tbl>
    <w:p w14:paraId="7F8922B3">
      <w:pPr>
        <w:jc w:val="both"/>
        <w:rPr>
          <w:rFonts w:eastAsia="楷体" w:cs="Calibri"/>
          <w:b/>
          <w:bCs/>
          <w:kern w:val="2"/>
          <w:sz w:val="22"/>
          <w:szCs w:val="22"/>
        </w:rPr>
      </w:pPr>
    </w:p>
    <w:p w14:paraId="1D996A74">
      <w:pPr>
        <w:jc w:val="both"/>
        <w:rPr>
          <w:rFonts w:eastAsia="楷体" w:cs="Calibri"/>
          <w:kern w:val="2"/>
          <w:sz w:val="22"/>
          <w:szCs w:val="22"/>
        </w:rPr>
      </w:pPr>
      <w:r>
        <w:rPr>
          <w:rFonts w:eastAsia="楷体" w:cs="Calibri"/>
          <w:b/>
          <w:bCs/>
          <w:kern w:val="2"/>
          <w:sz w:val="22"/>
          <w:szCs w:val="22"/>
        </w:rPr>
        <w:t xml:space="preserve">From a regional perspective, Bell is more competitive in North America and the Asia-Pacific region, while its presence in Europe remains relatively weak. </w:t>
      </w:r>
      <w:r>
        <w:rPr>
          <w:rFonts w:eastAsia="楷体" w:cs="Calibri"/>
          <w:kern w:val="2"/>
          <w:sz w:val="22"/>
          <w:szCs w:val="22"/>
        </w:rPr>
        <w:t>According to Textron’s annual reports, Bell’s revenue in the U.S. market increased by 17% from 2022 to 2024, reaching USD 2.6 billion, while revenue in Europe declined by approximately 39% over the same period. In other markets (including Asia-Pacific), Bell’s revenue has strengthened in recent years, rising to USD 0.85 billion. These regional performance differences are fundamentally driven by a combination of installed base, demand structure, and institutional environments. In the U.S. market, demand is primarily driven by general aviation, public safety, and training, with no domestic protection barriers, allowing Bell to maintain long-term advantages through its mature product portfolio and comprehensive ecosystem. In contrast, the European market is centered on emergency medical services and government procurement, where local manufacturers benefit from clear advantages in procurement processes, certification, and maintenance systems, resulting in Bell’s persistently lower market share. Meanwhile, the Asia-Pacific market lacks a dominant local OEM and features a demand structure more similar to North America, enabling Bell’s product mix and operating model to remain highly competitive, thereby shaping a regional landscape of continued strength in North America, improving momentum in Asia-Pacific, and relative weakness in Europe.</w:t>
      </w:r>
    </w:p>
    <w:p w14:paraId="60074807">
      <w:pPr>
        <w:jc w:val="both"/>
        <w:rPr>
          <w:rFonts w:eastAsia="楷体" w:cs="Calibri"/>
          <w:b/>
          <w:bCs/>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0A035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384D56AF">
            <w:pPr>
              <w:jc w:val="both"/>
              <w:rPr>
                <w:rFonts w:eastAsia="楷体" w:cs="Calibri"/>
                <w:b/>
                <w:bCs/>
                <w:kern w:val="2"/>
                <w:sz w:val="22"/>
                <w:szCs w:val="22"/>
              </w:rPr>
            </w:pPr>
            <w:r>
              <w:rPr>
                <w:rFonts w:eastAsia="楷体" w:cs="Calibri"/>
                <w:b/>
                <w:bCs/>
                <w:kern w:val="2"/>
                <w:sz w:val="22"/>
                <w:szCs w:val="22"/>
              </w:rPr>
              <w:t>Figure: Bell revenue by region, 2022–2024 (USD million)</w:t>
            </w:r>
          </w:p>
        </w:tc>
      </w:tr>
      <w:tr w14:paraId="50087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3D6B14C4">
            <w:pPr>
              <w:jc w:val="both"/>
              <w:rPr>
                <w:rFonts w:eastAsia="楷体" w:cs="Calibri"/>
                <w:kern w:val="2"/>
                <w:sz w:val="22"/>
                <w:szCs w:val="22"/>
              </w:rPr>
            </w:pPr>
            <w:r>
              <w:rPr>
                <w:rFonts w:cs="Calibri"/>
                <w:snapToGrid/>
              </w:rPr>
              <w:drawing>
                <wp:inline distT="0" distB="0" distL="0" distR="0">
                  <wp:extent cx="4591685" cy="2353310"/>
                  <wp:effectExtent l="0" t="0" r="0" b="8890"/>
                  <wp:docPr id="112677404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14:paraId="715C2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top w:val="single" w:color="auto" w:sz="4" w:space="0"/>
            </w:tcBorders>
          </w:tcPr>
          <w:p w14:paraId="6ED4B622">
            <w:pPr>
              <w:jc w:val="both"/>
              <w:rPr>
                <w:rFonts w:eastAsia="楷体" w:cs="Calibri"/>
                <w:kern w:val="2"/>
                <w:sz w:val="22"/>
                <w:szCs w:val="22"/>
              </w:rPr>
            </w:pPr>
            <w:r>
              <w:rPr>
                <w:rFonts w:eastAsia="楷体" w:cs="Calibri"/>
                <w:b/>
                <w:bCs/>
                <w:kern w:val="2"/>
                <w:sz w:val="20"/>
                <w:szCs w:val="20"/>
              </w:rPr>
              <w:t>Source</w:t>
            </w:r>
            <w:r>
              <w:rPr>
                <w:rFonts w:hint="eastAsia" w:eastAsia="楷体" w:cs="Calibri"/>
                <w:b/>
                <w:bCs/>
                <w:kern w:val="2"/>
                <w:sz w:val="20"/>
                <w:szCs w:val="20"/>
              </w:rPr>
              <w:t xml:space="preserve">: </w:t>
            </w:r>
            <w:r>
              <w:rPr>
                <w:rFonts w:eastAsia="楷体" w:cs="Calibri"/>
                <w:kern w:val="2"/>
                <w:sz w:val="20"/>
                <w:szCs w:val="20"/>
              </w:rPr>
              <w:t>Textron Annual Report，</w:t>
            </w:r>
            <w:r>
              <w:rPr>
                <w:rFonts w:eastAsia="楷体" w:cs="Calibri"/>
                <w:sz w:val="20"/>
                <w:szCs w:val="20"/>
              </w:rPr>
              <w:t>HFI</w:t>
            </w:r>
          </w:p>
        </w:tc>
      </w:tr>
    </w:tbl>
    <w:p w14:paraId="789D433A">
      <w:pPr>
        <w:jc w:val="both"/>
        <w:rPr>
          <w:rFonts w:eastAsia="楷体" w:cs="Calibri"/>
          <w:kern w:val="2"/>
          <w:sz w:val="22"/>
          <w:szCs w:val="22"/>
        </w:rPr>
      </w:pPr>
    </w:p>
    <w:p w14:paraId="44290A5F">
      <w:pPr>
        <w:jc w:val="both"/>
        <w:rPr>
          <w:rFonts w:eastAsia="楷体" w:cs="Calibri"/>
          <w:kern w:val="2"/>
          <w:sz w:val="22"/>
          <w:szCs w:val="22"/>
        </w:rPr>
      </w:pPr>
      <w:r>
        <w:rPr>
          <w:rFonts w:eastAsia="楷体" w:cs="Calibri"/>
          <w:b/>
          <w:bCs/>
          <w:kern w:val="2"/>
          <w:sz w:val="22"/>
          <w:szCs w:val="22"/>
        </w:rPr>
        <w:t xml:space="preserve">Despite a sequential decline in Bell’s commercial deliveries in 3Q25, delivery momentum is expected to improve going forward, supported by solid order demand. </w:t>
      </w:r>
      <w:r>
        <w:rPr>
          <w:rFonts w:eastAsia="楷体" w:cs="Calibri"/>
          <w:kern w:val="2"/>
          <w:sz w:val="22"/>
          <w:szCs w:val="22"/>
        </w:rPr>
        <w:t>Bell’s commercial helicopter deliveries in 2025 have remained broadly stable on a quarterly basis, with 29, 32, and 30 aircraft delivered in 1Q25–3Q25, respectively, totaling 91 units year-to-date. In 3Q25, commercial deliveries declined year-on-year to 30 units (vs. 44 units in 3Q24). The company disclosed that the decline in commercial revenue was primarily delivery-driven, compounded by resource allocation and delivery schedule disruptions related to the accelerated MV-75 military program, which mainly reflects quarterly timing mismatches in delivery recognition rather than a structural weakening in demand. Looking ahead, supported by resilient demand across the commercial product portfolio and normalization of delivery schedules, deferred deliveries are expected to be recaptured in subsequent quarters. At the same time, visible order conversion driven by downstream replacement demand, particularly in EMS applications, provides additional support—for example, GMR’s order for seven Bell 429 helicopters with options for eight more, with deliveries expected to begin in 2026. Combined with Bell’s installed base of approximately 13,000 helicopters, which underpins a stable services revenue base, and the medium- to long-term incremental contribution from the certification of the Bell 525, we expect full-year 2025 and 2026 deliveries and earnings growth to continue to be driven primarily by demand strength and delivery recovery.</w:t>
      </w:r>
    </w:p>
    <w:p w14:paraId="757FB38D">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12"/>
      </w:tblGrid>
      <w:tr w14:paraId="1DC24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12" w:type="dxa"/>
            <w:tcBorders>
              <w:bottom w:val="single" w:color="auto" w:sz="4" w:space="0"/>
            </w:tcBorders>
          </w:tcPr>
          <w:p w14:paraId="3F182EA5">
            <w:pPr>
              <w:jc w:val="both"/>
              <w:rPr>
                <w:rFonts w:eastAsia="楷体" w:cs="Calibri"/>
                <w:b/>
                <w:bCs/>
                <w:kern w:val="2"/>
                <w:sz w:val="22"/>
                <w:szCs w:val="22"/>
              </w:rPr>
            </w:pPr>
            <w:r>
              <w:rPr>
                <w:rFonts w:eastAsia="楷体" w:cs="Calibri"/>
                <w:b/>
                <w:bCs/>
                <w:kern w:val="2"/>
                <w:sz w:val="22"/>
                <w:szCs w:val="22"/>
              </w:rPr>
              <w:t>Figure: Quarterly deliveries of Bell commercial helicopters in 2024 and 2025 (units)</w:t>
            </w:r>
          </w:p>
        </w:tc>
      </w:tr>
      <w:tr w14:paraId="4D5D0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12" w:type="dxa"/>
            <w:tcBorders>
              <w:top w:val="single" w:color="auto" w:sz="4" w:space="0"/>
              <w:bottom w:val="single" w:color="auto" w:sz="4" w:space="0"/>
            </w:tcBorders>
          </w:tcPr>
          <w:p w14:paraId="40D1D81F">
            <w:pPr>
              <w:jc w:val="both"/>
              <w:rPr>
                <w:rFonts w:eastAsia="楷体" w:cs="Calibri"/>
                <w:kern w:val="2"/>
                <w:sz w:val="22"/>
                <w:szCs w:val="22"/>
              </w:rPr>
            </w:pPr>
            <w:r>
              <w:rPr>
                <w:rFonts w:cs="等线"/>
                <w:snapToGrid/>
              </w:rPr>
              <w:drawing>
                <wp:inline distT="0" distB="0" distL="0" distR="0">
                  <wp:extent cx="4389120" cy="2051050"/>
                  <wp:effectExtent l="0" t="0" r="0" b="6350"/>
                  <wp:docPr id="10491769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r w14:paraId="31E8C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12" w:type="dxa"/>
            <w:tcBorders>
              <w:top w:val="single" w:color="auto" w:sz="4" w:space="0"/>
            </w:tcBorders>
          </w:tcPr>
          <w:p w14:paraId="042F9EB9">
            <w:pPr>
              <w:jc w:val="both"/>
              <w:rPr>
                <w:rFonts w:eastAsia="楷体" w:cs="Calibri"/>
                <w:kern w:val="2"/>
                <w:sz w:val="20"/>
                <w:szCs w:val="20"/>
              </w:rPr>
            </w:pPr>
            <w:r>
              <w:rPr>
                <w:rFonts w:eastAsia="楷体" w:cs="Calibri"/>
                <w:b/>
                <w:bCs/>
                <w:kern w:val="2"/>
                <w:sz w:val="20"/>
                <w:szCs w:val="20"/>
              </w:rPr>
              <w:t xml:space="preserve">Source: </w:t>
            </w:r>
            <w:r>
              <w:rPr>
                <w:rFonts w:eastAsia="楷体" w:cs="Calibri"/>
                <w:kern w:val="2"/>
                <w:sz w:val="20"/>
                <w:szCs w:val="20"/>
              </w:rPr>
              <w:t>GAMA</w:t>
            </w:r>
          </w:p>
        </w:tc>
      </w:tr>
      <w:bookmarkEnd w:id="21"/>
    </w:tbl>
    <w:p w14:paraId="4B2F5D86">
      <w:pPr>
        <w:pStyle w:val="2"/>
        <w:spacing w:before="240" w:beforeLines="100" w:after="240" w:afterLines="100"/>
        <w:jc w:val="both"/>
        <w:rPr>
          <w:rFonts w:ascii="Calibri" w:hAnsi="Calibri" w:eastAsia="楷体" w:cs="Calibri"/>
          <w:b/>
          <w:bCs/>
          <w:color w:val="23558C"/>
          <w:sz w:val="24"/>
          <w:szCs w:val="24"/>
        </w:rPr>
      </w:pPr>
      <w:bookmarkStart w:id="26" w:name="_Toc220589935"/>
      <w:r>
        <w:rPr>
          <w:rFonts w:ascii="Calibri" w:hAnsi="Calibri" w:eastAsia="楷体" w:cs="Calibri"/>
          <w:b/>
          <w:bCs/>
          <w:color w:val="23558C"/>
          <w:sz w:val="24"/>
          <w:szCs w:val="24"/>
        </w:rPr>
        <w:t xml:space="preserve">4 Industrial </w:t>
      </w:r>
      <w:r>
        <w:rPr>
          <w:rFonts w:hint="eastAsia" w:ascii="Calibri" w:hAnsi="Calibri" w:eastAsia="楷体" w:cs="Calibri"/>
          <w:b/>
          <w:bCs/>
          <w:color w:val="23558C"/>
          <w:sz w:val="24"/>
          <w:szCs w:val="24"/>
        </w:rPr>
        <w:t>B</w:t>
      </w:r>
      <w:r>
        <w:rPr>
          <w:rFonts w:ascii="Calibri" w:hAnsi="Calibri" w:eastAsia="楷体" w:cs="Calibri"/>
          <w:b/>
          <w:bCs/>
          <w:color w:val="23558C"/>
          <w:sz w:val="24"/>
          <w:szCs w:val="24"/>
        </w:rPr>
        <w:t>usiness</w:t>
      </w:r>
      <w:r>
        <w:rPr>
          <w:rFonts w:hint="eastAsia" w:ascii="Calibri" w:hAnsi="Calibri" w:eastAsia="楷体" w:cs="Calibri"/>
          <w:b/>
          <w:bCs/>
          <w:color w:val="23558C"/>
          <w:sz w:val="24"/>
          <w:szCs w:val="24"/>
        </w:rPr>
        <w:t xml:space="preserve"> S</w:t>
      </w:r>
      <w:r>
        <w:rPr>
          <w:rFonts w:ascii="Calibri" w:hAnsi="Calibri" w:eastAsia="楷体" w:cs="Calibri"/>
          <w:b/>
          <w:bCs/>
          <w:color w:val="23558C"/>
          <w:sz w:val="24"/>
          <w:szCs w:val="24"/>
        </w:rPr>
        <w:t>egment: Segment business performance is different</w:t>
      </w:r>
      <w:bookmarkEnd w:id="26"/>
    </w:p>
    <w:p w14:paraId="7323B245">
      <w:pPr>
        <w:jc w:val="both"/>
        <w:rPr>
          <w:rFonts w:eastAsia="楷体" w:cs="Calibri"/>
          <w:sz w:val="22"/>
          <w:szCs w:val="22"/>
        </w:rPr>
      </w:pPr>
      <w:r>
        <w:rPr>
          <w:rFonts w:eastAsia="楷体" w:cs="Calibri"/>
          <w:b/>
          <w:bCs/>
          <w:sz w:val="22"/>
          <w:szCs w:val="22"/>
        </w:rPr>
        <w:t xml:space="preserve">Textron's industrial business segment mainly focuses on two major product lines: automotive components and specialty vehicles, and is the core non-aviation/defense component in the company's diversified businesses. </w:t>
      </w:r>
      <w:r>
        <w:rPr>
          <w:rFonts w:eastAsia="楷体" w:cs="Calibri"/>
          <w:sz w:val="22"/>
          <w:szCs w:val="22"/>
        </w:rPr>
        <w:t>The segment's revenue proportion is approximately 25-26%, mainly operated through Kautex and Textron Specialized Vehicles (including the E-Z-GO brand), of which Kautex accounts for approximately 50-60% of the segment's revenue.</w:t>
      </w:r>
    </w:p>
    <w:p w14:paraId="362FF7E1">
      <w:pPr>
        <w:jc w:val="both"/>
        <w:rPr>
          <w:rFonts w:eastAsia="楷体" w:cs="Calibri"/>
          <w:sz w:val="22"/>
          <w:szCs w:val="22"/>
        </w:rPr>
      </w:pPr>
      <w:r>
        <w:rPr>
          <w:rFonts w:eastAsia="楷体" w:cs="Calibri"/>
          <w:sz w:val="22"/>
          <w:szCs w:val="22"/>
        </w:rPr>
        <w:t>From 2015 to 2024, revenues of the Industrial segment were volatile. Revenue amounted to USD 3.544 billion in 2015 and peaked at USD 4.291 billion in 2018, before declining to USD 3.0 billion in 2020 due to the impact of the COVID-19 pandemic. Thereafter, revenues recovered steadily to USD 3.515 billion in 2024, followed by another decline to USD 3.213 billion in 2025.</w:t>
      </w:r>
    </w:p>
    <w:p w14:paraId="008457A7">
      <w:pPr>
        <w:jc w:val="both"/>
        <w:rPr>
          <w:rFonts w:eastAsia="楷体" w:cs="Calibri"/>
          <w:sz w:val="22"/>
          <w:szCs w:val="22"/>
        </w:rPr>
      </w:pPr>
    </w:p>
    <w:p w14:paraId="17217722">
      <w:pPr>
        <w:jc w:val="both"/>
        <w:rPr>
          <w:rFonts w:eastAsia="楷体" w:cs="Calibri"/>
          <w:sz w:val="22"/>
          <w:szCs w:val="22"/>
        </w:rPr>
      </w:pPr>
    </w:p>
    <w:p w14:paraId="3EB5645B">
      <w:pPr>
        <w:jc w:val="both"/>
        <w:rPr>
          <w:rFonts w:eastAsia="楷体" w:cs="Calibri"/>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5A78C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1500CB02">
            <w:pPr>
              <w:rPr>
                <w:rFonts w:hint="eastAsia" w:ascii="楷体" w:hAnsi="楷体" w:eastAsia="楷体" w:cstheme="minorHAnsi"/>
                <w:b/>
                <w:bCs/>
                <w:kern w:val="2"/>
                <w:sz w:val="22"/>
                <w:szCs w:val="22"/>
              </w:rPr>
            </w:pPr>
            <w:r>
              <w:rPr>
                <w:rFonts w:eastAsia="楷体" w:cs="Calibri"/>
                <w:b/>
                <w:bCs/>
                <w:kern w:val="2"/>
                <w:sz w:val="20"/>
                <w:szCs w:val="20"/>
              </w:rPr>
              <w:t>Figure: Industrial segment revenue and year-over-year growth rate from 2015 to 2024 (unit: million USD)</w:t>
            </w:r>
          </w:p>
        </w:tc>
      </w:tr>
      <w:tr w14:paraId="78654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65A7FB6C">
            <w:pPr>
              <w:rPr>
                <w:rFonts w:hint="eastAsia" w:eastAsia="楷体" w:asciiTheme="minorHAnsi" w:hAnsiTheme="minorHAnsi" w:cstheme="minorHAnsi"/>
                <w:kern w:val="2"/>
                <w:sz w:val="22"/>
                <w:szCs w:val="22"/>
              </w:rPr>
            </w:pPr>
            <w:r>
              <w:rPr>
                <w:rFonts w:cs="等线"/>
                <w:snapToGrid/>
              </w:rPr>
              <w:drawing>
                <wp:inline distT="0" distB="0" distL="0" distR="0">
                  <wp:extent cx="4551680" cy="2397125"/>
                  <wp:effectExtent l="0" t="0" r="1270" b="3175"/>
                  <wp:docPr id="117707984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14:paraId="4671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14F9E1A">
            <w:pPr>
              <w:rPr>
                <w:rFonts w:hint="eastAsia" w:ascii="楷体" w:hAnsi="楷体" w:eastAsia="楷体" w:cstheme="minorHAnsi"/>
                <w:b/>
                <w:bCs/>
                <w:kern w:val="2"/>
                <w:sz w:val="22"/>
                <w:szCs w:val="22"/>
              </w:rPr>
            </w:pPr>
            <w:r>
              <w:rPr>
                <w:rFonts w:eastAsia="楷体" w:cs="Calibri"/>
                <w:b/>
                <w:bCs/>
                <w:kern w:val="2"/>
                <w:sz w:val="20"/>
                <w:szCs w:val="20"/>
              </w:rPr>
              <w:t xml:space="preserve">Source: </w:t>
            </w:r>
            <w:r>
              <w:rPr>
                <w:rFonts w:eastAsia="楷体" w:cs="Calibri"/>
                <w:kern w:val="2"/>
                <w:sz w:val="20"/>
                <w:szCs w:val="20"/>
              </w:rPr>
              <w:t xml:space="preserve">Wind, </w:t>
            </w:r>
            <w:r>
              <w:rPr>
                <w:rFonts w:eastAsia="楷体" w:cs="Calibri"/>
                <w:sz w:val="20"/>
                <w:szCs w:val="20"/>
              </w:rPr>
              <w:t>HFI</w:t>
            </w:r>
          </w:p>
        </w:tc>
      </w:tr>
    </w:tbl>
    <w:p w14:paraId="01AF8528">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3DC29894">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4593F944">
            <w:pPr>
              <w:spacing w:before="48" w:beforeLines="20" w:after="48" w:afterLines="20"/>
              <w:jc w:val="both"/>
              <w:textAlignment w:val="center"/>
              <w:rPr>
                <w:rFonts w:hint="eastAsia" w:ascii="楷体" w:hAnsi="楷体" w:eastAsia="楷体" w:cs="Calibri"/>
                <w:b/>
                <w:sz w:val="20"/>
                <w:szCs w:val="20"/>
                <w:highlight w:val="yellow"/>
              </w:rPr>
            </w:pPr>
            <w:r>
              <w:rPr>
                <w:rFonts w:eastAsia="楷体" w:cs="Calibri"/>
                <w:b/>
                <w:sz w:val="20"/>
                <w:szCs w:val="20"/>
              </w:rPr>
              <w:t>Figure: Kautex</w:t>
            </w:r>
          </w:p>
        </w:tc>
        <w:tc>
          <w:tcPr>
            <w:tcW w:w="241" w:type="dxa"/>
            <w:tcMar>
              <w:left w:w="0" w:type="dxa"/>
              <w:right w:w="28" w:type="dxa"/>
            </w:tcMar>
          </w:tcPr>
          <w:p w14:paraId="58CE8636">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05FFB4AA">
            <w:pPr>
              <w:spacing w:before="48" w:beforeLines="20" w:after="48" w:afterLines="20"/>
              <w:jc w:val="both"/>
              <w:rPr>
                <w:rFonts w:hint="eastAsia" w:ascii="楷体" w:hAnsi="楷体" w:eastAsia="楷体" w:cs="Calibri"/>
                <w:b/>
                <w:sz w:val="20"/>
                <w:szCs w:val="20"/>
              </w:rPr>
            </w:pPr>
            <w:r>
              <w:rPr>
                <w:rFonts w:eastAsia="楷体" w:cs="Calibri"/>
                <w:b/>
                <w:sz w:val="20"/>
                <w:szCs w:val="20"/>
              </w:rPr>
              <w:t xml:space="preserve">Figure: </w:t>
            </w:r>
            <w:r>
              <w:rPr>
                <w:rFonts w:eastAsia="楷体" w:cs="Calibri"/>
                <w:b/>
                <w:bCs/>
                <w:kern w:val="2"/>
                <w:sz w:val="20"/>
                <w:szCs w:val="20"/>
              </w:rPr>
              <w:t>Textron Specialized Vehicles—E-Z-GO brand</w:t>
            </w:r>
          </w:p>
        </w:tc>
      </w:tr>
      <w:tr w14:paraId="43B156B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D642FCB">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2144395"/>
                  <wp:effectExtent l="0" t="0" r="22860" b="14605"/>
                  <wp:docPr id="1316214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14903" name="图片 1"/>
                          <pic:cNvPicPr>
                            <a:picLocks noChangeAspect="1"/>
                          </pic:cNvPicPr>
                        </pic:nvPicPr>
                        <pic:blipFill>
                          <a:blip r:embed="rId59"/>
                          <a:stretch>
                            <a:fillRect/>
                          </a:stretch>
                        </pic:blipFill>
                        <pic:spPr>
                          <a:xfrm>
                            <a:off x="0" y="0"/>
                            <a:ext cx="3101340" cy="2144395"/>
                          </a:xfrm>
                          <a:prstGeom prst="rect">
                            <a:avLst/>
                          </a:prstGeom>
                        </pic:spPr>
                      </pic:pic>
                    </a:graphicData>
                  </a:graphic>
                </wp:inline>
              </w:drawing>
            </w:r>
          </w:p>
        </w:tc>
        <w:tc>
          <w:tcPr>
            <w:tcW w:w="241" w:type="dxa"/>
          </w:tcPr>
          <w:p w14:paraId="378A6A45">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541BA5B8">
            <w:pPr>
              <w:spacing w:before="48" w:beforeLines="20" w:after="48" w:afterLines="20"/>
              <w:jc w:val="both"/>
              <w:rPr>
                <w:rFonts w:eastAsia="楷体_GB2312" w:cs="Calibri"/>
                <w:b/>
                <w:sz w:val="20"/>
                <w:szCs w:val="20"/>
              </w:rPr>
            </w:pPr>
            <w:r>
              <w:rPr>
                <w:snapToGrid/>
              </w:rPr>
              <w:drawing>
                <wp:inline distT="0" distB="0" distL="0" distR="0">
                  <wp:extent cx="3132455" cy="2184400"/>
                  <wp:effectExtent l="0" t="0" r="17145" b="0"/>
                  <wp:docPr id="89652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2148" name="图片 1"/>
                          <pic:cNvPicPr>
                            <a:picLocks noChangeAspect="1"/>
                          </pic:cNvPicPr>
                        </pic:nvPicPr>
                        <pic:blipFill>
                          <a:blip r:embed="rId60"/>
                          <a:stretch>
                            <a:fillRect/>
                          </a:stretch>
                        </pic:blipFill>
                        <pic:spPr>
                          <a:xfrm>
                            <a:off x="0" y="0"/>
                            <a:ext cx="3132455" cy="2184400"/>
                          </a:xfrm>
                          <a:prstGeom prst="rect">
                            <a:avLst/>
                          </a:prstGeom>
                        </pic:spPr>
                      </pic:pic>
                    </a:graphicData>
                  </a:graphic>
                </wp:inline>
              </w:drawing>
            </w:r>
          </w:p>
        </w:tc>
      </w:tr>
      <w:tr w14:paraId="4DC4F640">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5588047">
            <w:pPr>
              <w:spacing w:before="48" w:beforeLines="20" w:after="48" w:afterLines="20"/>
              <w:jc w:val="both"/>
              <w:textAlignment w:val="center"/>
              <w:rPr>
                <w:rFonts w:hint="eastAsia" w:ascii="楷体" w:hAnsi="楷体" w:eastAsia="楷体" w:cs="Calibri"/>
                <w:sz w:val="20"/>
                <w:szCs w:val="20"/>
              </w:rPr>
            </w:pPr>
            <w:r>
              <w:rPr>
                <w:rFonts w:hint="eastAsia" w:eastAsia="楷体" w:cs="Calibri"/>
                <w:b/>
                <w:sz w:val="20"/>
                <w:szCs w:val="20"/>
              </w:rPr>
              <w:t>Source</w:t>
            </w:r>
            <w:r>
              <w:rPr>
                <w:rFonts w:eastAsia="楷体" w:cs="Calibri"/>
                <w:b/>
                <w:sz w:val="20"/>
                <w:szCs w:val="20"/>
              </w:rPr>
              <w:t xml:space="preserve">: </w:t>
            </w:r>
            <w:r>
              <w:rPr>
                <w:rFonts w:hint="eastAsia" w:eastAsia="楷体" w:cs="Calibri"/>
                <w:bCs/>
                <w:sz w:val="20"/>
                <w:szCs w:val="20"/>
              </w:rPr>
              <w:t>T</w:t>
            </w:r>
            <w:r>
              <w:rPr>
                <w:rFonts w:eastAsia="楷体" w:cs="Calibri"/>
                <w:bCs/>
                <w:sz w:val="20"/>
                <w:szCs w:val="20"/>
              </w:rPr>
              <w:t xml:space="preserve">XT </w:t>
            </w:r>
            <w:r>
              <w:rPr>
                <w:rFonts w:hint="eastAsia" w:eastAsia="楷体" w:cs="Calibri"/>
                <w:bCs/>
                <w:sz w:val="20"/>
                <w:szCs w:val="20"/>
              </w:rPr>
              <w:t>Official Website, HFI</w:t>
            </w:r>
          </w:p>
        </w:tc>
        <w:tc>
          <w:tcPr>
            <w:tcW w:w="241" w:type="dxa"/>
            <w:tcMar>
              <w:left w:w="0" w:type="dxa"/>
              <w:right w:w="28" w:type="dxa"/>
            </w:tcMar>
          </w:tcPr>
          <w:p w14:paraId="2F3DD672">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14:paraId="7258A528">
            <w:pPr>
              <w:spacing w:before="48" w:beforeLines="20" w:after="48" w:afterLines="20"/>
              <w:jc w:val="both"/>
              <w:rPr>
                <w:rFonts w:hint="eastAsia" w:ascii="楷体" w:hAnsi="楷体" w:eastAsia="楷体" w:cs="Calibri"/>
                <w:sz w:val="20"/>
                <w:szCs w:val="20"/>
              </w:rPr>
            </w:pPr>
            <w:r>
              <w:rPr>
                <w:rFonts w:hint="eastAsia" w:eastAsia="楷体" w:cs="Calibri"/>
                <w:b/>
                <w:sz w:val="20"/>
                <w:szCs w:val="20"/>
              </w:rPr>
              <w:t>Source</w:t>
            </w:r>
            <w:r>
              <w:rPr>
                <w:rFonts w:eastAsia="楷体" w:cs="Calibri"/>
                <w:b/>
                <w:sz w:val="20"/>
                <w:szCs w:val="20"/>
              </w:rPr>
              <w:t xml:space="preserve">: </w:t>
            </w:r>
            <w:r>
              <w:rPr>
                <w:rFonts w:hint="eastAsia" w:eastAsia="楷体" w:cs="Calibri"/>
                <w:bCs/>
                <w:sz w:val="20"/>
                <w:szCs w:val="20"/>
              </w:rPr>
              <w:t>T</w:t>
            </w:r>
            <w:r>
              <w:rPr>
                <w:rFonts w:eastAsia="楷体" w:cs="Calibri"/>
                <w:bCs/>
                <w:sz w:val="20"/>
                <w:szCs w:val="20"/>
              </w:rPr>
              <w:t xml:space="preserve">XT </w:t>
            </w:r>
            <w:r>
              <w:rPr>
                <w:rFonts w:hint="eastAsia" w:eastAsia="楷体" w:cs="Calibri"/>
                <w:bCs/>
                <w:sz w:val="20"/>
                <w:szCs w:val="20"/>
              </w:rPr>
              <w:t>Official Website, HFI</w:t>
            </w:r>
          </w:p>
        </w:tc>
      </w:tr>
    </w:tbl>
    <w:p w14:paraId="1827E5DF">
      <w:pPr>
        <w:pStyle w:val="77"/>
        <w:jc w:val="both"/>
        <w:rPr>
          <w:rFonts w:ascii="Calibri" w:hAnsi="Calibri" w:eastAsia="楷体" w:cs="Calibri"/>
          <w:color w:val="23558C"/>
          <w:sz w:val="24"/>
          <w:szCs w:val="24"/>
        </w:rPr>
      </w:pPr>
      <w:bookmarkStart w:id="27" w:name="_Toc220589936"/>
      <w:bookmarkStart w:id="28" w:name="_Toc220402647"/>
      <w:r>
        <w:rPr>
          <w:rFonts w:ascii="Calibri" w:hAnsi="Calibri" w:eastAsia="楷体" w:cs="Calibri"/>
          <w:color w:val="23558C"/>
          <w:sz w:val="24"/>
          <w:szCs w:val="24"/>
        </w:rPr>
        <w:t xml:space="preserve">4.1 Kautex: PHEV+EV </w:t>
      </w:r>
      <w:r>
        <w:rPr>
          <w:rFonts w:hint="eastAsia" w:ascii="Calibri" w:hAnsi="Calibri" w:eastAsia="楷体" w:cs="Calibri"/>
          <w:color w:val="23558C"/>
          <w:sz w:val="24"/>
          <w:szCs w:val="24"/>
        </w:rPr>
        <w:t>P</w:t>
      </w:r>
      <w:r>
        <w:rPr>
          <w:rFonts w:ascii="Calibri" w:hAnsi="Calibri" w:eastAsia="楷体" w:cs="Calibri"/>
          <w:color w:val="23558C"/>
          <w:sz w:val="24"/>
          <w:szCs w:val="24"/>
        </w:rPr>
        <w:t xml:space="preserve">enetration </w:t>
      </w:r>
      <w:r>
        <w:rPr>
          <w:rFonts w:hint="eastAsia" w:ascii="Calibri" w:hAnsi="Calibri" w:eastAsia="楷体" w:cs="Calibri"/>
          <w:color w:val="23558C"/>
          <w:sz w:val="24"/>
          <w:szCs w:val="24"/>
        </w:rPr>
        <w:t>R</w:t>
      </w:r>
      <w:r>
        <w:rPr>
          <w:rFonts w:ascii="Calibri" w:hAnsi="Calibri" w:eastAsia="楷体" w:cs="Calibri"/>
          <w:color w:val="23558C"/>
          <w:sz w:val="24"/>
          <w:szCs w:val="24"/>
        </w:rPr>
        <w:t xml:space="preserve">ate </w:t>
      </w:r>
      <w:r>
        <w:rPr>
          <w:rFonts w:hint="eastAsia" w:ascii="Calibri" w:hAnsi="Calibri" w:eastAsia="楷体" w:cs="Calibri"/>
          <w:color w:val="23558C"/>
          <w:sz w:val="24"/>
          <w:szCs w:val="24"/>
        </w:rPr>
        <w:t>I</w:t>
      </w:r>
      <w:r>
        <w:rPr>
          <w:rFonts w:ascii="Calibri" w:hAnsi="Calibri" w:eastAsia="楷体" w:cs="Calibri"/>
          <w:color w:val="23558C"/>
          <w:sz w:val="24"/>
          <w:szCs w:val="24"/>
        </w:rPr>
        <w:t xml:space="preserve">ncrease </w:t>
      </w:r>
      <w:r>
        <w:rPr>
          <w:rFonts w:hint="eastAsia" w:ascii="Calibri" w:hAnsi="Calibri" w:eastAsia="楷体" w:cs="Calibri"/>
          <w:color w:val="23558C"/>
          <w:sz w:val="24"/>
          <w:szCs w:val="24"/>
        </w:rPr>
        <w:t>D</w:t>
      </w:r>
      <w:r>
        <w:rPr>
          <w:rFonts w:ascii="Calibri" w:hAnsi="Calibri" w:eastAsia="楷体" w:cs="Calibri"/>
          <w:color w:val="23558C"/>
          <w:sz w:val="24"/>
          <w:szCs w:val="24"/>
        </w:rPr>
        <w:t xml:space="preserve">rives </w:t>
      </w:r>
      <w:r>
        <w:rPr>
          <w:rFonts w:hint="eastAsia" w:ascii="Calibri" w:hAnsi="Calibri" w:eastAsia="楷体" w:cs="Calibri"/>
          <w:color w:val="23558C"/>
          <w:sz w:val="24"/>
          <w:szCs w:val="24"/>
        </w:rPr>
        <w:t>B</w:t>
      </w:r>
      <w:r>
        <w:rPr>
          <w:rFonts w:ascii="Calibri" w:hAnsi="Calibri" w:eastAsia="楷体" w:cs="Calibri"/>
          <w:color w:val="23558C"/>
          <w:sz w:val="24"/>
          <w:szCs w:val="24"/>
        </w:rPr>
        <w:t xml:space="preserve">usiness </w:t>
      </w:r>
      <w:r>
        <w:rPr>
          <w:rFonts w:hint="eastAsia" w:ascii="Calibri" w:hAnsi="Calibri" w:eastAsia="楷体" w:cs="Calibri"/>
          <w:color w:val="23558C"/>
          <w:sz w:val="24"/>
          <w:szCs w:val="24"/>
        </w:rPr>
        <w:t>R</w:t>
      </w:r>
      <w:r>
        <w:rPr>
          <w:rFonts w:ascii="Calibri" w:hAnsi="Calibri" w:eastAsia="楷体" w:cs="Calibri"/>
          <w:color w:val="23558C"/>
          <w:sz w:val="24"/>
          <w:szCs w:val="24"/>
        </w:rPr>
        <w:t xml:space="preserve">evenue </w:t>
      </w:r>
      <w:r>
        <w:rPr>
          <w:rFonts w:hint="eastAsia" w:ascii="Calibri" w:hAnsi="Calibri" w:eastAsia="楷体" w:cs="Calibri"/>
          <w:color w:val="23558C"/>
          <w:sz w:val="24"/>
          <w:szCs w:val="24"/>
        </w:rPr>
        <w:t>U</w:t>
      </w:r>
      <w:r>
        <w:rPr>
          <w:rFonts w:ascii="Calibri" w:hAnsi="Calibri" w:eastAsia="楷体" w:cs="Calibri"/>
          <w:color w:val="23558C"/>
          <w:sz w:val="24"/>
          <w:szCs w:val="24"/>
        </w:rPr>
        <w:t>pward</w:t>
      </w:r>
      <w:bookmarkEnd w:id="27"/>
    </w:p>
    <w:p w14:paraId="4DAA4FB6">
      <w:pPr>
        <w:jc w:val="both"/>
        <w:rPr>
          <w:rFonts w:eastAsia="楷体" w:cs="Calibri"/>
          <w:sz w:val="22"/>
          <w:szCs w:val="22"/>
        </w:rPr>
      </w:pPr>
      <w:r>
        <w:rPr>
          <w:rFonts w:eastAsia="楷体" w:cs="Calibri"/>
          <w:sz w:val="22"/>
          <w:szCs w:val="22"/>
        </w:rPr>
        <w:t>Kautex is a core subsidiary of Textron's industrial business segment, a globally leading Tier 1 automotive components supplier (one of the top 100 global automotive suppliers), focusing on the design, development, and manufacturing of blow-molded plastic fuel systems and related functional components. Kautex was founded in 1935, acquired by Textron in 1996, currently headquartered in Bonn, Germany, with approximately 30 factories in 13 countries, about 7,000 employees, and as of 202</w:t>
      </w:r>
      <w:r>
        <w:rPr>
          <w:rFonts w:hint="eastAsia" w:eastAsia="楷体" w:cs="Calibri"/>
          <w:sz w:val="22"/>
          <w:szCs w:val="22"/>
        </w:rPr>
        <w:t>5</w:t>
      </w:r>
      <w:r>
        <w:rPr>
          <w:rFonts w:eastAsia="楷体" w:cs="Calibri"/>
          <w:sz w:val="22"/>
          <w:szCs w:val="22"/>
        </w:rPr>
        <w:t xml:space="preserve">, this business segment's revenue reached </w:t>
      </w:r>
      <w:r>
        <w:rPr>
          <w:rFonts w:hint="eastAsia" w:eastAsia="楷体" w:cs="Calibri"/>
          <w:sz w:val="22"/>
          <w:szCs w:val="22"/>
        </w:rPr>
        <w:t>1.912</w:t>
      </w:r>
      <w:r>
        <w:rPr>
          <w:rFonts w:eastAsia="楷体" w:cs="Calibri"/>
          <w:sz w:val="22"/>
          <w:szCs w:val="22"/>
        </w:rPr>
        <w:t xml:space="preserve"> billion USD.</w:t>
      </w:r>
      <w:bookmarkEnd w:id="28"/>
    </w:p>
    <w:p w14:paraId="2639506F">
      <w:pPr>
        <w:jc w:val="both"/>
        <w:rPr>
          <w:rFonts w:eastAsia="楷体" w:cs="Calibri"/>
          <w:sz w:val="22"/>
          <w:szCs w:val="22"/>
        </w:rPr>
      </w:pPr>
    </w:p>
    <w:p w14:paraId="566F4DE1">
      <w:pPr>
        <w:jc w:val="both"/>
        <w:rPr>
          <w:rFonts w:eastAsia="楷体" w:cs="Calibri"/>
          <w:sz w:val="22"/>
          <w:szCs w:val="22"/>
        </w:rPr>
      </w:pPr>
    </w:p>
    <w:p w14:paraId="630F0792">
      <w:pPr>
        <w:jc w:val="both"/>
        <w:rPr>
          <w:rFonts w:eastAsia="楷体" w:cs="Calibri"/>
          <w:sz w:val="22"/>
          <w:szCs w:val="22"/>
        </w:rPr>
      </w:pPr>
    </w:p>
    <w:p w14:paraId="3945390B">
      <w:pPr>
        <w:jc w:val="both"/>
        <w:rPr>
          <w:rFonts w:eastAsia="楷体" w:cs="Calibri"/>
          <w:sz w:val="22"/>
          <w:szCs w:val="22"/>
        </w:rPr>
      </w:pPr>
    </w:p>
    <w:p w14:paraId="314C354F">
      <w:pPr>
        <w:jc w:val="both"/>
        <w:rPr>
          <w:rFonts w:eastAsia="楷体" w:cs="Calibri"/>
          <w:sz w:val="22"/>
          <w:szCs w:val="22"/>
        </w:rPr>
      </w:pPr>
    </w:p>
    <w:p w14:paraId="1FE5502B">
      <w:pPr>
        <w:jc w:val="both"/>
        <w:rPr>
          <w:rFonts w:eastAsia="楷体" w:cs="Calibri"/>
          <w:sz w:val="22"/>
          <w:szCs w:val="22"/>
        </w:rPr>
      </w:pPr>
    </w:p>
    <w:p w14:paraId="541C9E06">
      <w:pPr>
        <w:jc w:val="both"/>
        <w:rPr>
          <w:rFonts w:eastAsia="楷体" w:cs="Calibri"/>
          <w:sz w:val="22"/>
          <w:szCs w:val="22"/>
        </w:rPr>
      </w:pPr>
    </w:p>
    <w:p w14:paraId="19C0DFB2">
      <w:pPr>
        <w:jc w:val="both"/>
        <w:rPr>
          <w:rFonts w:eastAsia="楷体" w:cs="Calibri"/>
          <w:sz w:val="22"/>
          <w:szCs w:val="22"/>
        </w:rPr>
      </w:pPr>
    </w:p>
    <w:tbl>
      <w:tblPr>
        <w:tblStyle w:val="20"/>
        <w:tblW w:w="79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59"/>
      </w:tblGrid>
      <w:tr w14:paraId="52866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9" w:type="dxa"/>
            <w:tcBorders>
              <w:bottom w:val="single" w:color="auto" w:sz="4" w:space="0"/>
            </w:tcBorders>
          </w:tcPr>
          <w:p w14:paraId="17527CB1">
            <w:pPr>
              <w:rPr>
                <w:rFonts w:hint="eastAsia" w:ascii="楷体" w:hAnsi="楷体" w:eastAsia="楷体" w:cstheme="minorHAnsi"/>
                <w:b/>
                <w:bCs/>
                <w:kern w:val="2"/>
                <w:sz w:val="22"/>
                <w:szCs w:val="22"/>
              </w:rPr>
            </w:pPr>
            <w:r>
              <w:rPr>
                <w:rFonts w:hint="eastAsia" w:eastAsia="楷体" w:cs="Calibri"/>
                <w:b/>
                <w:bCs/>
                <w:sz w:val="20"/>
                <w:szCs w:val="20"/>
              </w:rPr>
              <w:t>Figure: Kautex Development History</w:t>
            </w:r>
          </w:p>
        </w:tc>
      </w:tr>
      <w:tr w14:paraId="73902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9" w:type="dxa"/>
            <w:tcBorders>
              <w:top w:val="single" w:color="auto" w:sz="4" w:space="0"/>
              <w:bottom w:val="single" w:color="auto" w:sz="4" w:space="0"/>
            </w:tcBorders>
          </w:tcPr>
          <w:p w14:paraId="085D04DC">
            <w:pPr>
              <w:rPr>
                <w:rFonts w:hint="eastAsia" w:eastAsia="楷体" w:asciiTheme="minorHAnsi" w:hAnsiTheme="minorHAnsi" w:cstheme="minorHAnsi"/>
                <w:kern w:val="2"/>
                <w:sz w:val="22"/>
                <w:szCs w:val="22"/>
              </w:rPr>
            </w:pPr>
            <w:r>
              <w:rPr>
                <w:rFonts w:cs="等线"/>
                <w:snapToGrid/>
              </w:rPr>
              <w:drawing>
                <wp:inline distT="0" distB="0" distL="0" distR="0">
                  <wp:extent cx="4916805" cy="3855085"/>
                  <wp:effectExtent l="0" t="0" r="0" b="0"/>
                  <wp:docPr id="9684489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48908" name="图片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916805" cy="3855085"/>
                          </a:xfrm>
                          <a:prstGeom prst="rect">
                            <a:avLst/>
                          </a:prstGeom>
                          <a:noFill/>
                        </pic:spPr>
                      </pic:pic>
                    </a:graphicData>
                  </a:graphic>
                </wp:inline>
              </w:drawing>
            </w:r>
          </w:p>
        </w:tc>
      </w:tr>
      <w:tr w14:paraId="6C1F4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trPr>
        <w:tc>
          <w:tcPr>
            <w:tcW w:w="7959" w:type="dxa"/>
            <w:tcBorders>
              <w:top w:val="single" w:color="auto" w:sz="4" w:space="0"/>
            </w:tcBorders>
          </w:tcPr>
          <w:p w14:paraId="7B399BEA">
            <w:pPr>
              <w:rPr>
                <w:rFonts w:hint="eastAsia" w:ascii="楷体" w:hAnsi="楷体" w:eastAsia="楷体" w:cstheme="minorHAnsi"/>
                <w:b/>
                <w:bCs/>
                <w:kern w:val="2"/>
                <w:sz w:val="22"/>
                <w:szCs w:val="22"/>
              </w:rPr>
            </w:pPr>
            <w:r>
              <w:rPr>
                <w:rFonts w:hint="eastAsia" w:eastAsia="楷体" w:cs="Calibri"/>
                <w:b/>
                <w:sz w:val="20"/>
                <w:szCs w:val="20"/>
              </w:rPr>
              <w:t>Source</w:t>
            </w:r>
            <w:r>
              <w:rPr>
                <w:rFonts w:eastAsia="楷体" w:cs="Calibri"/>
                <w:b/>
                <w:sz w:val="20"/>
                <w:szCs w:val="20"/>
              </w:rPr>
              <w:t xml:space="preserve">: </w:t>
            </w:r>
            <w:r>
              <w:rPr>
                <w:rFonts w:hint="eastAsia" w:eastAsia="楷体" w:cs="Calibri"/>
                <w:sz w:val="20"/>
                <w:szCs w:val="20"/>
              </w:rPr>
              <w:t>Kautex</w:t>
            </w:r>
            <w:r>
              <w:rPr>
                <w:rFonts w:hint="eastAsia" w:eastAsia="楷体" w:cs="Calibri"/>
                <w:bCs/>
                <w:sz w:val="20"/>
                <w:szCs w:val="20"/>
              </w:rPr>
              <w:t xml:space="preserve"> Official Website, HFI</w:t>
            </w:r>
          </w:p>
        </w:tc>
      </w:tr>
    </w:tbl>
    <w:p w14:paraId="07C3EB82">
      <w:pPr>
        <w:jc w:val="both"/>
        <w:rPr>
          <w:rFonts w:eastAsia="楷体" w:cs="Calibri"/>
          <w:sz w:val="22"/>
          <w:szCs w:val="22"/>
        </w:rPr>
      </w:pPr>
    </w:p>
    <w:p w14:paraId="022EA216">
      <w:pPr>
        <w:jc w:val="both"/>
        <w:rPr>
          <w:rFonts w:eastAsia="楷体" w:cs="Calibri"/>
          <w:sz w:val="22"/>
          <w:szCs w:val="22"/>
        </w:rPr>
      </w:pPr>
      <w:r>
        <w:rPr>
          <w:rFonts w:eastAsia="楷体" w:cs="Calibri"/>
          <w:b/>
          <w:bCs/>
          <w:sz w:val="22"/>
          <w:szCs w:val="22"/>
        </w:rPr>
        <w:t>Kautex's core business is the use of blow molding technology to produce lightweight, corrosion-resistant, high-performance plastic components, with products mainly divided into three major categories: traditional and hybrid fuel systems, electric vehicle and new energy-related components, other functional components and industrial packaging.</w:t>
      </w:r>
      <w:r>
        <w:rPr>
          <w:rFonts w:cs="Calibri"/>
          <w:sz w:val="22"/>
          <w:szCs w:val="22"/>
        </w:rPr>
        <w:t xml:space="preserve"> </w:t>
      </w:r>
      <w:r>
        <w:rPr>
          <w:rFonts w:eastAsia="楷体" w:cs="Calibri"/>
          <w:sz w:val="22"/>
          <w:szCs w:val="22"/>
        </w:rPr>
        <w:t>Among them, traditional and hybrid fuel system products include multi-layer co-extruded blow-molded fuel tanks, high-pressure fuel tanks, selective catalytic reduction systems, etc.; electric vehicle and new energy-related components include battery casings/lower protection plates, high-pressure hydrogen storage tanks; other functional components and industrial packaging include clear vision systems, headlight and windshield cleaning systems, industrial plastic packaging, etc.</w:t>
      </w:r>
    </w:p>
    <w:p w14:paraId="520CE0E3">
      <w:pPr>
        <w:jc w:val="both"/>
        <w:rPr>
          <w:rFonts w:eastAsia="楷体" w:cs="Calibri"/>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7C3B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31C3577">
            <w:pPr>
              <w:rPr>
                <w:rFonts w:hint="eastAsia" w:ascii="楷体" w:hAnsi="楷体" w:eastAsia="楷体" w:cstheme="minorHAnsi"/>
                <w:b/>
                <w:bCs/>
                <w:kern w:val="2"/>
                <w:sz w:val="22"/>
                <w:szCs w:val="22"/>
              </w:rPr>
            </w:pPr>
            <w:r>
              <w:rPr>
                <w:rFonts w:eastAsia="楷体" w:cs="Calibri"/>
                <w:b/>
                <w:bCs/>
                <w:kern w:val="2"/>
                <w:sz w:val="20"/>
                <w:szCs w:val="20"/>
              </w:rPr>
              <w:t xml:space="preserve">Figure: </w:t>
            </w:r>
            <w:r>
              <w:rPr>
                <w:rFonts w:hint="eastAsia" w:eastAsia="楷体" w:cs="Calibri"/>
                <w:b/>
                <w:bCs/>
                <w:kern w:val="2"/>
                <w:sz w:val="20"/>
                <w:szCs w:val="20"/>
              </w:rPr>
              <w:t>C</w:t>
            </w:r>
            <w:r>
              <w:rPr>
                <w:rFonts w:eastAsia="楷体" w:cs="Calibri"/>
                <w:b/>
                <w:bCs/>
                <w:kern w:val="2"/>
                <w:sz w:val="20"/>
                <w:szCs w:val="20"/>
              </w:rPr>
              <w:t xml:space="preserve">ore business </w:t>
            </w:r>
            <w:r>
              <w:rPr>
                <w:rFonts w:hint="eastAsia" w:eastAsia="楷体" w:cs="Calibri"/>
                <w:b/>
                <w:bCs/>
                <w:kern w:val="2"/>
                <w:sz w:val="20"/>
                <w:szCs w:val="20"/>
              </w:rPr>
              <w:t xml:space="preserve">of </w:t>
            </w:r>
            <w:r>
              <w:rPr>
                <w:rFonts w:eastAsia="楷体" w:cs="Calibri"/>
                <w:b/>
                <w:bCs/>
                <w:kern w:val="2"/>
                <w:sz w:val="20"/>
                <w:szCs w:val="20"/>
              </w:rPr>
              <w:t>Kautex</w:t>
            </w:r>
          </w:p>
        </w:tc>
      </w:tr>
      <w:tr w14:paraId="41F56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230B751">
            <w:pPr>
              <w:rPr>
                <w:rFonts w:hint="eastAsia" w:eastAsia="楷体" w:asciiTheme="minorHAnsi" w:hAnsiTheme="minorHAnsi" w:cstheme="minorHAnsi"/>
                <w:kern w:val="2"/>
                <w:sz w:val="22"/>
                <w:szCs w:val="22"/>
              </w:rPr>
            </w:pPr>
            <w:r>
              <w:rPr>
                <w:rFonts w:cs="等线"/>
                <w:snapToGrid/>
              </w:rPr>
              <w:drawing>
                <wp:inline distT="0" distB="0" distL="0" distR="0">
                  <wp:extent cx="4766310" cy="850900"/>
                  <wp:effectExtent l="0" t="0" r="0" b="6350"/>
                  <wp:docPr id="5849818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1857" name="图片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787119" cy="855054"/>
                          </a:xfrm>
                          <a:prstGeom prst="rect">
                            <a:avLst/>
                          </a:prstGeom>
                          <a:noFill/>
                        </pic:spPr>
                      </pic:pic>
                    </a:graphicData>
                  </a:graphic>
                </wp:inline>
              </w:drawing>
            </w:r>
          </w:p>
        </w:tc>
      </w:tr>
      <w:tr w14:paraId="23932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7E9B36D3">
            <w:pPr>
              <w:rPr>
                <w:rFonts w:hint="eastAsia" w:ascii="楷体" w:hAnsi="楷体" w:eastAsia="楷体" w:cstheme="minorHAnsi"/>
                <w:b/>
                <w:bCs/>
                <w:kern w:val="2"/>
                <w:sz w:val="22"/>
                <w:szCs w:val="22"/>
              </w:rPr>
            </w:pPr>
            <w:r>
              <w:rPr>
                <w:rFonts w:hint="eastAsia" w:eastAsia="楷体" w:cs="Calibri"/>
                <w:b/>
                <w:sz w:val="20"/>
                <w:szCs w:val="20"/>
              </w:rPr>
              <w:t>Source</w:t>
            </w:r>
            <w:r>
              <w:rPr>
                <w:rFonts w:eastAsia="楷体" w:cs="Calibri"/>
                <w:b/>
                <w:sz w:val="20"/>
                <w:szCs w:val="20"/>
              </w:rPr>
              <w:t xml:space="preserve">: </w:t>
            </w:r>
            <w:r>
              <w:rPr>
                <w:rFonts w:hint="eastAsia" w:eastAsia="楷体" w:cs="Calibri"/>
                <w:sz w:val="20"/>
                <w:szCs w:val="20"/>
              </w:rPr>
              <w:t>Kautex</w:t>
            </w:r>
            <w:r>
              <w:rPr>
                <w:rFonts w:hint="eastAsia" w:eastAsia="楷体" w:cs="Calibri"/>
                <w:bCs/>
                <w:sz w:val="20"/>
                <w:szCs w:val="20"/>
              </w:rPr>
              <w:t xml:space="preserve"> Official Website, HFI</w:t>
            </w:r>
          </w:p>
        </w:tc>
      </w:tr>
    </w:tbl>
    <w:p w14:paraId="6064C865">
      <w:pPr>
        <w:jc w:val="both"/>
        <w:rPr>
          <w:rFonts w:eastAsia="楷体" w:cs="Calibri"/>
          <w:sz w:val="22"/>
          <w:szCs w:val="22"/>
        </w:rPr>
      </w:pPr>
    </w:p>
    <w:p w14:paraId="1568A4E8">
      <w:pPr>
        <w:pStyle w:val="37"/>
        <w:numPr>
          <w:ilvl w:val="0"/>
          <w:numId w:val="4"/>
        </w:numPr>
        <w:jc w:val="both"/>
        <w:rPr>
          <w:rFonts w:eastAsia="楷体" w:cs="Calibri"/>
          <w:b/>
          <w:bCs/>
          <w:sz w:val="22"/>
          <w:szCs w:val="22"/>
        </w:rPr>
      </w:pPr>
      <w:r>
        <w:rPr>
          <w:rFonts w:eastAsia="楷体" w:cs="Calibri"/>
          <w:b/>
          <w:bCs/>
          <w:sz w:val="22"/>
          <w:szCs w:val="22"/>
        </w:rPr>
        <w:t>Kautex future</w:t>
      </w:r>
      <w:r>
        <w:rPr>
          <w:rFonts w:hint="eastAsia" w:eastAsia="楷体" w:cs="Calibri"/>
          <w:b/>
          <w:bCs/>
          <w:sz w:val="22"/>
          <w:szCs w:val="22"/>
        </w:rPr>
        <w:t xml:space="preserve"> highlights</w:t>
      </w:r>
      <w:r>
        <w:rPr>
          <w:rFonts w:eastAsia="楷体" w:cs="Calibri"/>
          <w:b/>
          <w:bCs/>
          <w:sz w:val="22"/>
          <w:szCs w:val="22"/>
        </w:rPr>
        <w:t xml:space="preserve"> </w:t>
      </w:r>
    </w:p>
    <w:p w14:paraId="6A8B266E">
      <w:pPr>
        <w:jc w:val="both"/>
        <w:rPr>
          <w:rFonts w:eastAsia="楷体" w:cs="Calibri"/>
          <w:b/>
          <w:bCs/>
          <w:sz w:val="22"/>
          <w:szCs w:val="22"/>
        </w:rPr>
      </w:pPr>
    </w:p>
    <w:p w14:paraId="774E351B">
      <w:pPr>
        <w:jc w:val="both"/>
        <w:rPr>
          <w:rFonts w:eastAsia="楷体" w:cs="Calibri"/>
          <w:b/>
          <w:bCs/>
          <w:sz w:val="22"/>
          <w:szCs w:val="22"/>
        </w:rPr>
      </w:pPr>
      <w:r>
        <w:rPr>
          <w:rFonts w:eastAsia="楷体" w:cs="Calibri"/>
          <w:b/>
          <w:bCs/>
          <w:sz w:val="22"/>
          <w:szCs w:val="22"/>
        </w:rPr>
        <w:t>1）Fuel system business: Expected to show steady and high-value growth</w:t>
      </w:r>
    </w:p>
    <w:p w14:paraId="0E584346">
      <w:pPr>
        <w:jc w:val="both"/>
        <w:rPr>
          <w:rFonts w:eastAsia="楷体" w:cs="Calibri"/>
          <w:sz w:val="22"/>
          <w:szCs w:val="22"/>
        </w:rPr>
      </w:pPr>
      <w:r>
        <w:rPr>
          <w:rFonts w:eastAsia="楷体" w:cs="Calibri"/>
          <w:sz w:val="22"/>
          <w:szCs w:val="22"/>
        </w:rPr>
        <w:t>With the basic support from internal combustion engine (ICE) vehicle production, global light vehicle sales in 2025 are expected to exceed 91 million units, with ICE still accounting for more than 70%, providing support for Kautex's traditional fuel business; at the same time, hybrid vehicle penetration continues to increase, with PHEV sales growth of 20-30% in 2025, and penetration rate moving from ~6% in 2024 to higher levels, driving strong demand for high-requirement fuel systems (such as Hybr® technology), which is expected to further boost the high-pressure fuel tank business upward growth.</w:t>
      </w:r>
    </w:p>
    <w:p w14:paraId="6B198EA6">
      <w:pPr>
        <w:jc w:val="both"/>
        <w:rPr>
          <w:rFonts w:eastAsia="楷体" w:cs="Calibri"/>
          <w:sz w:val="20"/>
          <w:szCs w:val="20"/>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790F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4E825550">
            <w:pPr>
              <w:rPr>
                <w:rFonts w:hint="eastAsia" w:ascii="楷体" w:hAnsi="楷体" w:eastAsia="楷体" w:cstheme="minorHAnsi"/>
                <w:b/>
                <w:bCs/>
                <w:kern w:val="2"/>
                <w:sz w:val="20"/>
                <w:szCs w:val="20"/>
              </w:rPr>
            </w:pPr>
            <w:r>
              <w:rPr>
                <w:rFonts w:eastAsia="楷体" w:cs="Calibri"/>
                <w:b/>
                <w:bCs/>
                <w:kern w:val="2"/>
                <w:sz w:val="20"/>
                <w:szCs w:val="20"/>
              </w:rPr>
              <w:t>Figure: Global hybrid vehicle (PHEV) sales changes from 2014 to 2024 (unit: million units)</w:t>
            </w:r>
          </w:p>
        </w:tc>
      </w:tr>
      <w:tr w14:paraId="5B665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6CE65561">
            <w:pPr>
              <w:rPr>
                <w:rFonts w:hint="eastAsia" w:eastAsia="楷体" w:asciiTheme="minorHAnsi" w:hAnsiTheme="minorHAnsi" w:cstheme="minorHAnsi"/>
                <w:kern w:val="2"/>
                <w:sz w:val="22"/>
                <w:szCs w:val="22"/>
              </w:rPr>
            </w:pPr>
            <w:r>
              <w:rPr>
                <w:rFonts w:cs="等线"/>
                <w:snapToGrid/>
              </w:rPr>
              <w:drawing>
                <wp:inline distT="0" distB="0" distL="0" distR="0">
                  <wp:extent cx="4746625" cy="2253615"/>
                  <wp:effectExtent l="0" t="0" r="0" b="0"/>
                  <wp:docPr id="55959863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r>
      <w:tr w14:paraId="7D210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7F766C2E">
            <w:pPr>
              <w:rPr>
                <w:rFonts w:hint="eastAsia" w:ascii="楷体" w:hAnsi="楷体" w:eastAsia="楷体" w:cstheme="minorHAnsi"/>
                <w:b/>
                <w:bCs/>
                <w:kern w:val="2"/>
                <w:sz w:val="22"/>
                <w:szCs w:val="22"/>
              </w:rPr>
            </w:pPr>
            <w:r>
              <w:rPr>
                <w:rFonts w:eastAsia="楷体" w:cs="Calibri"/>
                <w:b/>
                <w:bCs/>
                <w:kern w:val="2"/>
                <w:sz w:val="20"/>
                <w:szCs w:val="20"/>
              </w:rPr>
              <w:t xml:space="preserve">Source: </w:t>
            </w:r>
            <w:r>
              <w:rPr>
                <w:rFonts w:eastAsia="楷体" w:cs="Calibri"/>
                <w:sz w:val="20"/>
                <w:szCs w:val="20"/>
              </w:rPr>
              <w:t>IEA, HFI</w:t>
            </w:r>
          </w:p>
        </w:tc>
      </w:tr>
    </w:tbl>
    <w:p w14:paraId="785AC0F6">
      <w:pPr>
        <w:jc w:val="both"/>
        <w:rPr>
          <w:rFonts w:eastAsia="楷体" w:cs="Calibri"/>
          <w:sz w:val="22"/>
          <w:szCs w:val="22"/>
        </w:rPr>
      </w:pPr>
    </w:p>
    <w:p w14:paraId="4CA985E4">
      <w:pPr>
        <w:jc w:val="both"/>
        <w:rPr>
          <w:rFonts w:eastAsia="楷体" w:cs="Calibri"/>
          <w:b/>
          <w:bCs/>
          <w:sz w:val="22"/>
          <w:szCs w:val="22"/>
        </w:rPr>
      </w:pPr>
      <w:r>
        <w:rPr>
          <w:rFonts w:eastAsia="楷体" w:cs="Calibri"/>
          <w:b/>
          <w:bCs/>
          <w:sz w:val="22"/>
          <w:szCs w:val="22"/>
        </w:rPr>
        <w:t>2）Electric vehicle and new energy components business: Industry growth drives demand upward</w:t>
      </w:r>
    </w:p>
    <w:p w14:paraId="1E8264A8">
      <w:pPr>
        <w:jc w:val="both"/>
        <w:rPr>
          <w:rFonts w:eastAsia="楷体" w:cs="Calibri"/>
          <w:sz w:val="22"/>
          <w:szCs w:val="22"/>
        </w:rPr>
      </w:pPr>
      <w:r>
        <w:rPr>
          <w:rFonts w:eastAsia="楷体" w:cs="Calibri"/>
          <w:b/>
          <w:bCs/>
          <w:sz w:val="22"/>
          <w:szCs w:val="22"/>
        </w:rPr>
        <w:t xml:space="preserve">The continuous acceleration of global electric vehicle (EV) penetration rate is expected to drive rapid growth in the electric vehicle and new energy business. </w:t>
      </w:r>
      <w:r>
        <w:rPr>
          <w:rFonts w:eastAsia="楷体" w:cs="Calibri"/>
          <w:sz w:val="22"/>
          <w:szCs w:val="22"/>
        </w:rPr>
        <w:t xml:space="preserve">In 2024, global electric vehicle sales increased by 25%, reaching 17.8 million units. The *Electric Vehicle Sales Report* forecasts that EV sales will hit 23.7 million units in 2025, with a market share of 25.5%. By 2040, global EV sales are expected to grow to nearly 90 million units, accounting for 27.5% of total sales in 2026, 43.2% in 2030, and exceeding 83% by 2040. The rapid rise in global EV penetration is driving significant demand for battery housings and underbody battery shields. Kautex, leveraging its expertise in blow molding technology, offers products like the </w:t>
      </w:r>
      <w:r>
        <w:rPr>
          <w:rFonts w:eastAsia="楷体" w:cs="Calibri"/>
          <w:b/>
          <w:bCs/>
          <w:sz w:val="22"/>
          <w:szCs w:val="22"/>
        </w:rPr>
        <w:t>Pentatonic battery housing</w:t>
      </w:r>
      <w:r>
        <w:rPr>
          <w:rFonts w:eastAsia="楷体" w:cs="Calibri"/>
          <w:sz w:val="22"/>
          <w:szCs w:val="22"/>
        </w:rPr>
        <w:t>, which address the critical needs of EVs for lightweight design, safety protection, and functional integration, positioning the company for strong growth.</w:t>
      </w:r>
    </w:p>
    <w:p w14:paraId="0B5C38EE">
      <w:pPr>
        <w:jc w:val="both"/>
        <w:rPr>
          <w:rFonts w:eastAsia="楷体" w:cs="Calibri"/>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75362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6C00C944">
            <w:pPr>
              <w:rPr>
                <w:rFonts w:hint="eastAsia" w:ascii="楷体" w:hAnsi="楷体" w:eastAsia="楷体" w:cstheme="minorHAnsi"/>
                <w:b/>
                <w:bCs/>
                <w:kern w:val="2"/>
                <w:sz w:val="22"/>
                <w:szCs w:val="22"/>
              </w:rPr>
            </w:pPr>
            <w:r>
              <w:rPr>
                <w:rFonts w:eastAsia="楷体" w:cs="Calibri"/>
                <w:b/>
                <w:bCs/>
                <w:kern w:val="2"/>
                <w:sz w:val="20"/>
                <w:szCs w:val="20"/>
              </w:rPr>
              <w:t>Figure: Global electric vehicle share of the light vehicle market and projected trends for 2025–2040</w:t>
            </w:r>
          </w:p>
        </w:tc>
      </w:tr>
      <w:tr w14:paraId="080D1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39BC4E1A">
            <w:pPr>
              <w:rPr>
                <w:rFonts w:hint="eastAsia" w:eastAsia="楷体" w:asciiTheme="minorHAnsi" w:hAnsiTheme="minorHAnsi" w:cstheme="minorHAnsi"/>
                <w:kern w:val="2"/>
                <w:sz w:val="22"/>
                <w:szCs w:val="22"/>
              </w:rPr>
            </w:pPr>
            <w:r>
              <w:rPr>
                <w:rFonts w:cs="等线"/>
                <w:snapToGrid/>
              </w:rPr>
              <w:drawing>
                <wp:inline distT="0" distB="0" distL="0" distR="0">
                  <wp:extent cx="4572000" cy="2122170"/>
                  <wp:effectExtent l="0" t="0" r="0" b="0"/>
                  <wp:docPr id="114402906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r>
      <w:tr w14:paraId="5E167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7A3854B4">
            <w:pPr>
              <w:rPr>
                <w:rFonts w:hint="eastAsia" w:ascii="楷体" w:hAnsi="楷体" w:eastAsia="楷体" w:cstheme="minorHAnsi"/>
                <w:b/>
                <w:bCs/>
                <w:kern w:val="2"/>
                <w:sz w:val="22"/>
                <w:szCs w:val="22"/>
              </w:rPr>
            </w:pPr>
            <w:r>
              <w:rPr>
                <w:rFonts w:eastAsia="楷体" w:cs="Calibri"/>
                <w:b/>
                <w:bCs/>
                <w:kern w:val="2"/>
                <w:sz w:val="20"/>
                <w:szCs w:val="20"/>
              </w:rPr>
              <w:t xml:space="preserve">Source: </w:t>
            </w:r>
            <w:r>
              <w:rPr>
                <w:rFonts w:eastAsia="楷体" w:cs="Calibri"/>
                <w:b/>
                <w:bCs/>
                <w:sz w:val="20"/>
                <w:szCs w:val="20"/>
              </w:rPr>
              <w:t>EV Volumes, HFI</w:t>
            </w:r>
          </w:p>
        </w:tc>
      </w:tr>
    </w:tbl>
    <w:p w14:paraId="0294277F">
      <w:pPr>
        <w:pStyle w:val="77"/>
        <w:jc w:val="both"/>
        <w:rPr>
          <w:rFonts w:ascii="Calibri" w:hAnsi="Calibri" w:eastAsia="楷体" w:cs="Calibri"/>
          <w:color w:val="23558C"/>
          <w:sz w:val="24"/>
          <w:szCs w:val="24"/>
        </w:rPr>
      </w:pPr>
      <w:bookmarkStart w:id="29" w:name="_Toc220354665"/>
      <w:bookmarkStart w:id="30" w:name="_Toc220589937"/>
      <w:r>
        <w:rPr>
          <w:rFonts w:ascii="Calibri" w:hAnsi="Calibri" w:eastAsia="楷体" w:cs="Calibri"/>
          <w:color w:val="23558C"/>
          <w:sz w:val="24"/>
          <w:szCs w:val="24"/>
        </w:rPr>
        <w:t>4.2 Specialized Vehicles</w:t>
      </w:r>
      <w:bookmarkEnd w:id="29"/>
      <w:r>
        <w:rPr>
          <w:rFonts w:ascii="Calibri" w:hAnsi="Calibri" w:eastAsia="楷体" w:cs="Calibri"/>
          <w:color w:val="23558C"/>
          <w:sz w:val="24"/>
          <w:szCs w:val="24"/>
        </w:rPr>
        <w:t xml:space="preserve">: </w:t>
      </w:r>
      <w:r>
        <w:rPr>
          <w:rFonts w:hint="eastAsia" w:ascii="Calibri" w:hAnsi="Calibri" w:eastAsia="楷体" w:cs="Calibri"/>
          <w:color w:val="23558C"/>
          <w:sz w:val="24"/>
          <w:szCs w:val="24"/>
        </w:rPr>
        <w:t>D</w:t>
      </w:r>
      <w:r>
        <w:rPr>
          <w:rFonts w:ascii="Calibri" w:hAnsi="Calibri" w:eastAsia="楷体" w:cs="Calibri"/>
          <w:color w:val="23558C"/>
          <w:sz w:val="24"/>
          <w:szCs w:val="24"/>
        </w:rPr>
        <w:t xml:space="preserve">emand fluctuates, with limited </w:t>
      </w:r>
      <w:r>
        <w:rPr>
          <w:rFonts w:hint="eastAsia" w:ascii="Calibri" w:hAnsi="Calibri" w:eastAsia="楷体" w:cs="Calibri"/>
          <w:color w:val="23558C"/>
          <w:sz w:val="24"/>
          <w:szCs w:val="24"/>
        </w:rPr>
        <w:t>S</w:t>
      </w:r>
      <w:r>
        <w:rPr>
          <w:rFonts w:ascii="Calibri" w:hAnsi="Calibri" w:eastAsia="楷体" w:cs="Calibri"/>
          <w:color w:val="23558C"/>
          <w:sz w:val="24"/>
          <w:szCs w:val="24"/>
        </w:rPr>
        <w:t xml:space="preserve">hort-term </w:t>
      </w:r>
      <w:r>
        <w:rPr>
          <w:rFonts w:hint="eastAsia" w:ascii="Calibri" w:hAnsi="Calibri" w:eastAsia="楷体" w:cs="Calibri"/>
          <w:color w:val="23558C"/>
          <w:sz w:val="24"/>
          <w:szCs w:val="24"/>
        </w:rPr>
        <w:t>M</w:t>
      </w:r>
      <w:r>
        <w:rPr>
          <w:rFonts w:ascii="Calibri" w:hAnsi="Calibri" w:eastAsia="楷体" w:cs="Calibri"/>
          <w:color w:val="23558C"/>
          <w:sz w:val="24"/>
          <w:szCs w:val="24"/>
        </w:rPr>
        <w:t>omentum</w:t>
      </w:r>
      <w:bookmarkEnd w:id="30"/>
    </w:p>
    <w:p w14:paraId="08BBF501">
      <w:pPr>
        <w:jc w:val="both"/>
        <w:rPr>
          <w:rFonts w:eastAsia="楷体" w:cs="Calibri"/>
          <w:sz w:val="22"/>
          <w:szCs w:val="22"/>
        </w:rPr>
      </w:pPr>
      <w:r>
        <w:rPr>
          <w:rFonts w:eastAsia="楷体" w:cs="Calibri"/>
          <w:b/>
          <w:bCs/>
          <w:sz w:val="22"/>
          <w:szCs w:val="22"/>
        </w:rPr>
        <w:t>Textron Specialized Vehicles focuses on the design, manufacturing, and sales of specialized vehicles and professional mobility solutions</w:t>
      </w:r>
      <w:r>
        <w:rPr>
          <w:rFonts w:eastAsia="楷体" w:cs="Calibri"/>
          <w:sz w:val="22"/>
          <w:szCs w:val="22"/>
        </w:rPr>
        <w:t>. Its portfolio includes brands such as E-Z-GO, Cushman, Jacobsen, Arctic Cat, and Textron GSE, covering a diverse range of products from golf carts, commercial utility vehicles, and turf equipment to ground support vehicles for aviation and off-road powersports products. This forms a varied "family of specialized vehicles." From a revenue perspective, this business’s revenues increased from USD 1.021 billion in 2015 to USD 1.525 billion in 2025, representing a CAGR of 4.1%.</w:t>
      </w:r>
    </w:p>
    <w:p w14:paraId="2DB2CDE1">
      <w:pPr>
        <w:jc w:val="both"/>
        <w:rPr>
          <w:rFonts w:eastAsia="楷体" w:cs="Calibri"/>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82"/>
      </w:tblGrid>
      <w:tr w14:paraId="3A18A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3F910925">
            <w:pPr>
              <w:rPr>
                <w:rFonts w:hint="eastAsia" w:ascii="楷体" w:hAnsi="楷体" w:eastAsia="楷体" w:cstheme="minorHAnsi"/>
                <w:b/>
                <w:bCs/>
                <w:kern w:val="2"/>
                <w:sz w:val="22"/>
                <w:szCs w:val="22"/>
              </w:rPr>
            </w:pPr>
            <w:r>
              <w:rPr>
                <w:rFonts w:eastAsia="楷体" w:cs="Calibri"/>
                <w:b/>
                <w:bCs/>
                <w:kern w:val="2"/>
                <w:sz w:val="20"/>
                <w:szCs w:val="20"/>
              </w:rPr>
              <w:t>Figure: Textron Specialized Vehicles brand product matrix</w:t>
            </w:r>
          </w:p>
        </w:tc>
      </w:tr>
      <w:tr w14:paraId="0AF5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5EEED1DD">
            <w:pPr>
              <w:rPr>
                <w:rFonts w:hint="eastAsia" w:eastAsia="楷体" w:asciiTheme="minorHAnsi" w:hAnsiTheme="minorHAnsi" w:cstheme="minorHAnsi"/>
                <w:kern w:val="2"/>
                <w:sz w:val="22"/>
                <w:szCs w:val="22"/>
              </w:rPr>
            </w:pPr>
            <w:r>
              <w:rPr>
                <w:rFonts w:cs="等线"/>
                <w:snapToGrid/>
              </w:rPr>
              <w:drawing>
                <wp:inline distT="0" distB="0" distL="0" distR="0">
                  <wp:extent cx="4804410" cy="1879600"/>
                  <wp:effectExtent l="0" t="0" r="0" b="635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4809433" cy="1882034"/>
                          </a:xfrm>
                          <a:prstGeom prst="rect">
                            <a:avLst/>
                          </a:prstGeom>
                          <a:noFill/>
                        </pic:spPr>
                      </pic:pic>
                    </a:graphicData>
                  </a:graphic>
                </wp:inline>
              </w:drawing>
            </w:r>
          </w:p>
        </w:tc>
      </w:tr>
      <w:tr w14:paraId="1589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1801BBAD">
            <w:pPr>
              <w:rPr>
                <w:rFonts w:hint="eastAsia" w:ascii="楷体" w:hAnsi="楷体" w:eastAsia="楷体" w:cstheme="minorHAnsi"/>
                <w:b/>
                <w:bCs/>
                <w:kern w:val="2"/>
                <w:sz w:val="22"/>
                <w:szCs w:val="22"/>
              </w:rPr>
            </w:pPr>
            <w:r>
              <w:rPr>
                <w:rFonts w:eastAsia="楷体" w:cs="Calibri"/>
                <w:b/>
                <w:bCs/>
                <w:kern w:val="2"/>
                <w:sz w:val="20"/>
                <w:szCs w:val="20"/>
              </w:rPr>
              <w:t xml:space="preserve">Source: </w:t>
            </w:r>
            <w:r>
              <w:rPr>
                <w:rFonts w:eastAsia="楷体" w:cs="Calibri"/>
                <w:b/>
                <w:bCs/>
                <w:sz w:val="20"/>
                <w:szCs w:val="20"/>
              </w:rPr>
              <w:t>TXT</w:t>
            </w:r>
            <w:r>
              <w:rPr>
                <w:rFonts w:eastAsia="楷体" w:cs="Calibri"/>
                <w:b/>
                <w:bCs/>
                <w:kern w:val="2"/>
                <w:sz w:val="20"/>
                <w:szCs w:val="20"/>
              </w:rPr>
              <w:t xml:space="preserve"> Official Website, </w:t>
            </w:r>
            <w:r>
              <w:rPr>
                <w:rFonts w:eastAsia="楷体" w:cs="Calibri"/>
                <w:b/>
                <w:bCs/>
                <w:sz w:val="20"/>
                <w:szCs w:val="20"/>
              </w:rPr>
              <w:t>HFI</w:t>
            </w:r>
          </w:p>
        </w:tc>
      </w:tr>
    </w:tbl>
    <w:p w14:paraId="5C48D26C">
      <w:pPr>
        <w:jc w:val="both"/>
        <w:rPr>
          <w:rFonts w:eastAsia="楷体" w:cs="Calibri"/>
          <w:sz w:val="22"/>
          <w:szCs w:val="22"/>
        </w:rPr>
      </w:pPr>
    </w:p>
    <w:p w14:paraId="70BD62F5">
      <w:pPr>
        <w:jc w:val="both"/>
        <w:rPr>
          <w:rFonts w:eastAsia="楷体" w:cs="Calibri"/>
          <w:b/>
          <w:bCs/>
          <w:sz w:val="22"/>
          <w:szCs w:val="22"/>
        </w:rPr>
      </w:pPr>
      <w:r>
        <w:rPr>
          <w:rFonts w:eastAsia="楷体" w:cs="Calibri"/>
          <w:b/>
          <w:bCs/>
          <w:sz w:val="22"/>
          <w:szCs w:val="22"/>
        </w:rPr>
        <w:t xml:space="preserve">In 2025, demand presents mixed characteristics, lacking consistent upward momentum overall, and is unlikely to become a major driver for profit margin expansion in the industrial sector in the short term. </w:t>
      </w:r>
      <w:r>
        <w:rPr>
          <w:rFonts w:eastAsia="楷体" w:cs="Calibri"/>
          <w:sz w:val="22"/>
          <w:szCs w:val="22"/>
        </w:rPr>
        <w:t>On one hand, the golf course and community personal transportation segments remain relatively resilient. According to the National Golf Foundation (NGF) 2025 report, the number of golf participants in the U.S. has stabilized at over 25 million, continuing the post-pandemic growth trend and reaching 72% in 2025—surpassing the historical peak of 2000. In community settings, the retirement community segment is projected to grow by $47.4 billion from 2024 to 2029, with a CAGR of 4.9%. By Q3 2025, occupancy rates reached 88.7% (independent living at 90.2% and assisted living at 87.2%), up 0.7 percentage points from Q2, collectively driving revenue growth for golf course and community personal transportation vehicles. On the other hand, commercial/industrial utility vehicles (such as the Cushman brand) are performing weakly due to macroeconomic cycles, high interest rates, and cautious spending by consumers and businesses. The divestiture of the Powersports business in 2025 further reduced the overall revenue of the industrial sector (Q3 revenue dropped by $79 million, with $88 million attributed to the divestiture impact). E-Z-GO, as the remaining core segment, has yet to show signs of a strong rebound.</w:t>
      </w:r>
      <w:r>
        <w:rPr>
          <w:rFonts w:eastAsia="楷体" w:cs="Calibri"/>
          <w:b/>
          <w:bCs/>
          <w:sz w:val="22"/>
          <w:szCs w:val="22"/>
        </w:rPr>
        <w:t xml:space="preserve"> </w:t>
      </w:r>
      <w:r>
        <w:rPr>
          <w:rFonts w:eastAsia="楷体" w:cs="Calibri"/>
          <w:b/>
          <w:bCs/>
          <w:sz w:val="22"/>
          <w:szCs w:val="22"/>
          <w:u w:val="single"/>
        </w:rPr>
        <w:t>Overall, demand for E-Z-GO is clearly diverging, with both positive and negative factors, and short-term growth momentum remains limited. A clearer recovery will likely depend on improvements in the macro environment, such as a rebound in leisure consumption</w:t>
      </w:r>
      <w:r>
        <w:rPr>
          <w:rFonts w:eastAsia="楷体" w:cs="Calibri"/>
          <w:b/>
          <w:bCs/>
          <w:sz w:val="22"/>
          <w:szCs w:val="22"/>
        </w:rPr>
        <w:t>.</w:t>
      </w:r>
    </w:p>
    <w:p w14:paraId="2C8A3629">
      <w:pPr>
        <w:jc w:val="both"/>
        <w:rPr>
          <w:rFonts w:eastAsia="楷体" w:cs="Calibri"/>
          <w:sz w:val="22"/>
          <w:szCs w:val="22"/>
        </w:rPr>
      </w:pPr>
    </w:p>
    <w:p w14:paraId="06C71E33">
      <w:pPr>
        <w:jc w:val="both"/>
        <w:rPr>
          <w:rFonts w:eastAsia="楷体" w:cs="Calibri"/>
          <w:sz w:val="22"/>
          <w:szCs w:val="22"/>
        </w:rPr>
      </w:pPr>
    </w:p>
    <w:p w14:paraId="4F1BD9DF">
      <w:pPr>
        <w:jc w:val="both"/>
        <w:rPr>
          <w:rFonts w:eastAsia="楷体" w:cs="Calibri"/>
          <w:sz w:val="22"/>
          <w:szCs w:val="22"/>
        </w:rPr>
      </w:pPr>
    </w:p>
    <w:p w14:paraId="6C770E3E">
      <w:pPr>
        <w:jc w:val="both"/>
        <w:rPr>
          <w:rFonts w:eastAsia="楷体" w:cs="Calibri"/>
          <w:sz w:val="22"/>
          <w:szCs w:val="22"/>
        </w:rPr>
      </w:pPr>
    </w:p>
    <w:p w14:paraId="41F6925A">
      <w:pPr>
        <w:jc w:val="both"/>
        <w:rPr>
          <w:rFonts w:eastAsia="楷体" w:cs="Calibri"/>
          <w:sz w:val="22"/>
          <w:szCs w:val="22"/>
        </w:rPr>
      </w:pPr>
    </w:p>
    <w:p w14:paraId="1F045781">
      <w:pPr>
        <w:jc w:val="both"/>
        <w:rPr>
          <w:rFonts w:eastAsia="楷体" w:cs="Calibri"/>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0AA7D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4D4C7EC3">
            <w:pPr>
              <w:rPr>
                <w:rFonts w:hint="eastAsia" w:ascii="楷体" w:hAnsi="楷体" w:eastAsia="楷体" w:cstheme="minorHAnsi"/>
                <w:b/>
                <w:bCs/>
                <w:kern w:val="2"/>
                <w:sz w:val="22"/>
                <w:szCs w:val="22"/>
              </w:rPr>
            </w:pPr>
            <w:r>
              <w:rPr>
                <w:rFonts w:eastAsia="楷体" w:cs="Calibri"/>
                <w:b/>
                <w:bCs/>
                <w:kern w:val="2"/>
                <w:sz w:val="20"/>
                <w:szCs w:val="20"/>
              </w:rPr>
              <w:t>Figure: U.S. Retirement Community Market Size (Unit: Billions of USD)</w:t>
            </w:r>
          </w:p>
        </w:tc>
      </w:tr>
      <w:tr w14:paraId="0AD5D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64F0F437">
            <w:pPr>
              <w:ind w:firstLine="320" w:firstLineChars="200"/>
              <w:rPr>
                <w:rFonts w:hint="eastAsia" w:eastAsia="楷体" w:asciiTheme="minorHAnsi" w:hAnsiTheme="minorHAnsi" w:cstheme="minorHAnsi"/>
                <w:kern w:val="2"/>
                <w:sz w:val="22"/>
                <w:szCs w:val="22"/>
              </w:rPr>
            </w:pPr>
            <w:r>
              <w:rPr>
                <w:rFonts w:cs="等线"/>
                <w:snapToGrid/>
              </w:rPr>
              <w:drawing>
                <wp:inline distT="0" distB="0" distL="0" distR="0">
                  <wp:extent cx="4280535" cy="2540000"/>
                  <wp:effectExtent l="0" t="0" r="5715" b="0"/>
                  <wp:docPr id="485858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58253" name="图片 1"/>
                          <pic:cNvPicPr>
                            <a:picLocks noChangeAspect="1"/>
                          </pic:cNvPicPr>
                        </pic:nvPicPr>
                        <pic:blipFill>
                          <a:blip r:embed="rId66"/>
                          <a:stretch>
                            <a:fillRect/>
                          </a:stretch>
                        </pic:blipFill>
                        <pic:spPr>
                          <a:xfrm>
                            <a:off x="0" y="0"/>
                            <a:ext cx="4327606" cy="2568203"/>
                          </a:xfrm>
                          <a:prstGeom prst="rect">
                            <a:avLst/>
                          </a:prstGeom>
                        </pic:spPr>
                      </pic:pic>
                    </a:graphicData>
                  </a:graphic>
                </wp:inline>
              </w:drawing>
            </w:r>
          </w:p>
        </w:tc>
      </w:tr>
      <w:tr w14:paraId="54629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491F6495">
            <w:pPr>
              <w:rPr>
                <w:rFonts w:hint="eastAsia" w:ascii="楷体" w:hAnsi="楷体" w:eastAsia="楷体" w:cstheme="minorHAnsi"/>
                <w:b/>
                <w:bCs/>
                <w:kern w:val="2"/>
                <w:sz w:val="22"/>
                <w:szCs w:val="22"/>
              </w:rPr>
            </w:pPr>
            <w:r>
              <w:rPr>
                <w:rFonts w:eastAsia="楷体" w:cs="Calibri"/>
                <w:b/>
                <w:bCs/>
                <w:kern w:val="2"/>
                <w:sz w:val="20"/>
                <w:szCs w:val="20"/>
              </w:rPr>
              <w:t xml:space="preserve">Source: </w:t>
            </w:r>
            <w:r>
              <w:rPr>
                <w:rFonts w:eastAsia="楷体" w:cs="Calibri"/>
                <w:b/>
                <w:bCs/>
                <w:sz w:val="20"/>
                <w:szCs w:val="20"/>
              </w:rPr>
              <w:t>technavio, HFI</w:t>
            </w:r>
          </w:p>
        </w:tc>
      </w:tr>
    </w:tbl>
    <w:p w14:paraId="7D3AF57C">
      <w:pPr>
        <w:rPr>
          <w:rFonts w:eastAsiaTheme="minorEastAsia"/>
        </w:rPr>
      </w:pPr>
    </w:p>
    <w:p w14:paraId="59E89F9D">
      <w:pPr>
        <w:pStyle w:val="2"/>
        <w:spacing w:before="240" w:beforeLines="100" w:after="240" w:afterLines="100"/>
        <w:jc w:val="both"/>
        <w:rPr>
          <w:rFonts w:hint="eastAsia" w:ascii="PingFang SC Regular" w:hAnsi="PingFang SC Regular" w:eastAsia="PingFang SC Regular" w:cs="PingFang SC Regular"/>
          <w:b/>
          <w:bCs/>
          <w:color w:val="23558C"/>
          <w:sz w:val="24"/>
          <w:szCs w:val="24"/>
        </w:rPr>
      </w:pPr>
      <w:bookmarkStart w:id="31" w:name="_Toc220589938"/>
      <w:r>
        <w:rPr>
          <w:rFonts w:hint="eastAsia" w:ascii="Calibri" w:hAnsi="Calibri" w:eastAsia="楷体" w:cs="Calibri"/>
          <w:b/>
          <w:bCs/>
          <w:color w:val="215E99"/>
          <w:sz w:val="24"/>
          <w:szCs w:val="24"/>
        </w:rPr>
        <w:t xml:space="preserve">5 Defense Systems Segment: </w:t>
      </w:r>
      <w:r>
        <w:rPr>
          <w:rFonts w:ascii="Calibri" w:hAnsi="Calibri" w:eastAsia="楷体" w:cs="Calibri"/>
          <w:b/>
          <w:bCs/>
          <w:color w:val="215E99"/>
          <w:sz w:val="24"/>
          <w:szCs w:val="24"/>
        </w:rPr>
        <w:t>Short-</w:t>
      </w:r>
      <w:r>
        <w:rPr>
          <w:rFonts w:hint="eastAsia" w:ascii="Calibri" w:hAnsi="Calibri" w:eastAsia="楷体" w:cs="Calibri"/>
          <w:b/>
          <w:bCs/>
          <w:color w:val="215E99"/>
          <w:sz w:val="24"/>
          <w:szCs w:val="24"/>
        </w:rPr>
        <w:t>T</w:t>
      </w:r>
      <w:r>
        <w:rPr>
          <w:rFonts w:ascii="Calibri" w:hAnsi="Calibri" w:eastAsia="楷体" w:cs="Calibri"/>
          <w:b/>
          <w:bCs/>
          <w:color w:val="215E99"/>
          <w:sz w:val="24"/>
          <w:szCs w:val="24"/>
        </w:rPr>
        <w:t xml:space="preserve">erm </w:t>
      </w:r>
      <w:r>
        <w:rPr>
          <w:rFonts w:hint="eastAsia" w:ascii="Calibri" w:hAnsi="Calibri" w:eastAsia="楷体" w:cs="Calibri"/>
          <w:b/>
          <w:bCs/>
          <w:color w:val="215E99"/>
          <w:sz w:val="24"/>
          <w:szCs w:val="24"/>
        </w:rPr>
        <w:t>O</w:t>
      </w:r>
      <w:r>
        <w:rPr>
          <w:rFonts w:ascii="Calibri" w:hAnsi="Calibri" w:eastAsia="楷体" w:cs="Calibri"/>
          <w:b/>
          <w:bCs/>
          <w:color w:val="215E99"/>
          <w:sz w:val="24"/>
          <w:szCs w:val="24"/>
        </w:rPr>
        <w:t>rder-</w:t>
      </w:r>
      <w:r>
        <w:rPr>
          <w:rFonts w:hint="eastAsia" w:ascii="Calibri" w:hAnsi="Calibri" w:eastAsia="楷体" w:cs="Calibri"/>
          <w:b/>
          <w:bCs/>
          <w:color w:val="215E99"/>
          <w:sz w:val="24"/>
          <w:szCs w:val="24"/>
        </w:rPr>
        <w:t>D</w:t>
      </w:r>
      <w:r>
        <w:rPr>
          <w:rFonts w:ascii="Calibri" w:hAnsi="Calibri" w:eastAsia="楷体" w:cs="Calibri"/>
          <w:b/>
          <w:bCs/>
          <w:color w:val="215E99"/>
          <w:sz w:val="24"/>
          <w:szCs w:val="24"/>
        </w:rPr>
        <w:t xml:space="preserve">riven </w:t>
      </w:r>
      <w:r>
        <w:rPr>
          <w:rFonts w:hint="eastAsia" w:ascii="Calibri" w:hAnsi="Calibri" w:eastAsia="楷体" w:cs="Calibri"/>
          <w:b/>
          <w:bCs/>
          <w:color w:val="215E99"/>
          <w:sz w:val="24"/>
          <w:szCs w:val="24"/>
        </w:rPr>
        <w:t>I</w:t>
      </w:r>
      <w:r>
        <w:rPr>
          <w:rFonts w:ascii="Calibri" w:hAnsi="Calibri" w:eastAsia="楷体" w:cs="Calibri"/>
          <w:b/>
          <w:bCs/>
          <w:color w:val="215E99"/>
          <w:sz w:val="24"/>
          <w:szCs w:val="24"/>
        </w:rPr>
        <w:t>mprovement</w:t>
      </w:r>
      <w:bookmarkEnd w:id="31"/>
    </w:p>
    <w:p w14:paraId="4C4036C1">
      <w:pPr>
        <w:jc w:val="both"/>
        <w:rPr>
          <w:rFonts w:eastAsia="楷体" w:cs="Calibri"/>
          <w:kern w:val="2"/>
          <w:sz w:val="22"/>
          <w:szCs w:val="22"/>
        </w:rPr>
      </w:pPr>
      <w:r>
        <w:rPr>
          <w:rFonts w:hint="eastAsia" w:eastAsia="楷体" w:cs="Calibri"/>
          <w:b/>
          <w:bCs/>
          <w:kern w:val="2"/>
          <w:sz w:val="22"/>
          <w:szCs w:val="22"/>
        </w:rPr>
        <w:t>Textron Systems is the business unit of Textron Inc. focused on defense and security systems, primarily consisting of unmanned systems, intelligence, surveillance and reconnaissance (ISR), armored vehicles, training and simulation, and special mission solutions. This segment serves the U.S. Department of Defense (DoD) and allied government customers, with products covering land-based, sea-based, and air-based applications, positioning it as a mid-to-high-end defense technology and systems integration provider.</w:t>
      </w:r>
      <w:r>
        <w:rPr>
          <w:rFonts w:hint="eastAsia" w:eastAsia="楷体" w:cs="Calibri"/>
          <w:kern w:val="2"/>
          <w:sz w:val="22"/>
          <w:szCs w:val="22"/>
        </w:rPr>
        <w:t xml:space="preserve"> </w:t>
      </w:r>
      <w:r>
        <w:rPr>
          <w:rFonts w:eastAsia="楷体" w:cs="Calibri"/>
          <w:kern w:val="2"/>
          <w:sz w:val="22"/>
          <w:szCs w:val="22"/>
        </w:rPr>
        <w:t>Over the past decade, revenues from this business declined to some extent, decreasing from USD 1.52 billion in 2015 to USD 1.247 billion in 2025. However, total revenues have remained broadly stable over the past four years, with a slight rebound in 2025.</w:t>
      </w:r>
    </w:p>
    <w:p w14:paraId="56817975">
      <w:pPr>
        <w:jc w:val="both"/>
        <w:rPr>
          <w:rFonts w:eastAsia="楷体" w:cs="Calibri"/>
          <w:kern w:val="2"/>
          <w:sz w:val="22"/>
          <w:szCs w:val="22"/>
        </w:rPr>
      </w:pPr>
    </w:p>
    <w:tbl>
      <w:tblPr>
        <w:tblStyle w:val="19"/>
        <w:tblW w:w="10585" w:type="dxa"/>
        <w:tblInd w:w="-2980" w:type="dxa"/>
        <w:tblLayout w:type="fixed"/>
        <w:tblCellMar>
          <w:top w:w="0" w:type="dxa"/>
          <w:left w:w="108" w:type="dxa"/>
          <w:bottom w:w="0" w:type="dxa"/>
          <w:right w:w="108" w:type="dxa"/>
        </w:tblCellMar>
      </w:tblPr>
      <w:tblGrid>
        <w:gridCol w:w="5195"/>
        <w:gridCol w:w="241"/>
        <w:gridCol w:w="5149"/>
      </w:tblGrid>
      <w:tr w14:paraId="0709B00C">
        <w:tblPrEx>
          <w:tblCellMar>
            <w:top w:w="0" w:type="dxa"/>
            <w:left w:w="108" w:type="dxa"/>
            <w:bottom w:w="0" w:type="dxa"/>
            <w:right w:w="108" w:type="dxa"/>
          </w:tblCellMar>
        </w:tblPrEx>
        <w:trPr>
          <w:trHeight w:val="227" w:hRule="atLeast"/>
        </w:trPr>
        <w:tc>
          <w:tcPr>
            <w:tcW w:w="5195" w:type="dxa"/>
            <w:tcBorders>
              <w:bottom w:val="single" w:color="auto" w:sz="4" w:space="0"/>
            </w:tcBorders>
            <w:tcMar>
              <w:left w:w="0" w:type="dxa"/>
              <w:right w:w="28" w:type="dxa"/>
            </w:tcMar>
          </w:tcPr>
          <w:p w14:paraId="401D5432">
            <w:pPr>
              <w:spacing w:before="48" w:beforeLines="20" w:after="48" w:afterLines="20"/>
              <w:jc w:val="both"/>
              <w:textAlignment w:val="center"/>
              <w:rPr>
                <w:rFonts w:eastAsia="楷体" w:cs="Calibri"/>
                <w:b/>
                <w:bCs/>
                <w:kern w:val="2"/>
                <w:sz w:val="20"/>
                <w:szCs w:val="20"/>
              </w:rPr>
            </w:pPr>
            <w:r>
              <w:rPr>
                <w:rFonts w:hint="eastAsia" w:eastAsia="楷体" w:cs="Calibri"/>
                <w:b/>
                <w:bCs/>
                <w:kern w:val="2"/>
                <w:sz w:val="20"/>
                <w:szCs w:val="20"/>
              </w:rPr>
              <w:t>Figure: Textron Systems Revenue and YoY Growth</w:t>
            </w:r>
          </w:p>
          <w:p w14:paraId="4033E213">
            <w:pPr>
              <w:spacing w:before="48" w:beforeLines="20" w:after="48" w:afterLines="20"/>
              <w:jc w:val="both"/>
              <w:textAlignment w:val="center"/>
              <w:rPr>
                <w:rFonts w:hint="eastAsia" w:ascii="楷体" w:hAnsi="楷体" w:eastAsia="楷体" w:cs="Calibri"/>
                <w:b/>
                <w:sz w:val="20"/>
                <w:szCs w:val="20"/>
                <w:highlight w:val="yellow"/>
              </w:rPr>
            </w:pPr>
            <w:r>
              <w:rPr>
                <w:rFonts w:hint="eastAsia" w:eastAsia="楷体" w:cs="Calibri"/>
                <w:b/>
                <w:bCs/>
                <w:kern w:val="2"/>
                <w:sz w:val="20"/>
                <w:szCs w:val="20"/>
              </w:rPr>
              <w:t xml:space="preserve"> (in millions of USD)</w:t>
            </w:r>
          </w:p>
        </w:tc>
        <w:tc>
          <w:tcPr>
            <w:tcW w:w="241" w:type="dxa"/>
            <w:tcMar>
              <w:left w:w="0" w:type="dxa"/>
              <w:right w:w="28" w:type="dxa"/>
            </w:tcMar>
          </w:tcPr>
          <w:p w14:paraId="2174B990">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15FF87CE">
            <w:pPr>
              <w:spacing w:before="48" w:beforeLines="20" w:after="48" w:afterLines="20"/>
              <w:jc w:val="both"/>
              <w:rPr>
                <w:rFonts w:hint="eastAsia" w:ascii="楷体" w:hAnsi="楷体" w:eastAsia="楷体" w:cs="Calibri"/>
                <w:b/>
                <w:sz w:val="20"/>
                <w:szCs w:val="20"/>
              </w:rPr>
            </w:pPr>
            <w:r>
              <w:rPr>
                <w:rFonts w:hint="eastAsia" w:eastAsia="楷体" w:cs="Calibri"/>
                <w:b/>
                <w:bCs/>
                <w:kern w:val="2"/>
                <w:sz w:val="20"/>
                <w:szCs w:val="20"/>
              </w:rPr>
              <w:t>Figure: Textron Systems Product Matrix (Partial)</w:t>
            </w:r>
          </w:p>
        </w:tc>
      </w:tr>
      <w:tr w14:paraId="088B3F43">
        <w:tblPrEx>
          <w:tblCellMar>
            <w:top w:w="0" w:type="dxa"/>
            <w:left w:w="108" w:type="dxa"/>
            <w:bottom w:w="0" w:type="dxa"/>
            <w:right w:w="108" w:type="dxa"/>
          </w:tblCellMar>
        </w:tblPrEx>
        <w:trPr>
          <w:trHeight w:val="2300" w:hRule="atLeast"/>
        </w:trPr>
        <w:tc>
          <w:tcPr>
            <w:tcW w:w="5195" w:type="dxa"/>
            <w:tcBorders>
              <w:top w:val="single" w:color="auto" w:sz="4" w:space="0"/>
              <w:bottom w:val="single" w:color="auto" w:sz="4" w:space="0"/>
            </w:tcBorders>
            <w:vAlign w:val="center"/>
          </w:tcPr>
          <w:p w14:paraId="19B37768">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66900"/>
                  <wp:effectExtent l="0" t="0" r="3810" b="0"/>
                  <wp:docPr id="138664307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tc>
        <w:tc>
          <w:tcPr>
            <w:tcW w:w="241" w:type="dxa"/>
          </w:tcPr>
          <w:p w14:paraId="14F8895B">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1DBA20DB">
            <w:pPr>
              <w:spacing w:before="48" w:beforeLines="20" w:after="48" w:afterLines="20"/>
              <w:jc w:val="both"/>
              <w:rPr>
                <w:rFonts w:eastAsia="楷体_GB2312" w:cs="Calibri"/>
                <w:b/>
                <w:sz w:val="20"/>
                <w:szCs w:val="20"/>
              </w:rPr>
            </w:pPr>
            <w:r>
              <w:rPr>
                <w:snapToGrid/>
              </w:rPr>
              <w:drawing>
                <wp:inline distT="0" distB="0" distL="0" distR="0">
                  <wp:extent cx="3132455" cy="2251710"/>
                  <wp:effectExtent l="0" t="0" r="17145" b="8890"/>
                  <wp:docPr id="355203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3433" name="图片 1"/>
                          <pic:cNvPicPr>
                            <a:picLocks noChangeAspect="1"/>
                          </pic:cNvPicPr>
                        </pic:nvPicPr>
                        <pic:blipFill>
                          <a:blip r:embed="rId68"/>
                          <a:stretch>
                            <a:fillRect/>
                          </a:stretch>
                        </pic:blipFill>
                        <pic:spPr>
                          <a:xfrm>
                            <a:off x="0" y="0"/>
                            <a:ext cx="3132455" cy="2251710"/>
                          </a:xfrm>
                          <a:prstGeom prst="rect">
                            <a:avLst/>
                          </a:prstGeom>
                        </pic:spPr>
                      </pic:pic>
                    </a:graphicData>
                  </a:graphic>
                </wp:inline>
              </w:drawing>
            </w:r>
          </w:p>
        </w:tc>
      </w:tr>
      <w:tr w14:paraId="235A9D32">
        <w:tblPrEx>
          <w:tblCellMar>
            <w:top w:w="0" w:type="dxa"/>
            <w:left w:w="108" w:type="dxa"/>
            <w:bottom w:w="0" w:type="dxa"/>
            <w:right w:w="108" w:type="dxa"/>
          </w:tblCellMar>
        </w:tblPrEx>
        <w:trPr>
          <w:trHeight w:val="227" w:hRule="atLeast"/>
        </w:trPr>
        <w:tc>
          <w:tcPr>
            <w:tcW w:w="5195" w:type="dxa"/>
            <w:tcBorders>
              <w:top w:val="single" w:color="auto" w:sz="4" w:space="0"/>
            </w:tcBorders>
            <w:tcMar>
              <w:left w:w="0" w:type="dxa"/>
              <w:right w:w="28" w:type="dxa"/>
            </w:tcMar>
            <w:vAlign w:val="center"/>
          </w:tcPr>
          <w:p w14:paraId="6106AEAD">
            <w:pPr>
              <w:spacing w:before="48" w:beforeLines="20" w:after="48" w:afterLines="20"/>
              <w:jc w:val="both"/>
              <w:textAlignment w:val="center"/>
              <w:rPr>
                <w:rFonts w:hint="eastAsia" w:ascii="楷体" w:hAnsi="楷体" w:eastAsia="楷体" w:cs="Calibri"/>
                <w:sz w:val="20"/>
                <w:szCs w:val="20"/>
              </w:rPr>
            </w:pPr>
            <w:r>
              <w:rPr>
                <w:rFonts w:hint="eastAsia" w:eastAsia="楷体" w:cs="Calibri"/>
                <w:b/>
                <w:bCs/>
                <w:kern w:val="2"/>
                <w:sz w:val="20"/>
                <w:szCs w:val="20"/>
              </w:rPr>
              <w:t>Source:</w:t>
            </w:r>
            <w:r>
              <w:rPr>
                <w:rFonts w:hint="eastAsia" w:eastAsia="楷体" w:cs="Calibri"/>
                <w:kern w:val="2"/>
                <w:sz w:val="20"/>
                <w:szCs w:val="20"/>
              </w:rPr>
              <w:t xml:space="preserve"> Textron Inc. Annual Report, HFI</w:t>
            </w:r>
          </w:p>
        </w:tc>
        <w:tc>
          <w:tcPr>
            <w:tcW w:w="241" w:type="dxa"/>
            <w:tcMar>
              <w:left w:w="0" w:type="dxa"/>
              <w:right w:w="28" w:type="dxa"/>
            </w:tcMar>
          </w:tcPr>
          <w:p w14:paraId="58680BAC">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14:paraId="2A94A3BF">
            <w:pPr>
              <w:rPr>
                <w:rFonts w:hint="eastAsia" w:ascii="楷体" w:hAnsi="楷体" w:eastAsia="楷体" w:cs="Calibri"/>
                <w:sz w:val="20"/>
                <w:szCs w:val="20"/>
              </w:rPr>
            </w:pPr>
            <w:r>
              <w:rPr>
                <w:rFonts w:hint="eastAsia" w:eastAsia="楷体" w:cs="Calibri"/>
                <w:b/>
                <w:bCs/>
                <w:kern w:val="2"/>
                <w:sz w:val="20"/>
                <w:szCs w:val="20"/>
              </w:rPr>
              <w:t>Source:</w:t>
            </w:r>
            <w:r>
              <w:rPr>
                <w:rFonts w:hint="eastAsia" w:eastAsia="楷体" w:cs="Calibri"/>
                <w:kern w:val="2"/>
                <w:sz w:val="20"/>
                <w:szCs w:val="20"/>
              </w:rPr>
              <w:t xml:space="preserve"> Textron Inc. Official Website, HFI</w:t>
            </w:r>
          </w:p>
        </w:tc>
      </w:tr>
    </w:tbl>
    <w:p w14:paraId="664D5397">
      <w:pPr>
        <w:jc w:val="both"/>
        <w:rPr>
          <w:rFonts w:eastAsia="楷体" w:cs="Calibri"/>
          <w:sz w:val="22"/>
          <w:szCs w:val="22"/>
        </w:rPr>
      </w:pPr>
    </w:p>
    <w:p w14:paraId="06A1D49F">
      <w:pPr>
        <w:jc w:val="both"/>
        <w:rPr>
          <w:rFonts w:eastAsia="楷体" w:cs="Calibri"/>
          <w:sz w:val="22"/>
          <w:szCs w:val="22"/>
        </w:rPr>
      </w:pPr>
    </w:p>
    <w:p w14:paraId="3EB06C8E">
      <w:pPr>
        <w:jc w:val="both"/>
        <w:rPr>
          <w:rFonts w:eastAsia="楷体" w:cs="Calibri"/>
          <w:sz w:val="22"/>
          <w:szCs w:val="22"/>
        </w:rPr>
      </w:pPr>
    </w:p>
    <w:p w14:paraId="30BAD952">
      <w:pPr>
        <w:jc w:val="both"/>
        <w:rPr>
          <w:rFonts w:eastAsia="楷体" w:cs="Calibri"/>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76"/>
      </w:tblGrid>
      <w:tr w14:paraId="12B66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3F8CAC2F">
            <w:pPr>
              <w:jc w:val="both"/>
              <w:rPr>
                <w:rFonts w:eastAsia="楷体" w:cs="Calibri"/>
                <w:b/>
                <w:bCs/>
                <w:kern w:val="2"/>
                <w:sz w:val="20"/>
                <w:szCs w:val="20"/>
              </w:rPr>
            </w:pPr>
            <w:r>
              <w:rPr>
                <w:rFonts w:hint="eastAsia" w:eastAsia="楷体" w:cs="Calibri"/>
                <w:b/>
                <w:bCs/>
                <w:kern w:val="2"/>
                <w:sz w:val="20"/>
                <w:szCs w:val="20"/>
              </w:rPr>
              <w:t>Figure: Textron Systems Major Business Segments and Corresponding Service Domains</w:t>
            </w:r>
          </w:p>
        </w:tc>
      </w:tr>
      <w:tr w14:paraId="5DB15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7AEFD452">
            <w:pPr>
              <w:rPr>
                <w:rFonts w:hint="eastAsia" w:eastAsia="楷体" w:asciiTheme="minorHAnsi" w:hAnsiTheme="minorHAnsi" w:cstheme="minorHAnsi"/>
                <w:kern w:val="2"/>
                <w:sz w:val="22"/>
                <w:szCs w:val="22"/>
              </w:rPr>
            </w:pPr>
            <w:r>
              <w:rPr>
                <w:rFonts w:cs="等线"/>
                <w:snapToGrid/>
              </w:rPr>
              <w:drawing>
                <wp:inline distT="0" distB="0" distL="0" distR="0">
                  <wp:extent cx="4798695" cy="1798955"/>
                  <wp:effectExtent l="0" t="0" r="190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807725" cy="1802509"/>
                          </a:xfrm>
                          <a:prstGeom prst="rect">
                            <a:avLst/>
                          </a:prstGeom>
                          <a:noFill/>
                        </pic:spPr>
                      </pic:pic>
                    </a:graphicData>
                  </a:graphic>
                </wp:inline>
              </w:drawing>
            </w:r>
          </w:p>
        </w:tc>
      </w:tr>
      <w:tr w14:paraId="2A34F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7668B6AD">
            <w:pPr>
              <w:rPr>
                <w:rFonts w:hint="eastAsia" w:ascii="楷体" w:hAnsi="楷体" w:eastAsia="楷体" w:cstheme="minorHAnsi"/>
                <w:b/>
                <w:bCs/>
                <w:kern w:val="2"/>
                <w:sz w:val="22"/>
                <w:szCs w:val="22"/>
              </w:rPr>
            </w:pPr>
            <w:r>
              <w:rPr>
                <w:rFonts w:hint="eastAsia" w:eastAsia="楷体" w:cs="Calibri"/>
                <w:b/>
                <w:bCs/>
                <w:kern w:val="2"/>
                <w:sz w:val="20"/>
                <w:szCs w:val="20"/>
              </w:rPr>
              <w:t>Source:</w:t>
            </w:r>
            <w:r>
              <w:rPr>
                <w:rFonts w:hint="eastAsia" w:eastAsia="楷体" w:cs="Calibri"/>
                <w:kern w:val="2"/>
                <w:sz w:val="20"/>
                <w:szCs w:val="20"/>
              </w:rPr>
              <w:t xml:space="preserve"> Textron Inc. Official Website</w:t>
            </w:r>
            <w:r>
              <w:rPr>
                <w:rFonts w:eastAsia="楷体" w:cs="Calibri"/>
                <w:kern w:val="2"/>
                <w:sz w:val="20"/>
                <w:szCs w:val="20"/>
              </w:rPr>
              <w:t xml:space="preserve">, </w:t>
            </w:r>
            <w:r>
              <w:rPr>
                <w:rFonts w:hint="eastAsia" w:eastAsia="楷体" w:cs="Calibri"/>
                <w:kern w:val="2"/>
                <w:sz w:val="20"/>
                <w:szCs w:val="20"/>
              </w:rPr>
              <w:t>HFI</w:t>
            </w:r>
          </w:p>
        </w:tc>
      </w:tr>
    </w:tbl>
    <w:p w14:paraId="4CC28867">
      <w:pPr>
        <w:jc w:val="both"/>
        <w:rPr>
          <w:rFonts w:eastAsia="楷体" w:cs="Calibri"/>
          <w:b/>
          <w:bCs/>
          <w:sz w:val="22"/>
          <w:szCs w:val="22"/>
        </w:rPr>
      </w:pPr>
    </w:p>
    <w:p w14:paraId="5DF7AFFB">
      <w:pPr>
        <w:jc w:val="both"/>
        <w:rPr>
          <w:rFonts w:eastAsia="楷体" w:cs="Calibri"/>
          <w:kern w:val="2"/>
          <w:sz w:val="22"/>
          <w:szCs w:val="22"/>
        </w:rPr>
      </w:pPr>
      <w:r>
        <w:rPr>
          <w:rFonts w:hint="eastAsia" w:eastAsia="楷体" w:cs="Calibri"/>
          <w:b/>
          <w:bCs/>
          <w:kern w:val="2"/>
          <w:sz w:val="22"/>
          <w:szCs w:val="22"/>
        </w:rPr>
        <w:t>The global defense electronics and specialized systems market includes sub-sectors such as unmanned ground/aerial systems, armored and protected vehicles, training simulators, intelligence analysis systems, etc. The market size is expected to maintain steady upward growth in the future.</w:t>
      </w:r>
      <w:r>
        <w:rPr>
          <w:rFonts w:hint="eastAsia" w:eastAsia="楷体" w:cs="Calibri"/>
          <w:kern w:val="2"/>
          <w:sz w:val="22"/>
          <w:szCs w:val="22"/>
        </w:rPr>
        <w:t>In 2024, global defense spending achieved actual growth of 7.4%, with the defense-to-GDP ratio rising to 1.9%. Driven by the Russia-Ukraine conflict, Middle East security crises, and military modernization in Asian countries, budgets are increasingly tilted toward high-tech equipment. Unmanned systems (UAS/UGV), armored and protected vehicles, training simulators (VR/AR), and C4ISR intelligence analysis platforms have become the main growth drivers. Technological pathways are concentrated on modular open systems approach (MOSA), edge AI, gallium nitride (GaN) devices, and anti-jamming communications.</w:t>
      </w:r>
    </w:p>
    <w:p w14:paraId="022724DA">
      <w:pPr>
        <w:jc w:val="both"/>
        <w:rPr>
          <w:rFonts w:eastAsia="楷体" w:cs="Calibri"/>
          <w:kern w:val="2"/>
          <w:sz w:val="22"/>
          <w:szCs w:val="22"/>
        </w:rPr>
      </w:pPr>
      <w:r>
        <w:rPr>
          <w:rFonts w:hint="eastAsia" w:eastAsia="楷体" w:cs="Calibri"/>
          <w:kern w:val="2"/>
          <w:sz w:val="22"/>
          <w:szCs w:val="22"/>
        </w:rPr>
        <w:t>Looking to 2025-2026, the U.S. FY2026 defense budget request is approximately $961.6 billion, Europe is accelerating the implementation of NATO</w:t>
      </w:r>
      <w:r>
        <w:rPr>
          <w:rFonts w:eastAsia="楷体" w:cs="Calibri"/>
          <w:kern w:val="2"/>
          <w:sz w:val="22"/>
          <w:szCs w:val="22"/>
        </w:rPr>
        <w:t>’s “</w:t>
      </w:r>
      <w:r>
        <w:rPr>
          <w:rFonts w:hint="eastAsia" w:eastAsia="楷体" w:cs="Calibri"/>
          <w:kern w:val="2"/>
          <w:sz w:val="22"/>
          <w:szCs w:val="22"/>
        </w:rPr>
        <w:t>2%+</w:t>
      </w:r>
      <w:r>
        <w:rPr>
          <w:rFonts w:eastAsia="楷体" w:cs="Calibri"/>
          <w:kern w:val="2"/>
          <w:sz w:val="22"/>
          <w:szCs w:val="22"/>
        </w:rPr>
        <w:t>”</w:t>
      </w:r>
      <w:r>
        <w:rPr>
          <w:rFonts w:hint="eastAsia" w:eastAsia="楷体" w:cs="Calibri"/>
          <w:kern w:val="2"/>
          <w:sz w:val="22"/>
          <w:szCs w:val="22"/>
        </w:rPr>
        <w:t xml:space="preserve"> target, and Indo-Pacific allies are increasing investments in unmanned platforms and electronic warfare, collectively driving market expansion. The global defense electronics systems market is expected to exceed $19 billion in 2025, approach $20 billion in 2026, and surpass $24 billion by 2030, with a compound annual growth rate of approximately 5% during the period and cumulative growth exceeding 70%. In terms of regional structure, North America will continue to hold a dominant share of 38-40%, the Asia-Pacific region will grow the fastest (CAGR 6-7%), while Europe focuses on supply chain autonomy and capabilities in electronic warfare/cybersecurity.</w:t>
      </w:r>
    </w:p>
    <w:p w14:paraId="32BD6B8E">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59"/>
      </w:tblGrid>
      <w:tr w14:paraId="086F5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9" w:type="dxa"/>
            <w:tcBorders>
              <w:bottom w:val="single" w:color="auto" w:sz="4" w:space="0"/>
              <w:tl2br w:val="nil"/>
              <w:tr2bl w:val="nil"/>
            </w:tcBorders>
          </w:tcPr>
          <w:p w14:paraId="27D3EE72">
            <w:pPr>
              <w:rPr>
                <w:rFonts w:hint="eastAsia" w:ascii="楷体" w:hAnsi="楷体" w:eastAsia="楷体" w:cstheme="minorHAnsi"/>
                <w:b/>
                <w:bCs/>
                <w:kern w:val="2"/>
                <w:sz w:val="22"/>
                <w:szCs w:val="22"/>
              </w:rPr>
            </w:pPr>
            <w:r>
              <w:rPr>
                <w:rFonts w:hint="eastAsia" w:eastAsia="楷体" w:cs="Calibri"/>
                <w:b/>
                <w:bCs/>
                <w:kern w:val="2"/>
                <w:sz w:val="20"/>
                <w:szCs w:val="20"/>
              </w:rPr>
              <w:t>Figure: Global Defense Electronics Systems Market Size (in billions of USD</w:t>
            </w:r>
            <w:r>
              <w:rPr>
                <w:rFonts w:eastAsia="楷体" w:cs="Calibri"/>
                <w:b/>
                <w:bCs/>
                <w:kern w:val="2"/>
                <w:sz w:val="20"/>
                <w:szCs w:val="20"/>
              </w:rPr>
              <w:t>)</w:t>
            </w:r>
          </w:p>
        </w:tc>
      </w:tr>
      <w:tr w14:paraId="5A633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0" w:hRule="atLeast"/>
        </w:trPr>
        <w:tc>
          <w:tcPr>
            <w:tcW w:w="7959" w:type="dxa"/>
            <w:tcBorders>
              <w:top w:val="single" w:color="auto" w:sz="4" w:space="0"/>
              <w:bottom w:val="single" w:color="auto" w:sz="4" w:space="0"/>
            </w:tcBorders>
          </w:tcPr>
          <w:p w14:paraId="335B8DFF">
            <w:pPr>
              <w:ind w:firstLine="160" w:firstLineChars="100"/>
              <w:rPr>
                <w:rFonts w:hint="eastAsia" w:eastAsia="楷体" w:asciiTheme="minorHAnsi" w:hAnsiTheme="minorHAnsi" w:cstheme="minorHAnsi"/>
                <w:kern w:val="2"/>
                <w:sz w:val="22"/>
                <w:szCs w:val="22"/>
              </w:rPr>
            </w:pPr>
            <w:r>
              <w:rPr>
                <w:rFonts w:cs="等线"/>
              </w:rPr>
              <mc:AlternateContent>
                <mc:Choice Requires="wps">
                  <w:drawing>
                    <wp:anchor distT="0" distB="0" distL="114300" distR="114300" simplePos="0" relativeHeight="251662336" behindDoc="0" locked="0" layoutInCell="1" allowOverlap="1">
                      <wp:simplePos x="0" y="0"/>
                      <wp:positionH relativeFrom="column">
                        <wp:posOffset>954405</wp:posOffset>
                      </wp:positionH>
                      <wp:positionV relativeFrom="paragraph">
                        <wp:posOffset>339090</wp:posOffset>
                      </wp:positionV>
                      <wp:extent cx="1822450" cy="623570"/>
                      <wp:effectExtent l="0" t="0" r="0" b="0"/>
                      <wp:wrapNone/>
                      <wp:docPr id="19" name="文本框 19"/>
                      <wp:cNvGraphicFramePr/>
                      <a:graphic xmlns:a="http://schemas.openxmlformats.org/drawingml/2006/main">
                        <a:graphicData uri="http://schemas.microsoft.com/office/word/2010/wordprocessingShape">
                          <wps:wsp>
                            <wps:cNvSpPr txBox="1"/>
                            <wps:spPr>
                              <a:xfrm>
                                <a:off x="3516630" y="4027170"/>
                                <a:ext cx="1822450" cy="623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A776FE">
                                  <w:pPr>
                                    <w:rPr>
                                      <w:rFonts w:eastAsiaTheme="minorEastAsia"/>
                                      <w:color w:val="FFFFFF" w:themeColor="background1"/>
                                      <w14:textFill>
                                        <w14:noFill/>
                                      </w14:textFill>
                                    </w:rPr>
                                  </w:pPr>
                                  <w:r>
                                    <w:rPr>
                                      <w:rFonts w:hint="eastAsia"/>
                                    </w:rPr>
                                    <w:t>2026-2030 Forecast Defense Electronics Systems Market Revenue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15pt;margin-top:26.7pt;height:49.1pt;width:143.5pt;z-index:251662336;mso-width-relative:page;mso-height-relative:page;" filled="f" stroked="f" coordsize="21600,21600" o:gfxdata="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3J27faAAAACgEAAA8AAAAAAAAAAQAg&#10;AAAAIgAAAGRycy9kb3ducmV2LnhtbFBLAQIUABQAAAAIAIdO4kCKMojDRQIAAHQEAAAOAAAAAAAA&#10;AAEAIAAAACkBAABkcnMvZTJvRG9jLnhtbFBLBQYAAAAABgAGAFkBAADgBQAAAAA=&#10;">
                      <v:fill on="f" focussize="0,0"/>
                      <v:stroke on="f" weight="0.5pt"/>
                      <v:imagedata o:title=""/>
                      <o:lock v:ext="edit" aspectratio="f"/>
                      <v:textbox>
                        <w:txbxContent>
                          <w:p w14:paraId="63A776FE">
                            <w:pPr>
                              <w:rPr>
                                <w:rFonts w:eastAsiaTheme="minorEastAsia"/>
                                <w:color w:val="FFFFFF" w:themeColor="background1"/>
                                <w14:textFill>
                                  <w14:noFill/>
                                </w14:textFill>
                              </w:rPr>
                            </w:pPr>
                            <w:r>
                              <w:rPr>
                                <w:rFonts w:hint="eastAsia"/>
                              </w:rPr>
                              <w:t>2026-2030 Forecast Defense Electronics Systems Market Revenue</w:t>
                            </w:r>
                          </w:p>
                        </w:txbxContent>
                      </v:textbox>
                    </v:shape>
                  </w:pict>
                </mc:Fallback>
              </mc:AlternateContent>
            </w:r>
            <w:r>
              <w:rPr>
                <w:rFonts w:cs="等线"/>
              </w:rPr>
              <mc:AlternateContent>
                <mc:Choice Requires="wps">
                  <w:drawing>
                    <wp:anchor distT="0" distB="0" distL="114300" distR="114300" simplePos="0" relativeHeight="251660288" behindDoc="0" locked="0" layoutInCell="1" allowOverlap="1">
                      <wp:simplePos x="0" y="0"/>
                      <wp:positionH relativeFrom="column">
                        <wp:posOffset>969010</wp:posOffset>
                      </wp:positionH>
                      <wp:positionV relativeFrom="paragraph">
                        <wp:posOffset>27940</wp:posOffset>
                      </wp:positionV>
                      <wp:extent cx="1756410" cy="529590"/>
                      <wp:effectExtent l="0" t="0" r="0" b="0"/>
                      <wp:wrapNone/>
                      <wp:docPr id="16" name="文本框 16"/>
                      <wp:cNvGraphicFramePr/>
                      <a:graphic xmlns:a="http://schemas.openxmlformats.org/drawingml/2006/main">
                        <a:graphicData uri="http://schemas.microsoft.com/office/word/2010/wordprocessingShape">
                          <wps:wsp>
                            <wps:cNvSpPr txBox="1"/>
                            <wps:spPr>
                              <a:xfrm>
                                <a:off x="3233420" y="3673475"/>
                                <a:ext cx="1756410" cy="529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6C3E16">
                                  <w:pPr>
                                    <w:rPr>
                                      <w:color w:val="FFFFFF" w:themeColor="background1"/>
                                      <w14:textFill>
                                        <w14:noFill/>
                                      </w14:textFill>
                                    </w:rPr>
                                  </w:pPr>
                                  <w:r>
                                    <w:rPr>
                                      <w:rFonts w:hint="eastAsia"/>
                                    </w:rPr>
                                    <w:t>2020-2025 Defense Electronics Systems Market Revenue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3pt;margin-top:2.2pt;height:41.7pt;width:138.3pt;z-index:251660288;mso-width-relative:page;mso-height-relative:page;" filled="f" stroked="f" coordsize="21600,21600" o:gfxdata="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Kkx5z2QAAAAgBAAAPAAAAAAAAAAEA&#10;IAAAACIAAABkcnMvZG93bnJldi54bWxQSwECFAAUAAAACACHTuJAXY+hmEcCAAB0BAAADgAAAAAA&#10;AAABACAAAAAoAQAAZHJzL2Uyb0RvYy54bWxQSwUGAAAAAAYABgBZAQAA4QUAAAAA&#10;">
                      <v:fill on="f" focussize="0,0"/>
                      <v:stroke on="f" weight="0.5pt"/>
                      <v:imagedata o:title=""/>
                      <o:lock v:ext="edit" aspectratio="f"/>
                      <v:textbox>
                        <w:txbxContent>
                          <w:p w14:paraId="7A6C3E16">
                            <w:pPr>
                              <w:rPr>
                                <w:color w:val="FFFFFF" w:themeColor="background1"/>
                                <w14:textFill>
                                  <w14:noFill/>
                                </w14:textFill>
                              </w:rPr>
                            </w:pPr>
                            <w:r>
                              <w:rPr>
                                <w:rFonts w:hint="eastAsia"/>
                              </w:rPr>
                              <w:t>2020-2025 Defense Electronics Systems Market Revenue</w:t>
                            </w:r>
                          </w:p>
                        </w:txbxContent>
                      </v:textbox>
                    </v:shape>
                  </w:pict>
                </mc:Fallback>
              </mc:AlternateContent>
            </w:r>
            <w:r>
              <w:rPr>
                <w:rFonts w:cs="等线"/>
              </w:rPr>
              <mc:AlternateContent>
                <mc:Choice Requires="wps">
                  <w:drawing>
                    <wp:anchor distT="0" distB="0" distL="114300" distR="114300" simplePos="0" relativeHeight="251659264" behindDoc="0" locked="0" layoutInCell="1" allowOverlap="1">
                      <wp:simplePos x="0" y="0"/>
                      <wp:positionH relativeFrom="column">
                        <wp:posOffset>714375</wp:posOffset>
                      </wp:positionH>
                      <wp:positionV relativeFrom="paragraph">
                        <wp:posOffset>185420</wp:posOffset>
                      </wp:positionV>
                      <wp:extent cx="203200" cy="80010"/>
                      <wp:effectExtent l="0" t="0" r="0" b="21590"/>
                      <wp:wrapNone/>
                      <wp:docPr id="15" name="矩形 15"/>
                      <wp:cNvGraphicFramePr/>
                      <a:graphic xmlns:a="http://schemas.openxmlformats.org/drawingml/2006/main">
                        <a:graphicData uri="http://schemas.microsoft.com/office/word/2010/wordprocessingShape">
                          <wps:wsp>
                            <wps:cNvSpPr/>
                            <wps:spPr>
                              <a:xfrm>
                                <a:off x="3110865" y="3749040"/>
                                <a:ext cx="203200" cy="80010"/>
                              </a:xfrm>
                              <a:prstGeom prst="rect">
                                <a:avLst/>
                              </a:prstGeom>
                              <a:solidFill>
                                <a:schemeClr val="tx2">
                                  <a:lumMod val="75000"/>
                                  <a:lumOff val="2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25pt;margin-top:14.6pt;height:6.3pt;width:16pt;z-index:251659264;v-text-anchor:middle;mso-width-relative:page;mso-height-relative:page;" fillcolor="#215F9A [2431]" filled="t" stroked="f" coordsize="21600,21600" o:gfxdata="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k7LAv1QAAAAkBAAAP&#10;AAAAAAAAAAEAIAAAACIAAABkcnMvZG93bnJldi54bWxQSwECFAAUAAAACACHTuJAra8AJI0CAAAQ&#10;BQAADgAAAAAAAAABACAAAAAkAQAAZHJzL2Uyb0RvYy54bWxQSwUGAAAAAAYABgBZAQAAIwYAAAAA&#10;">
                      <v:fill on="t" focussize="0,0"/>
                      <v:stroke on="f" weight="1pt" miterlimit="8" joinstyle="miter"/>
                      <v:imagedata o:title=""/>
                      <o:lock v:ext="edit" aspectratio="f"/>
                    </v:rect>
                  </w:pict>
                </mc:Fallback>
              </mc:AlternateContent>
            </w:r>
            <w:r>
              <w:rPr>
                <w:rFonts w:cs="等线"/>
              </w:rPr>
              <mc:AlternateContent>
                <mc:Choice Requires="wps">
                  <w:drawing>
                    <wp:anchor distT="0" distB="0" distL="114300" distR="114300" simplePos="0" relativeHeight="251661312" behindDoc="0" locked="0" layoutInCell="1" allowOverlap="1">
                      <wp:simplePos x="0" y="0"/>
                      <wp:positionH relativeFrom="column">
                        <wp:posOffset>714375</wp:posOffset>
                      </wp:positionH>
                      <wp:positionV relativeFrom="paragraph">
                        <wp:posOffset>432435</wp:posOffset>
                      </wp:positionV>
                      <wp:extent cx="203200" cy="80010"/>
                      <wp:effectExtent l="0" t="0" r="0" b="21590"/>
                      <wp:wrapNone/>
                      <wp:docPr id="17" name="矩形 17"/>
                      <wp:cNvGraphicFramePr/>
                      <a:graphic xmlns:a="http://schemas.openxmlformats.org/drawingml/2006/main">
                        <a:graphicData uri="http://schemas.microsoft.com/office/word/2010/wordprocessingShape">
                          <wps:wsp>
                            <wps:cNvSpPr/>
                            <wps:spPr>
                              <a:xfrm>
                                <a:off x="0" y="0"/>
                                <a:ext cx="203200" cy="80010"/>
                              </a:xfrm>
                              <a:prstGeom prst="rect">
                                <a:avLst/>
                              </a:prstGeom>
                              <a:solidFill>
                                <a:schemeClr val="bg1">
                                  <a:lumMod val="6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25pt;margin-top:34.05pt;height:6.3pt;width:16pt;z-index:251661312;v-text-anchor:middle;mso-width-relative:page;mso-height-relative:page;" fillcolor="#A6A6A6 [2092]" filled="t" stroked="f" coordsize="21600,21600" o:gfxdata="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EgK1dbVAAAACQEAAA8AAAAAAAAAAQAgAAAAIgAAAGRycy9k&#10;b3ducmV2LnhtbFBLAQIUABQAAAAIAIdO4kA4WO26dwIAAO0EAAAOAAAAAAAAAAEAIAAAACQBAABk&#10;cnMvZTJvRG9jLnhtbFBLBQYAAAAABgAGAFkBAAANBgAAAAA=&#10;">
                      <v:fill on="t" focussize="0,0"/>
                      <v:stroke on="f" weight="1pt" miterlimit="8" joinstyle="miter"/>
                      <v:imagedata o:title=""/>
                      <o:lock v:ext="edit" aspectratio="f"/>
                    </v:rect>
                  </w:pict>
                </mc:Fallback>
              </mc:AlternateContent>
            </w:r>
            <w:r>
              <w:rPr>
                <w:rFonts w:cs="等线"/>
              </w:rPr>
              <w:drawing>
                <wp:inline distT="0" distB="0" distL="114300" distR="114300">
                  <wp:extent cx="4641215" cy="2456815"/>
                  <wp:effectExtent l="0" t="0" r="0" b="0"/>
                  <wp:docPr id="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tc>
      </w:tr>
      <w:tr w14:paraId="7709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trPr>
        <w:tc>
          <w:tcPr>
            <w:tcW w:w="7959" w:type="dxa"/>
            <w:tcBorders>
              <w:top w:val="single" w:color="auto" w:sz="4" w:space="0"/>
              <w:tl2br w:val="nil"/>
              <w:tr2bl w:val="nil"/>
            </w:tcBorders>
          </w:tcPr>
          <w:p w14:paraId="2A6EC861">
            <w:pPr>
              <w:tabs>
                <w:tab w:val="left" w:pos="2007"/>
              </w:tabs>
              <w:rPr>
                <w:rFonts w:cs="等线"/>
              </w:rPr>
            </w:pPr>
            <w:r>
              <w:rPr>
                <w:rFonts w:hint="eastAsia" w:eastAsia="楷体" w:cs="Calibri"/>
                <w:b/>
                <w:bCs/>
                <w:kern w:val="2"/>
                <w:sz w:val="20"/>
                <w:szCs w:val="20"/>
              </w:rPr>
              <w:t>Source:</w:t>
            </w:r>
            <w:r>
              <w:rPr>
                <w:rFonts w:hint="eastAsia" w:eastAsia="楷体" w:cs="Calibri"/>
                <w:kern w:val="2"/>
                <w:sz w:val="20"/>
                <w:szCs w:val="20"/>
              </w:rPr>
              <w:t xml:space="preserve"> Bloomberg, HFI</w:t>
            </w:r>
          </w:p>
        </w:tc>
      </w:tr>
    </w:tbl>
    <w:p w14:paraId="22EBFA59">
      <w:pPr>
        <w:jc w:val="both"/>
        <w:rPr>
          <w:rFonts w:eastAsia="楷体" w:cs="Calibri"/>
          <w:kern w:val="2"/>
          <w:sz w:val="22"/>
          <w:szCs w:val="22"/>
        </w:rPr>
      </w:pPr>
      <w:r>
        <w:rPr>
          <w:rFonts w:hint="eastAsia" w:eastAsia="楷体" w:cs="Calibri"/>
          <w:b/>
          <w:bCs/>
          <w:kern w:val="2"/>
          <w:sz w:val="22"/>
          <w:szCs w:val="22"/>
        </w:rPr>
        <w:t>Textron Systems is poised to achieve elevated near-term growth, supported by a significant influx of large-scale orders.</w:t>
      </w:r>
      <w:r>
        <w:rPr>
          <w:rFonts w:hint="eastAsia" w:eastAsia="楷体" w:cs="Calibri"/>
          <w:kern w:val="2"/>
          <w:sz w:val="22"/>
          <w:szCs w:val="22"/>
        </w:rPr>
        <w:t xml:space="preserve"> In the third quarter of 2025, the segment secured orders exceeding $1 billion, primarily encompassing the ATAC program (aerial targets and training), Sentinel-related missile defense efforts, and multiple armored vehicle contracts. These awards reflect strong alignment between Textron Systems’ core product lines—unmanned systems, training &amp; simulation, and armored vehicles—and the U.S. Department of Defense</w:t>
      </w:r>
      <w:r>
        <w:rPr>
          <w:rFonts w:eastAsia="楷体" w:cs="Calibri"/>
          <w:kern w:val="2"/>
          <w:sz w:val="22"/>
          <w:szCs w:val="22"/>
        </w:rPr>
        <w:t>’</w:t>
      </w:r>
      <w:r>
        <w:rPr>
          <w:rFonts w:hint="eastAsia" w:eastAsia="楷体" w:cs="Calibri"/>
          <w:kern w:val="2"/>
          <w:sz w:val="22"/>
          <w:szCs w:val="22"/>
        </w:rPr>
        <w:t xml:space="preserve">s key investment priorities. </w:t>
      </w:r>
    </w:p>
    <w:bookmarkEnd w:id="15"/>
    <w:p w14:paraId="51EFF5A8">
      <w:pPr>
        <w:pStyle w:val="2"/>
        <w:spacing w:before="240" w:beforeLines="100" w:after="240" w:afterLines="100"/>
        <w:jc w:val="both"/>
        <w:rPr>
          <w:rFonts w:ascii="Calibri" w:hAnsi="Calibri" w:eastAsia="楷体" w:cs="Calibri"/>
          <w:b/>
          <w:bCs/>
          <w:color w:val="23558C"/>
          <w:sz w:val="28"/>
          <w:szCs w:val="28"/>
        </w:rPr>
      </w:pPr>
      <w:bookmarkStart w:id="32" w:name="_Toc220275552"/>
      <w:bookmarkStart w:id="33" w:name="_Toc220589939"/>
      <w:r>
        <w:rPr>
          <w:rFonts w:ascii="Calibri" w:hAnsi="Calibri" w:eastAsia="楷体" w:cs="Calibri"/>
          <w:b/>
          <w:bCs/>
          <w:color w:val="23558C"/>
          <w:sz w:val="28"/>
          <w:szCs w:val="28"/>
        </w:rPr>
        <w:t>6.</w:t>
      </w:r>
      <w:bookmarkEnd w:id="32"/>
      <w:r>
        <w:rPr>
          <w:rFonts w:ascii="Calibri" w:hAnsi="Calibri" w:cs="Calibri"/>
        </w:rPr>
        <w:t xml:space="preserve"> </w:t>
      </w:r>
      <w:r>
        <w:rPr>
          <w:rFonts w:ascii="Calibri" w:hAnsi="Calibri" w:eastAsia="楷体" w:cs="Calibri"/>
          <w:b/>
          <w:bCs/>
          <w:color w:val="23558C"/>
          <w:sz w:val="28"/>
          <w:szCs w:val="28"/>
        </w:rPr>
        <w:t>Valuation&amp; Recommendation</w:t>
      </w:r>
      <w:bookmarkEnd w:id="33"/>
    </w:p>
    <w:p w14:paraId="7DB01940">
      <w:pPr>
        <w:pStyle w:val="77"/>
        <w:jc w:val="both"/>
        <w:rPr>
          <w:rFonts w:ascii="Calibri" w:hAnsi="Calibri" w:eastAsia="楷体" w:cs="Calibri"/>
          <w:color w:val="23558C"/>
          <w:sz w:val="24"/>
        </w:rPr>
      </w:pPr>
      <w:bookmarkStart w:id="34" w:name="_Toc220275553"/>
      <w:bookmarkStart w:id="35" w:name="_Toc220589940"/>
      <w:r>
        <w:rPr>
          <w:rFonts w:ascii="Calibri" w:hAnsi="Calibri" w:eastAsia="楷体" w:cs="Calibri"/>
          <w:color w:val="23558C"/>
          <w:sz w:val="24"/>
        </w:rPr>
        <w:t xml:space="preserve">6.1 </w:t>
      </w:r>
      <w:bookmarkEnd w:id="34"/>
      <w:r>
        <w:rPr>
          <w:rFonts w:ascii="Calibri" w:hAnsi="Calibri" w:eastAsia="楷体" w:cs="Calibri"/>
          <w:color w:val="23558C"/>
          <w:sz w:val="24"/>
        </w:rPr>
        <w:t>Profit Forecast</w:t>
      </w:r>
      <w:bookmarkEnd w:id="35"/>
    </w:p>
    <w:p w14:paraId="69B65EAA">
      <w:pPr>
        <w:pStyle w:val="37"/>
        <w:numPr>
          <w:ilvl w:val="0"/>
          <w:numId w:val="5"/>
        </w:numPr>
        <w:jc w:val="both"/>
        <w:rPr>
          <w:rFonts w:eastAsia="楷体" w:cs="Calibri"/>
          <w:b/>
          <w:bCs/>
          <w:sz w:val="22"/>
          <w:szCs w:val="22"/>
        </w:rPr>
      </w:pPr>
      <w:r>
        <w:rPr>
          <w:rFonts w:eastAsia="楷体" w:cs="Calibri"/>
          <w:b/>
          <w:bCs/>
          <w:sz w:val="22"/>
          <w:szCs w:val="22"/>
        </w:rPr>
        <w:t>Total Revenue</w:t>
      </w:r>
    </w:p>
    <w:p w14:paraId="516C5563">
      <w:pPr>
        <w:jc w:val="both"/>
        <w:rPr>
          <w:rFonts w:eastAsia="楷体" w:cs="Calibri"/>
          <w:b/>
          <w:bCs/>
          <w:sz w:val="22"/>
          <w:szCs w:val="22"/>
        </w:rPr>
      </w:pPr>
    </w:p>
    <w:p w14:paraId="70ADDF6D">
      <w:pPr>
        <w:pStyle w:val="37"/>
        <w:numPr>
          <w:ilvl w:val="0"/>
          <w:numId w:val="6"/>
        </w:numPr>
        <w:jc w:val="both"/>
        <w:rPr>
          <w:rFonts w:eastAsia="楷体" w:cs="Calibri"/>
          <w:sz w:val="22"/>
          <w:szCs w:val="22"/>
        </w:rPr>
      </w:pPr>
      <w:r>
        <w:rPr>
          <w:rFonts w:eastAsia="楷体" w:cs="Calibri"/>
          <w:b/>
          <w:bCs/>
          <w:sz w:val="22"/>
          <w:szCs w:val="22"/>
        </w:rPr>
        <w:t xml:space="preserve">Textron Aviation: </w:t>
      </w:r>
      <w:r>
        <w:rPr>
          <w:rFonts w:eastAsia="楷体" w:cs="Calibri"/>
          <w:sz w:val="22"/>
          <w:szCs w:val="22"/>
        </w:rPr>
        <w:t>Projected total revenues for 2026-2028 are 64.14/68.54/72.96 billion USD, with year-over-year growth rates of 7.70%/6.87%/6.45%, respectively.</w:t>
      </w:r>
      <w:r>
        <w:rPr>
          <w:rFonts w:hint="eastAsia" w:eastAsia="楷体" w:cs="Calibri"/>
          <w:sz w:val="22"/>
          <w:szCs w:val="22"/>
        </w:rPr>
        <w:t xml:space="preserve"> </w:t>
      </w:r>
      <w:r>
        <w:rPr>
          <w:rFonts w:eastAsia="楷体" w:cs="Calibri"/>
          <w:sz w:val="22"/>
          <w:szCs w:val="22"/>
        </w:rPr>
        <w:t>Among them, aircraft OEM revenues for 2026-2028 are 43.68/47.37/51.09 billion USD, with growth rates of 10.60%/8.45%/7.86%, respectively, mainly driven by delivery volume growth; projected aftermarket service revenues for 2026-2028 are 2%/3.5%/3.3%, respectively.</w:t>
      </w:r>
    </w:p>
    <w:p w14:paraId="3EBF09BD">
      <w:pPr>
        <w:jc w:val="both"/>
        <w:rPr>
          <w:rFonts w:hint="eastAsia" w:ascii="楷体" w:hAnsi="楷体" w:eastAsia="楷体" w:cs="楷体"/>
          <w:sz w:val="22"/>
          <w:szCs w:val="22"/>
        </w:rPr>
      </w:pPr>
      <w:r>
        <w:rPr>
          <w:rFonts w:hint="eastAsia" w:ascii="楷体" w:hAnsi="楷体" w:eastAsia="楷体" w:cs="楷体"/>
          <w:sz w:val="22"/>
          <w:szCs w:val="22"/>
        </w:rPr>
        <w:t xml:space="preserve"> </w:t>
      </w:r>
    </w:p>
    <w:p w14:paraId="41E57625">
      <w:pPr>
        <w:pStyle w:val="37"/>
        <w:numPr>
          <w:ilvl w:val="0"/>
          <w:numId w:val="6"/>
        </w:numPr>
        <w:jc w:val="both"/>
        <w:rPr>
          <w:rFonts w:eastAsia="楷体" w:cs="Calibri"/>
          <w:sz w:val="22"/>
          <w:szCs w:val="22"/>
        </w:rPr>
      </w:pPr>
      <w:r>
        <w:rPr>
          <w:rFonts w:eastAsia="楷体" w:cs="Calibri"/>
          <w:b/>
          <w:bCs/>
          <w:sz w:val="22"/>
          <w:szCs w:val="22"/>
        </w:rPr>
        <w:t xml:space="preserve">Bell Segment: </w:t>
      </w:r>
      <w:r>
        <w:rPr>
          <w:rFonts w:eastAsia="楷体" w:cs="Calibri"/>
          <w:sz w:val="22"/>
          <w:szCs w:val="22"/>
        </w:rPr>
        <w:t>Projected total revenues for 2026-2028 are 46.30/50.43/54.05 billion USD, with corresponding year-over-year growth rates of 8.14%/8.90%/7.18%. Among them, military aircraft revenues for 2026-2028 are mainly driven by the accelerated delivery process of the MV-75; commercial aircraft revenues for 2026-2028 are expected to achieve overall growth rates superior to the industry average, primarily driven by new orders.</w:t>
      </w:r>
    </w:p>
    <w:p w14:paraId="62054ECC">
      <w:pPr>
        <w:jc w:val="both"/>
        <w:rPr>
          <w:rFonts w:hint="eastAsia" w:ascii="楷体" w:hAnsi="楷体" w:eastAsia="楷体" w:cs="楷体"/>
          <w:sz w:val="22"/>
          <w:szCs w:val="22"/>
        </w:rPr>
      </w:pPr>
    </w:p>
    <w:p w14:paraId="1AF24528">
      <w:pPr>
        <w:pStyle w:val="37"/>
        <w:numPr>
          <w:ilvl w:val="0"/>
          <w:numId w:val="6"/>
        </w:numPr>
        <w:jc w:val="both"/>
        <w:rPr>
          <w:rFonts w:eastAsia="楷体" w:cs="Calibri"/>
          <w:sz w:val="22"/>
          <w:szCs w:val="22"/>
        </w:rPr>
      </w:pPr>
      <w:r>
        <w:rPr>
          <w:rFonts w:eastAsia="楷体" w:cs="Calibri"/>
          <w:b/>
          <w:bCs/>
          <w:sz w:val="22"/>
          <w:szCs w:val="22"/>
        </w:rPr>
        <w:t xml:space="preserve">Industrial Segment: </w:t>
      </w:r>
      <w:r>
        <w:rPr>
          <w:rFonts w:eastAsia="楷体" w:cs="Calibri"/>
          <w:sz w:val="22"/>
          <w:szCs w:val="22"/>
        </w:rPr>
        <w:t>Expected to remain stable for 2026-2028, with revenues of 32.40/33.05/33.38 billion USD and year-over-year growth rates of 0.83%/2%/1.00%, respectively.</w:t>
      </w:r>
    </w:p>
    <w:p w14:paraId="2A97F8B8">
      <w:pPr>
        <w:pStyle w:val="37"/>
        <w:rPr>
          <w:rFonts w:eastAsia="楷体" w:cs="Calibri"/>
          <w:sz w:val="22"/>
          <w:szCs w:val="22"/>
        </w:rPr>
      </w:pPr>
    </w:p>
    <w:p w14:paraId="33CF1651">
      <w:pPr>
        <w:pStyle w:val="37"/>
        <w:numPr>
          <w:ilvl w:val="0"/>
          <w:numId w:val="6"/>
        </w:numPr>
        <w:jc w:val="both"/>
        <w:rPr>
          <w:rFonts w:eastAsia="楷体" w:cs="Calibri"/>
          <w:sz w:val="22"/>
          <w:szCs w:val="22"/>
        </w:rPr>
      </w:pPr>
      <w:r>
        <w:rPr>
          <w:rFonts w:eastAsia="楷体" w:cs="Calibri"/>
          <w:b/>
          <w:bCs/>
          <w:sz w:val="22"/>
          <w:szCs w:val="22"/>
        </w:rPr>
        <w:t xml:space="preserve">Textron System: </w:t>
      </w:r>
      <w:r>
        <w:rPr>
          <w:rFonts w:eastAsia="楷体" w:cs="Calibri"/>
          <w:sz w:val="22"/>
          <w:szCs w:val="22"/>
        </w:rPr>
        <w:t>Overall growth rate higher than the industry average, with projected revenues for 2026-2028 of 13/13.52/13.93 billion USD and growth rates of 4.25%/3.02%/3.0%.</w:t>
      </w:r>
    </w:p>
    <w:p w14:paraId="48760D97">
      <w:pPr>
        <w:pStyle w:val="37"/>
        <w:rPr>
          <w:rFonts w:eastAsia="楷体" w:cs="Calibri"/>
          <w:sz w:val="22"/>
          <w:szCs w:val="22"/>
        </w:rPr>
      </w:pPr>
    </w:p>
    <w:p w14:paraId="762D71DC">
      <w:pPr>
        <w:pStyle w:val="37"/>
        <w:numPr>
          <w:ilvl w:val="0"/>
          <w:numId w:val="6"/>
        </w:numPr>
        <w:jc w:val="both"/>
        <w:rPr>
          <w:rFonts w:eastAsia="楷体" w:cs="Calibri"/>
          <w:sz w:val="22"/>
          <w:szCs w:val="22"/>
        </w:rPr>
      </w:pPr>
      <w:r>
        <w:rPr>
          <w:rFonts w:eastAsia="楷体" w:cs="Calibri"/>
          <w:b/>
          <w:bCs/>
          <w:sz w:val="22"/>
          <w:szCs w:val="22"/>
        </w:rPr>
        <w:t>Other Segments:</w:t>
      </w:r>
      <w:r>
        <w:rPr>
          <w:rFonts w:eastAsia="楷体" w:cs="Calibri"/>
          <w:sz w:val="22"/>
          <w:szCs w:val="22"/>
        </w:rPr>
        <w:t xml:space="preserve"> eAviation and Finance are both expected to maintain steady upward trends.</w:t>
      </w:r>
    </w:p>
    <w:p w14:paraId="5B53CF98">
      <w:pPr>
        <w:jc w:val="both"/>
        <w:rPr>
          <w:rFonts w:hint="eastAsia" w:ascii="楷体" w:hAnsi="楷体" w:eastAsia="楷体" w:cs="楷体"/>
          <w:b/>
          <w:bCs/>
          <w:sz w:val="22"/>
          <w:szCs w:val="22"/>
        </w:rPr>
      </w:pPr>
    </w:p>
    <w:p w14:paraId="73D67227">
      <w:pPr>
        <w:jc w:val="both"/>
        <w:rPr>
          <w:rFonts w:eastAsia="楷体" w:cs="Calibri"/>
          <w:b/>
          <w:bCs/>
          <w:sz w:val="22"/>
          <w:szCs w:val="22"/>
          <w:u w:val="single"/>
        </w:rPr>
      </w:pPr>
      <w:r>
        <w:rPr>
          <w:rFonts w:eastAsia="楷体" w:cs="Calibri"/>
          <w:b/>
          <w:bCs/>
          <w:sz w:val="22"/>
          <w:szCs w:val="22"/>
          <w:u w:val="single"/>
        </w:rPr>
        <w:t>Based on the above, the company's total revenues for 2026-2028 are projected to be 156.65/166.38/175.20 billion USD, with year-over-year growth rates of 5.85%/6.21%/5.30%.</w:t>
      </w:r>
    </w:p>
    <w:p w14:paraId="6CB3F4F3">
      <w:pPr>
        <w:jc w:val="both"/>
        <w:rPr>
          <w:rFonts w:eastAsia="楷体" w:cs="Calibri"/>
          <w:sz w:val="22"/>
          <w:szCs w:val="22"/>
        </w:rPr>
      </w:pPr>
    </w:p>
    <w:p w14:paraId="5DAEFEF4">
      <w:pPr>
        <w:jc w:val="both"/>
        <w:rPr>
          <w:rFonts w:eastAsia="楷体" w:cs="Calibri"/>
          <w:sz w:val="22"/>
          <w:szCs w:val="22"/>
        </w:rPr>
      </w:pPr>
    </w:p>
    <w:p w14:paraId="0773D0F5">
      <w:pPr>
        <w:jc w:val="both"/>
        <w:rPr>
          <w:rFonts w:eastAsia="楷体" w:cs="Calibri"/>
          <w:sz w:val="22"/>
          <w:szCs w:val="22"/>
        </w:rPr>
      </w:pPr>
    </w:p>
    <w:p w14:paraId="557807CE">
      <w:pPr>
        <w:jc w:val="both"/>
        <w:rPr>
          <w:rFonts w:eastAsia="楷体" w:cs="Calibri"/>
          <w:sz w:val="22"/>
          <w:szCs w:val="22"/>
        </w:rPr>
      </w:pPr>
    </w:p>
    <w:p w14:paraId="030FE5E0">
      <w:pPr>
        <w:jc w:val="both"/>
        <w:rPr>
          <w:rFonts w:eastAsia="楷体" w:cs="Calibri"/>
          <w:sz w:val="22"/>
          <w:szCs w:val="22"/>
        </w:rPr>
      </w:pPr>
    </w:p>
    <w:p w14:paraId="0D7B1955">
      <w:pPr>
        <w:jc w:val="both"/>
        <w:rPr>
          <w:rFonts w:eastAsia="楷体" w:cs="Calibri"/>
          <w:sz w:val="22"/>
          <w:szCs w:val="22"/>
        </w:rPr>
      </w:pPr>
    </w:p>
    <w:p w14:paraId="43113ABF">
      <w:pPr>
        <w:jc w:val="both"/>
        <w:rPr>
          <w:rFonts w:eastAsia="楷体" w:cs="Calibri"/>
          <w:sz w:val="22"/>
          <w:szCs w:val="22"/>
        </w:rPr>
      </w:pPr>
    </w:p>
    <w:p w14:paraId="0431D417">
      <w:pPr>
        <w:jc w:val="both"/>
        <w:rPr>
          <w:rFonts w:eastAsia="楷体" w:cs="Calibri"/>
          <w:sz w:val="22"/>
          <w:szCs w:val="22"/>
        </w:rPr>
      </w:pPr>
    </w:p>
    <w:p w14:paraId="461ADB6F">
      <w:pPr>
        <w:jc w:val="both"/>
        <w:rPr>
          <w:rFonts w:eastAsia="楷体" w:cs="Calibri"/>
          <w:sz w:val="22"/>
          <w:szCs w:val="22"/>
        </w:rPr>
      </w:pPr>
    </w:p>
    <w:p w14:paraId="4C1158B8">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715B1F1">
        <w:trPr>
          <w:trHeight w:val="302" w:hRule="atLeast"/>
        </w:trPr>
        <w:tc>
          <w:tcPr>
            <w:tcW w:w="7466" w:type="dxa"/>
            <w:tcBorders>
              <w:bottom w:val="single" w:color="auto" w:sz="4" w:space="0"/>
            </w:tcBorders>
            <w:tcMar>
              <w:left w:w="0" w:type="dxa"/>
              <w:right w:w="28" w:type="dxa"/>
            </w:tcMar>
          </w:tcPr>
          <w:p w14:paraId="4EFE9136">
            <w:pPr>
              <w:spacing w:before="48" w:beforeLines="20" w:after="48" w:afterLines="20"/>
              <w:jc w:val="both"/>
              <w:textAlignment w:val="center"/>
              <w:rPr>
                <w:rFonts w:hint="eastAsia" w:ascii="楷体" w:hAnsi="楷体" w:eastAsia="楷体" w:cs="Calibri"/>
                <w:b/>
                <w:sz w:val="20"/>
                <w:szCs w:val="20"/>
              </w:rPr>
            </w:pPr>
            <w:bookmarkStart w:id="36" w:name="_Hlk219374613"/>
            <w:r>
              <w:rPr>
                <w:rFonts w:hint="eastAsia" w:ascii="楷体" w:hAnsi="楷体" w:eastAsia="楷体" w:cs="Calibri"/>
                <w:b/>
                <w:sz w:val="20"/>
                <w:szCs w:val="20"/>
              </w:rPr>
              <w:t>Figure：</w:t>
            </w:r>
            <w:r>
              <w:rPr>
                <w:rFonts w:ascii="楷体" w:hAnsi="楷体" w:eastAsia="楷体" w:cs="Calibri"/>
                <w:b/>
                <w:sz w:val="20"/>
                <w:szCs w:val="20"/>
              </w:rPr>
              <w:t>2025-2027 Revenue Breakdown by Business Segments (in Million USD)</w:t>
            </w:r>
          </w:p>
        </w:tc>
      </w:tr>
      <w:tr w14:paraId="6D98E34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6581E8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904490"/>
                  <wp:effectExtent l="0" t="0" r="6350" b="0"/>
                  <wp:docPr id="4765935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93593" name="图片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603750" cy="2904490"/>
                          </a:xfrm>
                          <a:prstGeom prst="rect">
                            <a:avLst/>
                          </a:prstGeom>
                          <a:noFill/>
                        </pic:spPr>
                      </pic:pic>
                    </a:graphicData>
                  </a:graphic>
                </wp:inline>
              </w:drawing>
            </w:r>
          </w:p>
        </w:tc>
      </w:tr>
      <w:tr w14:paraId="68367B2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D55309B">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36"/>
    </w:tbl>
    <w:p w14:paraId="394FDFAC">
      <w:pPr>
        <w:jc w:val="both"/>
        <w:rPr>
          <w:rFonts w:hint="eastAsia" w:ascii="楷体" w:hAnsi="楷体" w:eastAsia="楷体" w:cs="楷体"/>
          <w:b/>
          <w:bCs/>
          <w:sz w:val="22"/>
          <w:szCs w:val="22"/>
          <w:u w:val="single"/>
        </w:rPr>
      </w:pPr>
    </w:p>
    <w:p w14:paraId="4844A113">
      <w:pPr>
        <w:jc w:val="both"/>
        <w:rPr>
          <w:rFonts w:hint="eastAsia" w:ascii="楷体" w:hAnsi="楷体" w:eastAsia="楷体" w:cs="楷体"/>
          <w:sz w:val="22"/>
          <w:szCs w:val="22"/>
        </w:rPr>
      </w:pPr>
    </w:p>
    <w:p w14:paraId="0CE8566A">
      <w:pPr>
        <w:pStyle w:val="37"/>
        <w:numPr>
          <w:ilvl w:val="0"/>
          <w:numId w:val="7"/>
        </w:numPr>
        <w:jc w:val="both"/>
        <w:rPr>
          <w:rFonts w:eastAsia="楷体" w:cs="Calibri"/>
          <w:sz w:val="22"/>
          <w:szCs w:val="22"/>
        </w:rPr>
      </w:pPr>
      <w:r>
        <w:rPr>
          <w:rFonts w:eastAsia="楷体" w:cs="Calibri"/>
          <w:b/>
          <w:bCs/>
          <w:sz w:val="22"/>
          <w:szCs w:val="22"/>
        </w:rPr>
        <w:t>Gross Profit Margin</w:t>
      </w:r>
    </w:p>
    <w:p w14:paraId="11F14576">
      <w:pPr>
        <w:jc w:val="both"/>
        <w:rPr>
          <w:rFonts w:eastAsia="楷体" w:cs="Calibri"/>
          <w:sz w:val="22"/>
          <w:szCs w:val="22"/>
        </w:rPr>
      </w:pPr>
    </w:p>
    <w:p w14:paraId="1E3E15F3">
      <w:pPr>
        <w:jc w:val="both"/>
        <w:rPr>
          <w:rFonts w:eastAsia="楷体" w:cs="Calibri"/>
          <w:sz w:val="22"/>
          <w:szCs w:val="22"/>
        </w:rPr>
      </w:pPr>
      <w:r>
        <w:rPr>
          <w:rFonts w:hint="eastAsia" w:eastAsia="楷体" w:cs="Calibri"/>
          <w:sz w:val="22"/>
          <w:szCs w:val="22"/>
        </w:rPr>
        <w:t>1)</w:t>
      </w:r>
      <w:r>
        <w:rPr>
          <w:rFonts w:eastAsia="楷体" w:cs="Calibri"/>
          <w:sz w:val="22"/>
          <w:szCs w:val="22"/>
        </w:rPr>
        <w:t>Segments that boost the company's overall gross margin: Considering the aviation business segment, where continuous upgrades of aircraft models lead to increased value and gross margins, it is expected to have a positive pulling effect on the company's overall gross margin.</w:t>
      </w:r>
    </w:p>
    <w:p w14:paraId="4EDCCA11">
      <w:pPr>
        <w:jc w:val="both"/>
        <w:rPr>
          <w:rFonts w:eastAsia="楷体" w:cs="Calibri"/>
          <w:sz w:val="22"/>
          <w:szCs w:val="22"/>
        </w:rPr>
      </w:pPr>
      <w:r>
        <w:rPr>
          <w:rFonts w:hint="eastAsia" w:eastAsia="楷体" w:cs="Calibri"/>
          <w:sz w:val="22"/>
          <w:szCs w:val="22"/>
        </w:rPr>
        <w:t>2)</w:t>
      </w:r>
      <w:r>
        <w:rPr>
          <w:rFonts w:eastAsia="楷体" w:cs="Calibri"/>
          <w:sz w:val="22"/>
          <w:szCs w:val="22"/>
        </w:rPr>
        <w:t>Segments that affect the company's overall gross margin: In the Bell segment, because the MV-75 is still in the early delivery process and revenue is accounted for on a cost-plus basis, it is expected that this business will have a certain negative impact on gross margins in the short term.</w:t>
      </w:r>
    </w:p>
    <w:p w14:paraId="0740D043">
      <w:pPr>
        <w:jc w:val="both"/>
        <w:rPr>
          <w:rFonts w:eastAsia="楷体" w:cs="Calibri"/>
          <w:sz w:val="22"/>
          <w:szCs w:val="22"/>
        </w:rPr>
      </w:pPr>
      <w:r>
        <w:rPr>
          <w:rFonts w:hint="eastAsia" w:eastAsia="楷体" w:cs="Calibri"/>
          <w:sz w:val="22"/>
          <w:szCs w:val="22"/>
        </w:rPr>
        <w:t>3)</w:t>
      </w:r>
      <w:r>
        <w:rPr>
          <w:rFonts w:eastAsia="楷体" w:cs="Calibri"/>
          <w:sz w:val="22"/>
          <w:szCs w:val="22"/>
        </w:rPr>
        <w:t>Other segments: Textron System, Industrial segment, and others all maintain relatively stable gross margin levels.</w:t>
      </w:r>
    </w:p>
    <w:p w14:paraId="5C8244E6">
      <w:pPr>
        <w:jc w:val="both"/>
        <w:rPr>
          <w:rFonts w:eastAsia="楷体" w:cs="Calibri"/>
          <w:sz w:val="22"/>
          <w:szCs w:val="22"/>
        </w:rPr>
      </w:pPr>
    </w:p>
    <w:p w14:paraId="4847E5E4">
      <w:pPr>
        <w:jc w:val="both"/>
        <w:rPr>
          <w:rFonts w:eastAsia="楷体" w:cs="Calibri"/>
          <w:sz w:val="22"/>
          <w:szCs w:val="22"/>
        </w:rPr>
      </w:pPr>
      <w:r>
        <w:rPr>
          <w:rFonts w:eastAsia="楷体" w:cs="Calibri"/>
          <w:sz w:val="22"/>
          <w:szCs w:val="22"/>
        </w:rPr>
        <w:t>Based on the above, and referring to the revenue proportions of each business, it is expected that gross margins will see a slight upward trend from 2026-2028, with gross margins of 19.5%/19.7%/20%, respectively.</w:t>
      </w:r>
    </w:p>
    <w:p w14:paraId="094B3D50">
      <w:pPr>
        <w:jc w:val="both"/>
        <w:rPr>
          <w:rFonts w:hint="eastAsia" w:ascii="楷体" w:hAnsi="楷体" w:eastAsia="楷体" w:cs="楷体"/>
          <w:b/>
          <w:bCs/>
          <w:sz w:val="22"/>
          <w:szCs w:val="22"/>
        </w:rPr>
      </w:pPr>
    </w:p>
    <w:p w14:paraId="52DDC7AB">
      <w:pPr>
        <w:pStyle w:val="37"/>
        <w:numPr>
          <w:ilvl w:val="0"/>
          <w:numId w:val="7"/>
        </w:numPr>
        <w:jc w:val="both"/>
        <w:rPr>
          <w:rFonts w:eastAsia="楷体" w:cs="Calibri"/>
          <w:sz w:val="22"/>
          <w:szCs w:val="22"/>
        </w:rPr>
      </w:pPr>
      <w:r>
        <w:rPr>
          <w:rFonts w:eastAsia="楷体" w:cs="Calibri"/>
          <w:b/>
          <w:bCs/>
          <w:sz w:val="22"/>
          <w:szCs w:val="22"/>
        </w:rPr>
        <w:t>Period Expense Ratio</w:t>
      </w:r>
    </w:p>
    <w:p w14:paraId="74C1019D">
      <w:pPr>
        <w:jc w:val="both"/>
        <w:rPr>
          <w:rFonts w:hint="eastAsia" w:ascii="楷体" w:hAnsi="楷体" w:eastAsia="楷体" w:cs="楷体"/>
          <w:sz w:val="22"/>
          <w:szCs w:val="22"/>
        </w:rPr>
      </w:pPr>
    </w:p>
    <w:p w14:paraId="56EBD49F">
      <w:pPr>
        <w:jc w:val="both"/>
        <w:rPr>
          <w:rFonts w:hint="eastAsia" w:ascii="楷体" w:hAnsi="楷体" w:eastAsia="楷体" w:cs="楷体"/>
          <w:sz w:val="22"/>
          <w:szCs w:val="22"/>
        </w:rPr>
      </w:pPr>
      <w:r>
        <w:rPr>
          <w:rFonts w:ascii="楷体" w:hAnsi="楷体" w:eastAsia="楷体" w:cs="楷体"/>
          <w:sz w:val="22"/>
          <w:szCs w:val="22"/>
        </w:rPr>
        <w:t>SG&amp;A expenses expected to grow steadily, at 9.5%/9.8%/10% for 2026-2028.</w:t>
      </w:r>
    </w:p>
    <w:p w14:paraId="68B2146A">
      <w:pPr>
        <w:jc w:val="both"/>
        <w:rPr>
          <w:rFonts w:hint="eastAsia" w:ascii="楷体" w:hAnsi="楷体" w:eastAsia="楷体" w:cs="楷体"/>
          <w:b/>
          <w:bCs/>
          <w:sz w:val="22"/>
          <w:szCs w:val="22"/>
          <w:u w:val="single"/>
        </w:rPr>
      </w:pPr>
    </w:p>
    <w:p w14:paraId="7164A082">
      <w:pPr>
        <w:jc w:val="both"/>
        <w:rPr>
          <w:rFonts w:eastAsia="楷体" w:cs="Calibri"/>
          <w:b/>
          <w:bCs/>
          <w:sz w:val="22"/>
          <w:szCs w:val="22"/>
          <w:u w:val="single"/>
        </w:rPr>
      </w:pPr>
      <w:r>
        <w:rPr>
          <w:rFonts w:eastAsia="楷体" w:cs="Calibri"/>
          <w:b/>
          <w:bCs/>
          <w:sz w:val="22"/>
          <w:szCs w:val="22"/>
          <w:u w:val="single"/>
        </w:rPr>
        <w:t xml:space="preserve">In summary, the company's net profits for 2026-2028 are projected to be 10.50/11.61/12.88 billion USD, with </w:t>
      </w:r>
      <w:r>
        <w:rPr>
          <w:rFonts w:hint="eastAsia" w:eastAsia="楷体" w:cs="Calibri"/>
          <w:b/>
          <w:bCs/>
          <w:sz w:val="22"/>
          <w:szCs w:val="22"/>
          <w:u w:val="single"/>
        </w:rPr>
        <w:t>yoy</w:t>
      </w:r>
      <w:r>
        <w:rPr>
          <w:rFonts w:eastAsia="楷体" w:cs="Calibri"/>
          <w:b/>
          <w:bCs/>
          <w:sz w:val="22"/>
          <w:szCs w:val="22"/>
          <w:u w:val="single"/>
        </w:rPr>
        <w:t xml:space="preserve"> growth rates of 14.03%/10.52%/11.01%, respectively.</w:t>
      </w:r>
    </w:p>
    <w:p w14:paraId="65300FCA">
      <w:pPr>
        <w:jc w:val="both"/>
        <w:rPr>
          <w:rFonts w:eastAsia="楷体" w:cs="Calibri"/>
          <w:b/>
          <w:bCs/>
          <w:sz w:val="22"/>
          <w:szCs w:val="22"/>
          <w:u w:val="single"/>
        </w:rPr>
      </w:pPr>
    </w:p>
    <w:p w14:paraId="011F6FC0">
      <w:pPr>
        <w:jc w:val="both"/>
        <w:rPr>
          <w:rFonts w:eastAsia="楷体" w:cs="Calibri"/>
          <w:sz w:val="22"/>
          <w:szCs w:val="22"/>
        </w:rPr>
      </w:pPr>
    </w:p>
    <w:p w14:paraId="413C4BD2">
      <w:pPr>
        <w:jc w:val="both"/>
        <w:rPr>
          <w:rFonts w:eastAsia="楷体" w:cs="Calibri"/>
          <w:sz w:val="22"/>
          <w:szCs w:val="22"/>
        </w:rPr>
      </w:pPr>
    </w:p>
    <w:p w14:paraId="3C6E997B">
      <w:pPr>
        <w:pStyle w:val="77"/>
        <w:jc w:val="both"/>
        <w:rPr>
          <w:rFonts w:ascii="Calibri" w:hAnsi="Calibri" w:eastAsia="楷体" w:cs="Calibri"/>
          <w:color w:val="23558C"/>
          <w:sz w:val="24"/>
        </w:rPr>
      </w:pPr>
      <w:bookmarkStart w:id="37" w:name="_Toc220275554"/>
      <w:bookmarkStart w:id="38" w:name="_Toc220589941"/>
      <w:r>
        <w:rPr>
          <w:rFonts w:ascii="Calibri" w:hAnsi="Calibri" w:eastAsia="楷体" w:cs="Calibri"/>
          <w:color w:val="23558C"/>
          <w:sz w:val="24"/>
        </w:rPr>
        <w:t xml:space="preserve">6.2 </w:t>
      </w:r>
      <w:bookmarkEnd w:id="37"/>
      <w:r>
        <w:rPr>
          <w:rFonts w:ascii="Calibri" w:hAnsi="Calibri" w:eastAsia="楷体" w:cs="Calibri"/>
          <w:color w:val="23558C"/>
          <w:sz w:val="24"/>
        </w:rPr>
        <w:t>Valuation Analysis</w:t>
      </w:r>
      <w:bookmarkEnd w:id="38"/>
    </w:p>
    <w:p w14:paraId="7A02E011">
      <w:pPr>
        <w:jc w:val="both"/>
        <w:rPr>
          <w:rFonts w:eastAsia="楷体" w:cs="Calibri"/>
          <w:sz w:val="22"/>
          <w:szCs w:val="22"/>
        </w:rPr>
      </w:pPr>
      <w:r>
        <w:rPr>
          <w:rFonts w:eastAsia="楷体" w:cs="Calibri"/>
          <w:sz w:val="22"/>
          <w:szCs w:val="22"/>
        </w:rPr>
        <w:t>Based on the Discounted Cash Flow (DCF) valuation model, we have calculated the company's future operating cash flows, and comprehensively considered the industry growth prospects, the company's competitive position, and profitability, assigning a target price of 83.01 USD to the company. This is our first coverage of Textron, with a "Hold" investment rating.</w:t>
      </w:r>
    </w:p>
    <w:p w14:paraId="5B5AEAF4">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42E0E61D">
        <w:trPr>
          <w:trHeight w:val="302" w:hRule="atLeast"/>
        </w:trPr>
        <w:tc>
          <w:tcPr>
            <w:tcW w:w="7466" w:type="dxa"/>
            <w:tcBorders>
              <w:bottom w:val="single" w:color="auto" w:sz="4" w:space="0"/>
            </w:tcBorders>
            <w:tcMar>
              <w:left w:w="0" w:type="dxa"/>
              <w:right w:w="28" w:type="dxa"/>
            </w:tcMar>
          </w:tcPr>
          <w:p w14:paraId="49F4795E">
            <w:pPr>
              <w:spacing w:before="48" w:beforeLines="20" w:after="48" w:afterLines="20"/>
              <w:jc w:val="both"/>
              <w:textAlignment w:val="center"/>
              <w:rPr>
                <w:rFonts w:hint="eastAsia" w:ascii="楷体" w:hAnsi="楷体" w:eastAsia="楷体" w:cs="Calibri"/>
                <w:b/>
                <w:sz w:val="20"/>
                <w:szCs w:val="20"/>
              </w:rPr>
            </w:pPr>
            <w:r>
              <w:rPr>
                <w:rFonts w:eastAsia="楷体" w:cs="Calibri"/>
                <w:b/>
                <w:sz w:val="20"/>
                <w:szCs w:val="20"/>
              </w:rPr>
              <w:t>Figure：</w:t>
            </w:r>
            <w:r>
              <w:rPr>
                <w:rFonts w:hint="eastAsia" w:ascii="楷体" w:hAnsi="楷体" w:eastAsia="楷体" w:cs="Calibri"/>
                <w:b/>
                <w:sz w:val="20"/>
                <w:szCs w:val="20"/>
              </w:rPr>
              <w:t xml:space="preserve">DCF Model </w:t>
            </w:r>
          </w:p>
        </w:tc>
      </w:tr>
      <w:tr w14:paraId="215A54E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8E8ADA4">
            <w:pPr>
              <w:spacing w:before="48" w:beforeLines="20" w:after="48" w:afterLines="20"/>
              <w:jc w:val="center"/>
              <w:textAlignment w:val="center"/>
              <w:rPr>
                <w:rFonts w:eastAsia="宋体" w:cs="Calibri"/>
                <w:b/>
                <w:bCs/>
                <w:sz w:val="20"/>
                <w:szCs w:val="20"/>
              </w:rPr>
            </w:pPr>
            <w:r>
              <w:rPr>
                <w:snapToGrid/>
              </w:rPr>
              <w:drawing>
                <wp:inline distT="0" distB="0" distL="0" distR="0">
                  <wp:extent cx="4603750" cy="4605020"/>
                  <wp:effectExtent l="0" t="0" r="6350" b="5080"/>
                  <wp:docPr id="13397998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99802" name="图片 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603750" cy="4605020"/>
                          </a:xfrm>
                          <a:prstGeom prst="rect">
                            <a:avLst/>
                          </a:prstGeom>
                          <a:noFill/>
                        </pic:spPr>
                      </pic:pic>
                    </a:graphicData>
                  </a:graphic>
                </wp:inline>
              </w:drawing>
            </w:r>
          </w:p>
        </w:tc>
      </w:tr>
      <w:tr w14:paraId="6F9DAAC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1770F9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0EADAAD4">
      <w:pPr>
        <w:jc w:val="both"/>
        <w:rPr>
          <w:rFonts w:hint="eastAsia" w:ascii="楷体" w:hAnsi="楷体" w:eastAsia="楷体" w:cs="楷体"/>
          <w:sz w:val="22"/>
          <w:szCs w:val="22"/>
        </w:rPr>
      </w:pPr>
    </w:p>
    <w:p w14:paraId="05EA3EF7">
      <w:pPr>
        <w:jc w:val="both"/>
        <w:rPr>
          <w:rFonts w:hint="eastAsia" w:ascii="楷体" w:hAnsi="楷体" w:eastAsia="楷体" w:cs="楷体"/>
          <w:sz w:val="22"/>
          <w:szCs w:val="22"/>
        </w:rPr>
      </w:pPr>
    </w:p>
    <w:p w14:paraId="33A8AFCE">
      <w:pPr>
        <w:jc w:val="both"/>
        <w:rPr>
          <w:rFonts w:hint="eastAsia" w:ascii="楷体" w:hAnsi="楷体" w:eastAsia="楷体" w:cs="楷体"/>
          <w:sz w:val="22"/>
          <w:szCs w:val="22"/>
        </w:rPr>
      </w:pPr>
    </w:p>
    <w:p w14:paraId="22336F8E">
      <w:pPr>
        <w:jc w:val="both"/>
        <w:rPr>
          <w:rFonts w:hint="eastAsia" w:ascii="楷体" w:hAnsi="楷体" w:eastAsia="楷体" w:cs="楷体"/>
          <w:sz w:val="22"/>
          <w:szCs w:val="22"/>
        </w:rPr>
      </w:pPr>
    </w:p>
    <w:p w14:paraId="2837B3E1">
      <w:pPr>
        <w:jc w:val="both"/>
        <w:rPr>
          <w:rFonts w:hint="eastAsia" w:ascii="楷体" w:hAnsi="楷体" w:eastAsia="楷体" w:cs="楷体"/>
          <w:sz w:val="22"/>
          <w:szCs w:val="22"/>
        </w:rPr>
      </w:pPr>
    </w:p>
    <w:p w14:paraId="22D84A10">
      <w:pPr>
        <w:jc w:val="both"/>
        <w:rPr>
          <w:rFonts w:hint="eastAsia" w:ascii="楷体" w:hAnsi="楷体" w:eastAsia="楷体" w:cs="楷体"/>
          <w:sz w:val="22"/>
          <w:szCs w:val="22"/>
        </w:rPr>
      </w:pPr>
    </w:p>
    <w:p w14:paraId="70647908">
      <w:pPr>
        <w:jc w:val="both"/>
        <w:rPr>
          <w:rFonts w:hint="eastAsia" w:ascii="楷体" w:hAnsi="楷体" w:eastAsia="楷体" w:cs="楷体"/>
          <w:sz w:val="22"/>
          <w:szCs w:val="22"/>
        </w:rPr>
      </w:pPr>
    </w:p>
    <w:p w14:paraId="3BECE3F9">
      <w:pPr>
        <w:jc w:val="both"/>
        <w:rPr>
          <w:rFonts w:hint="eastAsia" w:ascii="楷体" w:hAnsi="楷体" w:eastAsia="楷体" w:cs="楷体"/>
          <w:sz w:val="22"/>
          <w:szCs w:val="22"/>
        </w:rPr>
      </w:pPr>
    </w:p>
    <w:p w14:paraId="3D000853">
      <w:pPr>
        <w:jc w:val="both"/>
        <w:rPr>
          <w:rFonts w:hint="eastAsia" w:ascii="楷体" w:hAnsi="楷体" w:eastAsia="楷体" w:cs="楷体"/>
          <w:sz w:val="22"/>
          <w:szCs w:val="22"/>
        </w:rPr>
      </w:pPr>
    </w:p>
    <w:p w14:paraId="1585E1B3">
      <w:pPr>
        <w:jc w:val="both"/>
        <w:rPr>
          <w:rFonts w:hint="eastAsia" w:ascii="楷体" w:hAnsi="楷体" w:eastAsia="楷体" w:cs="楷体"/>
          <w:sz w:val="22"/>
          <w:szCs w:val="22"/>
        </w:rPr>
      </w:pPr>
    </w:p>
    <w:p w14:paraId="75D93828">
      <w:pPr>
        <w:jc w:val="both"/>
        <w:rPr>
          <w:rFonts w:hint="eastAsia" w:ascii="楷体" w:hAnsi="楷体" w:eastAsia="楷体" w:cs="楷体"/>
          <w:sz w:val="22"/>
          <w:szCs w:val="22"/>
        </w:rPr>
      </w:pPr>
    </w:p>
    <w:p w14:paraId="7054DFDE">
      <w:pPr>
        <w:jc w:val="both"/>
        <w:rPr>
          <w:rFonts w:hint="eastAsia" w:ascii="楷体" w:hAnsi="楷体" w:eastAsia="楷体" w:cs="楷体"/>
          <w:sz w:val="22"/>
          <w:szCs w:val="22"/>
        </w:rPr>
      </w:pPr>
    </w:p>
    <w:p w14:paraId="12498B53">
      <w:pPr>
        <w:jc w:val="both"/>
        <w:rPr>
          <w:rFonts w:hint="eastAsia" w:ascii="楷体" w:hAnsi="楷体" w:eastAsia="楷体" w:cs="楷体"/>
          <w:sz w:val="22"/>
          <w:szCs w:val="22"/>
        </w:rPr>
      </w:pPr>
    </w:p>
    <w:p w14:paraId="0EBB564A">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267B0AE1">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77F3758">
            <w:pPr>
              <w:spacing w:before="48" w:beforeLines="20" w:after="48" w:afterLines="20"/>
              <w:jc w:val="both"/>
              <w:textAlignment w:val="center"/>
              <w:rPr>
                <w:rFonts w:hint="eastAsia" w:ascii="楷体" w:hAnsi="楷体" w:eastAsia="楷体" w:cs="Calibri"/>
                <w:b/>
                <w:sz w:val="20"/>
                <w:szCs w:val="20"/>
              </w:rPr>
            </w:pPr>
            <w:r>
              <w:rPr>
                <w:rFonts w:eastAsia="楷体" w:cs="Calibri"/>
                <w:b/>
                <w:sz w:val="20"/>
                <w:szCs w:val="20"/>
              </w:rPr>
              <w:t>Figure</w:t>
            </w:r>
            <w:r>
              <w:rPr>
                <w:rFonts w:hint="eastAsia" w:ascii="楷体" w:hAnsi="楷体" w:eastAsia="楷体" w:cs="Calibri"/>
                <w:b/>
                <w:sz w:val="20"/>
                <w:szCs w:val="20"/>
              </w:rPr>
              <w:t>：</w:t>
            </w:r>
            <w:r>
              <w:rPr>
                <w:rFonts w:eastAsia="楷体" w:cs="Calibri"/>
                <w:b/>
                <w:sz w:val="20"/>
                <w:szCs w:val="20"/>
              </w:rPr>
              <w:t>Financial Summary</w:t>
            </w:r>
          </w:p>
        </w:tc>
      </w:tr>
      <w:tr w14:paraId="64B0A78B">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95D2065">
            <w:pPr>
              <w:spacing w:before="48" w:beforeLines="20" w:after="48" w:afterLines="20"/>
              <w:jc w:val="center"/>
              <w:textAlignment w:val="center"/>
              <w:rPr>
                <w:rFonts w:eastAsia="宋体" w:cs="Calibri"/>
                <w:b/>
                <w:bCs/>
                <w:sz w:val="20"/>
                <w:szCs w:val="20"/>
              </w:rPr>
            </w:pPr>
            <w:r>
              <w:rPr>
                <w:snapToGrid/>
              </w:rPr>
              <w:drawing>
                <wp:inline distT="0" distB="0" distL="0" distR="0">
                  <wp:extent cx="4672330" cy="3916680"/>
                  <wp:effectExtent l="0" t="0" r="0" b="7620"/>
                  <wp:docPr id="17023002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00234" name="图片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4687234" cy="3928858"/>
                          </a:xfrm>
                          <a:prstGeom prst="rect">
                            <a:avLst/>
                          </a:prstGeom>
                          <a:noFill/>
                        </pic:spPr>
                      </pic:pic>
                    </a:graphicData>
                  </a:graphic>
                </wp:inline>
              </w:drawing>
            </w:r>
          </w:p>
        </w:tc>
      </w:tr>
      <w:tr w14:paraId="0BF6A996">
        <w:trPr>
          <w:trHeight w:val="64" w:hRule="atLeast"/>
        </w:trPr>
        <w:tc>
          <w:tcPr>
            <w:tcW w:w="7466" w:type="dxa"/>
            <w:tcBorders>
              <w:top w:val="single" w:color="auto" w:sz="4" w:space="0"/>
            </w:tcBorders>
            <w:tcMar>
              <w:left w:w="0" w:type="dxa"/>
              <w:right w:w="28" w:type="dxa"/>
            </w:tcMar>
            <w:vAlign w:val="center"/>
          </w:tcPr>
          <w:p w14:paraId="68186C11">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766CA320">
      <w:pPr>
        <w:jc w:val="both"/>
        <w:rPr>
          <w:rFonts w:eastAsia="楷体_GB2312" w:cs="Calibri"/>
          <w:b/>
          <w:sz w:val="17"/>
        </w:rPr>
      </w:pPr>
    </w:p>
    <w:p w14:paraId="40BAECE0">
      <w:pPr>
        <w:pStyle w:val="2"/>
        <w:spacing w:before="240" w:beforeLines="100" w:after="240" w:afterLines="100"/>
        <w:jc w:val="both"/>
        <w:rPr>
          <w:rFonts w:ascii="Calibri" w:hAnsi="Calibri" w:eastAsia="楷体" w:cs="Calibri"/>
          <w:b/>
          <w:bCs/>
          <w:color w:val="23558C"/>
          <w:sz w:val="28"/>
          <w:szCs w:val="28"/>
        </w:rPr>
      </w:pPr>
      <w:bookmarkStart w:id="39" w:name="_Toc186105501"/>
      <w:bookmarkStart w:id="40" w:name="_Toc220275555"/>
      <w:bookmarkStart w:id="41" w:name="_Toc220589942"/>
      <w:r>
        <w:rPr>
          <w:rFonts w:ascii="Calibri" w:hAnsi="Calibri" w:eastAsia="楷体" w:cs="Calibri"/>
          <w:b/>
          <w:bCs/>
          <w:color w:val="23558C"/>
          <w:sz w:val="28"/>
          <w:szCs w:val="28"/>
        </w:rPr>
        <w:t xml:space="preserve">7. </w:t>
      </w:r>
      <w:bookmarkEnd w:id="39"/>
      <w:bookmarkEnd w:id="40"/>
      <w:r>
        <w:rPr>
          <w:rFonts w:ascii="Calibri" w:hAnsi="Calibri" w:eastAsia="楷体" w:cs="Calibri"/>
          <w:b/>
          <w:bCs/>
          <w:color w:val="23558C"/>
          <w:sz w:val="28"/>
          <w:szCs w:val="28"/>
        </w:rPr>
        <w:t>R</w:t>
      </w:r>
      <w:r>
        <w:rPr>
          <w:rFonts w:hint="eastAsia" w:ascii="Calibri" w:hAnsi="Calibri" w:eastAsia="楷体" w:cs="Calibri"/>
          <w:b/>
          <w:bCs/>
          <w:color w:val="23558C"/>
          <w:sz w:val="28"/>
          <w:szCs w:val="28"/>
        </w:rPr>
        <w:t>isk</w:t>
      </w:r>
      <w:bookmarkEnd w:id="41"/>
    </w:p>
    <w:p w14:paraId="5E1E16BA">
      <w:pPr>
        <w:tabs>
          <w:tab w:val="left" w:pos="871"/>
        </w:tabs>
        <w:rPr>
          <w:rFonts w:eastAsia="楷体" w:cs="Calibri"/>
          <w:sz w:val="22"/>
          <w:szCs w:val="22"/>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rPr>
          <w:rFonts w:eastAsia="楷体" w:cs="Calibri"/>
          <w:sz w:val="22"/>
          <w:szCs w:val="22"/>
        </w:rPr>
        <w:t>Raw material price fluctuations; supply chain disruptions; intensified market competition; changes in customer demand and preferences; policy enforcement falling short of expectations</w:t>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57EF4CC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14:paraId="0EFAF21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14:paraId="435AD71B">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14:paraId="6B615A7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14:paraId="4C270B11">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14:paraId="10E05E6D">
                  <w:pPr>
                    <w:pStyle w:val="71"/>
                    <w:rPr>
                      <w:rFonts w:eastAsia="楷体_GB2312" w:cs="Calibri"/>
                      <w:b/>
                      <w:w w:val="70"/>
                      <w:sz w:val="20"/>
                      <w:szCs w:val="20"/>
                    </w:rPr>
                  </w:pPr>
                  <w:r>
                    <w:rPr>
                      <w:rFonts w:eastAsia="楷体_GB2312" w:cs="Calibri"/>
                      <w:b/>
                      <w:w w:val="70"/>
                      <w:sz w:val="20"/>
                      <w:szCs w:val="20"/>
                    </w:rPr>
                    <w:t>重要信息披露</w:t>
                  </w:r>
                </w:p>
                <w:p w14:paraId="0A932782">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14:paraId="4A5F6AA3">
                  <w:pPr>
                    <w:pStyle w:val="71"/>
                    <w:rPr>
                      <w:rFonts w:eastAsia="楷体_GB2312" w:cs="Calibri"/>
                      <w:b/>
                      <w:bCs/>
                      <w:w w:val="70"/>
                      <w:sz w:val="20"/>
                      <w:szCs w:val="20"/>
                    </w:rPr>
                  </w:pPr>
                  <w:r>
                    <w:rPr>
                      <w:rFonts w:eastAsia="楷体_GB2312" w:cs="Calibri"/>
                      <w:b/>
                      <w:bCs/>
                      <w:w w:val="70"/>
                      <w:sz w:val="20"/>
                      <w:szCs w:val="20"/>
                    </w:rPr>
                    <w:t>IMPORTANT DISCLOSURES</w:t>
                  </w:r>
                </w:p>
                <w:p w14:paraId="498AC2D6">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7FC2183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14:paraId="10D969F2">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776781A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14:paraId="5427013E">
                  <w:pPr>
                    <w:rPr>
                      <w:rFonts w:eastAsia="楷体_GB2312" w:cs="Calibri"/>
                      <w:w w:val="70"/>
                      <w:sz w:val="20"/>
                      <w:szCs w:val="20"/>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0F176F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14:paraId="58E61DF0">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1D96B02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14:paraId="11216AF9">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14:paraId="4A1187E1">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6E4B68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38EFE9AF">
                  <w:pPr>
                    <w:pStyle w:val="71"/>
                    <w:rPr>
                      <w:rFonts w:eastAsia="楷体_GB2312" w:cs="Calibri"/>
                      <w:w w:val="70"/>
                      <w:sz w:val="20"/>
                      <w:szCs w:val="20"/>
                    </w:rPr>
                  </w:pPr>
                </w:p>
              </w:tc>
            </w:tr>
            <w:tr w14:paraId="5DCB2F7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14:paraId="6F3BAF69">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5FC542D5">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2DA1D09A">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14:paraId="33CC7B03">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4697FE7A">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500A66BC">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3A142106">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3143BE25">
                  <w:pPr>
                    <w:pStyle w:val="71"/>
                    <w:rPr>
                      <w:rFonts w:eastAsia="楷体_GB2312" w:cs="Calibri"/>
                      <w:w w:val="79"/>
                      <w:sz w:val="20"/>
                      <w:szCs w:val="20"/>
                    </w:rPr>
                  </w:pPr>
                  <w:r>
                    <w:rPr>
                      <w:rFonts w:eastAsia="楷体_GB2312" w:cs="Calibri"/>
                      <w:b/>
                      <w:w w:val="79"/>
                      <w:sz w:val="20"/>
                      <w:szCs w:val="20"/>
                    </w:rPr>
                    <w:t xml:space="preserve">Ratings Definitions (from 1 Jul 2020): </w:t>
                  </w:r>
                </w:p>
                <w:p w14:paraId="0EE2588D">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1C6BDB29">
                  <w:pPr>
                    <w:pStyle w:val="71"/>
                    <w:rPr>
                      <w:rFonts w:eastAsia="楷体_GB2312" w:cs="Calibri"/>
                      <w:b/>
                      <w:w w:val="79"/>
                      <w:sz w:val="20"/>
                      <w:szCs w:val="20"/>
                    </w:rPr>
                  </w:pPr>
                  <w:r>
                    <w:rPr>
                      <w:rFonts w:eastAsia="楷体_GB2312" w:cs="Calibri"/>
                      <w:b/>
                      <w:w w:val="79"/>
                      <w:sz w:val="20"/>
                      <w:szCs w:val="20"/>
                    </w:rPr>
                    <w:t>Analyst Stock Ratings</w:t>
                  </w:r>
                </w:p>
                <w:p w14:paraId="70C387BD">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183B4151">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34458A62">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6ADA8FCA">
                  <w:pPr>
                    <w:pStyle w:val="71"/>
                    <w:rPr>
                      <w:rFonts w:eastAsia="楷体_GB2312" w:cs="Calibri"/>
                      <w:w w:val="70"/>
                      <w:sz w:val="20"/>
                      <w:szCs w:val="20"/>
                      <w:lang w:eastAsia="zh-CN"/>
                    </w:rPr>
                  </w:pPr>
                </w:p>
              </w:tc>
            </w:tr>
            <w:tr w14:paraId="76E4B7A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56E7F404">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1B8921DC">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011BDEB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3F678858">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14:paraId="01E674CF">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6E20CBC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253B4708">
                  <w:pPr>
                    <w:pStyle w:val="71"/>
                    <w:rPr>
                      <w:rFonts w:eastAsia="楷体_GB2312" w:cs="Calibri"/>
                      <w:w w:val="70"/>
                      <w:sz w:val="20"/>
                      <w:szCs w:val="20"/>
                    </w:rPr>
                  </w:pPr>
                </w:p>
              </w:tc>
            </w:tr>
            <w:tr w14:paraId="688BFDD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7B35673D">
                  <w:pPr>
                    <w:pStyle w:val="71"/>
                    <w:spacing w:after="60"/>
                    <w:rPr>
                      <w:rFonts w:eastAsia="楷体_GB2312" w:cs="Calibri"/>
                      <w:b/>
                      <w:w w:val="70"/>
                      <w:sz w:val="20"/>
                      <w:szCs w:val="20"/>
                    </w:rPr>
                  </w:pPr>
                  <w:r>
                    <w:rPr>
                      <w:rFonts w:eastAsia="楷体_GB2312" w:cs="Calibri"/>
                      <w:b/>
                      <w:w w:val="70"/>
                      <w:sz w:val="20"/>
                      <w:szCs w:val="20"/>
                    </w:rPr>
                    <w:t>重要免责声明：</w:t>
                  </w:r>
                </w:p>
                <w:p w14:paraId="4AC699B4">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400362AF">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5CEDBAAD">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271F564A">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783E2DBF">
                  <w:pPr>
                    <w:pStyle w:val="71"/>
                    <w:spacing w:after="40"/>
                    <w:rPr>
                      <w:rFonts w:eastAsia="楷体_GB2312" w:cs="Calibri"/>
                      <w:b/>
                      <w:bCs/>
                      <w:w w:val="70"/>
                      <w:sz w:val="20"/>
                      <w:szCs w:val="20"/>
                    </w:rPr>
                  </w:pPr>
                  <w:r>
                    <w:rPr>
                      <w:rFonts w:eastAsia="楷体_GB2312" w:cs="Calibri"/>
                      <w:b/>
                      <w:bCs/>
                      <w:w w:val="70"/>
                      <w:sz w:val="20"/>
                      <w:szCs w:val="20"/>
                    </w:rPr>
                    <w:t>IMPORTANT DISCLAIMER</w:t>
                  </w:r>
                </w:p>
                <w:p w14:paraId="046DE290">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069970A1">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47827A73">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73A05CD3">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6A15FCB1">
                  <w:pPr>
                    <w:pStyle w:val="71"/>
                    <w:spacing w:after="60"/>
                    <w:rPr>
                      <w:rFonts w:eastAsia="楷体_GB2312" w:cs="Calibri"/>
                      <w:b/>
                      <w:w w:val="70"/>
                      <w:sz w:val="20"/>
                      <w:szCs w:val="20"/>
                    </w:rPr>
                  </w:pPr>
                </w:p>
              </w:tc>
            </w:tr>
            <w:tr w14:paraId="27707F5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5D95543A">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14:paraId="44CD2756">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0D6AE829">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14:paraId="59591F2C">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14:paraId="4B0DB041">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672F7C36">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23BD1237">
                  <w:pPr>
                    <w:pStyle w:val="71"/>
                    <w:spacing w:after="60"/>
                    <w:rPr>
                      <w:rFonts w:eastAsia="楷体_GB2312" w:cs="Calibri"/>
                      <w:b/>
                      <w:w w:val="70"/>
                      <w:sz w:val="20"/>
                      <w:szCs w:val="20"/>
                    </w:rPr>
                  </w:pPr>
                </w:p>
              </w:tc>
            </w:tr>
            <w:tr w14:paraId="02F2890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21D28274">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23E35F0E">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14:paraId="64C2576D">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14:paraId="0EA0EB69">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4E73C375">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4A1E2EB4">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74C49D8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2D7ECE7F">
                  <w:pPr>
                    <w:pStyle w:val="71"/>
                    <w:spacing w:after="60"/>
                    <w:rPr>
                      <w:rFonts w:eastAsia="楷体_GB2312" w:cs="Calibri"/>
                      <w:b/>
                      <w:w w:val="70"/>
                      <w:sz w:val="20"/>
                      <w:szCs w:val="20"/>
                    </w:rPr>
                  </w:pPr>
                </w:p>
              </w:tc>
            </w:tr>
            <w:tr w14:paraId="59FD070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14:paraId="35DC2826">
                  <w:pPr>
                    <w:pStyle w:val="71"/>
                    <w:spacing w:after="60"/>
                    <w:rPr>
                      <w:rFonts w:eastAsia="楷体_GB2312" w:cs="Calibri"/>
                      <w:b/>
                      <w:w w:val="70"/>
                      <w:sz w:val="20"/>
                      <w:szCs w:val="20"/>
                      <w:lang w:eastAsia="zh-CN"/>
                    </w:rPr>
                  </w:pPr>
                </w:p>
              </w:tc>
            </w:tr>
          </w:tbl>
          <w:p w14:paraId="5B048857">
            <w:pPr>
              <w:rPr>
                <w:rFonts w:eastAsia="楷体_GB2312" w:cs="Calibri"/>
                <w:sz w:val="20"/>
                <w:szCs w:val="20"/>
              </w:rPr>
            </w:pPr>
          </w:p>
        </w:tc>
      </w:tr>
      <w:tr w14:paraId="164EA3B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27" w:hRule="atLeast"/>
        </w:trPr>
        <w:tc>
          <w:tcPr>
            <w:tcW w:w="10773" w:type="dxa"/>
          </w:tcPr>
          <w:p w14:paraId="1261E3C3">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431E687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14:paraId="506B656A">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14:paraId="51F939D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009AE96A">
                  <w:pPr>
                    <w:pStyle w:val="71"/>
                    <w:rPr>
                      <w:rFonts w:eastAsia="楷体_GB2312" w:cs="等线"/>
                      <w:b/>
                      <w:w w:val="70"/>
                      <w:sz w:val="20"/>
                      <w:szCs w:val="20"/>
                    </w:rPr>
                  </w:pPr>
                </w:p>
              </w:tc>
            </w:tr>
            <w:tr w14:paraId="2AF3BF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612D8928">
                  <w:pPr>
                    <w:pStyle w:val="71"/>
                    <w:rPr>
                      <w:rFonts w:eastAsia="楷体_GB2312" w:cs="等线"/>
                      <w:b/>
                      <w:w w:val="70"/>
                      <w:sz w:val="20"/>
                      <w:szCs w:val="20"/>
                    </w:rPr>
                  </w:pPr>
                  <w:r>
                    <w:rPr>
                      <w:rFonts w:eastAsia="楷体_GB2312" w:cs="等线"/>
                      <w:sz w:val="12"/>
                      <w:szCs w:val="12"/>
                    </w:rPr>
                    <w:t>Source: Company data Bloomberg, XXX estimates</w:t>
                  </w:r>
                </w:p>
              </w:tc>
            </w:tr>
          </w:tbl>
          <w:p w14:paraId="64135BB1">
            <w:pPr>
              <w:pStyle w:val="71"/>
              <w:rPr>
                <w:rFonts w:eastAsia="楷体_GB2312" w:cs="Calibri"/>
                <w:b/>
                <w:w w:val="70"/>
                <w:sz w:val="20"/>
                <w:szCs w:val="20"/>
                <w:lang w:eastAsia="zh-CN"/>
              </w:rPr>
            </w:pPr>
          </w:p>
          <w:p w14:paraId="55B1852B">
            <w:pPr>
              <w:pStyle w:val="55"/>
              <w:rPr>
                <w:rFonts w:eastAsia="楷体_GB2312" w:cs="Calibri"/>
              </w:rPr>
            </w:pPr>
          </w:p>
        </w:tc>
      </w:tr>
    </w:tbl>
    <w:p w14:paraId="61EBFFFE">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Times New Roman Regular">
    <w:altName w:val="Times New Roman"/>
    <w:panose1 w:val="00000000000000000000"/>
    <w:charset w:val="00"/>
    <w:family w:val="auto"/>
    <w:pitch w:val="default"/>
    <w:sig w:usb0="00000000" w:usb1="00000000" w:usb2="00000009" w:usb3="00000000" w:csb0="400001FF" w:csb1="FFFF0000"/>
  </w:font>
  <w:font w:name="Helvetica Neue">
    <w:altName w:val="Sylfaen"/>
    <w:panose1 w:val="00000000000000000000"/>
    <w:charset w:val="00"/>
    <w:family w:val="auto"/>
    <w:pitch w:val="default"/>
    <w:sig w:usb0="00000000" w:usb1="00000000" w:usb2="00000010" w:usb3="00000000" w:csb0="00000000" w:csb1="00000000"/>
  </w:font>
  <w:font w:name="Sylfaen">
    <w:panose1 w:val="010A0502050306030303"/>
    <w:charset w:val="00"/>
    <w:family w:val="auto"/>
    <w:pitch w:val="default"/>
    <w:sig w:usb0="040006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PingFang SC Regular">
    <w:altName w:val="微软雅黑"/>
    <w:panose1 w:val="00000000000000000000"/>
    <w:charset w:val="86"/>
    <w:family w:val="auto"/>
    <w:pitch w:val="default"/>
    <w:sig w:usb0="00000000" w:usb1="00000000" w:usb2="00000017" w:usb3="00000000" w:csb0="00040001"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01284">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3B1A6314">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14:paraId="3B1A6314">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266AC2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0AE5A154">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2AF266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8BFD72F">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4620335">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266AC2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0AE5A154">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2AF266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8BFD72F">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4620335">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2C3B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34CCB4AC">
          <w:pPr>
            <w:pStyle w:val="68"/>
            <w:framePr w:wrap="auto" w:vAnchor="margin" w:hAnchor="text" w:xAlign="left" w:yAlign="inline"/>
          </w:pPr>
          <w:r>
            <w:fldChar w:fldCharType="begin"/>
          </w:r>
          <w:r>
            <w:instrText xml:space="preserve"> DATE  \@ "d MMM yyyy"  \* MERGEFORMAT </w:instrText>
          </w:r>
          <w:r>
            <w:fldChar w:fldCharType="separate"/>
          </w:r>
          <w:r>
            <w:t>31 Jan 2026</w:t>
          </w:r>
          <w:r>
            <w:fldChar w:fldCharType="end"/>
          </w:r>
          <w:r>
            <w:tab/>
          </w:r>
          <w:r>
            <w:fldChar w:fldCharType="begin"/>
          </w:r>
          <w:r>
            <w:instrText xml:space="preserve"> PAGE </w:instrText>
          </w:r>
          <w:r>
            <w:fldChar w:fldCharType="separate"/>
          </w:r>
          <w:r>
            <w:t>2</w:t>
          </w:r>
          <w:r>
            <w:fldChar w:fldCharType="end"/>
          </w:r>
        </w:p>
      </w:tc>
    </w:tr>
  </w:tbl>
  <w:p w14:paraId="143CC450">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2E4E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11B38051">
          <w:pPr>
            <w:pStyle w:val="68"/>
            <w:framePr w:wrap="auto" w:vAnchor="margin" w:hAnchor="text" w:xAlign="left" w:yAlign="inline"/>
          </w:pPr>
          <w:r>
            <w:fldChar w:fldCharType="begin"/>
          </w:r>
          <w:r>
            <w:instrText xml:space="preserve"> DATE  \@ "d MMM yyyy"  \* MERGEFORMAT </w:instrText>
          </w:r>
          <w:r>
            <w:fldChar w:fldCharType="separate"/>
          </w:r>
          <w:r>
            <w:t>31 Jan 2026</w:t>
          </w:r>
          <w:r>
            <w:fldChar w:fldCharType="end"/>
          </w:r>
          <w:r>
            <w:tab/>
          </w:r>
          <w:r>
            <w:fldChar w:fldCharType="begin"/>
          </w:r>
          <w:r>
            <w:instrText xml:space="preserve"> PAGE </w:instrText>
          </w:r>
          <w:r>
            <w:fldChar w:fldCharType="separate"/>
          </w:r>
          <w:r>
            <w:t>2</w:t>
          </w:r>
          <w:r>
            <w:fldChar w:fldCharType="end"/>
          </w:r>
        </w:p>
      </w:tc>
    </w:tr>
  </w:tbl>
  <w:p w14:paraId="11E9853E">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24C2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53209A0A">
          <w:pPr>
            <w:pStyle w:val="68"/>
            <w:framePr w:wrap="auto" w:vAnchor="margin" w:hAnchor="text" w:xAlign="left" w:yAlign="inline"/>
          </w:pPr>
          <w:r>
            <w:fldChar w:fldCharType="begin"/>
          </w:r>
          <w:r>
            <w:instrText xml:space="preserve"> DATE  \@ "d MMM yyyy"  \* MERGEFORMAT </w:instrText>
          </w:r>
          <w:r>
            <w:fldChar w:fldCharType="separate"/>
          </w:r>
          <w:r>
            <w:t>31 Jan 2026</w:t>
          </w:r>
          <w:r>
            <w:fldChar w:fldCharType="end"/>
          </w:r>
          <w:r>
            <w:tab/>
          </w:r>
          <w:r>
            <w:fldChar w:fldCharType="begin"/>
          </w:r>
          <w:r>
            <w:instrText xml:space="preserve"> PAGE </w:instrText>
          </w:r>
          <w:r>
            <w:fldChar w:fldCharType="separate"/>
          </w:r>
          <w:r>
            <w:t>2</w:t>
          </w:r>
          <w:r>
            <w:fldChar w:fldCharType="end"/>
          </w:r>
        </w:p>
      </w:tc>
    </w:tr>
  </w:tbl>
  <w:p w14:paraId="4EB63D08">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26F9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5B1DF2D2">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462505E3">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4F58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12B54657">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04377947">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14:paraId="7ACD3CDB">
        <w:pPr>
          <w:pStyle w:val="13"/>
        </w:pPr>
        <w:r>
          <w:rPr>
            <w:lang w:val="zh-CN"/>
          </w:rPr>
          <w:t>[在此处键入]</w:t>
        </w:r>
      </w:p>
    </w:sdtContent>
  </w:sdt>
  <w:p w14:paraId="2EA4875C">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51B182B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41E292CB">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2C263AFB">
          <w:pPr>
            <w:pStyle w:val="65"/>
            <w:jc w:val="right"/>
            <w:rPr>
              <w:rStyle w:val="67"/>
              <w:rFonts w:eastAsia="楷体_GB2312" w:cs="等线"/>
              <w:color w:val="FF0000"/>
              <w:sz w:val="24"/>
              <w:lang w:eastAsia="zh-CN"/>
            </w:rPr>
          </w:pPr>
        </w:p>
      </w:tc>
    </w:tr>
    <w:tr w14:paraId="449947A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21F107B8">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36C1D1C5">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475FEB9A">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1DDC3D9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3AC5A453">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4B3DD334">
          <w:pPr>
            <w:pStyle w:val="65"/>
            <w:jc w:val="right"/>
            <w:rPr>
              <w:rStyle w:val="67"/>
              <w:rFonts w:eastAsia="楷体_GB2312" w:cs="等线"/>
              <w:sz w:val="24"/>
              <w:lang w:eastAsia="zh-CN"/>
            </w:rPr>
          </w:pPr>
        </w:p>
      </w:tc>
    </w:tr>
    <w:tr w14:paraId="466E97E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2532CF0D">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293DE45D">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1BC75EA1">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385797B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B00255F">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7FA6AD69">
          <w:pPr>
            <w:pStyle w:val="65"/>
            <w:jc w:val="right"/>
            <w:rPr>
              <w:rStyle w:val="67"/>
              <w:rFonts w:eastAsia="楷体_GB2312" w:cs="等线"/>
              <w:sz w:val="24"/>
              <w:lang w:eastAsia="zh-CN"/>
            </w:rPr>
          </w:pPr>
        </w:p>
      </w:tc>
    </w:tr>
    <w:tr w14:paraId="78BC1EB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136544F2">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2F12A120">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3475E">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4CC02FD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03F435CA">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4AC04266">
          <w:pPr>
            <w:pStyle w:val="65"/>
            <w:jc w:val="right"/>
            <w:rPr>
              <w:rStyle w:val="67"/>
              <w:rFonts w:eastAsia="楷体_GB2312" w:cs="等线"/>
              <w:color w:val="23558C"/>
              <w:sz w:val="24"/>
              <w:lang w:eastAsia="zh-CN"/>
            </w:rPr>
          </w:pPr>
        </w:p>
      </w:tc>
    </w:tr>
    <w:tr w14:paraId="3BAAF76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03F88E26">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7171F402">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28E0E116">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2C4B1AA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52D13B94">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3FE76CF0">
          <w:pPr>
            <w:pStyle w:val="65"/>
            <w:jc w:val="right"/>
            <w:rPr>
              <w:rStyle w:val="67"/>
              <w:rFonts w:eastAsia="楷体_GB2312" w:cs="等线"/>
              <w:color w:val="23558C"/>
              <w:sz w:val="24"/>
              <w:lang w:eastAsia="zh-CN"/>
            </w:rPr>
          </w:pPr>
        </w:p>
      </w:tc>
    </w:tr>
    <w:tr w14:paraId="3ED7F9A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584ABFAD">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46A83A78">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7E90DF91">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549C556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0728ED3">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25DE1A1B">
          <w:pPr>
            <w:pStyle w:val="65"/>
            <w:jc w:val="right"/>
            <w:rPr>
              <w:rStyle w:val="67"/>
              <w:rFonts w:eastAsia="楷体_GB2312" w:cs="等线"/>
              <w:color w:val="23558C"/>
              <w:sz w:val="24"/>
              <w:lang w:eastAsia="zh-CN"/>
            </w:rPr>
          </w:pPr>
        </w:p>
      </w:tc>
    </w:tr>
    <w:tr w14:paraId="44953BC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0C8510DC">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7E4837D">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2C226A27">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161BE">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6F101"/>
    <w:multiLevelType w:val="singleLevel"/>
    <w:tmpl w:val="ABF6F101"/>
    <w:lvl w:ilvl="0" w:tentative="0">
      <w:start w:val="2"/>
      <w:numFmt w:val="decimal"/>
      <w:suff w:val="space"/>
      <w:lvlText w:val="%1)"/>
      <w:lvlJc w:val="left"/>
    </w:lvl>
  </w:abstractNum>
  <w:abstractNum w:abstractNumId="1">
    <w:nsid w:val="0B876743"/>
    <w:multiLevelType w:val="multilevel"/>
    <w:tmpl w:val="0B87674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4CB04B6"/>
    <w:multiLevelType w:val="multilevel"/>
    <w:tmpl w:val="34CB04B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781F7E3A"/>
    <w:multiLevelType w:val="multilevel"/>
    <w:tmpl w:val="781F7E3A"/>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2"/>
  </w:num>
  <w:num w:numId="4">
    <w:abstractNumId w:val="3"/>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10"/>
  <w:drawingGridVerticalSpacing w:val="29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UyNjljNjk5ODkxOGU5OTlmZjJhOWEwNTU4OGFmZjUifQ=="/>
  </w:docVars>
  <w:rsids>
    <w:rsidRoot w:val="00BD4463"/>
    <w:rsid w:val="000044CE"/>
    <w:rsid w:val="00005213"/>
    <w:rsid w:val="00005C5E"/>
    <w:rsid w:val="00011DD2"/>
    <w:rsid w:val="00017725"/>
    <w:rsid w:val="000202AF"/>
    <w:rsid w:val="000251D0"/>
    <w:rsid w:val="00033511"/>
    <w:rsid w:val="00041BFB"/>
    <w:rsid w:val="0004630F"/>
    <w:rsid w:val="00046898"/>
    <w:rsid w:val="00053455"/>
    <w:rsid w:val="00055D29"/>
    <w:rsid w:val="00056A90"/>
    <w:rsid w:val="00057C7D"/>
    <w:rsid w:val="000713E3"/>
    <w:rsid w:val="00075786"/>
    <w:rsid w:val="00076105"/>
    <w:rsid w:val="0007641A"/>
    <w:rsid w:val="00087D89"/>
    <w:rsid w:val="00090408"/>
    <w:rsid w:val="00092419"/>
    <w:rsid w:val="0009406A"/>
    <w:rsid w:val="00094A33"/>
    <w:rsid w:val="00096427"/>
    <w:rsid w:val="000A2918"/>
    <w:rsid w:val="000B20F5"/>
    <w:rsid w:val="000B2D89"/>
    <w:rsid w:val="000B3AF7"/>
    <w:rsid w:val="000C010B"/>
    <w:rsid w:val="000C7824"/>
    <w:rsid w:val="000E09D6"/>
    <w:rsid w:val="000E270F"/>
    <w:rsid w:val="000E303E"/>
    <w:rsid w:val="000E575E"/>
    <w:rsid w:val="000E7974"/>
    <w:rsid w:val="000F11D3"/>
    <w:rsid w:val="000F2731"/>
    <w:rsid w:val="000F5E5F"/>
    <w:rsid w:val="000F6A83"/>
    <w:rsid w:val="001037E4"/>
    <w:rsid w:val="00103FAD"/>
    <w:rsid w:val="00105FC9"/>
    <w:rsid w:val="00111C4A"/>
    <w:rsid w:val="00116CD7"/>
    <w:rsid w:val="001171A2"/>
    <w:rsid w:val="00133BA6"/>
    <w:rsid w:val="00135CCD"/>
    <w:rsid w:val="001422E2"/>
    <w:rsid w:val="00143D1B"/>
    <w:rsid w:val="00146323"/>
    <w:rsid w:val="00152394"/>
    <w:rsid w:val="0015395E"/>
    <w:rsid w:val="001616A4"/>
    <w:rsid w:val="00166D7F"/>
    <w:rsid w:val="00175D3C"/>
    <w:rsid w:val="00176D52"/>
    <w:rsid w:val="00182F72"/>
    <w:rsid w:val="00193C1B"/>
    <w:rsid w:val="00196F29"/>
    <w:rsid w:val="001A238D"/>
    <w:rsid w:val="001A4840"/>
    <w:rsid w:val="001B011C"/>
    <w:rsid w:val="001B2407"/>
    <w:rsid w:val="001B2DAD"/>
    <w:rsid w:val="001B7270"/>
    <w:rsid w:val="001B781A"/>
    <w:rsid w:val="001C1AD7"/>
    <w:rsid w:val="001C5A54"/>
    <w:rsid w:val="001C6E83"/>
    <w:rsid w:val="001C7304"/>
    <w:rsid w:val="001D1C26"/>
    <w:rsid w:val="001D7381"/>
    <w:rsid w:val="001D7BC5"/>
    <w:rsid w:val="001E0203"/>
    <w:rsid w:val="001E6692"/>
    <w:rsid w:val="001E7C6C"/>
    <w:rsid w:val="001F2F73"/>
    <w:rsid w:val="001F71F6"/>
    <w:rsid w:val="0020355C"/>
    <w:rsid w:val="002062F5"/>
    <w:rsid w:val="002105C4"/>
    <w:rsid w:val="00211DAF"/>
    <w:rsid w:val="00217B53"/>
    <w:rsid w:val="00225EBE"/>
    <w:rsid w:val="00226FA3"/>
    <w:rsid w:val="0023495B"/>
    <w:rsid w:val="00234E19"/>
    <w:rsid w:val="002375D3"/>
    <w:rsid w:val="0024014D"/>
    <w:rsid w:val="00252D44"/>
    <w:rsid w:val="00257895"/>
    <w:rsid w:val="002603A5"/>
    <w:rsid w:val="00263121"/>
    <w:rsid w:val="00273CC8"/>
    <w:rsid w:val="00275943"/>
    <w:rsid w:val="002763D5"/>
    <w:rsid w:val="00276E0E"/>
    <w:rsid w:val="00277044"/>
    <w:rsid w:val="002862BE"/>
    <w:rsid w:val="00286D35"/>
    <w:rsid w:val="00292DC5"/>
    <w:rsid w:val="00296498"/>
    <w:rsid w:val="002966EF"/>
    <w:rsid w:val="002A0007"/>
    <w:rsid w:val="002A5C04"/>
    <w:rsid w:val="002A5D42"/>
    <w:rsid w:val="002B2D25"/>
    <w:rsid w:val="002B6266"/>
    <w:rsid w:val="002B7A93"/>
    <w:rsid w:val="002C02C7"/>
    <w:rsid w:val="002C6065"/>
    <w:rsid w:val="002C6686"/>
    <w:rsid w:val="002D200E"/>
    <w:rsid w:val="002D69D0"/>
    <w:rsid w:val="002D7860"/>
    <w:rsid w:val="002D7AA3"/>
    <w:rsid w:val="002E0F1F"/>
    <w:rsid w:val="002E6121"/>
    <w:rsid w:val="002E6DA6"/>
    <w:rsid w:val="002E724D"/>
    <w:rsid w:val="003042C9"/>
    <w:rsid w:val="00305F20"/>
    <w:rsid w:val="00306BC2"/>
    <w:rsid w:val="00307B37"/>
    <w:rsid w:val="00307E85"/>
    <w:rsid w:val="00313DBF"/>
    <w:rsid w:val="0032229A"/>
    <w:rsid w:val="00327F64"/>
    <w:rsid w:val="003377FA"/>
    <w:rsid w:val="00341C85"/>
    <w:rsid w:val="00354093"/>
    <w:rsid w:val="00364E72"/>
    <w:rsid w:val="0036718A"/>
    <w:rsid w:val="00370FB4"/>
    <w:rsid w:val="00371AB5"/>
    <w:rsid w:val="00373860"/>
    <w:rsid w:val="00373DD0"/>
    <w:rsid w:val="0037673B"/>
    <w:rsid w:val="00380826"/>
    <w:rsid w:val="003825B2"/>
    <w:rsid w:val="00386EAC"/>
    <w:rsid w:val="00390DCB"/>
    <w:rsid w:val="00392148"/>
    <w:rsid w:val="003A13B4"/>
    <w:rsid w:val="003A409B"/>
    <w:rsid w:val="003A4C7F"/>
    <w:rsid w:val="003A6133"/>
    <w:rsid w:val="003B16A5"/>
    <w:rsid w:val="003C4674"/>
    <w:rsid w:val="003E19BA"/>
    <w:rsid w:val="003E37A6"/>
    <w:rsid w:val="003E3C68"/>
    <w:rsid w:val="003E4580"/>
    <w:rsid w:val="003E4D04"/>
    <w:rsid w:val="003E5698"/>
    <w:rsid w:val="003F10DE"/>
    <w:rsid w:val="003F2203"/>
    <w:rsid w:val="003F439D"/>
    <w:rsid w:val="003F45FE"/>
    <w:rsid w:val="003F73CC"/>
    <w:rsid w:val="0040446F"/>
    <w:rsid w:val="004149AB"/>
    <w:rsid w:val="00420104"/>
    <w:rsid w:val="00421163"/>
    <w:rsid w:val="00421E56"/>
    <w:rsid w:val="0042509C"/>
    <w:rsid w:val="0043081C"/>
    <w:rsid w:val="004318FF"/>
    <w:rsid w:val="0043512D"/>
    <w:rsid w:val="00436550"/>
    <w:rsid w:val="004376F4"/>
    <w:rsid w:val="00440097"/>
    <w:rsid w:val="004418D5"/>
    <w:rsid w:val="00446B3E"/>
    <w:rsid w:val="00447124"/>
    <w:rsid w:val="00450C7D"/>
    <w:rsid w:val="00466F61"/>
    <w:rsid w:val="00472FD2"/>
    <w:rsid w:val="004735EF"/>
    <w:rsid w:val="00481DEF"/>
    <w:rsid w:val="00481F4B"/>
    <w:rsid w:val="00482E84"/>
    <w:rsid w:val="00487065"/>
    <w:rsid w:val="00490E74"/>
    <w:rsid w:val="004963D6"/>
    <w:rsid w:val="004A7B5E"/>
    <w:rsid w:val="004B0492"/>
    <w:rsid w:val="004B450C"/>
    <w:rsid w:val="004C3B38"/>
    <w:rsid w:val="004C4941"/>
    <w:rsid w:val="004D0159"/>
    <w:rsid w:val="004E0FD4"/>
    <w:rsid w:val="004E6EB3"/>
    <w:rsid w:val="004F3DF0"/>
    <w:rsid w:val="004F50C0"/>
    <w:rsid w:val="0050383B"/>
    <w:rsid w:val="00506F8F"/>
    <w:rsid w:val="00512D3B"/>
    <w:rsid w:val="00516726"/>
    <w:rsid w:val="005167E6"/>
    <w:rsid w:val="0051687F"/>
    <w:rsid w:val="005177C2"/>
    <w:rsid w:val="00520126"/>
    <w:rsid w:val="005217E2"/>
    <w:rsid w:val="00523DCA"/>
    <w:rsid w:val="00524BB9"/>
    <w:rsid w:val="00527E68"/>
    <w:rsid w:val="00532076"/>
    <w:rsid w:val="00532560"/>
    <w:rsid w:val="00533169"/>
    <w:rsid w:val="005411FC"/>
    <w:rsid w:val="005412AC"/>
    <w:rsid w:val="00544DF8"/>
    <w:rsid w:val="005455A3"/>
    <w:rsid w:val="00556918"/>
    <w:rsid w:val="00565070"/>
    <w:rsid w:val="00575DC5"/>
    <w:rsid w:val="005818D7"/>
    <w:rsid w:val="005820E1"/>
    <w:rsid w:val="00583110"/>
    <w:rsid w:val="005844D5"/>
    <w:rsid w:val="00587879"/>
    <w:rsid w:val="00592C1B"/>
    <w:rsid w:val="005944BC"/>
    <w:rsid w:val="00595C62"/>
    <w:rsid w:val="005979D9"/>
    <w:rsid w:val="00597FEC"/>
    <w:rsid w:val="005A2579"/>
    <w:rsid w:val="005A31CB"/>
    <w:rsid w:val="005A5975"/>
    <w:rsid w:val="005A6487"/>
    <w:rsid w:val="005A6C73"/>
    <w:rsid w:val="005A7DD7"/>
    <w:rsid w:val="005B03D1"/>
    <w:rsid w:val="005B1078"/>
    <w:rsid w:val="005B7729"/>
    <w:rsid w:val="005C7598"/>
    <w:rsid w:val="005F114D"/>
    <w:rsid w:val="005F2154"/>
    <w:rsid w:val="005F75F3"/>
    <w:rsid w:val="0061061C"/>
    <w:rsid w:val="006112ED"/>
    <w:rsid w:val="00611676"/>
    <w:rsid w:val="006122AB"/>
    <w:rsid w:val="006206E5"/>
    <w:rsid w:val="0062713A"/>
    <w:rsid w:val="00633D49"/>
    <w:rsid w:val="0064026B"/>
    <w:rsid w:val="00647EF3"/>
    <w:rsid w:val="006514C0"/>
    <w:rsid w:val="00651576"/>
    <w:rsid w:val="006554E8"/>
    <w:rsid w:val="006615AD"/>
    <w:rsid w:val="00667C87"/>
    <w:rsid w:val="006705E4"/>
    <w:rsid w:val="00681246"/>
    <w:rsid w:val="00684417"/>
    <w:rsid w:val="00690B0E"/>
    <w:rsid w:val="00694EB4"/>
    <w:rsid w:val="006A2E9C"/>
    <w:rsid w:val="006A3583"/>
    <w:rsid w:val="006A68BE"/>
    <w:rsid w:val="006B3B5D"/>
    <w:rsid w:val="006C4A86"/>
    <w:rsid w:val="006C55B0"/>
    <w:rsid w:val="006D623B"/>
    <w:rsid w:val="006E0295"/>
    <w:rsid w:val="006E48C9"/>
    <w:rsid w:val="006E5D7D"/>
    <w:rsid w:val="006F126F"/>
    <w:rsid w:val="006F15BC"/>
    <w:rsid w:val="00713E1F"/>
    <w:rsid w:val="007319B0"/>
    <w:rsid w:val="00731DBD"/>
    <w:rsid w:val="00736437"/>
    <w:rsid w:val="00743C01"/>
    <w:rsid w:val="007443F2"/>
    <w:rsid w:val="00747957"/>
    <w:rsid w:val="00750267"/>
    <w:rsid w:val="00755838"/>
    <w:rsid w:val="00757736"/>
    <w:rsid w:val="007629C2"/>
    <w:rsid w:val="00764E26"/>
    <w:rsid w:val="00765C37"/>
    <w:rsid w:val="00766EB1"/>
    <w:rsid w:val="007678A7"/>
    <w:rsid w:val="00772E4B"/>
    <w:rsid w:val="007731E9"/>
    <w:rsid w:val="007803D0"/>
    <w:rsid w:val="0078115F"/>
    <w:rsid w:val="00785D57"/>
    <w:rsid w:val="0079471C"/>
    <w:rsid w:val="007951E2"/>
    <w:rsid w:val="007A0911"/>
    <w:rsid w:val="007B6EB9"/>
    <w:rsid w:val="007B7727"/>
    <w:rsid w:val="007C1C7B"/>
    <w:rsid w:val="007C44E2"/>
    <w:rsid w:val="007C609E"/>
    <w:rsid w:val="007C7791"/>
    <w:rsid w:val="007D1EDD"/>
    <w:rsid w:val="007D76ED"/>
    <w:rsid w:val="007E42B5"/>
    <w:rsid w:val="007E6603"/>
    <w:rsid w:val="007F1FF3"/>
    <w:rsid w:val="007F6592"/>
    <w:rsid w:val="008130EE"/>
    <w:rsid w:val="008152D8"/>
    <w:rsid w:val="008232F5"/>
    <w:rsid w:val="008266FE"/>
    <w:rsid w:val="00830C58"/>
    <w:rsid w:val="008340A6"/>
    <w:rsid w:val="00836545"/>
    <w:rsid w:val="00836703"/>
    <w:rsid w:val="00855437"/>
    <w:rsid w:val="00857FC6"/>
    <w:rsid w:val="00861E99"/>
    <w:rsid w:val="00862866"/>
    <w:rsid w:val="00863B10"/>
    <w:rsid w:val="00866767"/>
    <w:rsid w:val="008669AF"/>
    <w:rsid w:val="0087252F"/>
    <w:rsid w:val="00873A8B"/>
    <w:rsid w:val="00874B76"/>
    <w:rsid w:val="00876BB5"/>
    <w:rsid w:val="008900E8"/>
    <w:rsid w:val="008930F9"/>
    <w:rsid w:val="008A4410"/>
    <w:rsid w:val="008A52B2"/>
    <w:rsid w:val="008A5484"/>
    <w:rsid w:val="008B3D75"/>
    <w:rsid w:val="008B69BC"/>
    <w:rsid w:val="008C3A1E"/>
    <w:rsid w:val="008C5181"/>
    <w:rsid w:val="008C596A"/>
    <w:rsid w:val="008C7A01"/>
    <w:rsid w:val="008D09DB"/>
    <w:rsid w:val="008D4573"/>
    <w:rsid w:val="008D5FF2"/>
    <w:rsid w:val="008E356D"/>
    <w:rsid w:val="008E4390"/>
    <w:rsid w:val="008E5ED3"/>
    <w:rsid w:val="008F2184"/>
    <w:rsid w:val="008F41FB"/>
    <w:rsid w:val="00902D71"/>
    <w:rsid w:val="009062C7"/>
    <w:rsid w:val="00910897"/>
    <w:rsid w:val="009113CF"/>
    <w:rsid w:val="009218CD"/>
    <w:rsid w:val="0092222A"/>
    <w:rsid w:val="0092226A"/>
    <w:rsid w:val="00932679"/>
    <w:rsid w:val="0093282B"/>
    <w:rsid w:val="00933F9D"/>
    <w:rsid w:val="00942F89"/>
    <w:rsid w:val="00943DFB"/>
    <w:rsid w:val="00946E18"/>
    <w:rsid w:val="00963044"/>
    <w:rsid w:val="00963CC9"/>
    <w:rsid w:val="0096533A"/>
    <w:rsid w:val="009738D2"/>
    <w:rsid w:val="00976834"/>
    <w:rsid w:val="00980A31"/>
    <w:rsid w:val="00981796"/>
    <w:rsid w:val="00983470"/>
    <w:rsid w:val="00984680"/>
    <w:rsid w:val="00984D92"/>
    <w:rsid w:val="00990E76"/>
    <w:rsid w:val="00995AF7"/>
    <w:rsid w:val="00996501"/>
    <w:rsid w:val="009B0F1B"/>
    <w:rsid w:val="009B2EA6"/>
    <w:rsid w:val="009B36AD"/>
    <w:rsid w:val="009B6ED8"/>
    <w:rsid w:val="009C1252"/>
    <w:rsid w:val="009C4303"/>
    <w:rsid w:val="009C61E1"/>
    <w:rsid w:val="009D232A"/>
    <w:rsid w:val="009D4128"/>
    <w:rsid w:val="009D5877"/>
    <w:rsid w:val="009D5FF6"/>
    <w:rsid w:val="009D7B9C"/>
    <w:rsid w:val="00A00D3E"/>
    <w:rsid w:val="00A02AE7"/>
    <w:rsid w:val="00A21ACB"/>
    <w:rsid w:val="00A2219A"/>
    <w:rsid w:val="00A2270B"/>
    <w:rsid w:val="00A354E2"/>
    <w:rsid w:val="00A40B50"/>
    <w:rsid w:val="00A421B4"/>
    <w:rsid w:val="00A42977"/>
    <w:rsid w:val="00A43022"/>
    <w:rsid w:val="00A430D1"/>
    <w:rsid w:val="00A434D2"/>
    <w:rsid w:val="00A473EF"/>
    <w:rsid w:val="00A520AB"/>
    <w:rsid w:val="00A52387"/>
    <w:rsid w:val="00A5278A"/>
    <w:rsid w:val="00A53D1A"/>
    <w:rsid w:val="00A542C0"/>
    <w:rsid w:val="00A558B0"/>
    <w:rsid w:val="00A5610E"/>
    <w:rsid w:val="00A562B6"/>
    <w:rsid w:val="00A574E3"/>
    <w:rsid w:val="00A60166"/>
    <w:rsid w:val="00A76865"/>
    <w:rsid w:val="00A770FF"/>
    <w:rsid w:val="00A91411"/>
    <w:rsid w:val="00A91507"/>
    <w:rsid w:val="00A920D7"/>
    <w:rsid w:val="00A96B1A"/>
    <w:rsid w:val="00AA1370"/>
    <w:rsid w:val="00AA6AF1"/>
    <w:rsid w:val="00AC739C"/>
    <w:rsid w:val="00AD0C78"/>
    <w:rsid w:val="00AD4928"/>
    <w:rsid w:val="00AF1F91"/>
    <w:rsid w:val="00AF3D48"/>
    <w:rsid w:val="00AF3EAC"/>
    <w:rsid w:val="00AF469A"/>
    <w:rsid w:val="00AF4A2E"/>
    <w:rsid w:val="00AF57D5"/>
    <w:rsid w:val="00AF6570"/>
    <w:rsid w:val="00B0101E"/>
    <w:rsid w:val="00B052D5"/>
    <w:rsid w:val="00B11FC7"/>
    <w:rsid w:val="00B128F4"/>
    <w:rsid w:val="00B22AE0"/>
    <w:rsid w:val="00B2677F"/>
    <w:rsid w:val="00B31669"/>
    <w:rsid w:val="00B3195C"/>
    <w:rsid w:val="00B34B9D"/>
    <w:rsid w:val="00B419E6"/>
    <w:rsid w:val="00B44C5E"/>
    <w:rsid w:val="00B472E8"/>
    <w:rsid w:val="00B50C5F"/>
    <w:rsid w:val="00B531EE"/>
    <w:rsid w:val="00B65F90"/>
    <w:rsid w:val="00B70510"/>
    <w:rsid w:val="00B72101"/>
    <w:rsid w:val="00B82E0B"/>
    <w:rsid w:val="00B9388A"/>
    <w:rsid w:val="00BA3635"/>
    <w:rsid w:val="00BA43EC"/>
    <w:rsid w:val="00BA4C6F"/>
    <w:rsid w:val="00BC1E96"/>
    <w:rsid w:val="00BC67AD"/>
    <w:rsid w:val="00BD0305"/>
    <w:rsid w:val="00BD4463"/>
    <w:rsid w:val="00BD577C"/>
    <w:rsid w:val="00BD5EDB"/>
    <w:rsid w:val="00BE48C2"/>
    <w:rsid w:val="00BE4E09"/>
    <w:rsid w:val="00BF4820"/>
    <w:rsid w:val="00BF4D2E"/>
    <w:rsid w:val="00C0080B"/>
    <w:rsid w:val="00C04961"/>
    <w:rsid w:val="00C05926"/>
    <w:rsid w:val="00C17F91"/>
    <w:rsid w:val="00C2254A"/>
    <w:rsid w:val="00C2387C"/>
    <w:rsid w:val="00C25570"/>
    <w:rsid w:val="00C26D9F"/>
    <w:rsid w:val="00C34AB2"/>
    <w:rsid w:val="00C41D35"/>
    <w:rsid w:val="00C46453"/>
    <w:rsid w:val="00C46ABE"/>
    <w:rsid w:val="00C5167B"/>
    <w:rsid w:val="00C535FB"/>
    <w:rsid w:val="00C54927"/>
    <w:rsid w:val="00C55570"/>
    <w:rsid w:val="00C70F4B"/>
    <w:rsid w:val="00C766BE"/>
    <w:rsid w:val="00C81716"/>
    <w:rsid w:val="00C8301F"/>
    <w:rsid w:val="00C83D78"/>
    <w:rsid w:val="00C84BDC"/>
    <w:rsid w:val="00C866F8"/>
    <w:rsid w:val="00C869E3"/>
    <w:rsid w:val="00C90E44"/>
    <w:rsid w:val="00C9251F"/>
    <w:rsid w:val="00C94F8A"/>
    <w:rsid w:val="00C96DC8"/>
    <w:rsid w:val="00C9747C"/>
    <w:rsid w:val="00C9769A"/>
    <w:rsid w:val="00C9794E"/>
    <w:rsid w:val="00CA024A"/>
    <w:rsid w:val="00CA1A20"/>
    <w:rsid w:val="00CA1CB5"/>
    <w:rsid w:val="00CB7BBA"/>
    <w:rsid w:val="00CC362C"/>
    <w:rsid w:val="00CD5316"/>
    <w:rsid w:val="00CD6F67"/>
    <w:rsid w:val="00CD775C"/>
    <w:rsid w:val="00CE2403"/>
    <w:rsid w:val="00CE76D0"/>
    <w:rsid w:val="00CF629D"/>
    <w:rsid w:val="00CF7F45"/>
    <w:rsid w:val="00D00C61"/>
    <w:rsid w:val="00D03998"/>
    <w:rsid w:val="00D10610"/>
    <w:rsid w:val="00D15E10"/>
    <w:rsid w:val="00D2081E"/>
    <w:rsid w:val="00D20AE7"/>
    <w:rsid w:val="00D218B4"/>
    <w:rsid w:val="00D41443"/>
    <w:rsid w:val="00D44D5F"/>
    <w:rsid w:val="00D46485"/>
    <w:rsid w:val="00D51D02"/>
    <w:rsid w:val="00D618FF"/>
    <w:rsid w:val="00D65D41"/>
    <w:rsid w:val="00D71D83"/>
    <w:rsid w:val="00D90C20"/>
    <w:rsid w:val="00D94D0A"/>
    <w:rsid w:val="00D97DDE"/>
    <w:rsid w:val="00DA1BEB"/>
    <w:rsid w:val="00DA409C"/>
    <w:rsid w:val="00DC2CE3"/>
    <w:rsid w:val="00DC3270"/>
    <w:rsid w:val="00DC4310"/>
    <w:rsid w:val="00DC4499"/>
    <w:rsid w:val="00DC6B62"/>
    <w:rsid w:val="00DC6D34"/>
    <w:rsid w:val="00DC7F41"/>
    <w:rsid w:val="00DD6441"/>
    <w:rsid w:val="00DE1243"/>
    <w:rsid w:val="00DE15AF"/>
    <w:rsid w:val="00DE17BB"/>
    <w:rsid w:val="00DE3E68"/>
    <w:rsid w:val="00DE57B9"/>
    <w:rsid w:val="00DE5FDC"/>
    <w:rsid w:val="00DE7929"/>
    <w:rsid w:val="00DF60FB"/>
    <w:rsid w:val="00E00D40"/>
    <w:rsid w:val="00E02F2B"/>
    <w:rsid w:val="00E03CFB"/>
    <w:rsid w:val="00E074A6"/>
    <w:rsid w:val="00E100FB"/>
    <w:rsid w:val="00E14403"/>
    <w:rsid w:val="00E15515"/>
    <w:rsid w:val="00E155EE"/>
    <w:rsid w:val="00E16574"/>
    <w:rsid w:val="00E26849"/>
    <w:rsid w:val="00E30ACA"/>
    <w:rsid w:val="00E313B8"/>
    <w:rsid w:val="00E31B78"/>
    <w:rsid w:val="00E4331C"/>
    <w:rsid w:val="00E44D9F"/>
    <w:rsid w:val="00E51DDF"/>
    <w:rsid w:val="00E55E17"/>
    <w:rsid w:val="00E6043E"/>
    <w:rsid w:val="00E62D2F"/>
    <w:rsid w:val="00E836C6"/>
    <w:rsid w:val="00E83AF0"/>
    <w:rsid w:val="00E95165"/>
    <w:rsid w:val="00E97E33"/>
    <w:rsid w:val="00EA723A"/>
    <w:rsid w:val="00EB0A31"/>
    <w:rsid w:val="00ED2CB6"/>
    <w:rsid w:val="00EE4A3E"/>
    <w:rsid w:val="00EE5646"/>
    <w:rsid w:val="00EE74A4"/>
    <w:rsid w:val="00EE7BE4"/>
    <w:rsid w:val="00EF1881"/>
    <w:rsid w:val="00EF1D22"/>
    <w:rsid w:val="00EF39F2"/>
    <w:rsid w:val="00F01945"/>
    <w:rsid w:val="00F06E7F"/>
    <w:rsid w:val="00F1146A"/>
    <w:rsid w:val="00F16C6B"/>
    <w:rsid w:val="00F2389F"/>
    <w:rsid w:val="00F27DC9"/>
    <w:rsid w:val="00F35DC3"/>
    <w:rsid w:val="00F45E4D"/>
    <w:rsid w:val="00F47F0F"/>
    <w:rsid w:val="00F50DB3"/>
    <w:rsid w:val="00F511C7"/>
    <w:rsid w:val="00F528B0"/>
    <w:rsid w:val="00F535EE"/>
    <w:rsid w:val="00F55590"/>
    <w:rsid w:val="00F6057C"/>
    <w:rsid w:val="00F71FA0"/>
    <w:rsid w:val="00F80860"/>
    <w:rsid w:val="00F80B9B"/>
    <w:rsid w:val="00F812B2"/>
    <w:rsid w:val="00F83054"/>
    <w:rsid w:val="00F9062F"/>
    <w:rsid w:val="00F9066D"/>
    <w:rsid w:val="00F91BE1"/>
    <w:rsid w:val="00F92099"/>
    <w:rsid w:val="00F9632B"/>
    <w:rsid w:val="00FA5472"/>
    <w:rsid w:val="00FA60E0"/>
    <w:rsid w:val="00FB1434"/>
    <w:rsid w:val="00FB1E9A"/>
    <w:rsid w:val="00FB60AC"/>
    <w:rsid w:val="00FC07BE"/>
    <w:rsid w:val="00FC0826"/>
    <w:rsid w:val="00FC6E8E"/>
    <w:rsid w:val="00FD18FF"/>
    <w:rsid w:val="00FD3BF1"/>
    <w:rsid w:val="00FD4517"/>
    <w:rsid w:val="00FD4E69"/>
    <w:rsid w:val="00FE6E42"/>
    <w:rsid w:val="00FE6F80"/>
    <w:rsid w:val="00FE70CD"/>
    <w:rsid w:val="00FF191C"/>
    <w:rsid w:val="01803809"/>
    <w:rsid w:val="033A0998"/>
    <w:rsid w:val="03502CFD"/>
    <w:rsid w:val="04656EB0"/>
    <w:rsid w:val="049802FF"/>
    <w:rsid w:val="04BF763E"/>
    <w:rsid w:val="061340E1"/>
    <w:rsid w:val="064A387B"/>
    <w:rsid w:val="074C2609"/>
    <w:rsid w:val="07E74E75"/>
    <w:rsid w:val="08182C56"/>
    <w:rsid w:val="083057A7"/>
    <w:rsid w:val="0990783C"/>
    <w:rsid w:val="0CED3B15"/>
    <w:rsid w:val="0D662AF9"/>
    <w:rsid w:val="0DB66863"/>
    <w:rsid w:val="0F4F24C9"/>
    <w:rsid w:val="167EAEEC"/>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B32A9"/>
    <w:rsid w:val="28F37D06"/>
    <w:rsid w:val="296A5517"/>
    <w:rsid w:val="29984D05"/>
    <w:rsid w:val="29E131C2"/>
    <w:rsid w:val="2B2139A1"/>
    <w:rsid w:val="2BD02324"/>
    <w:rsid w:val="2C4A3730"/>
    <w:rsid w:val="2C604F77"/>
    <w:rsid w:val="2CFA88AD"/>
    <w:rsid w:val="2E870FE2"/>
    <w:rsid w:val="2F3B040D"/>
    <w:rsid w:val="303B11BD"/>
    <w:rsid w:val="312E24DA"/>
    <w:rsid w:val="315F1A90"/>
    <w:rsid w:val="32136C77"/>
    <w:rsid w:val="32BA76E3"/>
    <w:rsid w:val="360F461D"/>
    <w:rsid w:val="36854A8D"/>
    <w:rsid w:val="36F01431"/>
    <w:rsid w:val="3899321B"/>
    <w:rsid w:val="3A7F4ED5"/>
    <w:rsid w:val="3D1E60DF"/>
    <w:rsid w:val="3DDA0A65"/>
    <w:rsid w:val="3ED783D9"/>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772FD5"/>
    <w:rsid w:val="56A67E9E"/>
    <w:rsid w:val="57CF589D"/>
    <w:rsid w:val="57FF3FD3"/>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A86769D"/>
    <w:rsid w:val="6BCFAE22"/>
    <w:rsid w:val="6C7C0072"/>
    <w:rsid w:val="6CBD693E"/>
    <w:rsid w:val="6EDB7B1D"/>
    <w:rsid w:val="708319D8"/>
    <w:rsid w:val="72EE509C"/>
    <w:rsid w:val="73057B87"/>
    <w:rsid w:val="73E82826"/>
    <w:rsid w:val="74764121"/>
    <w:rsid w:val="74856478"/>
    <w:rsid w:val="767FF4F2"/>
    <w:rsid w:val="76B71781"/>
    <w:rsid w:val="77F62D55"/>
    <w:rsid w:val="78891EEF"/>
    <w:rsid w:val="7920024A"/>
    <w:rsid w:val="7A150154"/>
    <w:rsid w:val="7B752599"/>
    <w:rsid w:val="7B9058AF"/>
    <w:rsid w:val="7C8F7B03"/>
    <w:rsid w:val="7D335CF6"/>
    <w:rsid w:val="7D782922"/>
    <w:rsid w:val="7DC27B63"/>
    <w:rsid w:val="7FDFB33B"/>
    <w:rsid w:val="977FD839"/>
    <w:rsid w:val="9D37E214"/>
    <w:rsid w:val="B7FE59D5"/>
    <w:rsid w:val="E257A493"/>
    <w:rsid w:val="F97F8B93"/>
    <w:rsid w:val="FBFF770C"/>
    <w:rsid w:val="FE7DC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qFormat/>
    <w:uiPriority w:val="0"/>
    <w:pPr>
      <w:framePr w:wrap="around"/>
    </w:pPr>
    <w:rPr>
      <w:sz w:val="16"/>
    </w:rPr>
  </w:style>
  <w:style w:type="character" w:customStyle="1" w:styleId="54">
    <w:name w:val="EFAFPColFrameText_Left Char"/>
    <w:basedOn w:val="21"/>
    <w:link w:val="50"/>
    <w:qFormat/>
    <w:uiPriority w:val="0"/>
    <w:rPr>
      <w:rFonts w:ascii="Calibri" w:hAnsi="Calibri" w:eastAsia="MS Mincho" w:cs="Times New Roman"/>
      <w:snapToGrid w:val="0"/>
      <w:kern w:val="0"/>
      <w:sz w:val="14"/>
      <w:szCs w:val="14"/>
    </w:rPr>
  </w:style>
  <w:style w:type="paragraph" w:customStyle="1" w:styleId="55">
    <w:name w:val="EFAAnchor"/>
    <w:basedOn w:val="1"/>
    <w:qFormat/>
    <w:uiPriority w:val="0"/>
    <w:pPr>
      <w:widowControl w:val="0"/>
      <w:adjustRightInd w:val="0"/>
      <w:snapToGrid w:val="0"/>
    </w:pPr>
    <w:rPr>
      <w:sz w:val="4"/>
    </w:rPr>
  </w:style>
  <w:style w:type="paragraph" w:customStyle="1" w:styleId="56">
    <w:name w:val="EFAFP_BodyText2"/>
    <w:link w:val="57"/>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qFormat/>
    <w:uiPriority w:val="0"/>
    <w:rPr>
      <w:rFonts w:ascii="Calibri" w:hAnsi="Calibri" w:eastAsia="MS Mincho" w:cs="Times New Roman"/>
      <w:snapToGrid w:val="0"/>
      <w:kern w:val="0"/>
      <w:sz w:val="16"/>
      <w:szCs w:val="16"/>
      <w:lang w:eastAsia="ja-JP"/>
    </w:rPr>
  </w:style>
  <w:style w:type="character" w:customStyle="1" w:styleId="67">
    <w:name w:val="EFACharBold_and_AllCap"/>
    <w:qFormat/>
    <w:uiPriority w:val="1"/>
    <w:rPr>
      <w:b/>
      <w:caps/>
    </w:rPr>
  </w:style>
  <w:style w:type="paragraph" w:customStyle="1" w:styleId="68">
    <w:name w:val="EFAPageFooter"/>
    <w:basedOn w:val="65"/>
    <w:qFormat/>
    <w:uiPriority w:val="0"/>
    <w:pPr>
      <w:framePr w:wrap="around" w:vAnchor="page" w:hAnchor="page" w:x="347" w:y="15481"/>
      <w:tabs>
        <w:tab w:val="center" w:pos="5165"/>
      </w:tabs>
    </w:pPr>
    <w:rPr>
      <w:b/>
      <w:sz w:val="20"/>
      <w:szCs w:val="20"/>
    </w:rPr>
  </w:style>
  <w:style w:type="paragraph" w:customStyle="1" w:styleId="69">
    <w:name w:val="EFASideComment"/>
    <w:basedOn w:val="44"/>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qFormat/>
    <w:uiPriority w:val="99"/>
    <w:pPr>
      <w:jc w:val="both"/>
    </w:pPr>
  </w:style>
  <w:style w:type="character" w:customStyle="1" w:styleId="72">
    <w:name w:val="EFADisclaimerText Char"/>
    <w:basedOn w:val="21"/>
    <w:link w:val="71"/>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qFormat/>
    <w:uiPriority w:val="6"/>
    <w:pPr>
      <w:numPr>
        <w:ilvl w:val="0"/>
        <w:numId w:val="1"/>
      </w:numPr>
      <w:jc w:val="left"/>
    </w:pPr>
    <w:rPr>
      <w:b/>
      <w:bCs/>
    </w:rPr>
  </w:style>
  <w:style w:type="paragraph" w:customStyle="1" w:styleId="75">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8" Type="http://schemas.openxmlformats.org/officeDocument/2006/relationships/glossaryDocument" Target="glossary/document.xml"/><Relationship Id="rId77" Type="http://schemas.openxmlformats.org/officeDocument/2006/relationships/fontTable" Target="fontTable.xml"/><Relationship Id="rId76" Type="http://schemas.openxmlformats.org/officeDocument/2006/relationships/customXml" Target="../customXml/item2.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30.emf"/><Relationship Id="rId72" Type="http://schemas.openxmlformats.org/officeDocument/2006/relationships/image" Target="media/image29.emf"/><Relationship Id="rId71" Type="http://schemas.openxmlformats.org/officeDocument/2006/relationships/image" Target="media/image28.emf"/><Relationship Id="rId70" Type="http://schemas.openxmlformats.org/officeDocument/2006/relationships/chart" Target="charts/chart26.xml"/><Relationship Id="rId7" Type="http://schemas.openxmlformats.org/officeDocument/2006/relationships/footer" Target="footer2.xml"/><Relationship Id="rId69" Type="http://schemas.openxmlformats.org/officeDocument/2006/relationships/image" Target="media/image27.emf"/><Relationship Id="rId68" Type="http://schemas.openxmlformats.org/officeDocument/2006/relationships/image" Target="media/image26.png"/><Relationship Id="rId67" Type="http://schemas.openxmlformats.org/officeDocument/2006/relationships/chart" Target="charts/chart25.xml"/><Relationship Id="rId66" Type="http://schemas.openxmlformats.org/officeDocument/2006/relationships/image" Target="media/image25.png"/><Relationship Id="rId65" Type="http://schemas.openxmlformats.org/officeDocument/2006/relationships/image" Target="media/image24.emf"/><Relationship Id="rId64" Type="http://schemas.openxmlformats.org/officeDocument/2006/relationships/chart" Target="charts/chart24.xml"/><Relationship Id="rId63" Type="http://schemas.openxmlformats.org/officeDocument/2006/relationships/chart" Target="charts/chart23.xml"/><Relationship Id="rId62" Type="http://schemas.openxmlformats.org/officeDocument/2006/relationships/image" Target="media/image23.emf"/><Relationship Id="rId61" Type="http://schemas.openxmlformats.org/officeDocument/2006/relationships/image" Target="media/image22.emf"/><Relationship Id="rId60" Type="http://schemas.openxmlformats.org/officeDocument/2006/relationships/image" Target="media/image21.png"/><Relationship Id="rId6" Type="http://schemas.openxmlformats.org/officeDocument/2006/relationships/footer" Target="footer1.xml"/><Relationship Id="rId59" Type="http://schemas.openxmlformats.org/officeDocument/2006/relationships/image" Target="media/image20.png"/><Relationship Id="rId58" Type="http://schemas.openxmlformats.org/officeDocument/2006/relationships/chart" Target="charts/chart22.xml"/><Relationship Id="rId57" Type="http://schemas.openxmlformats.org/officeDocument/2006/relationships/chart" Target="charts/chart21.xml"/><Relationship Id="rId56" Type="http://schemas.openxmlformats.org/officeDocument/2006/relationships/chart" Target="charts/chart20.xml"/><Relationship Id="rId55" Type="http://schemas.openxmlformats.org/officeDocument/2006/relationships/chart" Target="charts/chart19.xml"/><Relationship Id="rId54" Type="http://schemas.openxmlformats.org/officeDocument/2006/relationships/image" Target="media/image19.png"/><Relationship Id="rId53" Type="http://schemas.openxmlformats.org/officeDocument/2006/relationships/image" Target="media/image18.emf"/><Relationship Id="rId52" Type="http://schemas.openxmlformats.org/officeDocument/2006/relationships/chart" Target="charts/chart18.xml"/><Relationship Id="rId51" Type="http://schemas.openxmlformats.org/officeDocument/2006/relationships/chart" Target="charts/chart17.xml"/><Relationship Id="rId50" Type="http://schemas.openxmlformats.org/officeDocument/2006/relationships/chart" Target="charts/chart16.xml"/><Relationship Id="rId5" Type="http://schemas.openxmlformats.org/officeDocument/2006/relationships/header" Target="header3.xml"/><Relationship Id="rId49" Type="http://schemas.openxmlformats.org/officeDocument/2006/relationships/image" Target="media/image17.emf"/><Relationship Id="rId48" Type="http://schemas.openxmlformats.org/officeDocument/2006/relationships/image" Target="media/image16.emf"/><Relationship Id="rId47" Type="http://schemas.openxmlformats.org/officeDocument/2006/relationships/image" Target="media/image15.png"/><Relationship Id="rId46" Type="http://schemas.openxmlformats.org/officeDocument/2006/relationships/chart" Target="charts/chart15.xml"/><Relationship Id="rId45" Type="http://schemas.openxmlformats.org/officeDocument/2006/relationships/chart" Target="charts/chart14.xml"/><Relationship Id="rId44" Type="http://schemas.openxmlformats.org/officeDocument/2006/relationships/chart" Target="charts/chart13.xml"/><Relationship Id="rId43" Type="http://schemas.openxmlformats.org/officeDocument/2006/relationships/image" Target="media/image14.emf"/><Relationship Id="rId42" Type="http://schemas.openxmlformats.org/officeDocument/2006/relationships/chart" Target="charts/chart12.xml"/><Relationship Id="rId41" Type="http://schemas.openxmlformats.org/officeDocument/2006/relationships/chart" Target="charts/chart11.xml"/><Relationship Id="rId40" Type="http://schemas.openxmlformats.org/officeDocument/2006/relationships/chart" Target="charts/chart10.xml"/><Relationship Id="rId4" Type="http://schemas.openxmlformats.org/officeDocument/2006/relationships/header" Target="header2.xml"/><Relationship Id="rId39" Type="http://schemas.openxmlformats.org/officeDocument/2006/relationships/image" Target="media/image13.png"/><Relationship Id="rId38" Type="http://schemas.openxmlformats.org/officeDocument/2006/relationships/image" Target="media/image12.emf"/><Relationship Id="rId37" Type="http://schemas.openxmlformats.org/officeDocument/2006/relationships/image" Target="media/image11.emf"/><Relationship Id="rId36" Type="http://schemas.openxmlformats.org/officeDocument/2006/relationships/chart" Target="charts/chart9.xml"/><Relationship Id="rId35" Type="http://schemas.openxmlformats.org/officeDocument/2006/relationships/chart" Target="charts/chart8.xml"/><Relationship Id="rId34" Type="http://schemas.openxmlformats.org/officeDocument/2006/relationships/image" Target="media/image10.emf"/><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jpeg"/><Relationship Id="rId21" Type="http://schemas.openxmlformats.org/officeDocument/2006/relationships/image" Target="media/image4.pn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8.xml"/><Relationship Id="rId1" Type="http://schemas.openxmlformats.org/officeDocument/2006/relationships/oleObject" Target="file:///C:\Users\zheng\Desktop\txt&#24213;&#31295;&#65288;Part%201&#65292;2&#65292;3&#65292;4&#65292;5&#32763;&#35793;&#65289;.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24037;&#20316;&#31807;1"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2.xml"/><Relationship Id="rId1" Type="http://schemas.openxmlformats.org/officeDocument/2006/relationships/oleObject" Target="file:///D:\&#24494;&#20449;&#32842;&#22825;&#35760;&#24405;\xwechat_files\wxid_4942849438712_4f68\msg\file\2026-01\excel.xlsx%20&#33521;&#25991;&#29256;.xlsx" TargetMode="External"/></Relationships>
</file>

<file path=word/charts/_rels/chart6.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oleObject" Target="https://cuhko365-my.sharepoint.com/personal/225020130_link_cuhk_edu_cn/Documents/&#26700;&#38754;/&#21326;&#31119;/txt&#24213;&#31295;%20&#30340;&#21103;&#26412;&#65288;2&#12289;3&#32763;&#35793;&#65289;.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3.xml"/><Relationship Id="rId1" Type="http://schemas.openxmlformats.org/officeDocument/2006/relationships/oleObject" Target="https://cuhko365-my.sharepoint.com/personal/225020130_link_cuhk_edu_cn/Documents/&#26700;&#38754;/&#21326;&#31119;/txt&#24213;&#31295;%20&#30340;&#21103;&#26412;&#65288;2&#12289;3&#32763;&#35793;&#65289;.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zheng\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4.xml"/><Relationship Id="rId1" Type="http://schemas.openxmlformats.org/officeDocument/2006/relationships/oleObject" Target="file:///C:\Users\zheng\Desktop\&#35199;&#38160;&#24213;&#31295;.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zheng\Desktop\&#35199;&#38160;&#24213;&#31295;.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zheng\Desktop\&#35199;&#38160;&#24213;&#31295;.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https://cuhko365-my.sharepoint.com/personal/225020130_link_cuhk_edu_cn/Documents/&#26700;&#38754;/&#21326;&#31119;/txt&#24213;&#31295;%20&#30340;&#21103;&#26412;&#65288;2&#12289;3&#32763;&#35793;&#65289;.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https://cuhko365-my.sharepoint.com/personal/225020130_link_cuhk_edu_cn/Documents/&#26700;&#38754;/&#21326;&#31119;/txt&#24213;&#31295;%20&#30340;&#21103;&#26412;&#65288;2&#12289;3&#32763;&#35793;&#65289;.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6.xml"/><Relationship Id="rId1" Type="http://schemas.openxmlformats.org/officeDocument/2006/relationships/package" Target="../embeddings/Workbook1.xlsx"/></Relationships>
</file>

<file path=word/charts/_rels/chart15.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7.xml"/><Relationship Id="rId1" Type="http://schemas.openxmlformats.org/officeDocument/2006/relationships/oleObject" Target="file:///C:\Users\zheng\Desktop\TXT%20part3&#24213;&#31295;.xlsx" TargetMode="External"/></Relationships>
</file>

<file path=word/charts/_rels/chart16.xml.rels><?xml version="1.0" encoding="UTF-8" standalone="yes"?>
<Relationships xmlns="http://schemas.openxmlformats.org/package/2006/relationships"><Relationship Id="rId3" Type="http://schemas.microsoft.com/office/2011/relationships/chartColorStyle" Target="colors20.xml"/><Relationship Id="rId2" Type="http://schemas.microsoft.com/office/2011/relationships/chartStyle" Target="style20.xml"/><Relationship Id="rId1" Type="http://schemas.openxmlformats.org/officeDocument/2006/relationships/oleObject" Target="file:///D:\&#24494;&#20449;&#32842;&#22825;&#35760;&#24405;\xwechat_files\wxid_4942849438712_4f68\msg\file\2026-01\excel.xlsx%20&#33521;&#25991;&#29256;.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0.xml"/><Relationship Id="rId1" Type="http://schemas.openxmlformats.org/officeDocument/2006/relationships/oleObject" Target="file:///C:\Users\zheng\Desktop\TXT%20part3&#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9.xml"/><Relationship Id="rId1" Type="http://schemas.openxmlformats.org/officeDocument/2006/relationships/oleObject" Target="file:///C:\Users\zheng\Desktop\TXT%20part3&#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1.xml"/><Relationship Id="rId1" Type="http://schemas.openxmlformats.org/officeDocument/2006/relationships/oleObject" Target="file:///C:\Users\zheng\Desktop\TXT%20part3&#24213;&#31295;.xlsx" TargetMode="External"/></Relationships>
</file>

<file path=word/charts/_rels/chart20.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https://cuhko365-my.sharepoint.com/personal/225020130_link_cuhk_edu_cn/Documents/&#26700;&#38754;/&#21326;&#31119;/txt&#24213;&#31295;%20&#30340;&#21103;&#26412;&#65288;2&#12289;3&#32763;&#35793;&#65289;.xlsx" TargetMode="External"/></Relationships>
</file>

<file path=word/charts/_rels/chart21.xml.rels><?xml version="1.0" encoding="UTF-8" standalone="yes"?>
<Relationships xmlns="http://schemas.openxmlformats.org/package/2006/relationships"><Relationship Id="rId3" Type="http://schemas.microsoft.com/office/2011/relationships/chartColorStyle" Target="colors23.xml"/><Relationship Id="rId2" Type="http://schemas.microsoft.com/office/2011/relationships/chartStyle" Target="style23.xml"/><Relationship Id="rId1" Type="http://schemas.openxmlformats.org/officeDocument/2006/relationships/oleObject" Target="https://cuhko365-my.sharepoint.com/personal/225020130_link_cuhk_edu_cn/Documents/&#26700;&#38754;/&#21326;&#31119;/3.2%20Textron.xlsx" TargetMode="External"/></Relationships>
</file>

<file path=word/charts/_rels/chart22.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24037;&#20316;&#31807;1" TargetMode="External"/></Relationships>
</file>

<file path=word/charts/_rels/chart23.xml.rels><?xml version="1.0" encoding="UTF-8" standalone="yes"?>
<Relationships xmlns="http://schemas.openxmlformats.org/package/2006/relationships"><Relationship Id="rId4" Type="http://schemas.microsoft.com/office/2011/relationships/chartColorStyle" Target="colors25.xml"/><Relationship Id="rId3" Type="http://schemas.microsoft.com/office/2011/relationships/chartStyle" Target="style25.xml"/><Relationship Id="rId2" Type="http://schemas.openxmlformats.org/officeDocument/2006/relationships/themeOverride" Target="../theme/themeOverride14.xml"/><Relationship Id="rId1" Type="http://schemas.openxmlformats.org/officeDocument/2006/relationships/oleObject" Target="/Users/hetianqu/Library/Containers/com.tencent.xinWeChat/Data/Documents/xwechat_files/wxid_lp88q4iodptu12_9bde/msg/file/2026-01/txt&#24213;&#31295;.xlsx" TargetMode="External"/></Relationships>
</file>

<file path=word/charts/_rels/chart24.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13.xml"/><Relationship Id="rId1" Type="http://schemas.openxmlformats.org/officeDocument/2006/relationships/oleObject" Target="file:///C:\Users\zheng\Desktop\txt&#24213;&#31295;.xlsx" TargetMode="External"/></Relationships>
</file>

<file path=word/charts/_rels/chart25.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12.xml"/><Relationship Id="rId1" Type="http://schemas.openxmlformats.org/officeDocument/2006/relationships/oleObject" Target="file:///D:\&#24494;&#20449;&#32842;&#22825;&#35760;&#24405;\xwechat_files\wxid_4942849438712_4f68\msg\file\2026-01\&#21103;&#26412;txt&#24213;&#31295;(3).xlsx" TargetMode="External"/></Relationships>
</file>

<file path=word/charts/_rels/chart26.xml.rels><?xml version="1.0" encoding="UTF-8" standalone="yes"?>
<Relationships xmlns="http://schemas.openxmlformats.org/package/2006/relationships"><Relationship Id="rId3" Type="http://schemas.microsoft.com/office/2011/relationships/chartColorStyle" Target="colors24.xml"/><Relationship Id="rId2" Type="http://schemas.microsoft.com/office/2011/relationships/chartStyle" Target="style24.xml"/><Relationship Id="rId1" Type="http://schemas.openxmlformats.org/officeDocument/2006/relationships/oleObject" Target="/Users/miaoyuyang/Library/Containers/com.tencent.xinWeChat/Data/Documents/xwechat_files/wxid_9ed4w2goa46612_b028/msg/file/2026-01/txt&#24213;&#31295;(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Rev!$E$6</c:f>
              <c:strCache>
                <c:ptCount val="1"/>
                <c:pt idx="0">
                  <c:v>Gross Revenue(Million Dollars)</c:v>
                </c:pt>
              </c:strCache>
            </c:strRef>
          </c:tx>
          <c:spPr>
            <a:solidFill>
              <a:srgbClr val="002060"/>
            </a:solidFill>
            <a:ln>
              <a:noFill/>
            </a:ln>
            <a:effectLst/>
          </c:spPr>
          <c:invertIfNegative val="0"/>
          <c:dLbls>
            <c:delete val="1"/>
          </c:dLbls>
          <c:cat>
            <c:numRef>
              <c:f>Rev!$F$5:$P$5</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Rev!$F$6:$P$6</c:f>
              <c:numCache>
                <c:formatCode>General</c:formatCode>
                <c:ptCount val="11"/>
                <c:pt idx="0">
                  <c:v>13423</c:v>
                </c:pt>
                <c:pt idx="1">
                  <c:v>13788</c:v>
                </c:pt>
                <c:pt idx="2">
                  <c:v>14198</c:v>
                </c:pt>
                <c:pt idx="3">
                  <c:v>13972</c:v>
                </c:pt>
                <c:pt idx="4">
                  <c:v>13630</c:v>
                </c:pt>
                <c:pt idx="5">
                  <c:v>11651</c:v>
                </c:pt>
                <c:pt idx="6">
                  <c:v>12382</c:v>
                </c:pt>
                <c:pt idx="7">
                  <c:v>12869</c:v>
                </c:pt>
                <c:pt idx="8">
                  <c:v>13683</c:v>
                </c:pt>
                <c:pt idx="9">
                  <c:v>13702</c:v>
                </c:pt>
                <c:pt idx="10">
                  <c:v>14799</c:v>
                </c:pt>
              </c:numCache>
            </c:numRef>
          </c:val>
        </c:ser>
        <c:dLbls>
          <c:showLegendKey val="0"/>
          <c:showVal val="0"/>
          <c:showCatName val="0"/>
          <c:showSerName val="0"/>
          <c:showPercent val="0"/>
          <c:showBubbleSize val="0"/>
        </c:dLbls>
        <c:gapWidth val="219"/>
        <c:overlap val="-27"/>
        <c:axId val="432291327"/>
        <c:axId val="432289407"/>
      </c:barChart>
      <c:lineChart>
        <c:grouping val="standard"/>
        <c:varyColors val="0"/>
        <c:ser>
          <c:idx val="1"/>
          <c:order val="1"/>
          <c:tx>
            <c:strRef>
              <c:f>Rev!$E$7</c:f>
              <c:strCache>
                <c:ptCount val="1"/>
                <c:pt idx="0">
                  <c:v>YoY</c:v>
                </c:pt>
              </c:strCache>
            </c:strRef>
          </c:tx>
          <c:spPr>
            <a:ln w="28575" cap="rnd">
              <a:solidFill>
                <a:schemeClr val="bg1">
                  <a:lumMod val="85000"/>
                </a:schemeClr>
              </a:solidFill>
              <a:round/>
            </a:ln>
            <a:effectLst/>
          </c:spPr>
          <c:marker>
            <c:symbol val="none"/>
          </c:marker>
          <c:dLbls>
            <c:delete val="1"/>
          </c:dLbls>
          <c:cat>
            <c:numRef>
              <c:f>Rev!$F$5:$P$5</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Rev!$F$7:$P$7</c:f>
              <c:numCache>
                <c:formatCode>0.0%</c:formatCode>
                <c:ptCount val="11"/>
                <c:pt idx="0">
                  <c:v>-0.0327857039919297</c:v>
                </c:pt>
                <c:pt idx="1">
                  <c:v>0.0271921329062058</c:v>
                </c:pt>
                <c:pt idx="2">
                  <c:v>0.0297360023208587</c:v>
                </c:pt>
                <c:pt idx="3">
                  <c:v>-0.0159177348922383</c:v>
                </c:pt>
                <c:pt idx="4">
                  <c:v>-0.0244775264815345</c:v>
                </c:pt>
                <c:pt idx="5">
                  <c:v>-0.145194424064563</c:v>
                </c:pt>
                <c:pt idx="6">
                  <c:v>0.0627413955883615</c:v>
                </c:pt>
                <c:pt idx="7">
                  <c:v>0.0393312873526086</c:v>
                </c:pt>
                <c:pt idx="8">
                  <c:v>0.0632527779936281</c:v>
                </c:pt>
                <c:pt idx="9">
                  <c:v>0.00138858437477161</c:v>
                </c:pt>
                <c:pt idx="10">
                  <c:v>0.0800613049189899</c:v>
                </c:pt>
              </c:numCache>
            </c:numRef>
          </c:val>
          <c:smooth val="0"/>
        </c:ser>
        <c:dLbls>
          <c:showLegendKey val="0"/>
          <c:showVal val="0"/>
          <c:showCatName val="0"/>
          <c:showSerName val="0"/>
          <c:showPercent val="0"/>
          <c:showBubbleSize val="0"/>
        </c:dLbls>
        <c:marker val="0"/>
        <c:smooth val="0"/>
        <c:axId val="458054639"/>
        <c:axId val="458054159"/>
      </c:lineChart>
      <c:catAx>
        <c:axId val="432291327"/>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crossAx val="432289407"/>
        <c:crosses val="autoZero"/>
        <c:auto val="1"/>
        <c:lblAlgn val="ctr"/>
        <c:lblOffset val="100"/>
        <c:noMultiLvlLbl val="0"/>
      </c:catAx>
      <c:valAx>
        <c:axId val="432289407"/>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crossAx val="432291327"/>
        <c:crosses val="autoZero"/>
        <c:crossBetween val="between"/>
      </c:valAx>
      <c:catAx>
        <c:axId val="45805463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crossAx val="458054159"/>
        <c:crosses val="autoZero"/>
        <c:auto val="1"/>
        <c:lblAlgn val="ctr"/>
        <c:lblOffset val="100"/>
        <c:noMultiLvlLbl val="0"/>
      </c:catAx>
      <c:valAx>
        <c:axId val="458054159"/>
        <c:scaling>
          <c:orientation val="minMax"/>
        </c:scaling>
        <c:delete val="0"/>
        <c:axPos val="r"/>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crossAx val="458054639"/>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8bbd1ff6-56cb-47e0-b2a9-31f9ec2f2557}"/>
      </c:ext>
    </c:extLst>
  </c:chart>
  <c:spPr>
    <a:solidFill>
      <a:schemeClr val="bg1"/>
    </a:solidFill>
    <a:ln w="9525" cap="flat" cmpd="sng" algn="ctr">
      <a:noFill/>
      <a:round/>
    </a:ln>
    <a:effectLst/>
  </c:spPr>
  <c:txPr>
    <a:bodyPr/>
    <a:lstStyle/>
    <a:p>
      <a:pPr>
        <a:defRPr lang="zh-CN" sz="900" baseline="0">
          <a:latin typeface="Calibri" panose="020F0502020204030204" pitchFamily="2" charset="0"/>
          <a:ea typeface="楷体" panose="02010609060101010101" pitchFamily="3"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seg!$D$5</c:f>
              <c:strCache>
                <c:ptCount val="1"/>
                <c:pt idx="0">
                  <c:v>Textron Aviation</c:v>
                </c:pt>
              </c:strCache>
            </c:strRef>
          </c:tx>
          <c:spPr>
            <a:solidFill>
              <a:srgbClr val="002060"/>
            </a:solidFill>
            <a:ln>
              <a:noFill/>
            </a:ln>
            <a:effectLst/>
          </c:spPr>
          <c:invertIfNegative val="0"/>
          <c:dLbls>
            <c:delete val="1"/>
          </c:dLbls>
          <c:cat>
            <c:numRef>
              <c:f>seg!$E$4:$O$4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seg!$E$5:$O$5</c:f>
              <c:numCache>
                <c:formatCode>General</c:formatCode>
                <c:ptCount val="11"/>
                <c:pt idx="0">
                  <c:v>4822</c:v>
                </c:pt>
                <c:pt idx="1">
                  <c:v>4921</c:v>
                </c:pt>
                <c:pt idx="2">
                  <c:v>4686</c:v>
                </c:pt>
                <c:pt idx="3">
                  <c:v>4971</c:v>
                </c:pt>
                <c:pt idx="4">
                  <c:v>5187</c:v>
                </c:pt>
                <c:pt idx="5">
                  <c:v>3974</c:v>
                </c:pt>
                <c:pt idx="6">
                  <c:v>4566</c:v>
                </c:pt>
                <c:pt idx="7">
                  <c:v>5073</c:v>
                </c:pt>
                <c:pt idx="8">
                  <c:v>5373</c:v>
                </c:pt>
                <c:pt idx="9">
                  <c:v>5284</c:v>
                </c:pt>
                <c:pt idx="10" c:formatCode="#,##0">
                  <c:v>5955</c:v>
                </c:pt>
              </c:numCache>
            </c:numRef>
          </c:val>
        </c:ser>
        <c:ser>
          <c:idx val="1"/>
          <c:order val="1"/>
          <c:tx>
            <c:strRef>
              <c:f>seg!$D$6</c:f>
              <c:strCache>
                <c:ptCount val="1"/>
                <c:pt idx="0">
                  <c:v>Bell </c:v>
                </c:pt>
              </c:strCache>
            </c:strRef>
          </c:tx>
          <c:spPr>
            <a:solidFill>
              <a:schemeClr val="accent2">
                <a:lumMod val="60000"/>
                <a:lumOff val="40000"/>
              </a:schemeClr>
            </a:solidFill>
            <a:ln>
              <a:noFill/>
            </a:ln>
            <a:effectLst/>
          </c:spPr>
          <c:invertIfNegative val="0"/>
          <c:dLbls>
            <c:delete val="1"/>
          </c:dLbls>
          <c:cat>
            <c:numRef>
              <c:f>seg!$E$4:$O$4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seg!$E$6:$O$6</c:f>
              <c:numCache>
                <c:formatCode>General</c:formatCode>
                <c:ptCount val="11"/>
                <c:pt idx="0">
                  <c:v>3454</c:v>
                </c:pt>
                <c:pt idx="1">
                  <c:v>3239</c:v>
                </c:pt>
                <c:pt idx="2">
                  <c:v>3317</c:v>
                </c:pt>
                <c:pt idx="3">
                  <c:v>3180</c:v>
                </c:pt>
                <c:pt idx="4">
                  <c:v>3254</c:v>
                </c:pt>
                <c:pt idx="5">
                  <c:v>3309</c:v>
                </c:pt>
                <c:pt idx="6">
                  <c:v>3364</c:v>
                </c:pt>
                <c:pt idx="7">
                  <c:v>3091</c:v>
                </c:pt>
                <c:pt idx="8">
                  <c:v>3147</c:v>
                </c:pt>
                <c:pt idx="9">
                  <c:v>3579</c:v>
                </c:pt>
                <c:pt idx="10" c:formatCode="#,##0">
                  <c:v>4282</c:v>
                </c:pt>
              </c:numCache>
            </c:numRef>
          </c:val>
        </c:ser>
        <c:ser>
          <c:idx val="2"/>
          <c:order val="2"/>
          <c:tx>
            <c:strRef>
              <c:f>seg!$D$7</c:f>
              <c:strCache>
                <c:ptCount val="1"/>
                <c:pt idx="0">
                  <c:v>Textron Systems </c:v>
                </c:pt>
              </c:strCache>
            </c:strRef>
          </c:tx>
          <c:spPr>
            <a:solidFill>
              <a:schemeClr val="tx2">
                <a:lumMod val="25000"/>
                <a:lumOff val="75000"/>
              </a:schemeClr>
            </a:solidFill>
            <a:ln>
              <a:noFill/>
            </a:ln>
            <a:effectLst/>
          </c:spPr>
          <c:invertIfNegative val="0"/>
          <c:dLbls>
            <c:delete val="1"/>
          </c:dLbls>
          <c:cat>
            <c:numRef>
              <c:f>seg!$E$4:$O$4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seg!$E$7:$O$7</c:f>
              <c:numCache>
                <c:formatCode>General</c:formatCode>
                <c:ptCount val="11"/>
                <c:pt idx="0">
                  <c:v>1520</c:v>
                </c:pt>
                <c:pt idx="1">
                  <c:v>1756</c:v>
                </c:pt>
                <c:pt idx="2">
                  <c:v>1840</c:v>
                </c:pt>
                <c:pt idx="3">
                  <c:v>1464</c:v>
                </c:pt>
                <c:pt idx="4">
                  <c:v>1325</c:v>
                </c:pt>
                <c:pt idx="5">
                  <c:v>1313</c:v>
                </c:pt>
                <c:pt idx="6">
                  <c:v>1273</c:v>
                </c:pt>
                <c:pt idx="7">
                  <c:v>1172</c:v>
                </c:pt>
                <c:pt idx="8">
                  <c:v>1235</c:v>
                </c:pt>
                <c:pt idx="9">
                  <c:v>1241</c:v>
                </c:pt>
                <c:pt idx="10" c:formatCode="#,##0">
                  <c:v>1247</c:v>
                </c:pt>
              </c:numCache>
            </c:numRef>
          </c:val>
        </c:ser>
        <c:ser>
          <c:idx val="3"/>
          <c:order val="3"/>
          <c:tx>
            <c:strRef>
              <c:f>seg!$D$8</c:f>
              <c:strCache>
                <c:ptCount val="1"/>
                <c:pt idx="0">
                  <c:v>Industrial </c:v>
                </c:pt>
              </c:strCache>
            </c:strRef>
          </c:tx>
          <c:spPr>
            <a:solidFill>
              <a:schemeClr val="bg1">
                <a:lumMod val="85000"/>
              </a:schemeClr>
            </a:solidFill>
            <a:ln>
              <a:noFill/>
            </a:ln>
            <a:effectLst/>
          </c:spPr>
          <c:invertIfNegative val="0"/>
          <c:dLbls>
            <c:delete val="1"/>
          </c:dLbls>
          <c:cat>
            <c:numRef>
              <c:f>seg!$E$4:$O$4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seg!$E$8:$O$8</c:f>
              <c:numCache>
                <c:formatCode>General</c:formatCode>
                <c:ptCount val="11"/>
                <c:pt idx="0">
                  <c:v>3544</c:v>
                </c:pt>
                <c:pt idx="1">
                  <c:v>3794</c:v>
                </c:pt>
                <c:pt idx="2">
                  <c:v>4286</c:v>
                </c:pt>
                <c:pt idx="3">
                  <c:v>4291</c:v>
                </c:pt>
                <c:pt idx="4">
                  <c:v>3798</c:v>
                </c:pt>
                <c:pt idx="5">
                  <c:v>3000</c:v>
                </c:pt>
                <c:pt idx="6">
                  <c:v>3130</c:v>
                </c:pt>
                <c:pt idx="7">
                  <c:v>3465</c:v>
                </c:pt>
                <c:pt idx="8">
                  <c:v>3841</c:v>
                </c:pt>
                <c:pt idx="9">
                  <c:v>3515</c:v>
                </c:pt>
                <c:pt idx="10" c:formatCode="#,##0">
                  <c:v>3213</c:v>
                </c:pt>
              </c:numCache>
            </c:numRef>
          </c:val>
        </c:ser>
        <c:ser>
          <c:idx val="4"/>
          <c:order val="4"/>
          <c:tx>
            <c:strRef>
              <c:f>seg!$D$9</c:f>
              <c:strCache>
                <c:ptCount val="1"/>
                <c:pt idx="0">
                  <c:v>Textron eAviation</c:v>
                </c:pt>
              </c:strCache>
            </c:strRef>
          </c:tx>
          <c:spPr>
            <a:solidFill>
              <a:schemeClr val="accent5"/>
            </a:solidFill>
            <a:ln>
              <a:noFill/>
            </a:ln>
            <a:effectLst/>
          </c:spPr>
          <c:invertIfNegative val="0"/>
          <c:dLbls>
            <c:delete val="1"/>
          </c:dLbls>
          <c:cat>
            <c:numRef>
              <c:f>seg!$E$4:$O$4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seg!$E$9:$O$9</c:f>
              <c:numCache>
                <c:formatCode>General</c:formatCode>
                <c:ptCount val="11"/>
                <c:pt idx="7">
                  <c:v>16</c:v>
                </c:pt>
                <c:pt idx="8">
                  <c:v>32</c:v>
                </c:pt>
                <c:pt idx="9">
                  <c:v>33</c:v>
                </c:pt>
                <c:pt idx="10">
                  <c:v>27</c:v>
                </c:pt>
              </c:numCache>
            </c:numRef>
          </c:val>
        </c:ser>
        <c:dLbls>
          <c:showLegendKey val="0"/>
          <c:showVal val="0"/>
          <c:showCatName val="0"/>
          <c:showSerName val="0"/>
          <c:showPercent val="0"/>
          <c:showBubbleSize val="0"/>
        </c:dLbls>
        <c:gapWidth val="150"/>
        <c:overlap val="100"/>
        <c:axId val="416958399"/>
        <c:axId val="416948319"/>
      </c:barChart>
      <c:catAx>
        <c:axId val="416958399"/>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crossAx val="416948319"/>
        <c:crosses val="autoZero"/>
        <c:auto val="1"/>
        <c:lblAlgn val="ctr"/>
        <c:lblOffset val="100"/>
        <c:noMultiLvlLbl val="0"/>
      </c:catAx>
      <c:valAx>
        <c:axId val="416948319"/>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crossAx val="416958399"/>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3e4bd45b-d3d9-4d71-acdf-4e7231067e9d}"/>
      </c:ext>
    </c:extLst>
  </c:chart>
  <c:spPr>
    <a:solidFill>
      <a:schemeClr val="bg1"/>
    </a:solidFill>
    <a:ln w="9525" cap="flat" cmpd="sng" algn="ctr">
      <a:noFill/>
      <a:round/>
    </a:ln>
    <a:effectLst/>
  </c:spPr>
  <c:txPr>
    <a:bodyPr/>
    <a:lstStyle/>
    <a:p>
      <a:pPr>
        <a:defRPr lang="zh-CN" sz="900" baseline="0">
          <a:latin typeface="Calibri" panose="020F0502020204030204" pitchFamily="2" charset="0"/>
          <a:ea typeface="楷体" panose="02010609060101010101" pitchFamily="3"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PART1!$A$27</c:f>
              <c:strCache>
                <c:ptCount val="1"/>
                <c:pt idx="0">
                  <c:v>Groas Profit Margin</c:v>
                </c:pt>
              </c:strCache>
            </c:strRef>
          </c:tx>
          <c:spPr>
            <a:solidFill>
              <a:srgbClr val="4472C4">
                <a:lumMod val="75000"/>
              </a:srgbClr>
            </a:solidFill>
            <a:ln>
              <a:noFill/>
            </a:ln>
            <a:effectLst/>
          </c:spPr>
          <c:invertIfNegative val="0"/>
          <c:dLbls>
            <c:delete val="1"/>
          </c:dLbls>
          <c:cat>
            <c:numRef>
              <c:f>PART1!$B$26:$K$26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PART1!$B$27:$K$27</c:f>
              <c:numCache>
                <c:formatCode>0.00%</c:formatCode>
                <c:ptCount val="10"/>
                <c:pt idx="0">
                  <c:v>0.1821</c:v>
                </c:pt>
                <c:pt idx="1">
                  <c:v>0.1796</c:v>
                </c:pt>
                <c:pt idx="2">
                  <c:v>0.1692</c:v>
                </c:pt>
                <c:pt idx="3">
                  <c:v>0.1702</c:v>
                </c:pt>
                <c:pt idx="4">
                  <c:v>0.1632</c:v>
                </c:pt>
                <c:pt idx="5">
                  <c:v>0.1336</c:v>
                </c:pt>
                <c:pt idx="6">
                  <c:v>0.1684</c:v>
                </c:pt>
                <c:pt idx="7">
                  <c:v>0.1608</c:v>
                </c:pt>
                <c:pt idx="8">
                  <c:v>0.1665</c:v>
                </c:pt>
                <c:pt idx="9">
                  <c:v>0.1826</c:v>
                </c:pt>
              </c:numCache>
            </c:numRef>
          </c:val>
        </c:ser>
        <c:ser>
          <c:idx val="1"/>
          <c:order val="1"/>
          <c:tx>
            <c:strRef>
              <c:f>PART1!$A$28</c:f>
              <c:strCache>
                <c:ptCount val="1"/>
                <c:pt idx="0">
                  <c:v>Net Profit Margin</c:v>
                </c:pt>
              </c:strCache>
            </c:strRef>
          </c:tx>
          <c:spPr>
            <a:solidFill>
              <a:schemeClr val="accent5"/>
            </a:solidFill>
            <a:ln>
              <a:solidFill>
                <a:srgbClr val="44546A">
                  <a:lumMod val="60000"/>
                  <a:lumOff val="40000"/>
                </a:srgbClr>
              </a:solidFill>
            </a:ln>
            <a:effectLst/>
          </c:spPr>
          <c:invertIfNegative val="0"/>
          <c:dLbls>
            <c:delete val="1"/>
          </c:dLbls>
          <c:cat>
            <c:numRef>
              <c:f>PART1!$B$26:$K$26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PART1!$B$28:$K$28</c:f>
              <c:numCache>
                <c:formatCode>0.00%</c:formatCode>
                <c:ptCount val="10"/>
                <c:pt idx="0">
                  <c:v>0.0519</c:v>
                </c:pt>
                <c:pt idx="1">
                  <c:v>0.0698</c:v>
                </c:pt>
                <c:pt idx="2">
                  <c:v>0.0216</c:v>
                </c:pt>
                <c:pt idx="3">
                  <c:v>0.0875</c:v>
                </c:pt>
                <c:pt idx="4">
                  <c:v>0.0598</c:v>
                </c:pt>
                <c:pt idx="5">
                  <c:v>0.0265</c:v>
                </c:pt>
                <c:pt idx="6">
                  <c:v>0.0602</c:v>
                </c:pt>
                <c:pt idx="7">
                  <c:v>0.0669</c:v>
                </c:pt>
                <c:pt idx="8">
                  <c:v>0.0673</c:v>
                </c:pt>
                <c:pt idx="9">
                  <c:v>0.0601</c:v>
                </c:pt>
              </c:numCache>
            </c:numRef>
          </c:val>
        </c:ser>
        <c:ser>
          <c:idx val="2"/>
          <c:order val="2"/>
          <c:tx>
            <c:strRef>
              <c:f>PART1!$A$29</c:f>
              <c:strCache>
                <c:ptCount val="1"/>
                <c:pt idx="0">
                  <c:v>SG&amp;A Expense Ratio</c:v>
                </c:pt>
              </c:strCache>
            </c:strRef>
          </c:tx>
          <c:spPr>
            <a:solidFill>
              <a:schemeClr val="accent5">
                <a:tint val="65000"/>
              </a:schemeClr>
            </a:solidFill>
            <a:ln>
              <a:noFill/>
            </a:ln>
            <a:effectLst/>
          </c:spPr>
          <c:invertIfNegative val="0"/>
          <c:dLbls>
            <c:delete val="1"/>
          </c:dLbls>
          <c:cat>
            <c:numRef>
              <c:f>PART1!$B$26:$K$26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PART1!$B$29:$K$29</c:f>
              <c:numCache>
                <c:formatCode>0.00%</c:formatCode>
                <c:ptCount val="10"/>
                <c:pt idx="0">
                  <c:v>0.097146688519705</c:v>
                </c:pt>
                <c:pt idx="1">
                  <c:v>0.0945749927473165</c:v>
                </c:pt>
                <c:pt idx="2">
                  <c:v>0.0941681927031976</c:v>
                </c:pt>
                <c:pt idx="3">
                  <c:v>0.0912539364443172</c:v>
                </c:pt>
                <c:pt idx="4">
                  <c:v>0.0845194424064563</c:v>
                </c:pt>
                <c:pt idx="5">
                  <c:v>0.0896918719423225</c:v>
                </c:pt>
                <c:pt idx="6">
                  <c:v>0.0986108867711194</c:v>
                </c:pt>
                <c:pt idx="7">
                  <c:v>0.0921594529489471</c:v>
                </c:pt>
                <c:pt idx="8">
                  <c:v>0.0895271504786962</c:v>
                </c:pt>
                <c:pt idx="9">
                  <c:v>0.0843672456575682</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楷体" panose="02010609060101010101" pitchFamily="3"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楷体" panose="02010609060101010101" pitchFamily="3"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楷体" panose="02010609060101010101" pitchFamily="3" charset="-122"/>
              <a:cs typeface="Times New Roman" panose="02020603050405020304" charset="0"/>
            </a:defRPr>
          </a:pPr>
        </a:p>
      </c:txPr>
    </c:legend>
    <c:plotVisOnly val="1"/>
    <c:dispBlanksAs val="gap"/>
    <c:showDLblsOverMax val="0"/>
    <c:extLst>
      <c:ext uri="{0b15fc19-7d7d-44ad-8c2d-2c3a37ce22c3}">
        <chartProps xmlns="https://web.wps.cn/et/2018/main" chartId="{b5f0c978-3b05-4938-9d2c-b19b919f3aa4}"/>
      </c:ext>
    </c:extLst>
  </c:chart>
  <c:spPr>
    <a:solidFill>
      <a:srgbClr val="FFFFFF"/>
    </a:solidFill>
    <a:ln w="9525" cap="flat" cmpd="sng" algn="ctr">
      <a:noFill/>
      <a:prstDash val="solid"/>
      <a:round/>
    </a:ln>
    <a:effectLst/>
  </c:spPr>
  <c:txPr>
    <a:bodyPr/>
    <a:lstStyle/>
    <a:p>
      <a:pPr>
        <a:defRPr lang="zh-CN" sz="900" b="0" i="0" u="none" strike="noStrike" baseline="0">
          <a:solidFill>
            <a:srgbClr val="000000"/>
          </a:solidFill>
          <a:latin typeface="Calibri" panose="020F0502020204030204" pitchFamily="2" charset="0"/>
          <a:ea typeface="楷体" panose="02010609060101010101" pitchFamily="3" charset="-122"/>
          <a:cs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净利润同比增速!$D$12</c:f>
              <c:strCache>
                <c:ptCount val="1"/>
                <c:pt idx="0">
                  <c:v>Net income</c:v>
                </c:pt>
              </c:strCache>
            </c:strRef>
          </c:tx>
          <c:spPr>
            <a:solidFill>
              <a:srgbClr val="002060"/>
            </a:solidFill>
            <a:ln>
              <a:noFill/>
            </a:ln>
            <a:effectLst/>
          </c:spPr>
          <c:invertIfNegative val="0"/>
          <c:dLbls>
            <c:delete val="1"/>
          </c:dLbls>
          <c:cat>
            <c:numRef>
              <c:f>净利润同比增速!$E$11:$O$11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净利润同比增速!$E$12:$O$12</c:f>
              <c:numCache>
                <c:formatCode>General</c:formatCode>
                <c:ptCount val="11"/>
                <c:pt idx="0">
                  <c:v>697</c:v>
                </c:pt>
                <c:pt idx="1">
                  <c:v>962</c:v>
                </c:pt>
                <c:pt idx="2">
                  <c:v>307</c:v>
                </c:pt>
                <c:pt idx="3">
                  <c:v>1222.4</c:v>
                </c:pt>
                <c:pt idx="4">
                  <c:v>815</c:v>
                </c:pt>
                <c:pt idx="5">
                  <c:v>309</c:v>
                </c:pt>
                <c:pt idx="6">
                  <c:v>746</c:v>
                </c:pt>
                <c:pt idx="7">
                  <c:v>861</c:v>
                </c:pt>
                <c:pt idx="8">
                  <c:v>921</c:v>
                </c:pt>
                <c:pt idx="9">
                  <c:v>824</c:v>
                </c:pt>
                <c:pt idx="10">
                  <c:v>921</c:v>
                </c:pt>
              </c:numCache>
            </c:numRef>
          </c:val>
        </c:ser>
        <c:dLbls>
          <c:showLegendKey val="0"/>
          <c:showVal val="0"/>
          <c:showCatName val="0"/>
          <c:showSerName val="0"/>
          <c:showPercent val="0"/>
          <c:showBubbleSize val="0"/>
        </c:dLbls>
        <c:gapWidth val="219"/>
        <c:overlap val="-27"/>
        <c:axId val="277386799"/>
        <c:axId val="277388719"/>
      </c:barChart>
      <c:lineChart>
        <c:grouping val="standard"/>
        <c:varyColors val="0"/>
        <c:ser>
          <c:idx val="1"/>
          <c:order val="1"/>
          <c:tx>
            <c:strRef>
              <c:f>净利润同比增速!$D$13</c:f>
              <c:strCache>
                <c:ptCount val="1"/>
                <c:pt idx="0">
                  <c:v>YoY</c:v>
                </c:pt>
              </c:strCache>
            </c:strRef>
          </c:tx>
          <c:spPr>
            <a:ln w="28575" cap="rnd">
              <a:solidFill>
                <a:schemeClr val="bg1">
                  <a:lumMod val="85000"/>
                </a:schemeClr>
              </a:solidFill>
              <a:round/>
            </a:ln>
            <a:effectLst/>
          </c:spPr>
          <c:marker>
            <c:symbol val="none"/>
          </c:marker>
          <c:dLbls>
            <c:delete val="1"/>
          </c:dLbls>
          <c:cat>
            <c:numRef>
              <c:f>净利润同比增速!$E$11:$O$11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净利润同比增速!$E$13:$O$13</c:f>
              <c:numCache>
                <c:formatCode>0%</c:formatCode>
                <c:ptCount val="11"/>
                <c:pt idx="0">
                  <c:v>0.161666666666667</c:v>
                </c:pt>
                <c:pt idx="1">
                  <c:v>0.380200860832138</c:v>
                </c:pt>
                <c:pt idx="2">
                  <c:v>-0.680873180873181</c:v>
                </c:pt>
                <c:pt idx="3">
                  <c:v>2.98175895765472</c:v>
                </c:pt>
                <c:pt idx="4">
                  <c:v>-0.333278795811518</c:v>
                </c:pt>
                <c:pt idx="5">
                  <c:v>-0.620858895705521</c:v>
                </c:pt>
                <c:pt idx="6">
                  <c:v>1.41423948220065</c:v>
                </c:pt>
                <c:pt idx="7">
                  <c:v>0.154155495978552</c:v>
                </c:pt>
                <c:pt idx="8">
                  <c:v>0.0696864111498258</c:v>
                </c:pt>
                <c:pt idx="9">
                  <c:v>-0.105320304017372</c:v>
                </c:pt>
                <c:pt idx="10">
                  <c:v>0.117718446601942</c:v>
                </c:pt>
              </c:numCache>
            </c:numRef>
          </c:val>
          <c:smooth val="0"/>
        </c:ser>
        <c:dLbls>
          <c:showLegendKey val="0"/>
          <c:showVal val="0"/>
          <c:showCatName val="0"/>
          <c:showSerName val="0"/>
          <c:showPercent val="0"/>
          <c:showBubbleSize val="0"/>
        </c:dLbls>
        <c:marker val="0"/>
        <c:smooth val="0"/>
        <c:axId val="2035990575"/>
        <c:axId val="2035993935"/>
      </c:lineChart>
      <c:catAx>
        <c:axId val="277386799"/>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277388719"/>
        <c:crosses val="autoZero"/>
        <c:auto val="1"/>
        <c:lblAlgn val="ctr"/>
        <c:lblOffset val="100"/>
        <c:noMultiLvlLbl val="0"/>
      </c:catAx>
      <c:valAx>
        <c:axId val="277388719"/>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277386799"/>
        <c:crosses val="autoZero"/>
        <c:crossBetween val="between"/>
      </c:valAx>
      <c:catAx>
        <c:axId val="2035990575"/>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2035993935"/>
        <c:crosses val="autoZero"/>
        <c:auto val="1"/>
        <c:lblAlgn val="ctr"/>
        <c:lblOffset val="100"/>
        <c:noMultiLvlLbl val="0"/>
      </c:catAx>
      <c:valAx>
        <c:axId val="2035993935"/>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crossAx val="2035990575"/>
        <c:crosses val="max"/>
        <c:crossBetween val="between"/>
        <c:majorUnit val="1"/>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3" charset="-122"/>
              <a:cs typeface="+mn-cs"/>
            </a:defRPr>
          </a:pPr>
        </a:p>
      </c:txPr>
    </c:legend>
    <c:plotVisOnly val="1"/>
    <c:dispBlanksAs val="gap"/>
    <c:showDLblsOverMax val="0"/>
    <c:extLst>
      <c:ext uri="{0b15fc19-7d7d-44ad-8c2d-2c3a37ce22c3}">
        <chartProps xmlns="https://web.wps.cn/et/2018/main" chartId="{25fdcdf4-d252-40d2-8b3f-e35807eaa74f}"/>
      </c:ext>
    </c:extLst>
  </c:chart>
  <c:spPr>
    <a:solidFill>
      <a:schemeClr val="bg1"/>
    </a:solidFill>
    <a:ln w="9525" cap="flat" cmpd="sng" algn="ctr">
      <a:noFill/>
      <a:round/>
    </a:ln>
    <a:effectLst/>
  </c:spPr>
  <c:txPr>
    <a:bodyPr/>
    <a:lstStyle/>
    <a:p>
      <a:pPr>
        <a:defRPr lang="zh-CN" sz="900" baseline="0">
          <a:solidFill>
            <a:schemeClr val="tx1"/>
          </a:solidFill>
          <a:latin typeface="Calibri" panose="020F0502020204030204" pitchFamily="2" charset="0"/>
          <a:ea typeface="楷体" panose="02010609060101010101" pitchFamily="3"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PART1!$A$45</c:f>
              <c:strCache>
                <c:ptCount val="1"/>
                <c:pt idx="0">
                  <c:v>Textron Aviation</c:v>
                </c:pt>
              </c:strCache>
            </c:strRef>
          </c:tx>
          <c:spPr>
            <a:solidFill>
              <a:srgbClr val="44546A">
                <a:lumMod val="60000"/>
                <a:lumOff val="40000"/>
              </a:srgbClr>
            </a:solidFill>
            <a:ln>
              <a:noFill/>
            </a:ln>
            <a:effectLst/>
          </c:spPr>
          <c:invertIfNegative val="0"/>
          <c:dLbls>
            <c:delete val="1"/>
          </c:dLbls>
          <c:cat>
            <c:numRef>
              <c:f>PART1!$B$44:$L$44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PART1!$B$45:$L$45</c:f>
              <c:numCache>
                <c:formatCode>0.00%</c:formatCode>
                <c:ptCount val="11"/>
                <c:pt idx="0">
                  <c:v>0.083</c:v>
                </c:pt>
                <c:pt idx="1">
                  <c:v>0.079</c:v>
                </c:pt>
                <c:pt idx="2">
                  <c:v>0.065</c:v>
                </c:pt>
                <c:pt idx="3">
                  <c:v>0.09</c:v>
                </c:pt>
                <c:pt idx="4">
                  <c:v>0.087</c:v>
                </c:pt>
                <c:pt idx="5">
                  <c:v>0.004</c:v>
                </c:pt>
                <c:pt idx="6">
                  <c:v>0.083</c:v>
                </c:pt>
                <c:pt idx="7">
                  <c:v>0.11</c:v>
                </c:pt>
                <c:pt idx="8">
                  <c:v>0.121</c:v>
                </c:pt>
                <c:pt idx="9">
                  <c:v>0.107</c:v>
                </c:pt>
                <c:pt idx="10" c:formatCode="0.0%">
                  <c:v>0.116540722082284</c:v>
                </c:pt>
              </c:numCache>
            </c:numRef>
          </c:val>
        </c:ser>
        <c:ser>
          <c:idx val="1"/>
          <c:order val="1"/>
          <c:tx>
            <c:strRef>
              <c:f>PART1!$A$46</c:f>
              <c:strCache>
                <c:ptCount val="1"/>
                <c:pt idx="0">
                  <c:v>Bell</c:v>
                </c:pt>
              </c:strCache>
            </c:strRef>
          </c:tx>
          <c:spPr>
            <a:solidFill>
              <a:schemeClr val="accent5">
                <a:shade val="86000"/>
              </a:schemeClr>
            </a:solidFill>
            <a:ln>
              <a:noFill/>
            </a:ln>
            <a:effectLst/>
          </c:spPr>
          <c:invertIfNegative val="0"/>
          <c:dLbls>
            <c:delete val="1"/>
          </c:dLbls>
          <c:cat>
            <c:numRef>
              <c:f>PART1!$B$44:$L$44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PART1!$B$46:$L$46</c:f>
              <c:numCache>
                <c:formatCode>0.00%</c:formatCode>
                <c:ptCount val="11"/>
                <c:pt idx="0">
                  <c:v>0.116</c:v>
                </c:pt>
                <c:pt idx="1">
                  <c:v>0.119</c:v>
                </c:pt>
                <c:pt idx="2">
                  <c:v>0.125</c:v>
                </c:pt>
                <c:pt idx="3">
                  <c:v>0.134</c:v>
                </c:pt>
                <c:pt idx="4">
                  <c:v>0.134</c:v>
                </c:pt>
                <c:pt idx="5">
                  <c:v>0.14</c:v>
                </c:pt>
                <c:pt idx="6">
                  <c:v>0.121</c:v>
                </c:pt>
                <c:pt idx="7">
                  <c:v>0.091</c:v>
                </c:pt>
                <c:pt idx="8">
                  <c:v>0.102</c:v>
                </c:pt>
                <c:pt idx="9">
                  <c:v>0.103</c:v>
                </c:pt>
                <c:pt idx="10" c:formatCode="0.0%">
                  <c:v>0.0847734703409622</c:v>
                </c:pt>
              </c:numCache>
            </c:numRef>
          </c:val>
        </c:ser>
        <c:ser>
          <c:idx val="2"/>
          <c:order val="2"/>
          <c:tx>
            <c:strRef>
              <c:f>PART1!$A$47</c:f>
              <c:strCache>
                <c:ptCount val="1"/>
                <c:pt idx="0">
                  <c:v>Textron Systems</c:v>
                </c:pt>
              </c:strCache>
            </c:strRef>
          </c:tx>
          <c:spPr>
            <a:solidFill>
              <a:schemeClr val="accent5">
                <a:tint val="86000"/>
              </a:schemeClr>
            </a:solidFill>
            <a:ln>
              <a:noFill/>
            </a:ln>
            <a:effectLst/>
          </c:spPr>
          <c:invertIfNegative val="0"/>
          <c:dLbls>
            <c:delete val="1"/>
          </c:dLbls>
          <c:cat>
            <c:numRef>
              <c:f>PART1!$B$44:$L$44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PART1!$B$47:$L$47</c:f>
              <c:numCache>
                <c:formatCode>0.00%</c:formatCode>
                <c:ptCount val="11"/>
                <c:pt idx="0">
                  <c:v>0.085</c:v>
                </c:pt>
                <c:pt idx="1">
                  <c:v>0.106</c:v>
                </c:pt>
                <c:pt idx="2">
                  <c:v>0.076</c:v>
                </c:pt>
                <c:pt idx="3">
                  <c:v>0.107</c:v>
                </c:pt>
                <c:pt idx="4">
                  <c:v>0.106</c:v>
                </c:pt>
                <c:pt idx="5">
                  <c:v>0.116</c:v>
                </c:pt>
                <c:pt idx="6">
                  <c:v>0.148</c:v>
                </c:pt>
                <c:pt idx="7">
                  <c:v>0.113</c:v>
                </c:pt>
                <c:pt idx="8">
                  <c:v>0.119</c:v>
                </c:pt>
                <c:pt idx="9">
                  <c:v>0.124</c:v>
                </c:pt>
                <c:pt idx="10" c:formatCode="0.0%">
                  <c:v>0.140336808340016</c:v>
                </c:pt>
              </c:numCache>
            </c:numRef>
          </c:val>
        </c:ser>
        <c:ser>
          <c:idx val="3"/>
          <c:order val="3"/>
          <c:tx>
            <c:strRef>
              <c:f>PART1!$A$48</c:f>
              <c:strCache>
                <c:ptCount val="1"/>
                <c:pt idx="0">
                  <c:v>Industrial</c:v>
                </c:pt>
              </c:strCache>
            </c:strRef>
          </c:tx>
          <c:spPr>
            <a:solidFill>
              <a:schemeClr val="accent5">
                <a:tint val="58000"/>
              </a:schemeClr>
            </a:solidFill>
            <a:ln>
              <a:noFill/>
            </a:ln>
            <a:effectLst/>
          </c:spPr>
          <c:invertIfNegative val="0"/>
          <c:dLbls>
            <c:delete val="1"/>
          </c:dLbls>
          <c:cat>
            <c:numRef>
              <c:f>PART1!$B$44:$L$44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PART1!$B$48:$L$48</c:f>
              <c:numCache>
                <c:formatCode>0.00%</c:formatCode>
                <c:ptCount val="11"/>
                <c:pt idx="0">
                  <c:v>0.085</c:v>
                </c:pt>
                <c:pt idx="1">
                  <c:v>0.087</c:v>
                </c:pt>
                <c:pt idx="2">
                  <c:v>0.068</c:v>
                </c:pt>
                <c:pt idx="3">
                  <c:v>0.051</c:v>
                </c:pt>
                <c:pt idx="4">
                  <c:v>0.057</c:v>
                </c:pt>
                <c:pt idx="5">
                  <c:v>0.037</c:v>
                </c:pt>
                <c:pt idx="6">
                  <c:v>0.045</c:v>
                </c:pt>
                <c:pt idx="7">
                  <c:v>0.045</c:v>
                </c:pt>
                <c:pt idx="8">
                  <c:v>0.059</c:v>
                </c:pt>
                <c:pt idx="9">
                  <c:v>0.043</c:v>
                </c:pt>
                <c:pt idx="10" c:formatCode="0.0%">
                  <c:v>0.0451291627762216</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2ff8d7e3-fe3e-4381-8e06-d5b4cd9d35cb}"/>
      </c:ext>
    </c:extLst>
  </c:chart>
  <c:spPr>
    <a:solidFill>
      <a:srgbClr val="FFFFFF"/>
    </a:solidFill>
    <a:ln w="9525" cap="flat" cmpd="sng" algn="ctr">
      <a:noFill/>
      <a:prstDash val="solid"/>
      <a:round/>
    </a:ln>
    <a:effectLst/>
  </c:spPr>
  <c:txPr>
    <a:bodyPr/>
    <a:lstStyle/>
    <a:p>
      <a:pPr>
        <a:defRPr lang="zh-CN" sz="9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stacked"/>
        <c:varyColors val="0"/>
        <c:ser>
          <c:idx val="0"/>
          <c:order val="0"/>
          <c:tx>
            <c:strRef>
              <c:f>PART2!$A$2</c:f>
              <c:strCache>
                <c:ptCount val="1"/>
                <c:pt idx="0">
                  <c:v>Cessna</c:v>
                </c:pt>
              </c:strCache>
            </c:strRef>
          </c:tx>
          <c:spPr>
            <a:solidFill>
              <a:srgbClr val="4472C4">
                <a:lumMod val="75000"/>
              </a:srgbClr>
            </a:solidFill>
            <a:ln>
              <a:noFill/>
            </a:ln>
            <a:effectLst/>
          </c:spPr>
          <c:invertIfNegative val="0"/>
          <c:dLbls>
            <c:delete val="1"/>
          </c:dLbls>
          <c:cat>
            <c:numRef>
              <c:f>PART2!$C$1:$L$1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PART2!$C$2:$L$2</c:f>
              <c:numCache>
                <c:formatCode>"$"#,##0</c:formatCode>
                <c:ptCount val="10"/>
                <c:pt idx="0">
                  <c:v>3034.12720651175</c:v>
                </c:pt>
                <c:pt idx="1">
                  <c:v>3203.07176402282</c:v>
                </c:pt>
                <c:pt idx="2">
                  <c:v>3300.82416465931</c:v>
                </c:pt>
                <c:pt idx="3">
                  <c:v>3456.61504950457</c:v>
                </c:pt>
                <c:pt idx="4">
                  <c:v>3839.90035138991</c:v>
                </c:pt>
                <c:pt idx="5">
                  <c:v>2764.87930707624</c:v>
                </c:pt>
                <c:pt idx="6">
                  <c:v>3357.19390236495</c:v>
                </c:pt>
                <c:pt idx="7">
                  <c:v>3881.02725470779</c:v>
                </c:pt>
                <c:pt idx="8">
                  <c:v>4019.88683549609</c:v>
                </c:pt>
                <c:pt idx="9">
                  <c:v>3992.08777904077</c:v>
                </c:pt>
              </c:numCache>
            </c:numRef>
          </c:val>
        </c:ser>
        <c:ser>
          <c:idx val="2"/>
          <c:order val="2"/>
          <c:tx>
            <c:strRef>
              <c:f>PART2!$A$4</c:f>
              <c:strCache>
                <c:ptCount val="1"/>
                <c:pt idx="0">
                  <c:v>Beechcraft</c:v>
                </c:pt>
              </c:strCache>
            </c:strRef>
          </c:tx>
          <c:spPr>
            <a:solidFill>
              <a:srgbClr val="4472C4">
                <a:lumMod val="40000"/>
                <a:lumOff val="60000"/>
              </a:srgbClr>
            </a:solidFill>
            <a:ln>
              <a:noFill/>
            </a:ln>
            <a:effectLst/>
          </c:spPr>
          <c:invertIfNegative val="0"/>
          <c:dLbls>
            <c:delete val="1"/>
          </c:dLbls>
          <c:cat>
            <c:numRef>
              <c:f>PART2!$C$1:$L$1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PART2!$C$4:$L$4</c:f>
              <c:numCache>
                <c:formatCode>"$"#,##0</c:formatCode>
                <c:ptCount val="10"/>
                <c:pt idx="0">
                  <c:v>1787.522472</c:v>
                </c:pt>
                <c:pt idx="1">
                  <c:v>1717.7993044</c:v>
                </c:pt>
                <c:pt idx="2">
                  <c:v>1385.10408574</c:v>
                </c:pt>
                <c:pt idx="3">
                  <c:v>1514.7090954028</c:v>
                </c:pt>
                <c:pt idx="4">
                  <c:v>1347.07230619812</c:v>
                </c:pt>
                <c:pt idx="5">
                  <c:v>1208.75226171311</c:v>
                </c:pt>
                <c:pt idx="6">
                  <c:v>1209.36942035983</c:v>
                </c:pt>
                <c:pt idx="7">
                  <c:v>1192.63035275738</c:v>
                </c:pt>
                <c:pt idx="8">
                  <c:v>1338.44847369183</c:v>
                </c:pt>
                <c:pt idx="9">
                  <c:v>1291.67195214808</c:v>
                </c:pt>
              </c:numCache>
            </c:numRef>
          </c:val>
        </c:ser>
        <c:dLbls>
          <c:showLegendKey val="0"/>
          <c:showVal val="0"/>
          <c:showCatName val="0"/>
          <c:showSerName val="0"/>
          <c:showPercent val="0"/>
          <c:showBubbleSize val="0"/>
        </c:dLbls>
        <c:gapWidth val="150"/>
        <c:overlap val="100"/>
        <c:axId val="1021593488"/>
        <c:axId val="1"/>
        <c:extLst>
          <c:ext xmlns:c15="http://schemas.microsoft.com/office/drawing/2012/chart" uri="{02D57815-91ED-43cb-92C2-25804820EDAC}">
            <c15:filteredBarSeries>
              <c15:ser>
                <c:idx val="4"/>
                <c:order val="4"/>
                <c:tx>
                  <c:strRef>
                    <c:extLst>
                      <c:ext uri="{02D57815-91ED-43cb-92C2-25804820EDAC}">
                        <c15:formulaRef>
                          <c15:sqref>PART2!$A$6</c15:sqref>
                        </c15:formulaRef>
                      </c:ext>
                    </c:extLst>
                    <c:strCache>
                      <c:ptCount val="1"/>
                      <c:pt idx="0">
                        <c:v>Total aviation revenue</c:v>
                      </c:pt>
                    </c:strCache>
                  </c:strRef>
                </c:tx>
                <c:spPr>
                  <a:solidFill>
                    <a:schemeClr val="accent5">
                      <a:tint val="70000"/>
                    </a:schemeClr>
                  </a:solidFill>
                  <a:ln>
                    <a:noFill/>
                  </a:ln>
                  <a:effectLst/>
                </c:spPr>
                <c:invertIfNegative val="0"/>
                <c:dLbls>
                  <c:delete val="1"/>
                </c:dLbls>
                <c:cat>
                  <c:numRef>
                    <c:extLst>
                      <c:ext uri="{02D57815-91ED-43cb-92C2-25804820EDAC}">
                        <c15:fullRef>
                          <c15:sqref/>
                        </c15:fullRef>
                        <c15:formulaRef>
                          <c15:sqref>PART2!$C$1:$L$1</c15:sqref>
                        </c15:formulaRef>
                      </c:ext>
                    </c:extLst>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extLst>
                      <c:ext uri="{02D57815-91ED-43cb-92C2-25804820EDAC}">
                        <c15:formulaRef>
                          <c15:sqref>PART2!$C$6:$L$6</c15:sqref>
                        </c15:formulaRef>
                      </c:ext>
                    </c:extLst>
                    <c:numCache>
                      <c:formatCode>"$"#,##0</c:formatCode>
                      <c:ptCount val="10"/>
                      <c:pt idx="0">
                        <c:v>4821.64967851175</c:v>
                      </c:pt>
                      <c:pt idx="1">
                        <c:v>4920.87106842283</c:v>
                      </c:pt>
                      <c:pt idx="2">
                        <c:v>4685.92825039931</c:v>
                      </c:pt>
                      <c:pt idx="3">
                        <c:v>4971.32414490737</c:v>
                      </c:pt>
                      <c:pt idx="4">
                        <c:v>5186.97265758803</c:v>
                      </c:pt>
                      <c:pt idx="5">
                        <c:v>3973.63156878935</c:v>
                      </c:pt>
                      <c:pt idx="6">
                        <c:v>4566.56332272478</c:v>
                      </c:pt>
                      <c:pt idx="7">
                        <c:v>5073.65760746517</c:v>
                      </c:pt>
                      <c:pt idx="8">
                        <c:v>5358.33530918793</c:v>
                      </c:pt>
                      <c:pt idx="9">
                        <c:v>5283.75973118884</c:v>
                      </c:pt>
                    </c:numCache>
                  </c:numRef>
                </c:val>
              </c15:ser>
            </c15:filteredBarSeries>
          </c:ext>
        </c:extLst>
      </c:barChart>
      <c:lineChart>
        <c:grouping val="standard"/>
        <c:varyColors val="0"/>
        <c:ser>
          <c:idx val="1"/>
          <c:order val="1"/>
          <c:tx>
            <c:strRef>
              <c:f>PART2!$A$3</c:f>
              <c:strCache>
                <c:ptCount val="1"/>
                <c:pt idx="0">
                  <c:v>Cessna YoY</c:v>
                </c:pt>
              </c:strCache>
            </c:strRef>
          </c:tx>
          <c:spPr>
            <a:ln w="19050" cap="rnd" cmpd="sng" algn="ctr">
              <a:solidFill>
                <a:srgbClr val="4472C4">
                  <a:lumMod val="50000"/>
                </a:srgbClr>
              </a:solidFill>
              <a:prstDash val="solid"/>
              <a:round/>
            </a:ln>
            <a:effectLst/>
          </c:spPr>
          <c:marker>
            <c:symbol val="none"/>
          </c:marker>
          <c:dLbls>
            <c:delete val="1"/>
          </c:dLbls>
          <c:cat>
            <c:numRef>
              <c:f>PART2!$C$1:$L$1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PART2!$C$3:$L$3</c:f>
              <c:numCache>
                <c:formatCode>0.00%</c:formatCode>
                <c:ptCount val="10"/>
                <c:pt idx="0">
                  <c:v>0.0119420841327784</c:v>
                </c:pt>
                <c:pt idx="1">
                  <c:v>0.0556814352241031</c:v>
                </c:pt>
                <c:pt idx="2">
                  <c:v>0.0305183298527512</c:v>
                </c:pt>
                <c:pt idx="3">
                  <c:v>0.0471975715984074</c:v>
                </c:pt>
                <c:pt idx="4">
                  <c:v>0.110884578235081</c:v>
                </c:pt>
                <c:pt idx="5">
                  <c:v>-0.279960661980344</c:v>
                </c:pt>
                <c:pt idx="6">
                  <c:v>0.214228011245476</c:v>
                </c:pt>
                <c:pt idx="7">
                  <c:v>0.156033094178396</c:v>
                </c:pt>
                <c:pt idx="8">
                  <c:v>0.0357790790105523</c:v>
                </c:pt>
                <c:pt idx="9">
                  <c:v>-0.00691538284358051</c:v>
                </c:pt>
              </c:numCache>
            </c:numRef>
          </c:val>
          <c:smooth val="0"/>
        </c:ser>
        <c:ser>
          <c:idx val="3"/>
          <c:order val="3"/>
          <c:tx>
            <c:strRef>
              <c:f>PART2!$A$5</c:f>
              <c:strCache>
                <c:ptCount val="1"/>
                <c:pt idx="0">
                  <c:v>Beechcraft YoY</c:v>
                </c:pt>
              </c:strCache>
            </c:strRef>
          </c:tx>
          <c:spPr>
            <a:ln w="19050" cap="rnd" cmpd="sng" algn="ctr">
              <a:solidFill>
                <a:srgbClr val="4472C4">
                  <a:lumMod val="40000"/>
                  <a:lumOff val="60000"/>
                </a:srgbClr>
              </a:solidFill>
              <a:prstDash val="solid"/>
              <a:round/>
            </a:ln>
            <a:effectLst/>
          </c:spPr>
          <c:marker>
            <c:symbol val="none"/>
          </c:marker>
          <c:dLbls>
            <c:delete val="1"/>
          </c:dLbls>
          <c:cat>
            <c:numRef>
              <c:f>PART2!$C$1:$L$1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PART2!$C$5:$L$5</c:f>
              <c:numCache>
                <c:formatCode>0.00%</c:formatCode>
                <c:ptCount val="10"/>
                <c:pt idx="0">
                  <c:v>0.138878096530795</c:v>
                </c:pt>
                <c:pt idx="1">
                  <c:v>-0.0390054775210679</c:v>
                </c:pt>
                <c:pt idx="2">
                  <c:v>-0.193675255198805</c:v>
                </c:pt>
                <c:pt idx="3">
                  <c:v>0.0935705922732573</c:v>
                </c:pt>
                <c:pt idx="4">
                  <c:v>-0.110672596945161</c:v>
                </c:pt>
                <c:pt idx="5">
                  <c:v>-0.102681974715516</c:v>
                </c:pt>
                <c:pt idx="6">
                  <c:v>0.00051057496748852</c:v>
                </c:pt>
                <c:pt idx="7">
                  <c:v>-0.0138411533487249</c:v>
                </c:pt>
                <c:pt idx="8">
                  <c:v>0.122265981741387</c:v>
                </c:pt>
                <c:pt idx="9">
                  <c:v>-0.0349483169977645</c:v>
                </c:pt>
              </c:numCache>
            </c:numRef>
          </c:val>
          <c:smooth val="0"/>
        </c:ser>
        <c:ser>
          <c:idx val="5"/>
          <c:order val="5"/>
          <c:tx>
            <c:strRef>
              <c:f>PART2!$A$7</c:f>
              <c:strCache>
                <c:ptCount val="1"/>
                <c:pt idx="0">
                  <c:v>YoY growth of aviation revenue</c:v>
                </c:pt>
              </c:strCache>
            </c:strRef>
          </c:tx>
          <c:spPr>
            <a:ln w="19050" cap="rnd" cmpd="sng" algn="ctr">
              <a:solidFill>
                <a:srgbClr val="C00000"/>
              </a:solidFill>
              <a:prstDash val="solid"/>
              <a:round/>
            </a:ln>
            <a:effectLst/>
          </c:spPr>
          <c:marker>
            <c:spPr>
              <a:solidFill>
                <a:srgbClr val="C00000"/>
              </a:solidFill>
              <a:ln w="6350" cap="flat" cmpd="sng" algn="ctr">
                <a:solidFill>
                  <a:srgbClr val="C00000"/>
                </a:solidFill>
                <a:prstDash val="solid"/>
                <a:round/>
              </a:ln>
              <a:effectLst/>
            </c:spPr>
          </c:marker>
          <c:dLbls>
            <c:delete val="1"/>
          </c:dLbls>
          <c:cat>
            <c:numRef>
              <c:f>PART2!$C$1:$L$1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PART2!$C$7:$L$7</c:f>
              <c:numCache>
                <c:formatCode>0.00%</c:formatCode>
                <c:ptCount val="10"/>
                <c:pt idx="0">
                  <c:v>0.0555580600272751</c:v>
                </c:pt>
                <c:pt idx="1">
                  <c:v>0.0205783075351296</c:v>
                </c:pt>
                <c:pt idx="2">
                  <c:v>-0.0477441523577287</c:v>
                </c:pt>
                <c:pt idx="3">
                  <c:v>0.0609048793019271</c:v>
                </c:pt>
                <c:pt idx="4">
                  <c:v>0.0433784855693977</c:v>
                </c:pt>
                <c:pt idx="5">
                  <c:v>-0.233920856903628</c:v>
                </c:pt>
                <c:pt idx="6">
                  <c:v>0.149216590333282</c:v>
                </c:pt>
                <c:pt idx="7">
                  <c:v>0.111045057060068</c:v>
                </c:pt>
                <c:pt idx="8">
                  <c:v>0.0561089698492645</c:v>
                </c:pt>
                <c:pt idx="9">
                  <c:v>-0.0139176766096003</c:v>
                </c:pt>
              </c:numCache>
            </c:numRef>
          </c:val>
          <c:smooth val="0"/>
        </c:ser>
        <c:dLbls>
          <c:showLegendKey val="0"/>
          <c:showVal val="0"/>
          <c:showCatName val="0"/>
          <c:showSerName val="0"/>
          <c:showPercent val="0"/>
          <c:showBubbleSize val="0"/>
        </c:dLbls>
        <c:marker val="1"/>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noFill/>
        <a:ln w="25400">
          <a:noFill/>
        </a:ln>
        <a:effectLst>
          <a:outerShdw blurRad="50800" dist="50800" dir="5400000" sx="1000" sy="1000" algn="ctr" rotWithShape="0">
            <a:srgbClr val="000000">
              <a:alpha val="43137"/>
            </a:srgbClr>
          </a:outerShdw>
        </a:effectLst>
      </c:spPr>
      <c:txPr>
        <a:bodyPr rot="0" spcFirstLastPara="1" vertOverflow="ellipsis" vert="horz" wrap="square" anchor="t" anchorCtr="0"/>
        <a:lstStyle/>
        <a:p>
          <a:pPr>
            <a:defRPr lang="zh-CN" sz="500" b="0" i="0" u="none" strike="noStrike" kern="1200" baseline="0">
              <a:solidFill>
                <a:srgbClr val="000000"/>
              </a:solidFill>
              <a:effectLst>
                <a:outerShdw blurRad="50800" dist="50800" dir="5400000" sx="1000" sy="1000" algn="ctr" rotWithShape="0">
                  <a:srgbClr val="000000">
                    <a:alpha val="43137"/>
                  </a:srgbClr>
                </a:outerShdw>
              </a:effectLst>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0164e0b9-ab71-47a1-b145-9f83a5175708}"/>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94610673665792"/>
          <c:y val="0.144226086322543"/>
          <c:w val="0.866578083989501"/>
          <c:h val="0.681559857101196"/>
        </c:manualLayout>
      </c:layout>
      <c:barChart>
        <c:barDir val="col"/>
        <c:grouping val="clustered"/>
        <c:varyColors val="0"/>
        <c:ser>
          <c:idx val="0"/>
          <c:order val="0"/>
          <c:tx>
            <c:strRef>
              <c:f>PART2!$A$9</c:f>
              <c:strCache>
                <c:ptCount val="1"/>
                <c:pt idx="0">
                  <c:v>Cessna business jets</c:v>
                </c:pt>
              </c:strCache>
            </c:strRef>
          </c:tx>
          <c:spPr>
            <a:solidFill>
              <a:srgbClr val="4472C4">
                <a:lumMod val="75000"/>
              </a:srgbClr>
            </a:solidFill>
            <a:ln>
              <a:noFill/>
            </a:ln>
            <a:effectLst/>
          </c:spPr>
          <c:invertIfNegative val="0"/>
          <c:dLbls>
            <c:delete val="1"/>
          </c:dLbls>
          <c:cat>
            <c:numRef>
              <c:f>PART2!$C$8:$L$8</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PART2!$C$9:$L$9</c:f>
              <c:numCache>
                <c:formatCode>General</c:formatCode>
                <c:ptCount val="10"/>
                <c:pt idx="0">
                  <c:v>1684.39782003698</c:v>
                </c:pt>
                <c:pt idx="1" c:formatCode="#,##0_);\(#,##0\)">
                  <c:v>1864.72824214839</c:v>
                </c:pt>
                <c:pt idx="2" c:formatCode="#,##0_);\(#,##0\)">
                  <c:v>1931.83569337071</c:v>
                </c:pt>
                <c:pt idx="3" c:formatCode="#,##0_);\(#,##0\)">
                  <c:v>2077.05352491754</c:v>
                </c:pt>
                <c:pt idx="4" c:formatCode="#,##0_);\(#,##0\)">
                  <c:v>2448.7074938172</c:v>
                </c:pt>
                <c:pt idx="5" c:formatCode="#,##0_);\(#,##0\)">
                  <c:v>1668.91014491565</c:v>
                </c:pt>
                <c:pt idx="6" c:formatCode="#,##0_);\(#,##0\)">
                  <c:v>2068.75586722555</c:v>
                </c:pt>
                <c:pt idx="7" c:formatCode="#,##0_);\(#,##0\)">
                  <c:v>2319.17409876123</c:v>
                </c:pt>
                <c:pt idx="8" c:formatCode="#,##0_);\(#,##0\)">
                  <c:v>2258.2</c:v>
                </c:pt>
                <c:pt idx="9" c:formatCode="#,##0_);\(#,##0\)">
                  <c:v>2189.59623646812</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PART2!$A$10</c:f>
              <c:strCache>
                <c:ptCount val="1"/>
                <c:pt idx="0">
                  <c:v>Cessna business jets share</c:v>
                </c:pt>
              </c:strCache>
            </c:strRef>
          </c:tx>
          <c:spPr>
            <a:ln w="19050" cap="rnd" cmpd="sng" algn="ctr">
              <a:solidFill>
                <a:srgbClr val="4472C4">
                  <a:lumMod val="40000"/>
                  <a:lumOff val="60000"/>
                </a:srgbClr>
              </a:solidFill>
              <a:prstDash val="solid"/>
              <a:round/>
            </a:ln>
            <a:effectLst/>
          </c:spPr>
          <c:marker>
            <c:symbol val="none"/>
          </c:marker>
          <c:dLbls>
            <c:delete val="1"/>
          </c:dLbls>
          <c:cat>
            <c:numRef>
              <c:f>PART2!$C$8:$L$8</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PART2!$C$10:$L$10</c:f>
              <c:numCache>
                <c:formatCode>0.00%</c:formatCode>
                <c:ptCount val="10"/>
                <c:pt idx="0">
                  <c:v>0.349340564401369</c:v>
                </c:pt>
                <c:pt idx="1">
                  <c:v>0.378942714860856</c:v>
                </c:pt>
                <c:pt idx="2">
                  <c:v>0.412263182477473</c:v>
                </c:pt>
                <c:pt idx="3">
                  <c:v>0.417806899002004</c:v>
                </c:pt>
                <c:pt idx="4">
                  <c:v>0.4720879895588</c:v>
                </c:pt>
                <c:pt idx="5">
                  <c:v>0.419996196432504</c:v>
                </c:pt>
                <c:pt idx="6">
                  <c:v>0.453022485625178</c:v>
                </c:pt>
                <c:pt idx="7">
                  <c:v>0.457101026160869</c:v>
                </c:pt>
                <c:pt idx="8">
                  <c:v>0.421436858594472</c:v>
                </c:pt>
                <c:pt idx="9">
                  <c:v>0.414401174138071</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manualLayout>
          <c:xMode val="edge"/>
          <c:yMode val="edge"/>
          <c:x val="0.0593626164376512"/>
          <c:y val="0.035498757543486"/>
          <c:w val="0.877189478153466"/>
          <c:h val="0.0911658406916388"/>
        </c:manualLayou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b7b8a6c9-6af0-44b9-95d4-c25dc12a12e7}"/>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活塞式飞机市场份额图!$B$206</c:f>
              <c:strCache>
                <c:ptCount val="1"/>
                <c:pt idx="0">
                  <c:v>Textron Aviation (Cessna Aircraft)</c:v>
                </c:pt>
              </c:strCache>
            </c:strRef>
          </c:tx>
          <c:spPr>
            <a:solidFill>
              <a:srgbClr val="666666"/>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活塞式飞机市场份额图!$B$207</c:f>
              <c:strCache>
                <c:ptCount val="1"/>
                <c:pt idx="0">
                  <c:v>TECNAM Aircraft</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活塞式飞机市场份额图!$B$208</c:f>
              <c:strCache>
                <c:ptCount val="1"/>
                <c:pt idx="0">
                  <c:v>Pipistrel by Textron Aviation</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活塞式飞机市场份额图!$B$209</c:f>
              <c:strCache>
                <c:ptCount val="1"/>
                <c:pt idx="0">
                  <c:v>Piper Aircraft, Inc.</c:v>
                </c:pt>
              </c:strCache>
            </c:strRef>
          </c:tx>
          <c:spPr>
            <a:solidFill>
              <a:srgbClr val="996633"/>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活塞式飞机市场份额图!$B$210</c:f>
              <c:strCache>
                <c:ptCount val="1"/>
                <c:pt idx="0">
                  <c:v>Mooney International Corporation</c:v>
                </c:pt>
              </c:strCache>
            </c:strRef>
          </c:tx>
          <c:spPr>
            <a:solidFill>
              <a:srgbClr val="E7D6B5"/>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活塞式飞机市场份额图!$B$211</c:f>
              <c:strCache>
                <c:ptCount val="1"/>
                <c:pt idx="0">
                  <c:v>Diamond Aircraft</c:v>
                </c:pt>
              </c:strCache>
            </c:strRef>
          </c:tx>
          <c:spPr>
            <a:solidFill>
              <a:schemeClr val="accent4">
                <a:lumMod val="75000"/>
              </a:schemeClr>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活塞式飞机市场份额图!$B$212</c:f>
              <c:strCache>
                <c:ptCount val="1"/>
                <c:pt idx="0">
                  <c:v>CubCrafters</c:v>
                </c:pt>
              </c:strCache>
            </c:strRef>
          </c:tx>
          <c:spPr>
            <a:solidFill>
              <a:schemeClr val="accent3">
                <a:lumMod val="60000"/>
                <a:lumOff val="40000"/>
              </a:schemeClr>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ayout>
        <c:manualLayout>
          <c:xMode val="edge"/>
          <c:yMode val="edge"/>
          <c:x val="0.014795265276748"/>
          <c:y val="0.0291616038882139"/>
          <c:w val="0.985204734723252"/>
          <c:h val="0.1262816929951"/>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喷气式飞机市场份额图!$B$148</c:f>
              <c:strCache>
                <c:ptCount val="1"/>
                <c:pt idx="0">
                  <c:v>Embraer</c:v>
                </c:pt>
              </c:strCache>
            </c:strRef>
          </c:tx>
          <c:spPr>
            <a:solidFill>
              <a:srgbClr val="996633"/>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喷气式飞机市场份额图!$B$149</c:f>
              <c:strCache>
                <c:ptCount val="1"/>
                <c:pt idx="0">
                  <c:v>Dassault Aviation</c:v>
                </c:pt>
              </c:strCache>
            </c:strRef>
          </c:tx>
          <c:spPr>
            <a:solidFill>
              <a:srgbClr val="E7D6B5"/>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Entry>
      <c:layout>
        <c:manualLayout>
          <c:xMode val="edge"/>
          <c:yMode val="edge"/>
          <c:x val="0"/>
          <c:y val="0.0291616038882139"/>
          <c:w val="1"/>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Part2.2!$B$2</c:f>
              <c:strCache>
                <c:ptCount val="1"/>
                <c:pt idx="0">
                  <c:v>Deliveries (units)</c:v>
                </c:pt>
              </c:strCache>
            </c:strRef>
          </c:tx>
          <c:spPr>
            <a:solidFill>
              <a:srgbClr val="00206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1"/>
          <c:showCatName val="0"/>
          <c:showSerName val="0"/>
          <c:showPercent val="0"/>
          <c:showBubbleSize val="0"/>
        </c:dLbls>
        <c:gapWidth val="150"/>
        <c:axId val="1021593488"/>
        <c:axId val="1"/>
      </c:barChart>
      <c:lineChart>
        <c:grouping val="standard"/>
        <c:varyColors val="0"/>
        <c:ser>
          <c:idx val="1"/>
          <c:order val="1"/>
          <c:tx>
            <c:strRef>
              <c:f>Part2.2!$C$2</c:f>
              <c:strCache>
                <c:ptCount val="1"/>
                <c:pt idx="0">
                  <c:v>yoy</c:v>
                </c:pt>
              </c:strCache>
            </c:strRef>
          </c:tx>
          <c:spPr>
            <a:ln w="19050" cap="rnd" cmpd="sng" algn="ctr">
              <a:solidFill>
                <a:schemeClr val="bg1">
                  <a:lumMod val="75000"/>
                </a:schemeClr>
              </a:solidFill>
              <a:prstDash val="solid"/>
              <a:round/>
              <a:headEnd type="none"/>
              <a:tailEnd type="none"/>
            </a:ln>
            <a:effectLst/>
          </c:spPr>
          <c:marker>
            <c:symbol val="none"/>
          </c:marker>
          <c:dLbls>
            <c:delete val="1"/>
          </c:dLbls>
          <c:cat>
            <c:strRef>
              <c:f>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1"/>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9ce0d3f6-648a-4960-a1c7-5583122e9b3b}"/>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Part2.2!$F$2</c:f>
              <c:strCache>
                <c:ptCount val="1"/>
                <c:pt idx="0">
                  <c:v>Delivery Value (billion USD)</c:v>
                </c:pt>
              </c:strCache>
            </c:strRef>
          </c:tx>
          <c:spPr>
            <a:solidFill>
              <a:srgbClr val="00206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Part2.2!$G$2</c:f>
              <c:strCache>
                <c:ptCount val="1"/>
                <c:pt idx="0">
                  <c:v>yoy</c:v>
                </c:pt>
              </c:strCache>
            </c:strRef>
          </c:tx>
          <c:spPr>
            <a:ln w="19050" cap="rnd" cmpd="sng" algn="ctr">
              <a:solidFill>
                <a:schemeClr val="bg1">
                  <a:lumMod val="75000"/>
                </a:schemeClr>
              </a:solidFill>
              <a:prstDash val="solid"/>
              <a:round/>
            </a:ln>
            <a:effectLst/>
          </c:spPr>
          <c:marker>
            <c:symbol val="none"/>
          </c:marker>
          <c:dLbls>
            <c:delete val="1"/>
          </c:dLbls>
          <c:cat>
            <c:strRef>
              <c:f>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72471fda-480c-452e-87a4-b6900fdcafa8}"/>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96898881615702"/>
          <c:y val="0.205677705587348"/>
          <c:w val="0.868181597782205"/>
          <c:h val="0.7609736624452"/>
        </c:manualLayout>
      </c:layout>
      <c:barChart>
        <c:barDir val="col"/>
        <c:grouping val="clustered"/>
        <c:varyColors val="0"/>
        <c:ser>
          <c:idx val="1"/>
          <c:order val="1"/>
          <c:tx>
            <c:strRef>
              <c:f>PART2!$N$108</c:f>
              <c:strCache>
                <c:ptCount val="1"/>
                <c:pt idx="0">
                  <c:v>U.S. core CPI YoY</c:v>
                </c:pt>
              </c:strCache>
            </c:strRef>
          </c:tx>
          <c:spPr>
            <a:solidFill>
              <a:srgbClr val="002060"/>
            </a:solidFill>
            <a:ln>
              <a:noFill/>
            </a:ln>
            <a:effectLst/>
          </c:spPr>
          <c:invertIfNegative val="0"/>
          <c:dLbls>
            <c:delete val="1"/>
          </c:dLbls>
          <c:cat>
            <c:numRef>
              <c:f>PART2!$O$106:$X$106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PART2!$O$108:$X$108</c:f>
              <c:numCache>
                <c:formatCode>0.0%</c:formatCode>
                <c:ptCount val="10"/>
                <c:pt idx="0">
                  <c:v>0.0182841926171753</c:v>
                </c:pt>
                <c:pt idx="1">
                  <c:v>0.0221090225589775</c:v>
                </c:pt>
                <c:pt idx="2">
                  <c:v>0.018444898876828</c:v>
                </c:pt>
                <c:pt idx="3">
                  <c:v>0.021397328250329</c:v>
                </c:pt>
                <c:pt idx="4">
                  <c:v>0.0219197024959064</c:v>
                </c:pt>
                <c:pt idx="5">
                  <c:v>0.0170281744988965</c:v>
                </c:pt>
                <c:pt idx="6">
                  <c:v>0.0357203561046648</c:v>
                </c:pt>
                <c:pt idx="7">
                  <c:v>0.0615038687321143</c:v>
                </c:pt>
                <c:pt idx="8">
                  <c:v>0.0478193701252037</c:v>
                </c:pt>
                <c:pt idx="9">
                  <c:v>0.0343793076145857</c:v>
                </c:pt>
              </c:numCache>
            </c:numRef>
          </c:val>
        </c:ser>
        <c:ser>
          <c:idx val="2"/>
          <c:order val="2"/>
          <c:tx>
            <c:strRef>
              <c:f>PART2!$N$109</c:f>
              <c:strCache>
                <c:ptCount val="1"/>
                <c:pt idx="0">
                  <c:v>U.S. CPI YoY</c:v>
                </c:pt>
              </c:strCache>
            </c:strRef>
          </c:tx>
          <c:spPr>
            <a:solidFill>
              <a:schemeClr val="bg1">
                <a:lumMod val="95000"/>
              </a:schemeClr>
            </a:solidFill>
            <a:ln>
              <a:noFill/>
            </a:ln>
            <a:effectLst/>
          </c:spPr>
          <c:invertIfNegative val="0"/>
          <c:dLbls>
            <c:delete val="1"/>
          </c:dLbls>
          <c:cat>
            <c:numRef>
              <c:f>PART2!$O$106:$X$106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PART2!$O$109:$X$109</c:f>
              <c:numCache>
                <c:formatCode>0.0%</c:formatCode>
                <c:ptCount val="10"/>
                <c:pt idx="0">
                  <c:v>0.00118627135552463</c:v>
                </c:pt>
                <c:pt idx="1">
                  <c:v>0.0126158320570535</c:v>
                </c:pt>
                <c:pt idx="2">
                  <c:v>0.0213011000365961</c:v>
                </c:pt>
                <c:pt idx="3">
                  <c:v>0.0244258329692821</c:v>
                </c:pt>
                <c:pt idx="4">
                  <c:v>0.0181221007526013</c:v>
                </c:pt>
                <c:pt idx="5">
                  <c:v>0.0123358439630639</c:v>
                </c:pt>
                <c:pt idx="6">
                  <c:v>0.0469785886363741</c:v>
                </c:pt>
                <c:pt idx="7">
                  <c:v>0.0800279982052117</c:v>
                </c:pt>
                <c:pt idx="8">
                  <c:v>0.041163383837449</c:v>
                </c:pt>
                <c:pt idx="9">
                  <c:v>0.0294952520485208</c:v>
                </c:pt>
              </c:numCache>
            </c:numRef>
          </c:val>
        </c:ser>
        <c:dLbls>
          <c:showLegendKey val="0"/>
          <c:showVal val="0"/>
          <c:showCatName val="0"/>
          <c:showSerName val="0"/>
          <c:showPercent val="0"/>
          <c:showBubbleSize val="0"/>
        </c:dLbls>
        <c:gapWidth val="219"/>
        <c:axId val="255757807"/>
        <c:axId val="993908943"/>
      </c:barChart>
      <c:lineChart>
        <c:grouping val="standard"/>
        <c:varyColors val="0"/>
        <c:ser>
          <c:idx val="0"/>
          <c:order val="0"/>
          <c:tx>
            <c:strRef>
              <c:f>PART2!$N$107</c:f>
              <c:strCache>
                <c:ptCount val="1"/>
                <c:pt idx="0">
                  <c:v>Cessna business jet ASP YoY</c:v>
                </c:pt>
              </c:strCache>
            </c:strRef>
          </c:tx>
          <c:spPr>
            <a:ln w="28575" cap="rnd">
              <a:solidFill>
                <a:schemeClr val="bg1">
                  <a:lumMod val="85000"/>
                </a:schemeClr>
              </a:solidFill>
              <a:round/>
            </a:ln>
            <a:effectLst/>
          </c:spPr>
          <c:marker>
            <c:symbol val="none"/>
          </c:marker>
          <c:dLbls>
            <c:delete val="1"/>
          </c:dLbls>
          <c:cat>
            <c:numRef>
              <c:f>PART2!$O$106:$X$106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PART2!$O$107:$X$107</c:f>
              <c:numCache>
                <c:formatCode>0.0%</c:formatCode>
                <c:ptCount val="10"/>
                <c:pt idx="0">
                  <c:v>-0.00735025794590738</c:v>
                </c:pt>
                <c:pt idx="1">
                  <c:v>0.0324260724735455</c:v>
                </c:pt>
                <c:pt idx="2">
                  <c:v>0.0244768160599571</c:v>
                </c:pt>
                <c:pt idx="3">
                  <c:v>0.0294189487037546</c:v>
                </c:pt>
                <c:pt idx="4">
                  <c:v>0.075919678784617</c:v>
                </c:pt>
                <c:pt idx="5">
                  <c:v>0.0636269514993102</c:v>
                </c:pt>
                <c:pt idx="6">
                  <c:v>-0.020208317824858</c:v>
                </c:pt>
                <c:pt idx="7">
                  <c:v>0.0517695130470148</c:v>
                </c:pt>
                <c:pt idx="8">
                  <c:v>0.0316675526622456</c:v>
                </c:pt>
                <c:pt idx="9">
                  <c:v>0.0787826902122817</c:v>
                </c:pt>
              </c:numCache>
            </c:numRef>
          </c:val>
          <c:smooth val="0"/>
        </c:ser>
        <c:dLbls>
          <c:showLegendKey val="0"/>
          <c:showVal val="0"/>
          <c:showCatName val="0"/>
          <c:showSerName val="0"/>
          <c:showPercent val="0"/>
          <c:showBubbleSize val="0"/>
        </c:dLbls>
        <c:marker val="0"/>
        <c:smooth val="0"/>
        <c:axId val="255757807"/>
        <c:axId val="993908943"/>
      </c:lineChart>
      <c:catAx>
        <c:axId val="255757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993908943"/>
        <c:crossesAt val="0"/>
        <c:auto val="1"/>
        <c:lblAlgn val="ctr"/>
        <c:lblOffset val="100"/>
        <c:noMultiLvlLbl val="0"/>
      </c:catAx>
      <c:valAx>
        <c:axId val="993908943"/>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255757807"/>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legend>
    <c:plotVisOnly val="1"/>
    <c:dispBlanksAs val="gap"/>
    <c:showDLblsOverMax val="0"/>
    <c:extLst>
      <c:ext uri="{0b15fc19-7d7d-44ad-8c2d-2c3a37ce22c3}">
        <chartProps xmlns="https://web.wps.cn/et/2018/main" chartId="{bc74b8e1-c447-431b-8bec-189dde2c9788}"/>
      </c:ext>
    </c:extLst>
  </c:chart>
  <c:spPr>
    <a:solidFill>
      <a:schemeClr val="bg1"/>
    </a:solidFill>
    <a:ln w="9525" cap="flat" cmpd="sng" algn="ctr">
      <a:noFill/>
      <a:round/>
    </a:ln>
    <a:effectLst/>
  </c:spPr>
  <c:txPr>
    <a:bodyPr/>
    <a:lstStyle/>
    <a:p>
      <a:pPr>
        <a:defRPr lang="zh-CN" baseline="0">
          <a:latin typeface="Calibri" panose="020F0502020204030204" pitchFamily="2"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76091780692811"/>
          <c:y val="0.213268696604181"/>
          <c:w val="0.832186217473632"/>
          <c:h val="0.645879647557717"/>
        </c:manualLayout>
      </c:layout>
      <c:barChart>
        <c:barDir val="col"/>
        <c:grouping val="clustered"/>
        <c:varyColors val="0"/>
        <c:ser>
          <c:idx val="1"/>
          <c:order val="0"/>
          <c:tx>
            <c:strRef>
              <c:f>PART2!$B$148</c:f>
              <c:strCache>
                <c:ptCount val="1"/>
                <c:pt idx="0">
                  <c:v>Textron Aviation total deliveries (units)</c:v>
                </c:pt>
              </c:strCache>
            </c:strRef>
          </c:tx>
          <c:spPr>
            <a:solidFill>
              <a:srgbClr val="002060"/>
            </a:solidFill>
            <a:ln>
              <a:noFill/>
            </a:ln>
            <a:effectLst/>
          </c:spPr>
          <c:invertIfNegative val="0"/>
          <c:dLbls>
            <c:delete val="1"/>
          </c:dLbls>
          <c:cat>
            <c:numRef>
              <c:f>PART2!$A$149:$A$154</c:f>
              <c:numCache>
                <c:formatCode>General</c:formatCode>
                <c:ptCount val="6"/>
                <c:pt idx="0">
                  <c:v>2019</c:v>
                </c:pt>
                <c:pt idx="1">
                  <c:v>2020</c:v>
                </c:pt>
                <c:pt idx="2">
                  <c:v>2021</c:v>
                </c:pt>
                <c:pt idx="3">
                  <c:v>2022</c:v>
                </c:pt>
                <c:pt idx="4">
                  <c:v>2023</c:v>
                </c:pt>
                <c:pt idx="5">
                  <c:v>2024</c:v>
                </c:pt>
              </c:numCache>
            </c:numRef>
          </c:cat>
          <c:val>
            <c:numRef>
              <c:f>PART2!$B$149:$B$154</c:f>
              <c:numCache>
                <c:formatCode>General</c:formatCode>
                <c:ptCount val="6"/>
                <c:pt idx="0">
                  <c:v>600</c:v>
                </c:pt>
                <c:pt idx="1">
                  <c:v>559</c:v>
                </c:pt>
                <c:pt idx="2">
                  <c:v>546</c:v>
                </c:pt>
                <c:pt idx="3">
                  <c:v>568</c:v>
                </c:pt>
                <c:pt idx="4">
                  <c:v>618</c:v>
                </c:pt>
                <c:pt idx="5">
                  <c:v>559</c:v>
                </c:pt>
              </c:numCache>
            </c:numRef>
          </c:val>
        </c:ser>
        <c:ser>
          <c:idx val="2"/>
          <c:order val="1"/>
          <c:tx>
            <c:strRef>
              <c:f>PART2!$C$148</c:f>
              <c:strCache>
                <c:ptCount val="1"/>
                <c:pt idx="0">
                  <c:v>Citation deliveries (units)</c:v>
                </c:pt>
              </c:strCache>
            </c:strRef>
          </c:tx>
          <c:spPr>
            <a:solidFill>
              <a:schemeClr val="bg1">
                <a:lumMod val="85000"/>
              </a:schemeClr>
            </a:solidFill>
            <a:ln>
              <a:noFill/>
            </a:ln>
            <a:effectLst/>
          </c:spPr>
          <c:invertIfNegative val="0"/>
          <c:dLbls>
            <c:delete val="1"/>
          </c:dLbls>
          <c:cat>
            <c:numRef>
              <c:f>PART2!$A$149:$A$154</c:f>
              <c:numCache>
                <c:formatCode>General</c:formatCode>
                <c:ptCount val="6"/>
                <c:pt idx="0">
                  <c:v>2019</c:v>
                </c:pt>
                <c:pt idx="1">
                  <c:v>2020</c:v>
                </c:pt>
                <c:pt idx="2">
                  <c:v>2021</c:v>
                </c:pt>
                <c:pt idx="3">
                  <c:v>2022</c:v>
                </c:pt>
                <c:pt idx="4">
                  <c:v>2023</c:v>
                </c:pt>
                <c:pt idx="5">
                  <c:v>2024</c:v>
                </c:pt>
              </c:numCache>
            </c:numRef>
          </c:cat>
          <c:val>
            <c:numRef>
              <c:f>PART2!$C$149:$C$154</c:f>
              <c:numCache>
                <c:formatCode>General</c:formatCode>
                <c:ptCount val="6"/>
                <c:pt idx="0">
                  <c:v>206</c:v>
                </c:pt>
                <c:pt idx="1">
                  <c:v>132</c:v>
                </c:pt>
                <c:pt idx="2">
                  <c:v>167</c:v>
                </c:pt>
                <c:pt idx="3">
                  <c:v>178</c:v>
                </c:pt>
                <c:pt idx="4">
                  <c:v>168</c:v>
                </c:pt>
                <c:pt idx="5">
                  <c:v>151</c:v>
                </c:pt>
              </c:numCache>
            </c:numRef>
          </c:val>
        </c:ser>
        <c:dLbls>
          <c:showLegendKey val="0"/>
          <c:showVal val="0"/>
          <c:showCatName val="0"/>
          <c:showSerName val="0"/>
          <c:showPercent val="0"/>
          <c:showBubbleSize val="0"/>
        </c:dLbls>
        <c:gapWidth val="219"/>
        <c:axId val="937671807"/>
        <c:axId val="937672287"/>
      </c:barChart>
      <c:lineChart>
        <c:grouping val="standard"/>
        <c:varyColors val="0"/>
        <c:ser>
          <c:idx val="3"/>
          <c:order val="2"/>
          <c:tx>
            <c:strRef>
              <c:f>PART2!$D$148</c:f>
              <c:strCache>
                <c:ptCount val="1"/>
                <c:pt idx="0">
                  <c:v>Citation deliveries YoY</c:v>
                </c:pt>
              </c:strCache>
            </c:strRef>
          </c:tx>
          <c:spPr>
            <a:ln w="28575" cap="rnd">
              <a:solidFill>
                <a:schemeClr val="bg2"/>
              </a:solidFill>
              <a:round/>
            </a:ln>
            <a:effectLst/>
          </c:spPr>
          <c:marker>
            <c:symbol val="none"/>
          </c:marker>
          <c:dLbls>
            <c:delete val="1"/>
          </c:dLbls>
          <c:val>
            <c:numRef>
              <c:f>PART2!$D$149:$D$154</c:f>
              <c:numCache>
                <c:formatCode>0%</c:formatCode>
                <c:ptCount val="6"/>
                <c:pt idx="0">
                  <c:v>0.0957446808510638</c:v>
                </c:pt>
                <c:pt idx="1">
                  <c:v>-0.359223300970874</c:v>
                </c:pt>
                <c:pt idx="2">
                  <c:v>0.265151515151515</c:v>
                </c:pt>
                <c:pt idx="3">
                  <c:v>0.0658682634730539</c:v>
                </c:pt>
                <c:pt idx="4">
                  <c:v>-0.0561797752808989</c:v>
                </c:pt>
                <c:pt idx="5">
                  <c:v>-0.101190476190476</c:v>
                </c:pt>
              </c:numCache>
            </c:numRef>
          </c:val>
          <c:smooth val="0"/>
        </c:ser>
        <c:dLbls>
          <c:showLegendKey val="0"/>
          <c:showVal val="0"/>
          <c:showCatName val="0"/>
          <c:showSerName val="0"/>
          <c:showPercent val="0"/>
          <c:showBubbleSize val="0"/>
        </c:dLbls>
        <c:marker val="0"/>
        <c:smooth val="0"/>
        <c:axId val="984133663"/>
        <c:axId val="984143743"/>
      </c:lineChart>
      <c:catAx>
        <c:axId val="937671807"/>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937672287"/>
        <c:crosses val="autoZero"/>
        <c:auto val="1"/>
        <c:lblAlgn val="ctr"/>
        <c:lblOffset val="100"/>
        <c:noMultiLvlLbl val="0"/>
      </c:catAx>
      <c:valAx>
        <c:axId val="937672287"/>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937671807"/>
        <c:crosses val="autoZero"/>
        <c:crossBetween val="between"/>
      </c:valAx>
      <c:catAx>
        <c:axId val="984133663"/>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984143743"/>
        <c:crosses val="autoZero"/>
        <c:auto val="1"/>
        <c:lblAlgn val="ctr"/>
        <c:lblOffset val="100"/>
        <c:noMultiLvlLbl val="0"/>
      </c:catAx>
      <c:valAx>
        <c:axId val="984143743"/>
        <c:scaling>
          <c:orientation val="minMax"/>
        </c:scaling>
        <c:delete val="0"/>
        <c:axPos val="r"/>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984133663"/>
        <c:crosses val="max"/>
        <c:crossBetween val="between"/>
      </c:valAx>
      <c:spPr>
        <a:noFill/>
        <a:ln>
          <a:noFill/>
        </a:ln>
        <a:effectLst/>
      </c:spPr>
    </c:plotArea>
    <c:legend>
      <c:legendPos val="t"/>
      <c:layout>
        <c:manualLayout>
          <c:xMode val="edge"/>
          <c:yMode val="edge"/>
          <c:x val="0.0450204775817604"/>
          <c:y val="0.0364298724954463"/>
          <c:w val="0.871873955771851"/>
          <c:h val="0.1889821149405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legend>
    <c:plotVisOnly val="1"/>
    <c:dispBlanksAs val="gap"/>
    <c:showDLblsOverMax val="0"/>
    <c:extLst>
      <c:ext uri="{0b15fc19-7d7d-44ad-8c2d-2c3a37ce22c3}">
        <chartProps xmlns="https://web.wps.cn/et/2018/main" chartId="{acb06263-127c-4ebb-b2e5-8e104dc5e595}"/>
      </c:ext>
    </c:extLst>
  </c:chart>
  <c:spPr>
    <a:solidFill>
      <a:schemeClr val="bg1"/>
    </a:solidFill>
    <a:ln w="9525" cap="flat" cmpd="sng" algn="ctr">
      <a:noFill/>
      <a:round/>
    </a:ln>
    <a:effectLst/>
  </c:spPr>
  <c:txPr>
    <a:bodyPr/>
    <a:lstStyle/>
    <a:p>
      <a:pPr>
        <a:defRPr lang="zh-CN" baseline="0">
          <a:latin typeface="Calibri" panose="020F0502020204030204" pitchFamily="2"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PART3.1!$A$3</c:f>
              <c:strCache>
                <c:ptCount val="1"/>
                <c:pt idx="0">
                  <c:v>Military aircraft</c:v>
                </c:pt>
              </c:strCache>
            </c:strRef>
          </c:tx>
          <c:spPr>
            <a:solidFill>
              <a:srgbClr val="4472C4">
                <a:lumMod val="75000"/>
              </a:srgbClr>
            </a:solidFill>
            <a:ln w="12700">
              <a:noFill/>
            </a:ln>
            <a:effectLst/>
          </c:spPr>
          <c:invertIfNegative val="0"/>
          <c:dLbls>
            <c:dLbl>
              <c:idx val="0"/>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1"/>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2"/>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3"/>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4"/>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5"/>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6"/>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7"/>
              <c:layout>
                <c:manualLayout>
                  <c:x val="-0.00409500409500417"/>
                  <c:y val="0.0405405405405405"/>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8"/>
              <c:layout>
                <c:manualLayout>
                  <c:x val="0.0163800163800164"/>
                  <c:y val="0.0337837837837838"/>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dLbl>
              <c:idx val="9"/>
              <c:layout/>
              <c:dLblPos val="outEnd"/>
              <c:showLegendKey val="0"/>
              <c:showVal val="1"/>
              <c:showCatName val="0"/>
              <c:showSerName val="0"/>
              <c:showPercent val="0"/>
              <c:showBubbleSize val="0"/>
              <c:extLst>
                <c:ext xmlns:c15="http://schemas.microsoft.com/office/drawing/2012/chart" uri="{CE6537A1-D6FC-4f65-9D91-7224C49458BB}">
                  <c15:layout>
                    <c:manualLayout>
                      <c:w val="0.0987099124894401"/>
                      <c:h val="0.101385401149181"/>
                    </c:manualLayout>
                  </c15:layout>
                </c:ext>
              </c:extLst>
            </c:dLbl>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numRef>
              <c:f>PART3.1!$C$2:$L$2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PART3.1!$C$3:$L$3</c:f>
              <c:numCache>
                <c:formatCode>#,##0_);\(#,##0\)</c:formatCode>
                <c:ptCount val="10"/>
                <c:pt idx="0">
                  <c:v>2033</c:v>
                </c:pt>
                <c:pt idx="1">
                  <c:v>2087</c:v>
                </c:pt>
                <c:pt idx="2">
                  <c:v>2181.5</c:v>
                </c:pt>
                <c:pt idx="3">
                  <c:v>2068.1675</c:v>
                </c:pt>
                <c:pt idx="4">
                  <c:v>1840.451375</c:v>
                </c:pt>
                <c:pt idx="5">
                  <c:v>1985.93543</c:v>
                </c:pt>
                <c:pt idx="6">
                  <c:v>1902.56425075</c:v>
                </c:pt>
                <c:pt idx="7">
                  <c:v>1605.3747457925</c:v>
                </c:pt>
                <c:pt idx="8">
                  <c:v>1478.13898203082</c:v>
                </c:pt>
                <c:pt idx="9">
                  <c:v>2247.26750688076</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PART3.1!$A$4</c:f>
              <c:strCache>
                <c:ptCount val="1"/>
                <c:pt idx="0">
                  <c:v>Share of Bell segment</c:v>
                </c:pt>
              </c:strCache>
            </c:strRef>
          </c:tx>
          <c:spPr>
            <a:ln w="19050" cap="rnd" cmpd="sng" algn="ctr">
              <a:solidFill>
                <a:srgbClr val="44546A">
                  <a:lumMod val="60000"/>
                  <a:lumOff val="40000"/>
                </a:srgbClr>
              </a:solidFill>
              <a:prstDash val="solid"/>
              <a:round/>
            </a:ln>
            <a:effectLst/>
          </c:spPr>
          <c:marker>
            <c:symbol val="none"/>
          </c:marker>
          <c:dLbls>
            <c:delete val="1"/>
          </c:dLbls>
          <c:cat>
            <c:numRef>
              <c:f>PART3.1!$C$2:$L$2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PART3.1!$C$4:$L$4</c:f>
              <c:numCache>
                <c:formatCode>0.00%</c:formatCode>
                <c:ptCount val="10"/>
                <c:pt idx="0">
                  <c:v>0.588644062889076</c:v>
                </c:pt>
                <c:pt idx="1">
                  <c:v>0.644419426574783</c:v>
                </c:pt>
                <c:pt idx="2">
                  <c:v>0.657589926138318</c:v>
                </c:pt>
                <c:pt idx="3">
                  <c:v>0.650497444969706</c:v>
                </c:pt>
                <c:pt idx="4">
                  <c:v>0.565583774249115</c:v>
                </c:pt>
                <c:pt idx="5">
                  <c:v>0.600246536781865</c:v>
                </c:pt>
                <c:pt idx="6">
                  <c:v>0.565534630732303</c:v>
                </c:pt>
                <c:pt idx="7">
                  <c:v>0.519520931840327</c:v>
                </c:pt>
                <c:pt idx="8">
                  <c:v>0.469850899016086</c:v>
                </c:pt>
                <c:pt idx="9">
                  <c:v>0.627975614092534</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6f359197-f34b-401e-ba84-a6e6804f10fa}"/>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Sheet1!$A$9</c:f>
              <c:strCache>
                <c:ptCount val="1"/>
                <c:pt idx="0">
                  <c:v>V-22</c:v>
                </c:pt>
              </c:strCache>
            </c:strRef>
          </c:tx>
          <c:spPr>
            <a:solidFill>
              <a:srgbClr val="4472C4">
                <a:lumMod val="75000"/>
              </a:srgbClr>
            </a:solidFill>
            <a:ln>
              <a:noFill/>
            </a:ln>
            <a:effectLst/>
          </c:spPr>
          <c:invertIfNegative val="0"/>
          <c:dLbls>
            <c:delete val="1"/>
          </c:dLbls>
          <c:cat>
            <c:numRef>
              <c:f>Sheet1!$B$8:$L$8</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Sheet1!$B$9:$L$9</c:f>
              <c:numCache>
                <c:formatCode>#,##0_);\(#,##0\)</c:formatCode>
                <c:ptCount val="11"/>
                <c:pt idx="0">
                  <c:v>1313.5</c:v>
                </c:pt>
                <c:pt idx="1">
                  <c:v>840</c:v>
                </c:pt>
                <c:pt idx="2">
                  <c:v>748</c:v>
                </c:pt>
                <c:pt idx="3">
                  <c:v>792</c:v>
                </c:pt>
                <c:pt idx="4">
                  <c:v>684</c:v>
                </c:pt>
                <c:pt idx="5">
                  <c:v>540</c:v>
                </c:pt>
                <c:pt idx="6">
                  <c:v>612</c:v>
                </c:pt>
                <c:pt idx="7">
                  <c:v>540</c:v>
                </c:pt>
                <c:pt idx="8">
                  <c:v>555</c:v>
                </c:pt>
                <c:pt idx="9">
                  <c:v>296</c:v>
                </c:pt>
                <c:pt idx="10">
                  <c:v>518</c:v>
                </c:pt>
              </c:numCache>
            </c:numRef>
          </c:val>
        </c:ser>
        <c:ser>
          <c:idx val="2"/>
          <c:order val="2"/>
          <c:tx>
            <c:strRef>
              <c:f>Sheet1!$A$11</c:f>
              <c:strCache>
                <c:ptCount val="1"/>
                <c:pt idx="0">
                  <c:v>H-11</c:v>
                </c:pt>
              </c:strCache>
            </c:strRef>
          </c:tx>
          <c:spPr>
            <a:solidFill>
              <a:schemeClr val="accent5">
                <a:tint val="86000"/>
              </a:schemeClr>
            </a:solidFill>
            <a:ln>
              <a:noFill/>
            </a:ln>
            <a:effectLst/>
          </c:spPr>
          <c:invertIfNegative val="0"/>
          <c:dLbls>
            <c:delete val="1"/>
          </c:dLbls>
          <c:cat>
            <c:numRef>
              <c:f>Sheet1!$B$8:$L$8</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Sheet1!$B$11:$L$11</c:f>
              <c:numCache>
                <c:formatCode>#,##0_);\(#,##0\)</c:formatCode>
                <c:ptCount val="11"/>
                <c:pt idx="0">
                  <c:v>578.4</c:v>
                </c:pt>
                <c:pt idx="1">
                  <c:v>624</c:v>
                </c:pt>
                <c:pt idx="2">
                  <c:v>894</c:v>
                </c:pt>
                <c:pt idx="3">
                  <c:v>950</c:v>
                </c:pt>
                <c:pt idx="4">
                  <c:v>884</c:v>
                </c:pt>
                <c:pt idx="5">
                  <c:v>713</c:v>
                </c:pt>
                <c:pt idx="6">
                  <c:v>728</c:v>
                </c:pt>
                <c:pt idx="7">
                  <c:v>676</c:v>
                </c:pt>
                <c:pt idx="8">
                  <c:v>338</c:v>
                </c:pt>
                <c:pt idx="9">
                  <c:v>216</c:v>
                </c:pt>
                <c:pt idx="10">
                  <c:v>108</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Sheet1!$A$10</c:f>
              <c:strCache>
                <c:ptCount val="1"/>
                <c:pt idx="0">
                  <c:v>V-22 yoy</c:v>
                </c:pt>
              </c:strCache>
            </c:strRef>
          </c:tx>
          <c:spPr>
            <a:ln w="19050" cap="rnd" cmpd="sng" algn="ctr">
              <a:solidFill>
                <a:srgbClr val="44546A">
                  <a:lumMod val="60000"/>
                  <a:lumOff val="40000"/>
                </a:srgbClr>
              </a:solidFill>
              <a:prstDash val="solid"/>
              <a:round/>
            </a:ln>
            <a:effectLst/>
          </c:spPr>
          <c:marker>
            <c:symbol val="none"/>
          </c:marker>
          <c:dLbls>
            <c:delete val="1"/>
          </c:dLbls>
          <c:cat>
            <c:numRef>
              <c:f>Sheet1!$B$8:$L$8</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Sheet1!$B$10:$L$10</c:f>
              <c:numCache>
                <c:formatCode>General</c:formatCode>
                <c:ptCount val="11"/>
                <c:pt idx="1" c:formatCode="0.00%">
                  <c:v>-0.360487247811191</c:v>
                </c:pt>
                <c:pt idx="2" c:formatCode="0.00%">
                  <c:v>-0.10952380952381</c:v>
                </c:pt>
                <c:pt idx="3" c:formatCode="0.00%">
                  <c:v>0.0588235294117647</c:v>
                </c:pt>
                <c:pt idx="4" c:formatCode="0.00%">
                  <c:v>-0.136363636363636</c:v>
                </c:pt>
                <c:pt idx="5" c:formatCode="0.00%">
                  <c:v>-0.210526315789474</c:v>
                </c:pt>
                <c:pt idx="6" c:formatCode="0.00%">
                  <c:v>0.133333333333333</c:v>
                </c:pt>
                <c:pt idx="7" c:formatCode="0.00%">
                  <c:v>-0.117647058823529</c:v>
                </c:pt>
                <c:pt idx="8" c:formatCode="0.00%">
                  <c:v>0.0277777777777777</c:v>
                </c:pt>
                <c:pt idx="9" c:formatCode="0.00%">
                  <c:v>-0.466666666666667</c:v>
                </c:pt>
                <c:pt idx="10" c:formatCode="0.00%">
                  <c:v>0.75</c:v>
                </c:pt>
              </c:numCache>
            </c:numRef>
          </c:val>
          <c:smooth val="0"/>
        </c:ser>
        <c:ser>
          <c:idx val="3"/>
          <c:order val="3"/>
          <c:tx>
            <c:strRef>
              <c:f>Sheet1!$A$12</c:f>
              <c:strCache>
                <c:ptCount val="1"/>
                <c:pt idx="0">
                  <c:v>H-11 yoy</c:v>
                </c:pt>
              </c:strCache>
            </c:strRef>
          </c:tx>
          <c:spPr>
            <a:ln w="19050" cap="rnd" cmpd="sng" algn="ctr">
              <a:solidFill>
                <a:schemeClr val="accent5">
                  <a:tint val="58000"/>
                </a:schemeClr>
              </a:solidFill>
              <a:prstDash val="solid"/>
              <a:round/>
            </a:ln>
            <a:effectLst/>
          </c:spPr>
          <c:marker>
            <c:symbol val="none"/>
          </c:marker>
          <c:dLbls>
            <c:delete val="1"/>
          </c:dLbls>
          <c:cat>
            <c:numRef>
              <c:f>Sheet1!$B$8:$L$8</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Sheet1!$B$12:$L$12</c:f>
              <c:numCache>
                <c:formatCode>General</c:formatCode>
                <c:ptCount val="11"/>
                <c:pt idx="1" c:formatCode="0.00%">
                  <c:v>0.0788381742738586</c:v>
                </c:pt>
                <c:pt idx="2" c:formatCode="0.00%">
                  <c:v>0.432692307692308</c:v>
                </c:pt>
                <c:pt idx="3" c:formatCode="0.00%">
                  <c:v>0.0626398210290828</c:v>
                </c:pt>
                <c:pt idx="4" c:formatCode="0.00%">
                  <c:v>-0.0694736842105264</c:v>
                </c:pt>
                <c:pt idx="5" c:formatCode="0.00%">
                  <c:v>-0.193438914027149</c:v>
                </c:pt>
                <c:pt idx="6" c:formatCode="0.00%">
                  <c:v>0.0210378681626928</c:v>
                </c:pt>
                <c:pt idx="7" c:formatCode="0.00%">
                  <c:v>-0.0714285714285714</c:v>
                </c:pt>
                <c:pt idx="8" c:formatCode="0.00%">
                  <c:v>-0.5</c:v>
                </c:pt>
                <c:pt idx="9" c:formatCode="0.00%">
                  <c:v>-0.36094674556213</c:v>
                </c:pt>
                <c:pt idx="10" c:formatCode="0.00%">
                  <c:v>-0.5</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fc94d21e-90c9-4c9e-93c4-c3a72ef73b91}"/>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PART1!$A$46</c:f>
              <c:strCache>
                <c:ptCount val="1"/>
                <c:pt idx="0">
                  <c:v>Bell</c:v>
                </c:pt>
              </c:strCache>
            </c:strRef>
          </c:tx>
          <c:spPr>
            <a:solidFill>
              <a:srgbClr val="2F5597"/>
            </a:solidFill>
            <a:ln>
              <a:noFill/>
            </a:ln>
            <a:effectLst/>
          </c:spPr>
          <c:invertIfNegative val="0"/>
          <c:dLbls>
            <c:delete val="1"/>
          </c:dLbls>
          <c:cat>
            <c:numRef>
              <c:f>PART1!$B$44:$L$44</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PART1!$B$46:$L$46</c:f>
              <c:numCache>
                <c:formatCode>0.00%</c:formatCode>
                <c:ptCount val="11"/>
                <c:pt idx="0">
                  <c:v>0.116</c:v>
                </c:pt>
                <c:pt idx="1">
                  <c:v>0.119</c:v>
                </c:pt>
                <c:pt idx="2">
                  <c:v>0.125</c:v>
                </c:pt>
                <c:pt idx="3">
                  <c:v>0.134</c:v>
                </c:pt>
                <c:pt idx="4">
                  <c:v>0.134</c:v>
                </c:pt>
                <c:pt idx="5">
                  <c:v>0.14</c:v>
                </c:pt>
                <c:pt idx="6">
                  <c:v>0.121</c:v>
                </c:pt>
                <c:pt idx="7">
                  <c:v>0.091</c:v>
                </c:pt>
                <c:pt idx="8">
                  <c:v>0.102</c:v>
                </c:pt>
                <c:pt idx="9">
                  <c:v>0.103</c:v>
                </c:pt>
                <c:pt idx="10" c:formatCode="0.0%">
                  <c:v>0.0847734703409622</c:v>
                </c:pt>
              </c:numCache>
            </c:numRef>
          </c:val>
        </c:ser>
        <c:dLbls>
          <c:showLegendKey val="0"/>
          <c:showVal val="0"/>
          <c:showCatName val="0"/>
          <c:showSerName val="0"/>
          <c:showPercent val="0"/>
          <c:showBubbleSize val="0"/>
        </c:dLbls>
        <c:gapWidth val="219"/>
        <c:overlap val="-27"/>
        <c:axId val="527094431"/>
        <c:axId val="527095871"/>
      </c:barChart>
      <c:catAx>
        <c:axId val="527094431"/>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crossAx val="527095871"/>
        <c:crosses val="autoZero"/>
        <c:auto val="1"/>
        <c:lblAlgn val="ctr"/>
        <c:lblOffset val="100"/>
        <c:noMultiLvlLbl val="0"/>
      </c:catAx>
      <c:valAx>
        <c:axId val="527095871"/>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Calibri" panose="020F0502020204030204" pitchFamily="2" charset="0"/>
                <a:ea typeface="楷体" panose="02010609060101010101" pitchFamily="3" charset="-122"/>
                <a:cs typeface="+mn-cs"/>
              </a:defRPr>
            </a:pPr>
          </a:p>
        </c:txPr>
        <c:crossAx val="527094431"/>
        <c:crosses val="autoZero"/>
        <c:crossBetween val="between"/>
      </c:valAx>
      <c:spPr>
        <a:noFill/>
        <a:ln>
          <a:noFill/>
        </a:ln>
        <a:effectLst/>
      </c:spPr>
    </c:plotArea>
    <c:plotVisOnly val="1"/>
    <c:dispBlanksAs val="gap"/>
    <c:showDLblsOverMax val="0"/>
    <c:extLst>
      <c:ext uri="{0b15fc19-7d7d-44ad-8c2d-2c3a37ce22c3}">
        <chartProps xmlns="https://web.wps.cn/et/2018/main" chartId="{c9be93a4-b765-44e7-8c77-a91a2f41229d}"/>
      </c:ext>
    </c:extLst>
  </c:chart>
  <c:spPr>
    <a:solidFill>
      <a:schemeClr val="bg1"/>
    </a:solidFill>
    <a:ln w="9525" cap="flat" cmpd="sng" algn="ctr">
      <a:noFill/>
      <a:round/>
    </a:ln>
    <a:effectLst/>
  </c:spPr>
  <c:txPr>
    <a:bodyPr/>
    <a:lstStyle/>
    <a:p>
      <a:pPr>
        <a:defRPr lang="zh-CN" baseline="0">
          <a:latin typeface="Calibri" panose="020F0502020204030204" pitchFamily="2" charset="0"/>
          <a:ea typeface="楷体" panose="02010609060101010101" pitchFamily="3" charset="-122"/>
        </a:defRPr>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Sheet1!$A$3</c:f>
              <c:strCache>
                <c:ptCount val="1"/>
                <c:pt idx="0">
                  <c:v>407</c:v>
                </c:pt>
              </c:strCache>
            </c:strRef>
          </c:tx>
          <c:spPr>
            <a:solidFill>
              <a:srgbClr val="4472C4">
                <a:lumMod val="75000"/>
              </a:srgbClr>
            </a:solidFill>
            <a:ln>
              <a:noFill/>
            </a:ln>
            <a:effectLst/>
          </c:spPr>
          <c:invertIfNegative val="0"/>
          <c:dLbls>
            <c:delete val="1"/>
          </c:dLbls>
          <c:cat>
            <c:numRef>
              <c:f>Sheet1!$B$2:$K$2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Sheet1!$B$3:$K$3</c:f>
              <c:numCache>
                <c:formatCode>General</c:formatCode>
                <c:ptCount val="10"/>
                <c:pt idx="0">
                  <c:v>99</c:v>
                </c:pt>
                <c:pt idx="1">
                  <c:v>57</c:v>
                </c:pt>
                <c:pt idx="2">
                  <c:v>44</c:v>
                </c:pt>
                <c:pt idx="3">
                  <c:v>43</c:v>
                </c:pt>
                <c:pt idx="4">
                  <c:v>59</c:v>
                </c:pt>
                <c:pt idx="5">
                  <c:v>54</c:v>
                </c:pt>
                <c:pt idx="6">
                  <c:v>56</c:v>
                </c:pt>
                <c:pt idx="7">
                  <c:v>49</c:v>
                </c:pt>
                <c:pt idx="8">
                  <c:v>53</c:v>
                </c:pt>
                <c:pt idx="9">
                  <c:v>49</c:v>
                </c:pt>
              </c:numCache>
            </c:numRef>
          </c:val>
        </c:ser>
        <c:ser>
          <c:idx val="1"/>
          <c:order val="1"/>
          <c:tx>
            <c:strRef>
              <c:f>Sheet1!$A$4</c:f>
              <c:strCache>
                <c:ptCount val="1"/>
                <c:pt idx="0">
                  <c:v>429</c:v>
                </c:pt>
              </c:strCache>
            </c:strRef>
          </c:tx>
          <c:spPr>
            <a:solidFill>
              <a:schemeClr val="accent5">
                <a:shade val="86000"/>
              </a:schemeClr>
            </a:solidFill>
            <a:ln>
              <a:solidFill>
                <a:srgbClr val="44546A">
                  <a:lumMod val="60000"/>
                  <a:lumOff val="40000"/>
                </a:srgbClr>
              </a:solidFill>
            </a:ln>
            <a:effectLst/>
          </c:spPr>
          <c:invertIfNegative val="0"/>
          <c:dLbls>
            <c:delete val="1"/>
          </c:dLbls>
          <c:cat>
            <c:numRef>
              <c:f>Sheet1!$B$2:$K$2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Sheet1!$B$4:$K$4</c:f>
              <c:numCache>
                <c:formatCode>General</c:formatCode>
                <c:ptCount val="10"/>
                <c:pt idx="0">
                  <c:v>52</c:v>
                </c:pt>
                <c:pt idx="1">
                  <c:v>28</c:v>
                </c:pt>
                <c:pt idx="2">
                  <c:v>36</c:v>
                </c:pt>
                <c:pt idx="3">
                  <c:v>20</c:v>
                </c:pt>
                <c:pt idx="4">
                  <c:v>28</c:v>
                </c:pt>
                <c:pt idx="5">
                  <c:v>30</c:v>
                </c:pt>
                <c:pt idx="6">
                  <c:v>30</c:v>
                </c:pt>
                <c:pt idx="7">
                  <c:v>32</c:v>
                </c:pt>
                <c:pt idx="8">
                  <c:v>30</c:v>
                </c:pt>
                <c:pt idx="9">
                  <c:v>23</c:v>
                </c:pt>
              </c:numCache>
            </c:numRef>
          </c:val>
        </c:ser>
        <c:ser>
          <c:idx val="2"/>
          <c:order val="2"/>
          <c:tx>
            <c:strRef>
              <c:f>Sheet1!$A$5</c:f>
              <c:strCache>
                <c:ptCount val="1"/>
                <c:pt idx="0">
                  <c:v>505</c:v>
                </c:pt>
              </c:strCache>
            </c:strRef>
          </c:tx>
          <c:spPr>
            <a:solidFill>
              <a:schemeClr val="accent5">
                <a:tint val="86000"/>
              </a:schemeClr>
            </a:solidFill>
            <a:ln>
              <a:noFill/>
            </a:ln>
            <a:effectLst/>
          </c:spPr>
          <c:invertIfNegative val="0"/>
          <c:dLbls>
            <c:delete val="1"/>
          </c:dLbls>
          <c:cat>
            <c:numRef>
              <c:f>Sheet1!$B$2:$K$2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Sheet1!$B$5:$K$5</c:f>
              <c:numCache>
                <c:formatCode>General</c:formatCode>
                <c:ptCount val="10"/>
                <c:pt idx="2">
                  <c:v>27</c:v>
                </c:pt>
                <c:pt idx="3">
                  <c:v>116</c:v>
                </c:pt>
                <c:pt idx="4">
                  <c:v>101</c:v>
                </c:pt>
                <c:pt idx="5">
                  <c:v>49</c:v>
                </c:pt>
                <c:pt idx="6">
                  <c:v>63</c:v>
                </c:pt>
                <c:pt idx="7">
                  <c:v>83</c:v>
                </c:pt>
                <c:pt idx="8">
                  <c:v>77</c:v>
                </c:pt>
                <c:pt idx="9">
                  <c:v>90</c:v>
                </c:pt>
              </c:numCache>
            </c:numRef>
          </c:val>
        </c:ser>
        <c:ser>
          <c:idx val="3"/>
          <c:order val="3"/>
          <c:tx>
            <c:strRef>
              <c:f>Sheet1!$A$6</c:f>
              <c:strCache>
                <c:ptCount val="1"/>
                <c:pt idx="0">
                  <c:v>412</c:v>
                </c:pt>
              </c:strCache>
            </c:strRef>
          </c:tx>
          <c:spPr>
            <a:solidFill>
              <a:schemeClr val="accent5">
                <a:tint val="58000"/>
              </a:schemeClr>
            </a:solidFill>
            <a:ln>
              <a:noFill/>
            </a:ln>
            <a:effectLst/>
          </c:spPr>
          <c:invertIfNegative val="0"/>
          <c:dLbls>
            <c:delete val="1"/>
          </c:dLbls>
          <c:cat>
            <c:numRef>
              <c:f>Sheet1!$B$2:$K$2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Sheet1!$B$6:$K$6</c:f>
              <c:numCache>
                <c:formatCode>General</c:formatCode>
                <c:ptCount val="10"/>
                <c:pt idx="0">
                  <c:v>12</c:v>
                </c:pt>
                <c:pt idx="1">
                  <c:v>10</c:v>
                </c:pt>
                <c:pt idx="2">
                  <c:v>13</c:v>
                </c:pt>
                <c:pt idx="3">
                  <c:v>11</c:v>
                </c:pt>
                <c:pt idx="4">
                  <c:v>11</c:v>
                </c:pt>
                <c:pt idx="5">
                  <c:v>7</c:v>
                </c:pt>
                <c:pt idx="6">
                  <c:v>7</c:v>
                </c:pt>
                <c:pt idx="7">
                  <c:v>15</c:v>
                </c:pt>
                <c:pt idx="8">
                  <c:v>11</c:v>
                </c:pt>
                <c:pt idx="9">
                  <c:v>10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manualLayout>
          <c:xMode val="edge"/>
          <c:yMode val="edge"/>
          <c:x val="0.277559377559378"/>
          <c:y val="0.0248138957816377"/>
          <c:w val="0.387551187551188"/>
          <c:h val="0.12363523573201"/>
        </c:manualLayou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ca616a08-b48d-4414-bef9-cfdef4dba2c0}"/>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Sheet1!$A$19</c:f>
              <c:strCache>
                <c:ptCount val="1"/>
                <c:pt idx="0">
                  <c:v>407</c:v>
                </c:pt>
              </c:strCache>
            </c:strRef>
          </c:tx>
          <c:spPr>
            <a:solidFill>
              <a:srgbClr val="4472C4">
                <a:lumMod val="75000"/>
              </a:srgbClr>
            </a:solidFill>
            <a:ln>
              <a:noFill/>
            </a:ln>
            <a:effectLst/>
          </c:spPr>
          <c:invertIfNegative val="0"/>
          <c:dLbls>
            <c:delete val="1"/>
          </c:dLbls>
          <c:cat>
            <c:numRef>
              <c:f>Sheet1!$B$18:$K$18</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Sheet1!$B$19:$K$19</c:f>
              <c:numCache>
                <c:formatCode>0.00%</c:formatCode>
                <c:ptCount val="10"/>
                <c:pt idx="0">
                  <c:v>0.216020271697051</c:v>
                </c:pt>
                <c:pt idx="1">
                  <c:v>0.156511001464083</c:v>
                </c:pt>
                <c:pt idx="2">
                  <c:v>0.115797904584281</c:v>
                </c:pt>
                <c:pt idx="3">
                  <c:v>0.115364443375112</c:v>
                </c:pt>
                <c:pt idx="4">
                  <c:v>0.153793207946452</c:v>
                </c:pt>
                <c:pt idx="5">
                  <c:v>0.167579791716079</c:v>
                </c:pt>
                <c:pt idx="6">
                  <c:v>0.151278603784142</c:v>
                </c:pt>
                <c:pt idx="7">
                  <c:v>0.118461213117399</c:v>
                </c:pt>
                <c:pt idx="8">
                  <c:v>0.133416282084458</c:v>
                </c:pt>
                <c:pt idx="9">
                  <c:v>0.11925098298418</c:v>
                </c:pt>
              </c:numCache>
            </c:numRef>
          </c:val>
        </c:ser>
        <c:ser>
          <c:idx val="1"/>
          <c:order val="1"/>
          <c:tx>
            <c:strRef>
              <c:f>Sheet1!$A$20</c:f>
              <c:strCache>
                <c:ptCount val="1"/>
                <c:pt idx="0">
                  <c:v>429</c:v>
                </c:pt>
              </c:strCache>
            </c:strRef>
          </c:tx>
          <c:spPr>
            <a:solidFill>
              <a:schemeClr val="accent5">
                <a:shade val="86000"/>
              </a:schemeClr>
            </a:solidFill>
            <a:ln>
              <a:noFill/>
            </a:ln>
            <a:effectLst/>
          </c:spPr>
          <c:invertIfNegative val="0"/>
          <c:dLbls>
            <c:delete val="1"/>
          </c:dLbls>
          <c:cat>
            <c:numRef>
              <c:f>Sheet1!$B$18:$K$18</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Sheet1!$B$20:$K$20</c:f>
              <c:numCache>
                <c:formatCode>0.00%</c:formatCode>
                <c:ptCount val="10"/>
                <c:pt idx="0">
                  <c:v>0.237910888998381</c:v>
                </c:pt>
                <c:pt idx="1">
                  <c:v>0.161205445763798</c:v>
                </c:pt>
                <c:pt idx="2">
                  <c:v>0.214752477592667</c:v>
                </c:pt>
                <c:pt idx="3">
                  <c:v>0.12520172149237</c:v>
                </c:pt>
                <c:pt idx="4">
                  <c:v>0.164219866112313</c:v>
                </c:pt>
                <c:pt idx="5">
                  <c:v>0.202629159918135</c:v>
                </c:pt>
                <c:pt idx="6">
                  <c:v>0.173661662507306</c:v>
                </c:pt>
                <c:pt idx="7">
                  <c:v>0.165776624770704</c:v>
                </c:pt>
                <c:pt idx="8">
                  <c:v>0.155119389674944</c:v>
                </c:pt>
                <c:pt idx="9">
                  <c:v>0.114975575430969</c:v>
                </c:pt>
              </c:numCache>
            </c:numRef>
          </c:val>
        </c:ser>
        <c:ser>
          <c:idx val="2"/>
          <c:order val="2"/>
          <c:tx>
            <c:strRef>
              <c:f>Sheet1!$A$21</c:f>
              <c:strCache>
                <c:ptCount val="1"/>
                <c:pt idx="0">
                  <c:v>505</c:v>
                </c:pt>
              </c:strCache>
            </c:strRef>
          </c:tx>
          <c:spPr>
            <a:solidFill>
              <a:schemeClr val="accent5">
                <a:tint val="86000"/>
              </a:schemeClr>
            </a:solidFill>
            <a:ln>
              <a:noFill/>
            </a:ln>
            <a:effectLst/>
          </c:spPr>
          <c:invertIfNegative val="0"/>
          <c:dLbls>
            <c:delete val="1"/>
          </c:dLbls>
          <c:cat>
            <c:numRef>
              <c:f>Sheet1!$B$18:$K$18</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Sheet1!$B$21:$K$21</c:f>
              <c:numCache>
                <c:formatCode>0.00%</c:formatCode>
                <c:ptCount val="10"/>
                <c:pt idx="0">
                  <c:v>0</c:v>
                </c:pt>
                <c:pt idx="1">
                  <c:v>0</c:v>
                </c:pt>
                <c:pt idx="2">
                  <c:v>0.025177271678552</c:v>
                </c:pt>
                <c:pt idx="3">
                  <c:v>0.114112426160189</c:v>
                </c:pt>
                <c:pt idx="4">
                  <c:v>0.0987274195079976</c:v>
                </c:pt>
                <c:pt idx="5">
                  <c:v>0.0670866813242473</c:v>
                </c:pt>
                <c:pt idx="6">
                  <c:v>0.0778004248032731</c:v>
                </c:pt>
                <c:pt idx="7">
                  <c:v>0.0917297323731231</c:v>
                </c:pt>
                <c:pt idx="8">
                  <c:v>0.0890575794230271</c:v>
                </c:pt>
                <c:pt idx="9">
                  <c:v>0.100636516252507</c:v>
                </c:pt>
              </c:numCache>
            </c:numRef>
          </c:val>
        </c:ser>
        <c:ser>
          <c:idx val="3"/>
          <c:order val="3"/>
          <c:tx>
            <c:strRef>
              <c:f>Sheet1!$A$22</c:f>
              <c:strCache>
                <c:ptCount val="1"/>
                <c:pt idx="0">
                  <c:v>412</c:v>
                </c:pt>
              </c:strCache>
            </c:strRef>
          </c:tx>
          <c:spPr>
            <a:solidFill>
              <a:schemeClr val="accent5">
                <a:tint val="58000"/>
              </a:schemeClr>
            </a:solidFill>
            <a:ln>
              <a:noFill/>
            </a:ln>
            <a:effectLst/>
          </c:spPr>
          <c:invertIfNegative val="0"/>
          <c:dLbls>
            <c:delete val="1"/>
          </c:dLbls>
          <c:cat>
            <c:numRef>
              <c:f>Sheet1!$B$18:$K$18</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Sheet1!$B$22:$K$22</c:f>
              <c:numCache>
                <c:formatCode>0.00%</c:formatCode>
                <c:ptCount val="10"/>
                <c:pt idx="0">
                  <c:v>0.0920672907721546</c:v>
                </c:pt>
                <c:pt idx="1">
                  <c:v>0.0965461186167802</c:v>
                </c:pt>
                <c:pt idx="2">
                  <c:v>0.125447729966305</c:v>
                </c:pt>
                <c:pt idx="3">
                  <c:v>0.110374260475631</c:v>
                </c:pt>
                <c:pt idx="4">
                  <c:v>0.0896040936128692</c:v>
                </c:pt>
                <c:pt idx="5">
                  <c:v>0.0702812851968306</c:v>
                </c:pt>
                <c:pt idx="6">
                  <c:v>0.0594308800580559</c:v>
                </c:pt>
                <c:pt idx="7">
                  <c:v>0.113971429529859</c:v>
                </c:pt>
                <c:pt idx="8">
                  <c:v>0.082322132239773</c:v>
                </c:pt>
                <c:pt idx="9">
                  <c:v>0.0723530509004951</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dd7e7f21-50f8-487e-825c-23123713691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Sheet1!$A$63</c:f>
              <c:strCache>
                <c:ptCount val="1"/>
                <c:pt idx="0">
                  <c:v>Airbus</c:v>
                </c:pt>
              </c:strCache>
            </c:strRef>
          </c:tx>
          <c:spPr>
            <a:solidFill>
              <a:srgbClr val="44546A">
                <a:lumMod val="60000"/>
                <a:lumOff val="40000"/>
              </a:srgbClr>
            </a:solidFill>
            <a:ln>
              <a:noFill/>
            </a:ln>
            <a:effectLst/>
          </c:spPr>
          <c:invertIfNegative val="0"/>
          <c:dLbls>
            <c:delete val="1"/>
          </c:dLbls>
          <c:cat>
            <c:numRef>
              <c:f>Sheet1!$B$62:$K$62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Sheet1!$B$63:$K$63</c:f>
              <c:numCache>
                <c:formatCode>0%</c:formatCode>
                <c:ptCount val="10"/>
                <c:pt idx="0">
                  <c:v>0.488</c:v>
                </c:pt>
                <c:pt idx="1">
                  <c:v>0.481</c:v>
                </c:pt>
                <c:pt idx="2">
                  <c:v>0.454</c:v>
                </c:pt>
                <c:pt idx="3">
                  <c:v>0.486</c:v>
                </c:pt>
                <c:pt idx="4">
                  <c:v>0.458</c:v>
                </c:pt>
                <c:pt idx="5">
                  <c:v>0.538</c:v>
                </c:pt>
                <c:pt idx="6">
                  <c:v>0.496</c:v>
                </c:pt>
                <c:pt idx="7">
                  <c:v>0.565</c:v>
                </c:pt>
                <c:pt idx="8">
                  <c:v>0.476</c:v>
                </c:pt>
                <c:pt idx="9">
                  <c:v>0.567</c:v>
                </c:pt>
              </c:numCache>
            </c:numRef>
          </c:val>
        </c:ser>
        <c:ser>
          <c:idx val="1"/>
          <c:order val="1"/>
          <c:tx>
            <c:strRef>
              <c:f>Sheet1!$A$64</c:f>
              <c:strCache>
                <c:ptCount val="1"/>
                <c:pt idx="0">
                  <c:v>Leonardo</c:v>
                </c:pt>
              </c:strCache>
            </c:strRef>
          </c:tx>
          <c:spPr>
            <a:solidFill>
              <a:schemeClr val="accent5">
                <a:shade val="86000"/>
              </a:schemeClr>
            </a:solidFill>
            <a:ln>
              <a:noFill/>
            </a:ln>
            <a:effectLst/>
          </c:spPr>
          <c:invertIfNegative val="0"/>
          <c:dLbls>
            <c:delete val="1"/>
          </c:dLbls>
          <c:cat>
            <c:numRef>
              <c:f>Sheet1!$B$62:$K$62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Sheet1!$B$64:$K$64</c:f>
              <c:numCache>
                <c:formatCode>0%</c:formatCode>
                <c:ptCount val="10"/>
                <c:pt idx="0">
                  <c:v>0.306</c:v>
                </c:pt>
                <c:pt idx="1">
                  <c:v>0.269</c:v>
                </c:pt>
                <c:pt idx="2">
                  <c:v>0.302</c:v>
                </c:pt>
                <c:pt idx="3">
                  <c:v>0.287</c:v>
                </c:pt>
                <c:pt idx="4">
                  <c:v>0.242</c:v>
                </c:pt>
                <c:pt idx="5">
                  <c:v>0.184</c:v>
                </c:pt>
                <c:pt idx="6">
                  <c:v>0.266</c:v>
                </c:pt>
                <c:pt idx="7">
                  <c:v>0.167</c:v>
                </c:pt>
                <c:pt idx="8">
                  <c:v>0.196</c:v>
                </c:pt>
                <c:pt idx="9">
                  <c:v>0.194</c:v>
                </c:pt>
              </c:numCache>
            </c:numRef>
          </c:val>
        </c:ser>
        <c:ser>
          <c:idx val="2"/>
          <c:order val="2"/>
          <c:tx>
            <c:strRef>
              <c:f>Sheet1!$A$65</c:f>
              <c:strCache>
                <c:ptCount val="1"/>
                <c:pt idx="0">
                  <c:v>Bell</c:v>
                </c:pt>
              </c:strCache>
            </c:strRef>
          </c:tx>
          <c:spPr>
            <a:solidFill>
              <a:schemeClr val="accent5">
                <a:tint val="86000"/>
              </a:schemeClr>
            </a:solidFill>
            <a:ln>
              <a:noFill/>
            </a:ln>
            <a:effectLst/>
          </c:spPr>
          <c:invertIfNegative val="0"/>
          <c:dLbls>
            <c:delete val="1"/>
          </c:dLbls>
          <c:cat>
            <c:numRef>
              <c:f>Sheet1!$B$62:$K$62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Sheet1!$B$65:$K$65</c:f>
              <c:numCache>
                <c:formatCode>0%</c:formatCode>
                <c:ptCount val="10"/>
                <c:pt idx="0">
                  <c:v>0.196</c:v>
                </c:pt>
                <c:pt idx="1">
                  <c:v>0.153</c:v>
                </c:pt>
                <c:pt idx="2">
                  <c:v>0.169</c:v>
                </c:pt>
                <c:pt idx="3">
                  <c:v>0.169</c:v>
                </c:pt>
                <c:pt idx="4">
                  <c:v>0.225</c:v>
                </c:pt>
                <c:pt idx="5">
                  <c:v>0.221</c:v>
                </c:pt>
                <c:pt idx="6">
                  <c:v>0.167</c:v>
                </c:pt>
                <c:pt idx="7">
                  <c:v>0.187</c:v>
                </c:pt>
                <c:pt idx="8">
                  <c:v>0.182</c:v>
                </c:pt>
                <c:pt idx="9">
                  <c:v>0.176</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ca9896db-501b-41ff-9ab8-4b4141ffc6fe}"/>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'PART 3.2'!$B$69</c:f>
              <c:strCache>
                <c:ptCount val="1"/>
                <c:pt idx="0">
                  <c:v>United States</c:v>
                </c:pt>
              </c:strCache>
            </c:strRef>
          </c:tx>
          <c:spPr>
            <a:solidFill>
              <a:srgbClr val="002060"/>
            </a:solidFill>
            <a:ln>
              <a:noFill/>
            </a:ln>
            <a:effectLst/>
          </c:spPr>
          <c:invertIfNegative val="0"/>
          <c:dLbls>
            <c:delete val="1"/>
          </c:dLbls>
          <c:cat>
            <c:numRef>
              <c:f>'PART 3.2'!$C$68:$E$68</c:f>
              <c:numCache>
                <c:formatCode>General</c:formatCode>
                <c:ptCount val="3"/>
                <c:pt idx="0">
                  <c:v>2022</c:v>
                </c:pt>
                <c:pt idx="1">
                  <c:v>2023</c:v>
                </c:pt>
                <c:pt idx="2">
                  <c:v>2024</c:v>
                </c:pt>
              </c:numCache>
            </c:numRef>
          </c:cat>
          <c:val>
            <c:numRef>
              <c:f>'PART 3.2'!$C$69:$E$69</c:f>
              <c:numCache>
                <c:formatCode>#,##0</c:formatCode>
                <c:ptCount val="3"/>
                <c:pt idx="0">
                  <c:v>2242</c:v>
                </c:pt>
                <c:pt idx="1">
                  <c:v>2228</c:v>
                </c:pt>
                <c:pt idx="2">
                  <c:v>2644</c:v>
                </c:pt>
              </c:numCache>
            </c:numRef>
          </c:val>
        </c:ser>
        <c:ser>
          <c:idx val="1"/>
          <c:order val="1"/>
          <c:tx>
            <c:strRef>
              <c:f>'PART 3.2'!$B$70</c:f>
              <c:strCache>
                <c:ptCount val="1"/>
                <c:pt idx="0">
                  <c:v>Europe</c:v>
                </c:pt>
              </c:strCache>
            </c:strRef>
          </c:tx>
          <c:spPr>
            <a:solidFill>
              <a:schemeClr val="accent2">
                <a:lumMod val="60000"/>
                <a:lumOff val="40000"/>
              </a:schemeClr>
            </a:solidFill>
            <a:ln>
              <a:noFill/>
            </a:ln>
            <a:effectLst/>
          </c:spPr>
          <c:invertIfNegative val="0"/>
          <c:dLbls>
            <c:delete val="1"/>
          </c:dLbls>
          <c:cat>
            <c:numRef>
              <c:f>'PART 3.2'!$C$68:$E$68</c:f>
              <c:numCache>
                <c:formatCode>General</c:formatCode>
                <c:ptCount val="3"/>
                <c:pt idx="0">
                  <c:v>2022</c:v>
                </c:pt>
                <c:pt idx="1">
                  <c:v>2023</c:v>
                </c:pt>
                <c:pt idx="2">
                  <c:v>2024</c:v>
                </c:pt>
              </c:numCache>
            </c:numRef>
          </c:cat>
          <c:val>
            <c:numRef>
              <c:f>'PART 3.2'!$C$70:$E$70</c:f>
              <c:numCache>
                <c:formatCode>General</c:formatCode>
                <c:ptCount val="3"/>
                <c:pt idx="0">
                  <c:v>139</c:v>
                </c:pt>
                <c:pt idx="1">
                  <c:v>149</c:v>
                </c:pt>
                <c:pt idx="2">
                  <c:v>85</c:v>
                </c:pt>
              </c:numCache>
            </c:numRef>
          </c:val>
        </c:ser>
        <c:ser>
          <c:idx val="2"/>
          <c:order val="2"/>
          <c:tx>
            <c:strRef>
              <c:f>'PART 3.2'!$B$71</c:f>
              <c:strCache>
                <c:ptCount val="1"/>
                <c:pt idx="0">
                  <c:v>Other</c:v>
                </c:pt>
              </c:strCache>
            </c:strRef>
          </c:tx>
          <c:spPr>
            <a:solidFill>
              <a:schemeClr val="bg1">
                <a:lumMod val="85000"/>
              </a:schemeClr>
            </a:solidFill>
            <a:ln>
              <a:noFill/>
            </a:ln>
            <a:effectLst/>
          </c:spPr>
          <c:invertIfNegative val="0"/>
          <c:dLbls>
            <c:delete val="1"/>
          </c:dLbls>
          <c:cat>
            <c:numRef>
              <c:f>'PART 3.2'!$C$68:$E$68</c:f>
              <c:numCache>
                <c:formatCode>General</c:formatCode>
                <c:ptCount val="3"/>
                <c:pt idx="0">
                  <c:v>2022</c:v>
                </c:pt>
                <c:pt idx="1">
                  <c:v>2023</c:v>
                </c:pt>
                <c:pt idx="2">
                  <c:v>2024</c:v>
                </c:pt>
              </c:numCache>
            </c:numRef>
          </c:cat>
          <c:val>
            <c:numRef>
              <c:f>'PART 3.2'!$C$71:$E$71</c:f>
              <c:numCache>
                <c:formatCode>General</c:formatCode>
                <c:ptCount val="3"/>
                <c:pt idx="0">
                  <c:v>710</c:v>
                </c:pt>
                <c:pt idx="1">
                  <c:v>770</c:v>
                </c:pt>
                <c:pt idx="2">
                  <c:v>850</c:v>
                </c:pt>
              </c:numCache>
            </c:numRef>
          </c:val>
        </c:ser>
        <c:dLbls>
          <c:showLegendKey val="0"/>
          <c:showVal val="0"/>
          <c:showCatName val="0"/>
          <c:showSerName val="0"/>
          <c:showPercent val="0"/>
          <c:showBubbleSize val="0"/>
        </c:dLbls>
        <c:gapWidth val="219"/>
        <c:overlap val="-27"/>
        <c:axId val="854368383"/>
        <c:axId val="854365983"/>
      </c:barChart>
      <c:catAx>
        <c:axId val="85436838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854365983"/>
        <c:crosses val="autoZero"/>
        <c:auto val="1"/>
        <c:lblAlgn val="ctr"/>
        <c:lblOffset val="100"/>
        <c:noMultiLvlLbl val="0"/>
      </c:catAx>
      <c:valAx>
        <c:axId val="854365983"/>
        <c:scaling>
          <c:orientation val="minMax"/>
        </c:scaling>
        <c:delete val="0"/>
        <c:axPos val="l"/>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854368383"/>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legend>
    <c:plotVisOnly val="1"/>
    <c:dispBlanksAs val="gap"/>
    <c:showDLblsOverMax val="0"/>
    <c:extLst>
      <c:ext uri="{0b15fc19-7d7d-44ad-8c2d-2c3a37ce22c3}">
        <chartProps xmlns="https://web.wps.cn/et/2018/main" chartId="{23d4c53f-7f33-406c-96c6-a09b1e145fc4}"/>
      </c:ext>
    </c:extLst>
  </c:chart>
  <c:spPr>
    <a:solidFill>
      <a:schemeClr val="bg1"/>
    </a:solidFill>
    <a:ln w="9525" cap="flat" cmpd="sng" algn="ctr">
      <a:noFill/>
      <a:round/>
    </a:ln>
    <a:effectLst/>
  </c:spPr>
  <c:txPr>
    <a:bodyPr/>
    <a:lstStyle/>
    <a:p>
      <a:pPr>
        <a:defRPr lang="zh-CN" sz="900" baseline="0">
          <a:latin typeface="Calibri" panose="020F0502020204030204" pitchFamily="2"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交付量!$F$16</c:f>
              <c:strCache>
                <c:ptCount val="1"/>
                <c:pt idx="0">
                  <c:v>2025</c:v>
                </c:pt>
              </c:strCache>
            </c:strRef>
          </c:tx>
          <c:spPr>
            <a:solidFill>
              <a:srgbClr val="002060"/>
            </a:solidFill>
            <a:ln>
              <a:solidFill>
                <a:srgbClr val="002060"/>
              </a:solidFill>
            </a:ln>
            <a:effectLst/>
          </c:spPr>
          <c:invertIfNegative val="0"/>
          <c:dLbls>
            <c:delete val="1"/>
          </c:dLbls>
          <c:cat>
            <c:strRef>
              <c:f>交付量!$G$15:$J$15</c:f>
              <c:strCache>
                <c:ptCount val="4"/>
                <c:pt idx="0">
                  <c:v>Q1</c:v>
                </c:pt>
                <c:pt idx="1">
                  <c:v>Q2</c:v>
                </c:pt>
                <c:pt idx="2">
                  <c:v>Q3</c:v>
                </c:pt>
                <c:pt idx="3">
                  <c:v>Q4</c:v>
                </c:pt>
              </c:strCache>
            </c:strRef>
          </c:cat>
          <c:val>
            <c:numRef>
              <c:f>交付量!$G$16:$J$16</c:f>
              <c:numCache>
                <c:formatCode>General</c:formatCode>
                <c:ptCount val="4"/>
                <c:pt idx="0">
                  <c:v>29</c:v>
                </c:pt>
                <c:pt idx="1">
                  <c:v>32</c:v>
                </c:pt>
                <c:pt idx="2">
                  <c:v>30</c:v>
                </c:pt>
                <c:pt idx="3">
                  <c:v>78</c:v>
                </c:pt>
              </c:numCache>
            </c:numRef>
          </c:val>
        </c:ser>
        <c:ser>
          <c:idx val="1"/>
          <c:order val="1"/>
          <c:tx>
            <c:strRef>
              <c:f>交付量!$F$17</c:f>
              <c:strCache>
                <c:ptCount val="1"/>
                <c:pt idx="0">
                  <c:v>2024</c:v>
                </c:pt>
              </c:strCache>
            </c:strRef>
          </c:tx>
          <c:spPr>
            <a:solidFill>
              <a:schemeClr val="bg1">
                <a:lumMod val="85000"/>
              </a:schemeClr>
            </a:solidFill>
            <a:ln>
              <a:solidFill>
                <a:schemeClr val="bg1">
                  <a:lumMod val="85000"/>
                </a:schemeClr>
              </a:solidFill>
            </a:ln>
            <a:effectLst/>
          </c:spPr>
          <c:invertIfNegative val="0"/>
          <c:dLbls>
            <c:delete val="1"/>
          </c:dLbls>
          <c:cat>
            <c:strRef>
              <c:f>交付量!$G$15:$J$15</c:f>
              <c:strCache>
                <c:ptCount val="4"/>
                <c:pt idx="0">
                  <c:v>Q1</c:v>
                </c:pt>
                <c:pt idx="1">
                  <c:v>Q2</c:v>
                </c:pt>
                <c:pt idx="2">
                  <c:v>Q3</c:v>
                </c:pt>
                <c:pt idx="3">
                  <c:v>Q4</c:v>
                </c:pt>
              </c:strCache>
            </c:strRef>
          </c:cat>
          <c:val>
            <c:numRef>
              <c:f>交付量!$G$17:$J$17</c:f>
              <c:numCache>
                <c:formatCode>General</c:formatCode>
                <c:ptCount val="4"/>
                <c:pt idx="0">
                  <c:v>18</c:v>
                </c:pt>
                <c:pt idx="1">
                  <c:v>32</c:v>
                </c:pt>
                <c:pt idx="2">
                  <c:v>44</c:v>
                </c:pt>
                <c:pt idx="3">
                  <c:v>78</c:v>
                </c:pt>
              </c:numCache>
            </c:numRef>
          </c:val>
        </c:ser>
        <c:dLbls>
          <c:showLegendKey val="0"/>
          <c:showVal val="0"/>
          <c:showCatName val="0"/>
          <c:showSerName val="0"/>
          <c:showPercent val="0"/>
          <c:showBubbleSize val="0"/>
        </c:dLbls>
        <c:gapWidth val="150"/>
        <c:axId val="1936763760"/>
        <c:axId val="1936764720"/>
      </c:barChart>
      <c:catAx>
        <c:axId val="1936763760"/>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1936764720"/>
        <c:crosses val="autoZero"/>
        <c:auto val="1"/>
        <c:lblAlgn val="ctr"/>
        <c:lblOffset val="100"/>
        <c:noMultiLvlLbl val="0"/>
      </c:catAx>
      <c:valAx>
        <c:axId val="1936764720"/>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crossAx val="1936763760"/>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mn-ea"/>
              <a:cs typeface="+mn-cs"/>
            </a:defRPr>
          </a:pPr>
        </a:p>
      </c:txPr>
    </c:legend>
    <c:plotVisOnly val="1"/>
    <c:dispBlanksAs val="gap"/>
    <c:showDLblsOverMax val="0"/>
    <c:extLst>
      <c:ext uri="{0b15fc19-7d7d-44ad-8c2d-2c3a37ce22c3}">
        <chartProps xmlns="https://web.wps.cn/et/2018/main" chartId="{e0a6ecc0-0639-456c-968f-ac8732d7c6e3}"/>
      </c:ext>
    </c:extLst>
  </c:chart>
  <c:spPr>
    <a:solidFill>
      <a:schemeClr val="bg1"/>
    </a:solidFill>
    <a:ln w="9525" cap="flat" cmpd="sng" algn="ctr">
      <a:noFill/>
      <a:round/>
    </a:ln>
    <a:effectLst/>
  </c:spPr>
  <c:txPr>
    <a:bodyPr/>
    <a:lstStyle/>
    <a:p>
      <a:pPr>
        <a:defRPr lang="zh-CN" sz="900" baseline="0">
          <a:latin typeface="Calibri" panose="020F0502020204030204" pitchFamily="2"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industrial!$F$7</c:f>
              <c:strCache>
                <c:ptCount val="1"/>
                <c:pt idx="0">
                  <c:v>Industrial segment</c:v>
                </c:pt>
              </c:strCache>
            </c:strRef>
          </c:tx>
          <c:spPr>
            <a:solidFill>
              <a:srgbClr val="2F5597"/>
            </a:solidFill>
            <a:ln>
              <a:noFill/>
            </a:ln>
            <a:effectLst/>
          </c:spPr>
          <c:invertIfNegative val="0"/>
          <c:dLbls>
            <c:delete val="1"/>
          </c:dLbls>
          <c:cat>
            <c:numRef>
              <c:f>industrial!$G$6:$R$6</c:f>
              <c:numCache>
                <c:formatCode>General</c:formatCode>
                <c:ptCount val="12"/>
                <c:pt idx="0">
                  <c:v>2014</c:v>
                </c:pt>
                <c:pt idx="1">
                  <c:v>2015</c:v>
                </c:pt>
                <c:pt idx="2">
                  <c:v>2016</c:v>
                </c:pt>
                <c:pt idx="3">
                  <c:v>2017</c:v>
                </c:pt>
                <c:pt idx="4">
                  <c:v>2018</c:v>
                </c:pt>
                <c:pt idx="5">
                  <c:v>2019</c:v>
                </c:pt>
                <c:pt idx="6">
                  <c:v>2020</c:v>
                </c:pt>
                <c:pt idx="7">
                  <c:v>2021</c:v>
                </c:pt>
                <c:pt idx="8">
                  <c:v>2022</c:v>
                </c:pt>
                <c:pt idx="9">
                  <c:v>2023</c:v>
                </c:pt>
                <c:pt idx="10">
                  <c:v>2024</c:v>
                </c:pt>
                <c:pt idx="11">
                  <c:v>2025</c:v>
                </c:pt>
              </c:numCache>
            </c:numRef>
          </c:cat>
          <c:val>
            <c:numRef>
              <c:f>industrial!$G$7:$R$7</c:f>
              <c:numCache>
                <c:formatCode>#,##0_);\(#,##0\)</c:formatCode>
                <c:ptCount val="12"/>
                <c:pt idx="0">
                  <c:v>3338</c:v>
                </c:pt>
                <c:pt idx="1">
                  <c:v>3544</c:v>
                </c:pt>
                <c:pt idx="2">
                  <c:v>3794</c:v>
                </c:pt>
                <c:pt idx="3">
                  <c:v>4286</c:v>
                </c:pt>
                <c:pt idx="4">
                  <c:v>4291</c:v>
                </c:pt>
                <c:pt idx="5">
                  <c:v>3798</c:v>
                </c:pt>
                <c:pt idx="6">
                  <c:v>3000</c:v>
                </c:pt>
                <c:pt idx="7">
                  <c:v>3130</c:v>
                </c:pt>
                <c:pt idx="8">
                  <c:v>3465</c:v>
                </c:pt>
                <c:pt idx="9">
                  <c:v>3841</c:v>
                </c:pt>
                <c:pt idx="10">
                  <c:v>3515</c:v>
                </c:pt>
                <c:pt idx="11" c:formatCode="#,##0">
                  <c:v>3213</c:v>
                </c:pt>
              </c:numCache>
            </c:numRef>
          </c:val>
        </c:ser>
        <c:dLbls>
          <c:showLegendKey val="0"/>
          <c:showVal val="0"/>
          <c:showCatName val="0"/>
          <c:showSerName val="0"/>
          <c:showPercent val="0"/>
          <c:showBubbleSize val="0"/>
        </c:dLbls>
        <c:gapWidth val="219"/>
        <c:overlap val="-27"/>
        <c:axId val="645972351"/>
        <c:axId val="645980511"/>
      </c:barChart>
      <c:lineChart>
        <c:grouping val="standard"/>
        <c:varyColors val="0"/>
        <c:ser>
          <c:idx val="1"/>
          <c:order val="1"/>
          <c:tx>
            <c:strRef>
              <c:f>industrial!$F$8</c:f>
              <c:strCache>
                <c:ptCount val="1"/>
                <c:pt idx="0">
                  <c:v>yoy</c:v>
                </c:pt>
              </c:strCache>
            </c:strRef>
          </c:tx>
          <c:spPr>
            <a:ln w="28575" cap="rnd">
              <a:solidFill>
                <a:srgbClr val="8497B0"/>
              </a:solidFill>
              <a:round/>
            </a:ln>
            <a:effectLst/>
          </c:spPr>
          <c:marker>
            <c:symbol val="none"/>
          </c:marker>
          <c:dLbls>
            <c:delete val="1"/>
          </c:dLbls>
          <c:cat>
            <c:numRef>
              <c:f>industrial!$G$6:$R$6</c:f>
              <c:numCache>
                <c:formatCode>General</c:formatCode>
                <c:ptCount val="12"/>
                <c:pt idx="0">
                  <c:v>2014</c:v>
                </c:pt>
                <c:pt idx="1">
                  <c:v>2015</c:v>
                </c:pt>
                <c:pt idx="2">
                  <c:v>2016</c:v>
                </c:pt>
                <c:pt idx="3">
                  <c:v>2017</c:v>
                </c:pt>
                <c:pt idx="4">
                  <c:v>2018</c:v>
                </c:pt>
                <c:pt idx="5">
                  <c:v>2019</c:v>
                </c:pt>
                <c:pt idx="6">
                  <c:v>2020</c:v>
                </c:pt>
                <c:pt idx="7">
                  <c:v>2021</c:v>
                </c:pt>
                <c:pt idx="8">
                  <c:v>2022</c:v>
                </c:pt>
                <c:pt idx="9">
                  <c:v>2023</c:v>
                </c:pt>
                <c:pt idx="10">
                  <c:v>2024</c:v>
                </c:pt>
                <c:pt idx="11">
                  <c:v>2025</c:v>
                </c:pt>
              </c:numCache>
            </c:numRef>
          </c:cat>
          <c:val>
            <c:numRef>
              <c:f>industrial!$G$8:$R$8</c:f>
              <c:numCache>
                <c:formatCode>General</c:formatCode>
                <c:ptCount val="12"/>
                <c:pt idx="1" c:formatCode="0.00%">
                  <c:v>0.0617136009586579</c:v>
                </c:pt>
                <c:pt idx="2" c:formatCode="0.00%">
                  <c:v>0.0705417607223475</c:v>
                </c:pt>
                <c:pt idx="3" c:formatCode="0.00%">
                  <c:v>0.129678439641539</c:v>
                </c:pt>
                <c:pt idx="4" c:formatCode="0.00%">
                  <c:v>0.00116658889407373</c:v>
                </c:pt>
                <c:pt idx="5" c:formatCode="0.00%">
                  <c:v>-0.114891633651829</c:v>
                </c:pt>
                <c:pt idx="6" c:formatCode="0.00%">
                  <c:v>-0.210110584518167</c:v>
                </c:pt>
                <c:pt idx="7" c:formatCode="0.00%">
                  <c:v>0.0433333333333332</c:v>
                </c:pt>
                <c:pt idx="8" c:formatCode="0.00%">
                  <c:v>0.10702875399361</c:v>
                </c:pt>
                <c:pt idx="9" c:formatCode="0.00%">
                  <c:v>0.108513708513708</c:v>
                </c:pt>
                <c:pt idx="10" c:formatCode="0.00%">
                  <c:v>-0.0848737307992711</c:v>
                </c:pt>
                <c:pt idx="11" c:formatCode="0.00%">
                  <c:v>-0.0859174964438122</c:v>
                </c:pt>
              </c:numCache>
            </c:numRef>
          </c:val>
          <c:smooth val="0"/>
        </c:ser>
        <c:dLbls>
          <c:showLegendKey val="0"/>
          <c:showVal val="0"/>
          <c:showCatName val="0"/>
          <c:showSerName val="0"/>
          <c:showPercent val="0"/>
          <c:showBubbleSize val="0"/>
        </c:dLbls>
        <c:marker val="0"/>
        <c:smooth val="0"/>
        <c:axId val="650676863"/>
        <c:axId val="645981951"/>
      </c:lineChart>
      <c:catAx>
        <c:axId val="645972351"/>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mn-ea"/>
                <a:cs typeface="+mn-cs"/>
              </a:defRPr>
            </a:pPr>
          </a:p>
        </c:txPr>
        <c:crossAx val="645980511"/>
        <c:crosses val="autoZero"/>
        <c:auto val="1"/>
        <c:lblAlgn val="ctr"/>
        <c:lblOffset val="100"/>
        <c:noMultiLvlLbl val="0"/>
      </c:catAx>
      <c:valAx>
        <c:axId val="645980511"/>
        <c:scaling>
          <c:orientation val="minMax"/>
        </c:scaling>
        <c:delete val="0"/>
        <c:axPos val="l"/>
        <c:numFmt formatCode="#,##0_);\(#,##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mn-ea"/>
                <a:cs typeface="+mn-cs"/>
              </a:defRPr>
            </a:pPr>
          </a:p>
        </c:txPr>
        <c:crossAx val="645972351"/>
        <c:crosses val="autoZero"/>
        <c:crossBetween val="between"/>
      </c:valAx>
      <c:catAx>
        <c:axId val="650676863"/>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mn-ea"/>
                <a:cs typeface="+mn-cs"/>
              </a:defRPr>
            </a:pPr>
          </a:p>
        </c:txPr>
        <c:crossAx val="645981951"/>
        <c:crosses val="autoZero"/>
        <c:auto val="1"/>
        <c:lblAlgn val="ctr"/>
        <c:lblOffset val="100"/>
        <c:noMultiLvlLbl val="0"/>
      </c:catAx>
      <c:valAx>
        <c:axId val="645981951"/>
        <c:scaling>
          <c:orientation val="minMax"/>
        </c:scaling>
        <c:delete val="0"/>
        <c:axPos val="r"/>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mn-ea"/>
                <a:cs typeface="+mn-cs"/>
              </a:defRPr>
            </a:pPr>
          </a:p>
        </c:txPr>
        <c:crossAx val="650676863"/>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mn-ea"/>
              <a:cs typeface="+mn-cs"/>
            </a:defRPr>
          </a:pPr>
        </a:p>
      </c:txPr>
    </c:legend>
    <c:plotVisOnly val="1"/>
    <c:dispBlanksAs val="gap"/>
    <c:showDLblsOverMax val="0"/>
    <c:extLst>
      <c:ext uri="{0b15fc19-7d7d-44ad-8c2d-2c3a37ce22c3}">
        <chartProps xmlns="https://web.wps.cn/et/2018/main" chartId="{410e28a6-8ec8-404a-8c44-b2fe481bd4c1}"/>
      </c:ext>
    </c:extLst>
  </c:chart>
  <c:spPr>
    <a:solidFill>
      <a:schemeClr val="bg1"/>
    </a:solidFill>
    <a:ln w="9525" cap="flat" cmpd="sng" algn="ctr">
      <a:noFill/>
      <a:round/>
    </a:ln>
    <a:effectLst/>
  </c:spPr>
  <c:txPr>
    <a:bodyPr/>
    <a:lstStyle/>
    <a:p>
      <a:pPr>
        <a:defRPr lang="zh-CN" sz="900" baseline="0">
          <a:solidFill>
            <a:schemeClr val="tx1"/>
          </a:solidFill>
          <a:latin typeface="Calibri" panose="020F0502020204030204" pitchFamily="2" charset="0"/>
        </a:defRPr>
      </a:pPr>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stacked"/>
        <c:varyColors val="0"/>
        <c:ser>
          <c:idx val="0"/>
          <c:order val="0"/>
          <c:tx>
            <c:strRef>
              <c:f>PART4!$D$42</c:f>
              <c:strCache>
                <c:ptCount val="1"/>
                <c:pt idx="0">
                  <c:v>China PHEV</c:v>
                </c:pt>
              </c:strCache>
            </c:strRef>
          </c:tx>
          <c:spPr>
            <a:solidFill>
              <a:srgbClr val="4472C4">
                <a:lumMod val="50000"/>
              </a:srgbClr>
            </a:solidFill>
            <a:ln>
              <a:noFill/>
            </a:ln>
            <a:effectLst/>
          </c:spPr>
          <c:invertIfNegative val="0"/>
          <c:dLbls>
            <c:delete val="1"/>
          </c:dLbls>
          <c:cat>
            <c:numRef>
              <c:f>PART4!$E$41:$O$41</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PART4!$E$42:$O$42</c:f>
              <c:numCache>
                <c:formatCode>General</c:formatCode>
                <c:ptCount val="11"/>
                <c:pt idx="1">
                  <c:v>0.1</c:v>
                </c:pt>
                <c:pt idx="2">
                  <c:v>0.1</c:v>
                </c:pt>
                <c:pt idx="3">
                  <c:v>0.1</c:v>
                </c:pt>
                <c:pt idx="4">
                  <c:v>0.3</c:v>
                </c:pt>
                <c:pt idx="5">
                  <c:v>0.2</c:v>
                </c:pt>
                <c:pt idx="6">
                  <c:v>0.2</c:v>
                </c:pt>
                <c:pt idx="7">
                  <c:v>0.5</c:v>
                </c:pt>
                <c:pt idx="8">
                  <c:v>1.5</c:v>
                </c:pt>
                <c:pt idx="9">
                  <c:v>2.7</c:v>
                </c:pt>
                <c:pt idx="10">
                  <c:v>4.9</c:v>
                </c:pt>
              </c:numCache>
            </c:numRef>
          </c:val>
        </c:ser>
        <c:ser>
          <c:idx val="1"/>
          <c:order val="1"/>
          <c:tx>
            <c:strRef>
              <c:f>PART4!$D$43</c:f>
              <c:strCache>
                <c:ptCount val="1"/>
                <c:pt idx="0">
                  <c:v>Europe PHEV</c:v>
                </c:pt>
              </c:strCache>
            </c:strRef>
          </c:tx>
          <c:spPr>
            <a:solidFill>
              <a:schemeClr val="accent5">
                <a:shade val="86000"/>
              </a:schemeClr>
            </a:solidFill>
            <a:ln>
              <a:noFill/>
            </a:ln>
            <a:effectLst/>
          </c:spPr>
          <c:invertIfNegative val="0"/>
          <c:dLbls>
            <c:delete val="1"/>
          </c:dLbls>
          <c:cat>
            <c:numRef>
              <c:f>PART4!$E$41:$O$41</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PART4!$E$43:$O$43</c:f>
              <c:numCache>
                <c:formatCode>General</c:formatCode>
                <c:ptCount val="11"/>
                <c:pt idx="1">
                  <c:v>0.1</c:v>
                </c:pt>
                <c:pt idx="2">
                  <c:v>0.1</c:v>
                </c:pt>
                <c:pt idx="3">
                  <c:v>0.2</c:v>
                </c:pt>
                <c:pt idx="4">
                  <c:v>0.2</c:v>
                </c:pt>
                <c:pt idx="5">
                  <c:v>0.2</c:v>
                </c:pt>
                <c:pt idx="6">
                  <c:v>0.6</c:v>
                </c:pt>
                <c:pt idx="7">
                  <c:v>1.1</c:v>
                </c:pt>
                <c:pt idx="8">
                  <c:v>1</c:v>
                </c:pt>
                <c:pt idx="9">
                  <c:v>1</c:v>
                </c:pt>
                <c:pt idx="10">
                  <c:v>1</c:v>
                </c:pt>
              </c:numCache>
            </c:numRef>
          </c:val>
        </c:ser>
        <c:ser>
          <c:idx val="2"/>
          <c:order val="2"/>
          <c:tx>
            <c:strRef>
              <c:f>PART4!$D$44</c:f>
              <c:strCache>
                <c:ptCount val="1"/>
                <c:pt idx="0">
                  <c:v>U.S. PHEV</c:v>
                </c:pt>
              </c:strCache>
            </c:strRef>
          </c:tx>
          <c:spPr>
            <a:solidFill>
              <a:schemeClr val="accent5">
                <a:tint val="86000"/>
              </a:schemeClr>
            </a:solidFill>
            <a:ln>
              <a:noFill/>
            </a:ln>
            <a:effectLst/>
          </c:spPr>
          <c:invertIfNegative val="0"/>
          <c:dLbls>
            <c:delete val="1"/>
          </c:dLbls>
          <c:cat>
            <c:numRef>
              <c:f>PART4!$E$41:$O$41</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PART4!$E$44:$O$44</c:f>
              <c:numCache>
                <c:formatCode>General</c:formatCode>
                <c:ptCount val="11"/>
                <c:pt idx="0">
                  <c:v>0.1</c:v>
                </c:pt>
                <c:pt idx="2">
                  <c:v>0.1</c:v>
                </c:pt>
                <c:pt idx="3">
                  <c:v>0.1</c:v>
                </c:pt>
                <c:pt idx="4">
                  <c:v>0.1</c:v>
                </c:pt>
                <c:pt idx="5">
                  <c:v>0.1</c:v>
                </c:pt>
                <c:pt idx="6">
                  <c:v>0.1</c:v>
                </c:pt>
                <c:pt idx="7">
                  <c:v>0.2</c:v>
                </c:pt>
                <c:pt idx="8">
                  <c:v>0.2</c:v>
                </c:pt>
                <c:pt idx="9">
                  <c:v>0.3</c:v>
                </c:pt>
                <c:pt idx="10">
                  <c:v>0.3</c:v>
                </c:pt>
              </c:numCache>
            </c:numRef>
          </c:val>
        </c:ser>
        <c:ser>
          <c:idx val="3"/>
          <c:order val="3"/>
          <c:tx>
            <c:strRef>
              <c:f>PART4!$D$45</c:f>
              <c:strCache>
                <c:ptCount val="1"/>
                <c:pt idx="0">
                  <c:v>Other PHEV</c:v>
                </c:pt>
              </c:strCache>
            </c:strRef>
          </c:tx>
          <c:spPr>
            <a:solidFill>
              <a:schemeClr val="accent5">
                <a:tint val="58000"/>
              </a:schemeClr>
            </a:solidFill>
            <a:ln>
              <a:noFill/>
            </a:ln>
            <a:effectLst/>
          </c:spPr>
          <c:invertIfNegative val="0"/>
          <c:dLbls>
            <c:delete val="1"/>
          </c:dLbls>
          <c:cat>
            <c:numRef>
              <c:f>PART4!$E$41:$O$41</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PART4!$E$45:$O$45</c:f>
              <c:numCache>
                <c:formatCode>General</c:formatCode>
                <c:ptCount val="11"/>
                <c:pt idx="3">
                  <c:v>0.1</c:v>
                </c:pt>
                <c:pt idx="4">
                  <c:v>0.1</c:v>
                </c:pt>
                <c:pt idx="5">
                  <c:v>0.1</c:v>
                </c:pt>
                <c:pt idx="6">
                  <c:v>0.1</c:v>
                </c:pt>
                <c:pt idx="7">
                  <c:v>0.1</c:v>
                </c:pt>
                <c:pt idx="8">
                  <c:v>0.1</c:v>
                </c:pt>
                <c:pt idx="9">
                  <c:v>0.2</c:v>
                </c:pt>
                <c:pt idx="10">
                  <c:v>0.3</c:v>
                </c:pt>
              </c:numCache>
            </c:numRef>
          </c:val>
        </c:ser>
        <c:dLbls>
          <c:showLegendKey val="0"/>
          <c:showVal val="0"/>
          <c:showCatName val="0"/>
          <c:showSerName val="0"/>
          <c:showPercent val="0"/>
          <c:showBubbleSize val="0"/>
        </c:dLbls>
        <c:gapWidth val="150"/>
        <c:overlap val="10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9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3f08670a-3869-4616-bb1a-c5694760c374}"/>
      </c:ext>
    </c:extLst>
  </c:chart>
  <c:spPr>
    <a:solidFill>
      <a:srgbClr val="FFFFFF"/>
    </a:solidFill>
    <a:ln w="9525" cap="flat" cmpd="sng" algn="ctr">
      <a:noFill/>
      <a:prstDash val="solid"/>
      <a:round/>
    </a:ln>
    <a:effectLst/>
  </c:spPr>
  <c:txPr>
    <a:bodyPr/>
    <a:lstStyle/>
    <a:p>
      <a:pPr>
        <a:defRPr lang="zh-CN" sz="9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PART4!$C$39</c:f>
              <c:strCache>
                <c:ptCount val="1"/>
                <c:pt idx="0">
                  <c:v>占比</c:v>
                </c:pt>
              </c:strCache>
            </c:strRef>
          </c:tx>
          <c:spPr>
            <a:solidFill>
              <a:srgbClr val="4472C4">
                <a:lumMod val="75000"/>
              </a:srgbClr>
            </a:solidFill>
            <a:ln>
              <a:noFill/>
            </a:ln>
            <a:effectLst/>
          </c:spPr>
          <c:invertIfNegative val="0"/>
          <c:dLbls>
            <c:delete val="1"/>
          </c:dLbls>
          <c:cat>
            <c:strRef>
              <c:f>PART4!$D$38:$H$38</c:f>
              <c:strCache>
                <c:ptCount val="5"/>
                <c:pt idx="0">
                  <c:v>2024</c:v>
                </c:pt>
                <c:pt idx="1">
                  <c:v>2025E</c:v>
                </c:pt>
                <c:pt idx="2">
                  <c:v>2026E</c:v>
                </c:pt>
                <c:pt idx="3">
                  <c:v>2030E</c:v>
                </c:pt>
                <c:pt idx="4">
                  <c:v>2040E</c:v>
                </c:pt>
              </c:strCache>
            </c:strRef>
          </c:cat>
          <c:val>
            <c:numRef>
              <c:f>PART4!$D$39:$H$39</c:f>
              <c:numCache>
                <c:formatCode>0.00%</c:formatCode>
                <c:ptCount val="5"/>
                <c:pt idx="0">
                  <c:v>0.199</c:v>
                </c:pt>
                <c:pt idx="1">
                  <c:v>0.255</c:v>
                </c:pt>
                <c:pt idx="2">
                  <c:v>0.275</c:v>
                </c:pt>
                <c:pt idx="3">
                  <c:v>0.432</c:v>
                </c:pt>
                <c:pt idx="4" c:formatCode="0%">
                  <c:v>0.83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plotVisOnly val="1"/>
    <c:dispBlanksAs val="gap"/>
    <c:showDLblsOverMax val="0"/>
    <c:extLst>
      <c:ext uri="{0b15fc19-7d7d-44ad-8c2d-2c3a37ce22c3}">
        <chartProps xmlns="https://web.wps.cn/et/2018/main" chartId="{c13b7ea5-508c-4b7d-accf-ff372169a831}"/>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part5!$A$2</c:f>
              <c:strCache>
                <c:ptCount val="1"/>
                <c:pt idx="0">
                  <c:v>Textron System</c:v>
                </c:pt>
              </c:strCache>
            </c:strRef>
          </c:tx>
          <c:spPr>
            <a:solidFill>
              <a:srgbClr val="4472C4">
                <a:lumMod val="75000"/>
              </a:srgbClr>
            </a:solidFill>
            <a:ln>
              <a:noFill/>
            </a:ln>
            <a:effectLst/>
          </c:spPr>
          <c:invertIfNegative val="0"/>
          <c:dLbls>
            <c:delete val="1"/>
          </c:dLbls>
          <c:cat>
            <c:numRef>
              <c:f>part5!$C$1:$M$1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part5!$C$2:$M$2</c:f>
              <c:numCache>
                <c:formatCode>#,##0_);\(#,##0\)</c:formatCode>
                <c:ptCount val="11"/>
                <c:pt idx="0">
                  <c:v>1520</c:v>
                </c:pt>
                <c:pt idx="1">
                  <c:v>1756</c:v>
                </c:pt>
                <c:pt idx="2">
                  <c:v>1840</c:v>
                </c:pt>
                <c:pt idx="3">
                  <c:v>1464</c:v>
                </c:pt>
                <c:pt idx="4">
                  <c:v>1325</c:v>
                </c:pt>
                <c:pt idx="5">
                  <c:v>1313</c:v>
                </c:pt>
                <c:pt idx="6">
                  <c:v>1273</c:v>
                </c:pt>
                <c:pt idx="7">
                  <c:v>1172</c:v>
                </c:pt>
                <c:pt idx="8">
                  <c:v>1235</c:v>
                </c:pt>
                <c:pt idx="9">
                  <c:v>1241</c:v>
                </c:pt>
                <c:pt idx="10" c:formatCode="#,##0">
                  <c:v>1247</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part5!$A$3</c:f>
              <c:strCache>
                <c:ptCount val="1"/>
                <c:pt idx="0">
                  <c:v>Textron System yoy</c:v>
                </c:pt>
              </c:strCache>
            </c:strRef>
          </c:tx>
          <c:spPr>
            <a:ln w="19050" cap="rnd" cmpd="sng" algn="ctr">
              <a:solidFill>
                <a:srgbClr val="44546A">
                  <a:lumMod val="60000"/>
                  <a:lumOff val="40000"/>
                </a:srgbClr>
              </a:solidFill>
              <a:prstDash val="solid"/>
              <a:round/>
            </a:ln>
            <a:effectLst/>
          </c:spPr>
          <c:marker>
            <c:symbol val="none"/>
          </c:marker>
          <c:dLbls>
            <c:delete val="1"/>
          </c:dLbls>
          <c:cat>
            <c:numRef>
              <c:f>part5!$C$1:$M$1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part5!$C$3:$M$3</c:f>
              <c:numCache>
                <c:formatCode>0.00%</c:formatCode>
                <c:ptCount val="11"/>
                <c:pt idx="0">
                  <c:v>-0.0640394088669951</c:v>
                </c:pt>
                <c:pt idx="1">
                  <c:v>0.155263157894737</c:v>
                </c:pt>
                <c:pt idx="2">
                  <c:v>0.0478359908883828</c:v>
                </c:pt>
                <c:pt idx="3">
                  <c:v>-0.204347826086957</c:v>
                </c:pt>
                <c:pt idx="4">
                  <c:v>-0.0949453551912568</c:v>
                </c:pt>
                <c:pt idx="5">
                  <c:v>-0.00905660377358486</c:v>
                </c:pt>
                <c:pt idx="6">
                  <c:v>-0.0304645849200305</c:v>
                </c:pt>
                <c:pt idx="7">
                  <c:v>-0.0793401413982718</c:v>
                </c:pt>
                <c:pt idx="8">
                  <c:v>0.0537542662116042</c:v>
                </c:pt>
                <c:pt idx="9">
                  <c:v>0.00485829959514161</c:v>
                </c:pt>
                <c:pt idx="10">
                  <c:v>0.00483481063658342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96aeb2e1-5593-47e3-82c9-21c4cebe9f21}"/>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Calibri" panose="020F0502020204030204" pitchFamily="2" charset="0"/>
          <a:ea typeface="微软雅黑" panose="020B0503020204020204" pitchFamily="2" charset="-122"/>
          <a:cs typeface="Times New Roman" panose="02020603050405020304" charset="0"/>
        </a:defRPr>
      </a:pPr>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
</a:t>
            </a:r>
            <a:endParaRPr lang="zh-CN" altLang="en-US"/>
          </a:p>
        </c:rich>
      </c:tx>
      <c:layout/>
      <c:overlay val="0"/>
      <c:spPr>
        <a:noFill/>
        <a:ln>
          <a:noFill/>
        </a:ln>
        <a:effectLst/>
      </c:spPr>
    </c:title>
    <c:autoTitleDeleted val="0"/>
    <c:plotArea>
      <c:layout>
        <c:manualLayout>
          <c:layoutTarget val="inner"/>
          <c:xMode val="edge"/>
          <c:yMode val="edge"/>
          <c:x val="0.0917367912815561"/>
          <c:y val="0.0743301642178047"/>
          <c:w val="0.877638294937233"/>
          <c:h val="0.818784212042639"/>
        </c:manualLayout>
      </c:layout>
      <c:barChart>
        <c:barDir val="col"/>
        <c:grouping val="clustered"/>
        <c:varyColors val="0"/>
        <c:ser>
          <c:idx val="0"/>
          <c:order val="0"/>
          <c:tx>
            <c:strRef>
              <c:f>'/Users/miaoyuyang/Library/Containers/com.tencent.xinWeChat/Data/Documents/xwechat_files/wxid_9ed4w2goa46612_b028/msg/file/2026-01/[Textron 图_Joe.xlsx]全球国防电子与特种系统市场规模'!$B$1</c:f>
              <c:strCache>
                <c:ptCount val="1"/>
                <c:pt idx="0">
                  <c:v>全球国防电子与特种系统市场规模
</c:v>
                </c:pt>
              </c:strCache>
            </c:strRef>
          </c:tx>
          <c:spPr>
            <a:solidFill>
              <a:srgbClr val="002060"/>
            </a:solidFill>
            <a:ln>
              <a:noFill/>
            </a:ln>
            <a:effectLst/>
          </c:spPr>
          <c:invertIfNegative val="0"/>
          <c:dPt>
            <c:idx val="0"/>
            <c:invertIfNegative val="0"/>
            <c:bubble3D val="0"/>
            <c:spPr>
              <a:solidFill>
                <a:schemeClr val="tx2">
                  <a:lumMod val="75000"/>
                  <a:lumOff val="25000"/>
                </a:schemeClr>
              </a:solidFill>
              <a:ln>
                <a:noFill/>
              </a:ln>
              <a:effectLst/>
            </c:spPr>
          </c:dPt>
          <c:dPt>
            <c:idx val="1"/>
            <c:invertIfNegative val="0"/>
            <c:bubble3D val="0"/>
            <c:spPr>
              <a:solidFill>
                <a:schemeClr val="tx2">
                  <a:lumMod val="75000"/>
                  <a:lumOff val="25000"/>
                </a:schemeClr>
              </a:solidFill>
              <a:ln>
                <a:noFill/>
              </a:ln>
              <a:effectLst/>
            </c:spPr>
          </c:dPt>
          <c:dPt>
            <c:idx val="2"/>
            <c:invertIfNegative val="0"/>
            <c:bubble3D val="0"/>
            <c:spPr>
              <a:solidFill>
                <a:schemeClr val="tx2">
                  <a:lumMod val="75000"/>
                  <a:lumOff val="25000"/>
                </a:schemeClr>
              </a:solidFill>
              <a:ln>
                <a:noFill/>
              </a:ln>
              <a:effectLst/>
            </c:spPr>
          </c:dPt>
          <c:dPt>
            <c:idx val="3"/>
            <c:invertIfNegative val="0"/>
            <c:bubble3D val="0"/>
            <c:spPr>
              <a:solidFill>
                <a:schemeClr val="tx2">
                  <a:lumMod val="75000"/>
                  <a:lumOff val="25000"/>
                </a:schemeClr>
              </a:solidFill>
              <a:ln>
                <a:noFill/>
              </a:ln>
              <a:effectLst/>
            </c:spPr>
          </c:dPt>
          <c:dPt>
            <c:idx val="4"/>
            <c:invertIfNegative val="0"/>
            <c:bubble3D val="0"/>
            <c:spPr>
              <a:solidFill>
                <a:schemeClr val="tx2">
                  <a:lumMod val="75000"/>
                  <a:lumOff val="25000"/>
                </a:schemeClr>
              </a:solidFill>
              <a:ln>
                <a:noFill/>
              </a:ln>
              <a:effectLst/>
            </c:spPr>
          </c:dPt>
          <c:dPt>
            <c:idx val="5"/>
            <c:invertIfNegative val="0"/>
            <c:bubble3D val="0"/>
            <c:spPr>
              <a:solidFill>
                <a:schemeClr val="tx2">
                  <a:lumMod val="75000"/>
                  <a:lumOff val="25000"/>
                </a:schemeClr>
              </a:solidFill>
              <a:ln>
                <a:noFill/>
              </a:ln>
              <a:effectLst/>
            </c:spPr>
          </c:dPt>
          <c:dPt>
            <c:idx val="6"/>
            <c:invertIfNegative val="0"/>
            <c:bubble3D val="0"/>
            <c:spPr>
              <a:solidFill>
                <a:schemeClr val="bg1">
                  <a:lumMod val="75000"/>
                </a:schemeClr>
              </a:solidFill>
              <a:ln w="19050">
                <a:noFill/>
              </a:ln>
              <a:effectLst/>
            </c:spPr>
          </c:dPt>
          <c:dPt>
            <c:idx val="7"/>
            <c:invertIfNegative val="0"/>
            <c:bubble3D val="0"/>
            <c:spPr>
              <a:solidFill>
                <a:schemeClr val="bg1">
                  <a:lumMod val="75000"/>
                </a:schemeClr>
              </a:solidFill>
              <a:ln w="19050">
                <a:noFill/>
              </a:ln>
              <a:effectLst/>
            </c:spPr>
          </c:dPt>
          <c:dPt>
            <c:idx val="8"/>
            <c:invertIfNegative val="0"/>
            <c:bubble3D val="0"/>
            <c:spPr>
              <a:solidFill>
                <a:schemeClr val="bg1">
                  <a:lumMod val="75000"/>
                </a:schemeClr>
              </a:solidFill>
              <a:ln w="19050">
                <a:noFill/>
              </a:ln>
              <a:effectLst/>
            </c:spPr>
          </c:dPt>
          <c:dPt>
            <c:idx val="9"/>
            <c:invertIfNegative val="0"/>
            <c:bubble3D val="0"/>
            <c:spPr>
              <a:solidFill>
                <a:schemeClr val="bg1">
                  <a:lumMod val="75000"/>
                </a:schemeClr>
              </a:solidFill>
              <a:ln w="19050">
                <a:noFill/>
              </a:ln>
              <a:effectLst/>
            </c:spPr>
          </c:dPt>
          <c:dPt>
            <c:idx val="10"/>
            <c:invertIfNegative val="0"/>
            <c:bubble3D val="0"/>
            <c:spPr>
              <a:solidFill>
                <a:schemeClr val="bg1">
                  <a:lumMod val="75000"/>
                </a:schemeClr>
              </a:solidFill>
              <a:ln w="19050">
                <a:noFill/>
              </a:ln>
              <a:effectLst/>
            </c:spPr>
          </c:dPt>
          <c:dLbls>
            <c:spPr>
              <a:noFill/>
              <a:ln>
                <a:noFill/>
              </a:ln>
              <a:effectLst/>
            </c:spPr>
            <c:txPr>
              <a:bodyPr rot="0" spcFirstLastPara="1" vertOverflow="ellipsis" vert="horz" wrap="square" lIns="38100" tIns="19050" rIns="38100" bIns="19050" anchor="ctr" anchorCtr="1">
                <a:spAutoFit/>
              </a:bodyPr>
              <a:lstStyle/>
              <a:p>
                <a:pPr>
                  <a:defRPr lang="zh-CN" sz="10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'/Users/miaoyuyang/Library/Containers/com.tencent.xinWeChat/Data/Documents/xwechat_files/wxid_9ed4w2goa46612_b028/msg/file/2026-01/[Textron 图_Joe.xlsx]全球国防电子与特种系统市场规模'!$A$2:$A$12</c:f>
              <c:numCache>
                <c:formatCode>General</c:formatCode>
                <c:ptCount val="11"/>
              </c:numCache>
            </c:numRef>
          </c:cat>
          <c:val>
            <c:numRef>
              <c:f>'/Users/miaoyuyang/Library/Containers/com.tencent.xinWeChat/Data/Documents/xwechat_files/wxid_9ed4w2goa46612_b028/msg/file/2026-01/[Textron 图_Joe.xlsx]全球国防电子与特种系统市场规模'!$B$2:$B$12</c:f>
              <c:numCache>
                <c:formatCode>General</c:formatCode>
                <c:ptCount val="11"/>
                <c:pt idx="0">
                  <c:v>1350</c:v>
                </c:pt>
                <c:pt idx="1">
                  <c:v>1430</c:v>
                </c:pt>
                <c:pt idx="2">
                  <c:v>1510</c:v>
                </c:pt>
                <c:pt idx="3">
                  <c:v>1600</c:v>
                </c:pt>
                <c:pt idx="4">
                  <c:v>1760</c:v>
                </c:pt>
                <c:pt idx="5">
                  <c:v>1850</c:v>
                </c:pt>
                <c:pt idx="6">
                  <c:v>1950</c:v>
                </c:pt>
                <c:pt idx="7">
                  <c:v>2050</c:v>
                </c:pt>
                <c:pt idx="8">
                  <c:v>2160</c:v>
                </c:pt>
                <c:pt idx="9">
                  <c:v>2270</c:v>
                </c:pt>
                <c:pt idx="10">
                  <c:v>2390</c:v>
                </c:pt>
              </c:numCache>
            </c:numRef>
          </c:val>
        </c:ser>
        <c:dLbls>
          <c:showLegendKey val="0"/>
          <c:showVal val="1"/>
          <c:showCatName val="0"/>
          <c:showSerName val="0"/>
          <c:showPercent val="0"/>
          <c:showBubbleSize val="0"/>
        </c:dLbls>
        <c:gapWidth val="150"/>
        <c:overlap val="-27"/>
        <c:axId val="213472752"/>
        <c:axId val="213473232"/>
      </c:barChart>
      <c:catAx>
        <c:axId val="213472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defRPr>
            </a:pPr>
          </a:p>
        </c:txPr>
        <c:crossAx val="213473232"/>
        <c:crosses val="autoZero"/>
        <c:auto val="1"/>
        <c:lblAlgn val="ctr"/>
        <c:lblOffset val="100"/>
        <c:noMultiLvlLbl val="0"/>
      </c:catAx>
      <c:valAx>
        <c:axId val="213473232"/>
        <c:scaling>
          <c:orientation val="minMax"/>
        </c:scaling>
        <c:delete val="0"/>
        <c:axPos val="l"/>
        <c:majorGridlines>
          <c:spPr>
            <a:ln w="9525" cap="flat" cmpd="sng" algn="ctr">
              <a:noFill/>
              <a:round/>
            </a:ln>
            <a:effectLst/>
          </c:spPr>
        </c:majorGridlines>
        <c:numFmt formatCode="General" sourceLinked="1"/>
        <c:majorTickMark val="in"/>
        <c:minorTickMark val="in"/>
        <c:tickLblPos val="nextTo"/>
        <c:spPr>
          <a:noFill/>
          <a:ln>
            <a:solidFill>
              <a:schemeClr val="bg2">
                <a:lumMod val="75000"/>
              </a:schemeClr>
            </a:solidFill>
          </a:ln>
          <a:effectLst/>
        </c:spPr>
        <c:txPr>
          <a:bodyPr rot="-60000000" spcFirstLastPara="1" vertOverflow="ellipsis" vert="horz" wrap="square" anchor="ctr" anchorCtr="1"/>
          <a:lstStyle/>
          <a:p>
            <a:pPr>
              <a:defRPr lang="zh-CN" sz="10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defRPr>
            </a:pPr>
          </a:p>
        </c:txPr>
        <c:crossAx val="213472752"/>
        <c:crosses val="autoZero"/>
        <c:crossBetween val="between"/>
      </c:valAx>
      <c:spPr>
        <a:noFill/>
        <a:ln>
          <a:noFill/>
        </a:ln>
        <a:effectLst/>
      </c:spPr>
    </c:plotArea>
    <c:plotVisOnly val="1"/>
    <c:dispBlanksAs val="gap"/>
    <c:showDLblsOverMax val="0"/>
    <c:extLst>
      <c:ext uri="{0b15fc19-7d7d-44ad-8c2d-2c3a37ce22c3}">
        <chartProps xmlns="https://web.wps.cn/et/2018/main" chartId="{40919b6e-49a3-4da1-b2c7-5d8dd088300d}"/>
      </c:ext>
    </c:extLst>
  </c:chart>
  <c:spPr>
    <a:no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withinLinear" id="18">
  <a:schemeClr val="accent5"/>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withinLinear" id="18">
  <a:schemeClr val="accent5"/>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withinLinear" id="18">
  <a:schemeClr val="accent5"/>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14:paraId="716E1FAC">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4504F"/>
    <w:rsid w:val="00061815"/>
    <w:rsid w:val="00096427"/>
    <w:rsid w:val="000B5F4B"/>
    <w:rsid w:val="000C513D"/>
    <w:rsid w:val="000E117B"/>
    <w:rsid w:val="000F5330"/>
    <w:rsid w:val="00176706"/>
    <w:rsid w:val="00176D52"/>
    <w:rsid w:val="00196F29"/>
    <w:rsid w:val="001A6A8F"/>
    <w:rsid w:val="001D5A22"/>
    <w:rsid w:val="001D7381"/>
    <w:rsid w:val="001E0203"/>
    <w:rsid w:val="001F66B2"/>
    <w:rsid w:val="002123C8"/>
    <w:rsid w:val="00262310"/>
    <w:rsid w:val="00286FB5"/>
    <w:rsid w:val="002A0007"/>
    <w:rsid w:val="002B6266"/>
    <w:rsid w:val="002D200E"/>
    <w:rsid w:val="002D795F"/>
    <w:rsid w:val="003108EF"/>
    <w:rsid w:val="00341C85"/>
    <w:rsid w:val="00364E72"/>
    <w:rsid w:val="003B16A5"/>
    <w:rsid w:val="003C12B9"/>
    <w:rsid w:val="003E3C68"/>
    <w:rsid w:val="003E4F87"/>
    <w:rsid w:val="00414D3F"/>
    <w:rsid w:val="00421163"/>
    <w:rsid w:val="00424972"/>
    <w:rsid w:val="00431F34"/>
    <w:rsid w:val="00433488"/>
    <w:rsid w:val="00436550"/>
    <w:rsid w:val="004653EA"/>
    <w:rsid w:val="004A77A0"/>
    <w:rsid w:val="004C6C0F"/>
    <w:rsid w:val="00532462"/>
    <w:rsid w:val="00585FEA"/>
    <w:rsid w:val="00587879"/>
    <w:rsid w:val="005B3912"/>
    <w:rsid w:val="005C7598"/>
    <w:rsid w:val="006206E5"/>
    <w:rsid w:val="0062713A"/>
    <w:rsid w:val="00687F85"/>
    <w:rsid w:val="006A0886"/>
    <w:rsid w:val="006A2C06"/>
    <w:rsid w:val="006B39BB"/>
    <w:rsid w:val="007064AC"/>
    <w:rsid w:val="00731DBD"/>
    <w:rsid w:val="00732BE6"/>
    <w:rsid w:val="00744DA6"/>
    <w:rsid w:val="00757BB2"/>
    <w:rsid w:val="007B330D"/>
    <w:rsid w:val="007C609E"/>
    <w:rsid w:val="00810603"/>
    <w:rsid w:val="00861E99"/>
    <w:rsid w:val="008C5181"/>
    <w:rsid w:val="008D5780"/>
    <w:rsid w:val="008F1387"/>
    <w:rsid w:val="008F3F7E"/>
    <w:rsid w:val="00912C77"/>
    <w:rsid w:val="009255EC"/>
    <w:rsid w:val="00936C11"/>
    <w:rsid w:val="00955955"/>
    <w:rsid w:val="00976834"/>
    <w:rsid w:val="00996501"/>
    <w:rsid w:val="009D5877"/>
    <w:rsid w:val="00A354E2"/>
    <w:rsid w:val="00A4142A"/>
    <w:rsid w:val="00AA6AF1"/>
    <w:rsid w:val="00AC1224"/>
    <w:rsid w:val="00AC62FF"/>
    <w:rsid w:val="00AF3D48"/>
    <w:rsid w:val="00B542A3"/>
    <w:rsid w:val="00B61A81"/>
    <w:rsid w:val="00B70510"/>
    <w:rsid w:val="00BF41B8"/>
    <w:rsid w:val="00BF7880"/>
    <w:rsid w:val="00C46ABE"/>
    <w:rsid w:val="00C979A1"/>
    <w:rsid w:val="00CE6729"/>
    <w:rsid w:val="00CE76D0"/>
    <w:rsid w:val="00CF7F45"/>
    <w:rsid w:val="00D12B3B"/>
    <w:rsid w:val="00D15E10"/>
    <w:rsid w:val="00D52466"/>
    <w:rsid w:val="00D715ED"/>
    <w:rsid w:val="00D81B9A"/>
    <w:rsid w:val="00D92F8D"/>
    <w:rsid w:val="00DB417A"/>
    <w:rsid w:val="00DC66FE"/>
    <w:rsid w:val="00DD0428"/>
    <w:rsid w:val="00DD421F"/>
    <w:rsid w:val="00E4331C"/>
    <w:rsid w:val="00E9250A"/>
    <w:rsid w:val="00EF39F2"/>
    <w:rsid w:val="00F1146A"/>
    <w:rsid w:val="00F6057C"/>
    <w:rsid w:val="00F613D7"/>
    <w:rsid w:val="00F80B9B"/>
    <w:rsid w:val="00F812B2"/>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CB0E73-3429-4CBD-BB61-AA78FB4F9C24}">
  <ds:schemaRefs/>
</ds:datastoreItem>
</file>

<file path=docProps/app.xml><?xml version="1.0" encoding="utf-8"?>
<Properties xmlns="http://schemas.openxmlformats.org/officeDocument/2006/extended-properties" xmlns:vt="http://schemas.openxmlformats.org/officeDocument/2006/docPropsVTypes">
  <Template>Normal</Template>
  <Pages>34</Pages>
  <Words>3423</Words>
  <Characters>20076</Characters>
  <Lines>1522</Lines>
  <Paragraphs>760</Paragraphs>
  <TotalTime>3</TotalTime>
  <ScaleCrop>false</ScaleCrop>
  <LinksUpToDate>false</LinksUpToDate>
  <CharactersWithSpaces>23318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2026-01-28T13:38:00Z</dcterms:created>
  <dc:creator>强 罗</dc:creator>
  <cp:lastModifiedBy>微信用户</cp:lastModifiedBy>
  <cp:lastPrinted>2026-01-24T10:48:00Z</cp:lastPrinted>
  <dcterms:modified xsi:type="dcterms:W3CDTF">2026-01-31T04:32:34Z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eyJoZGlkIjoiN2YzNjBkOTgyNWQ1YTMxYzM3MzMwNWFiODNmOWIzYWMiLCJ1c2VySWQiOiIxMjgyNzI4NjcyIn0=</vt:lpwstr>
  </property>
  <property fmtid="{D5CDD505-2E9C-101B-9397-08002B2CF9AE}" pid="3" name="KSOProductBuildVer">
    <vt:lpwstr>2052-12.1.0.24034</vt:lpwstr>
  </property>
  <property fmtid="{D5CDD505-2E9C-101B-9397-08002B2CF9AE}" pid="4" name="ICV">
    <vt:lpwstr>8321AE5558B5B89D4C507969532D0B9D_43</vt:lpwstr>
  </property>
</Properties>
</file>