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tblpXSpec="right" w:tblpY="285"/>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63"/>
        <w:gridCol w:w="4111"/>
        <w:gridCol w:w="2467"/>
        <w:gridCol w:w="1276"/>
        <w:gridCol w:w="2823"/>
        <w:gridCol w:w="63"/>
      </w:tblGrid>
      <w:tr w14:paraId="701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641" w:type="dxa"/>
            <w:gridSpan w:val="3"/>
            <w:tcMar>
              <w:top w:w="60" w:type="dxa"/>
              <w:left w:w="120" w:type="dxa"/>
            </w:tcMar>
          </w:tcPr>
          <w:p w14:paraId="2DC83B64">
            <w:pPr>
              <w:pStyle w:val="116"/>
              <w:rPr>
                <w:rFonts w:eastAsia="楷体_GB2312"/>
                <w:color w:val="FFFFFF" w:themeColor="background1"/>
                <w:sz w:val="21"/>
                <w:szCs w:val="21"/>
                <w:lang w:eastAsia="zh-CN"/>
                <w14:textFill>
                  <w14:solidFill>
                    <w14:schemeClr w14:val="bg1"/>
                  </w14:solidFill>
                </w14:textFill>
              </w:rPr>
            </w:pPr>
            <w:r>
              <w:rPr>
                <w:rFonts w:hint="eastAsia" w:eastAsia="楷体_GB2312"/>
                <w:color w:val="FFFFFF" w:themeColor="background1"/>
                <w:sz w:val="21"/>
                <w:szCs w:val="21"/>
                <w:lang w:eastAsia="zh-CN"/>
                <w14:textFill>
                  <w14:solidFill>
                    <w14:schemeClr w14:val="bg1"/>
                  </w14:solidFill>
                </w14:textFill>
              </w:rPr>
              <w:t>[</w:t>
            </w:r>
            <w:r>
              <w:rPr>
                <w:rFonts w:eastAsia="楷体_GB2312"/>
                <w:color w:val="FFFFFF" w:themeColor="background1"/>
                <w:sz w:val="21"/>
                <w:szCs w:val="21"/>
                <w:lang w:eastAsia="zh-CN"/>
                <w14:textFill>
                  <w14:solidFill>
                    <w14:schemeClr w14:val="bg1"/>
                  </w14:solidFill>
                </w14:textFill>
              </w:rPr>
              <w:t>Table_Main]</w:t>
            </w:r>
          </w:p>
        </w:tc>
        <w:tc>
          <w:tcPr>
            <w:tcW w:w="1276" w:type="dxa"/>
            <w:vAlign w:val="center"/>
          </w:tcPr>
          <w:p w14:paraId="759B4696">
            <w:pPr>
              <w:pStyle w:val="21"/>
              <w:framePr w:wrap="auto" w:vAnchor="margin" w:hAnchor="text" w:xAlign="left" w:yAlign="inline"/>
              <w:rPr>
                <w:highlight w:val="yellow"/>
              </w:rPr>
            </w:pPr>
          </w:p>
        </w:tc>
        <w:tc>
          <w:tcPr>
            <w:tcW w:w="2823" w:type="dxa"/>
          </w:tcPr>
          <w:p w14:paraId="60EFF1D6">
            <w:pPr>
              <w:pStyle w:val="20"/>
              <w:framePr w:wrap="auto" w:vAnchor="margin" w:hAnchor="text" w:xAlign="left" w:yAlign="inline"/>
              <w:rPr>
                <w:highlight w:val="yellow"/>
              </w:rPr>
            </w:pPr>
          </w:p>
        </w:tc>
      </w:tr>
      <w:tr w14:paraId="1603D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641" w:type="dxa"/>
            <w:gridSpan w:val="3"/>
            <w:tcMar>
              <w:top w:w="60" w:type="dxa"/>
              <w:left w:w="119" w:type="dxa"/>
              <w:right w:w="0" w:type="dxa"/>
            </w:tcMar>
            <w:vAlign w:val="center"/>
          </w:tcPr>
          <w:p w14:paraId="355D012A">
            <w:pPr>
              <w:pStyle w:val="21"/>
              <w:framePr w:wrap="auto" w:vAnchor="margin" w:hAnchor="text" w:xAlign="left" w:yAlign="inline"/>
              <w:rPr>
                <w:rFonts w:eastAsia="楷体_GB2312"/>
                <w:b w:val="0"/>
                <w:sz w:val="16"/>
                <w:lang w:eastAsia="zh-CN"/>
              </w:rPr>
            </w:pPr>
            <w:r>
              <w:rPr>
                <w:rFonts w:hint="eastAsia" w:eastAsia="楷体_GB2312"/>
                <w:b w:val="0"/>
                <w:sz w:val="16"/>
                <w:lang w:eastAsia="zh-CN"/>
              </w:rPr>
              <w:t>Research Report</w:t>
            </w:r>
          </w:p>
        </w:tc>
        <w:tc>
          <w:tcPr>
            <w:tcW w:w="4099" w:type="dxa"/>
            <w:gridSpan w:val="2"/>
          </w:tcPr>
          <w:p w14:paraId="4C0279B4">
            <w:pPr>
              <w:pStyle w:val="116"/>
              <w:rPr>
                <w:rFonts w:eastAsia="楷体_GB2312"/>
                <w:sz w:val="16"/>
                <w:szCs w:val="16"/>
                <w:lang w:eastAsia="zh-CN"/>
              </w:rPr>
            </w:pPr>
          </w:p>
        </w:tc>
      </w:tr>
      <w:tr w14:paraId="71FA5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641" w:type="dxa"/>
            <w:gridSpan w:val="3"/>
            <w:tcMar>
              <w:top w:w="60" w:type="dxa"/>
              <w:left w:w="119" w:type="dxa"/>
              <w:right w:w="0" w:type="dxa"/>
            </w:tcMar>
            <w:vAlign w:val="center"/>
          </w:tcPr>
          <w:p w14:paraId="2CB1D3C0">
            <w:pPr>
              <w:pStyle w:val="21"/>
              <w:framePr w:wrap="auto" w:vAnchor="margin" w:hAnchor="text" w:xAlign="left" w:yAlign="inline"/>
              <w:rPr>
                <w:b w:val="0"/>
                <w:sz w:val="20"/>
                <w:szCs w:val="20"/>
              </w:rPr>
            </w:pPr>
            <w:r>
              <w:rPr>
                <w:rFonts w:ascii="Calibri" w:eastAsia="楷体_GB2312"/>
                <w:b w:val="0"/>
                <w:i w:val="0"/>
                <w:color w:val="215E99"/>
                <w:sz w:val="16"/>
              </w:rPr>
              <w:t>29 Jan 2026</w:t>
            </w:r>
          </w:p>
        </w:tc>
        <w:tc>
          <w:tcPr>
            <w:tcW w:w="4099" w:type="dxa"/>
            <w:gridSpan w:val="2"/>
          </w:tcPr>
          <w:p w14:paraId="3D153761">
            <w:pPr>
              <w:pStyle w:val="116"/>
              <w:rPr>
                <w:rFonts w:eastAsia="楷体_GB2312"/>
                <w:sz w:val="16"/>
                <w:szCs w:val="16"/>
                <w:lang w:eastAsia="zh-CN"/>
              </w:rPr>
            </w:pPr>
          </w:p>
        </w:tc>
      </w:tr>
      <w:tr w14:paraId="4BAEF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40" w:type="dxa"/>
            <w:gridSpan w:val="5"/>
            <w:tcMar>
              <w:top w:w="60" w:type="dxa"/>
              <w:left w:w="119" w:type="dxa"/>
              <w:right w:w="0" w:type="dxa"/>
            </w:tcMar>
          </w:tcPr>
          <w:p w14:paraId="2C797CA1">
            <w:pPr>
              <w:pStyle w:val="20"/>
              <w:framePr w:wrap="auto" w:vAnchor="margin" w:hAnchor="text" w:xAlign="left" w:yAlign="inline"/>
              <w:jc w:val="left"/>
              <w:rPr>
                <w:rFonts w:eastAsia="楷体_GB2312"/>
                <w:sz w:val="40"/>
                <w:szCs w:val="40"/>
                <w:lang w:eastAsia="zh-CN"/>
              </w:rPr>
            </w:pPr>
          </w:p>
        </w:tc>
      </w:tr>
      <w:tr w14:paraId="4EFCF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40" w:type="dxa"/>
            <w:gridSpan w:val="5"/>
            <w:tcMar>
              <w:top w:w="60" w:type="dxa"/>
              <w:left w:w="119" w:type="dxa"/>
              <w:right w:w="0" w:type="dxa"/>
            </w:tcMar>
          </w:tcPr>
          <w:p w14:paraId="12F4A8D0">
            <w:pPr>
              <w:pStyle w:val="20"/>
              <w:framePr w:wrap="auto" w:vAnchor="margin" w:hAnchor="text" w:xAlign="left" w:yAlign="inline"/>
              <w:jc w:val="left"/>
              <w:rPr>
                <w:rFonts w:eastAsia="楷体_GB2312"/>
                <w:sz w:val="40"/>
                <w:szCs w:val="40"/>
                <w:lang w:eastAsia="zh-CN"/>
              </w:rPr>
            </w:pPr>
            <w:r>
              <w:rPr>
                <w:rFonts w:ascii="Calibri" w:eastAsia="楷体_GB2312"/>
                <w:b/>
                <w:i w:val="0"/>
                <w:color w:val="215E99"/>
                <w:sz w:val="40"/>
              </w:rPr>
              <w:t>GE Vernova(GEV US)</w:t>
            </w:r>
          </w:p>
        </w:tc>
      </w:tr>
      <w:tr w14:paraId="6FCB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73" w:hRule="exact"/>
        </w:trPr>
        <w:tc>
          <w:tcPr>
            <w:tcW w:w="10740" w:type="dxa"/>
            <w:gridSpan w:val="5"/>
            <w:tcMar>
              <w:top w:w="60" w:type="dxa"/>
              <w:left w:w="119" w:type="dxa"/>
              <w:right w:w="0" w:type="dxa"/>
            </w:tcMar>
          </w:tcPr>
          <w:p w14:paraId="59D8DE0B">
            <w:pPr>
              <w:pStyle w:val="116"/>
              <w:rPr>
                <w:rFonts w:eastAsia="楷体_GB2312"/>
                <w:b w:val="0"/>
                <w:color w:val="23558C"/>
                <w:sz w:val="44"/>
                <w:szCs w:val="44"/>
                <w:lang w:eastAsia="zh-CN"/>
              </w:rPr>
            </w:pPr>
            <w:r>
              <w:rPr>
                <w:rFonts w:ascii="Calibri" w:eastAsia="楷体_GB2312"/>
                <w:b w:val="0"/>
                <w:i w:val="0"/>
                <w:color w:val="215E99"/>
                <w:sz w:val="32"/>
              </w:rPr>
              <w:t>Explosive Growth in FY2025 as Profitability Shifts from Order-Driven to Capacity-Driven</w:t>
            </w:r>
          </w:p>
        </w:tc>
      </w:tr>
      <w:tr w14:paraId="21E7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453" w:hRule="atLeast"/>
        </w:trPr>
        <w:tc>
          <w:tcPr>
            <w:tcW w:w="10740" w:type="dxa"/>
            <w:gridSpan w:val="5"/>
            <w:tcMar>
              <w:top w:w="60" w:type="dxa"/>
              <w:left w:w="119" w:type="dxa"/>
              <w:right w:w="0" w:type="dxa"/>
            </w:tcMar>
          </w:tcPr>
          <w:p w14:paraId="3BF43026">
            <w:pPr>
              <w:pStyle w:val="20"/>
              <w:framePr w:wrap="auto" w:vAnchor="margin" w:hAnchor="text" w:xAlign="left" w:yAlign="inline"/>
              <w:rPr>
                <w:rFonts w:eastAsia="楷体_GB2312"/>
                <w:szCs w:val="24"/>
                <w:lang w:eastAsia="zh-CN"/>
              </w:rPr>
            </w:pPr>
          </w:p>
        </w:tc>
      </w:tr>
      <w:tr w14:paraId="1DB2E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40" w:type="dxa"/>
            <w:gridSpan w:val="5"/>
            <w:tcMar>
              <w:left w:w="119" w:type="dxa"/>
            </w:tcMar>
          </w:tcPr>
          <w:p w14:paraId="58B11D03">
            <w:pPr>
              <w:pStyle w:val="20"/>
              <w:framePr w:wrap="auto" w:vAnchor="margin" w:hAnchor="text" w:xAlign="left" w:yAlign="inline"/>
              <w:rPr>
                <w:rFonts w:eastAsia="楷体_GB2312"/>
              </w:rPr>
            </w:pPr>
          </w:p>
        </w:tc>
      </w:tr>
      <w:tr w14:paraId="2003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6815" w:hRule="atLeast"/>
        </w:trPr>
        <w:tc>
          <w:tcPr>
            <w:tcW w:w="4111" w:type="dxa"/>
            <w:tcMar>
              <w:left w:w="57" w:type="dxa"/>
            </w:tcMar>
          </w:tcPr>
          <w:tbl>
            <w:tblPr>
              <w:tblStyle w:val="10"/>
              <w:tblW w:w="4014"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00"/>
              <w:gridCol w:w="2314"/>
            </w:tblGrid>
            <w:tr w14:paraId="5AAAB56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single" w:color="23558C" w:sz="12" w:space="0"/>
                    <w:right w:val="nil"/>
                  </w:tcBorders>
                </w:tcPr>
                <w:p w14:paraId="59923FE9">
                  <w:pPr>
                    <w:adjustRightInd w:val="0"/>
                    <w:snapToGrid w:val="0"/>
                    <w:rPr>
                      <w:rFonts w:eastAsia="宋体"/>
                      <w:sz w:val="21"/>
                      <w:szCs w:val="21"/>
                      <w:lang w:eastAsia="zh-CN"/>
                    </w:rPr>
                  </w:pPr>
                  <w:r>
                    <w:rPr>
                      <w:rFonts w:hint="eastAsia" w:eastAsia="宋体"/>
                      <w:color w:val="FFFFFF"/>
                      <w:sz w:val="21"/>
                      <w:szCs w:val="21"/>
                      <w:lang w:eastAsia="zh-CN"/>
                    </w:rPr>
                    <w:t>[</w:t>
                  </w:r>
                  <w:r>
                    <w:rPr>
                      <w:rFonts w:eastAsia="宋体"/>
                      <w:color w:val="FFFFFF"/>
                      <w:sz w:val="21"/>
                      <w:szCs w:val="21"/>
                      <w:lang w:eastAsia="zh-CN"/>
                    </w:rPr>
                    <w:t>Table_Info]</w:t>
                  </w:r>
                </w:p>
              </w:tc>
            </w:tr>
            <w:tr w14:paraId="042588E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single" w:color="23558C" w:sz="12" w:space="0"/>
                  </w:tcBorders>
                  <w:shd w:val="clear" w:color="auto" w:fill="23558C"/>
                  <w:tcMar>
                    <w:left w:w="0" w:type="dxa"/>
                  </w:tcMar>
                </w:tcPr>
                <w:p w14:paraId="61FEB9AA">
                  <w:pPr>
                    <w:adjustRightInd w:val="0"/>
                    <w:snapToGrid w:val="0"/>
                    <w:ind w:right="85" w:firstLine="85"/>
                    <w:jc w:val="center"/>
                    <w:rPr>
                      <w:rFonts w:eastAsia="楷体_GB2312" w:cs="Calibri"/>
                      <w:b/>
                      <w:i/>
                      <w:color w:val="23558C"/>
                      <w:sz w:val="24"/>
                      <w:szCs w:val="14"/>
                      <w:lang w:eastAsia="zh-CN"/>
                    </w:rPr>
                  </w:pPr>
                  <w:r>
                    <w:rPr>
                      <w:rFonts w:ascii="Calibri" w:eastAsia="楷体_GB2312"/>
                      <w:b/>
                      <w:i/>
                      <w:color w:val="FFFFFF"/>
                      <w:sz w:val="22"/>
                    </w:rPr>
                    <w:t>Maintain OUTPERFORM</w:t>
                  </w:r>
                </w:p>
              </w:tc>
            </w:tr>
            <w:tr w14:paraId="6D66699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2F01A6BD">
                  <w:pPr>
                    <w:adjustRightInd w:val="0"/>
                    <w:snapToGrid w:val="0"/>
                    <w:ind w:right="85" w:firstLine="85"/>
                    <w:rPr>
                      <w:rFonts w:hint="eastAsia" w:ascii="楷体_GB2312" w:hAnsi="楷体_GB2312" w:eastAsia="楷体_GB2312"/>
                      <w:b/>
                      <w:color w:val="23558C"/>
                      <w:szCs w:val="14"/>
                      <w:lang w:eastAsia="zh-CN"/>
                    </w:rPr>
                  </w:pPr>
                </w:p>
              </w:tc>
            </w:tr>
            <w:tr w14:paraId="1702D24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0CECAF67">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Rating</w:t>
                  </w:r>
                </w:p>
              </w:tc>
              <w:tc>
                <w:tcPr>
                  <w:tcW w:w="2347" w:type="dxa"/>
                </w:tcPr>
                <w:p w14:paraId="6F11C015">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OUTPERFORM</w:t>
                  </w:r>
                </w:p>
              </w:tc>
            </w:tr>
            <w:tr w14:paraId="77182F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6249AFF4">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Current Price</w:t>
                  </w:r>
                </w:p>
              </w:tc>
              <w:tc>
                <w:tcPr>
                  <w:tcW w:w="2347" w:type="dxa"/>
                </w:tcPr>
                <w:p w14:paraId="3FF00C64">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711.59</w:t>
                  </w:r>
                </w:p>
              </w:tc>
            </w:tr>
            <w:tr w14:paraId="7E26279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5E7B1B0">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Target Price</w:t>
                  </w:r>
                </w:p>
              </w:tc>
              <w:tc>
                <w:tcPr>
                  <w:tcW w:w="2347" w:type="dxa"/>
                </w:tcPr>
                <w:p w14:paraId="54989F5A">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880.01</w:t>
                  </w:r>
                </w:p>
              </w:tc>
            </w:tr>
            <w:tr w14:paraId="74DA692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8CAD621">
                  <w:pPr>
                    <w:adjustRightInd w:val="0"/>
                    <w:snapToGrid w:val="0"/>
                    <w:ind w:right="85" w:firstLine="85"/>
                    <w:rPr>
                      <w:rFonts w:eastAsia="楷体_GB2312"/>
                      <w:color w:val="23558C"/>
                      <w:szCs w:val="14"/>
                      <w:lang w:eastAsia="zh-CN"/>
                    </w:rPr>
                  </w:pPr>
                  <w:r>
                    <w:rPr>
                      <w:rFonts w:eastAsia="楷体_GB2312"/>
                      <w:color w:val="23558C"/>
                      <w:szCs w:val="14"/>
                      <w:lang w:eastAsia="zh-CN"/>
                    </w:rPr>
                    <w:t>Market cap</w:t>
                  </w:r>
                </w:p>
              </w:tc>
              <w:tc>
                <w:tcPr>
                  <w:tcW w:w="2347" w:type="dxa"/>
                </w:tcPr>
                <w:p w14:paraId="38858209">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193.07bn</w:t>
                  </w:r>
                </w:p>
              </w:tc>
            </w:tr>
            <w:tr w14:paraId="52F98258">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A0043B2">
                  <w:pPr>
                    <w:adjustRightInd w:val="0"/>
                    <w:snapToGrid w:val="0"/>
                    <w:ind w:right="85" w:firstLine="85"/>
                    <w:rPr>
                      <w:rFonts w:eastAsia="楷体_GB2312"/>
                      <w:color w:val="23558C"/>
                      <w:szCs w:val="14"/>
                      <w:lang w:eastAsia="zh-CN"/>
                    </w:rPr>
                  </w:pPr>
                  <w:r>
                    <w:rPr>
                      <w:rFonts w:hint="eastAsia" w:eastAsia="楷体_GB2312"/>
                      <w:color w:val="23558C"/>
                      <w:szCs w:val="14"/>
                      <w:lang w:eastAsia="zh-CN"/>
                    </w:rPr>
                    <w:t>Shares in issue</w:t>
                  </w:r>
                </w:p>
              </w:tc>
              <w:tc>
                <w:tcPr>
                  <w:tcW w:w="2347" w:type="dxa"/>
                </w:tcPr>
                <w:p w14:paraId="7731F7BA">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271.32mn</w:t>
                  </w:r>
                </w:p>
              </w:tc>
            </w:tr>
            <w:tr w14:paraId="0A423942">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490A59D6">
                  <w:pPr>
                    <w:adjustRightInd w:val="0"/>
                    <w:snapToGrid w:val="0"/>
                    <w:ind w:right="85" w:firstLine="85"/>
                    <w:rPr>
                      <w:rFonts w:eastAsia="楷体_GB2312"/>
                      <w:color w:val="23558C"/>
                      <w:szCs w:val="14"/>
                      <w:lang w:eastAsia="zh-CN"/>
                    </w:rPr>
                  </w:pPr>
                  <w:r>
                    <w:rPr>
                      <w:rFonts w:eastAsia="楷体_GB2312"/>
                      <w:color w:val="23558C"/>
                      <w:szCs w:val="14"/>
                      <w:lang w:eastAsia="zh-CN"/>
                    </w:rPr>
                    <w:t>1 yr high - low</w:t>
                  </w:r>
                </w:p>
              </w:tc>
              <w:tc>
                <w:tcPr>
                  <w:tcW w:w="2347" w:type="dxa"/>
                </w:tcPr>
                <w:p w14:paraId="2D2547DA">
                  <w:pPr>
                    <w:adjustRightInd w:val="0"/>
                    <w:snapToGrid w:val="0"/>
                    <w:ind w:right="85" w:firstLine="85"/>
                    <w:jc w:val="right"/>
                    <w:rPr>
                      <w:rFonts w:eastAsia="楷体_GB2312"/>
                      <w:sz w:val="14"/>
                      <w:szCs w:val="14"/>
                      <w:lang w:eastAsia="zh-CN"/>
                    </w:rPr>
                  </w:pPr>
                  <w:r>
                    <w:rPr>
                      <w:rFonts w:ascii="Calibri" w:eastAsia="楷体_GB2312"/>
                      <w:b w:val="0"/>
                      <w:i w:val="0"/>
                      <w:color w:val="215E99"/>
                      <w:sz w:val="16"/>
                    </w:rPr>
                    <w:t>723.00-270.13</w:t>
                  </w:r>
                </w:p>
              </w:tc>
            </w:tr>
            <w:tr w14:paraId="49154A2E">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299B6242">
                  <w:pPr>
                    <w:adjustRightInd w:val="0"/>
                    <w:snapToGrid w:val="0"/>
                    <w:ind w:left="85"/>
                    <w:rPr>
                      <w:rFonts w:eastAsia="宋体"/>
                      <w:i/>
                      <w:iCs/>
                      <w:sz w:val="14"/>
                      <w:szCs w:val="14"/>
                      <w:lang w:eastAsia="zh-CN"/>
                    </w:rPr>
                  </w:pPr>
                  <w:r>
                    <w:rPr>
                      <w:rFonts w:ascii="Calibri" w:eastAsia="楷体_GB2312"/>
                      <w:b w:val="0"/>
                      <w:i/>
                      <w:color w:val="000000"/>
                      <w:sz w:val="14"/>
                    </w:rPr>
                    <w:t>Note: Current Price 711.59 is the close price on 28 Jan 2026</w:t>
                  </w:r>
                </w:p>
              </w:tc>
            </w:tr>
            <w:tr w14:paraId="3D35C87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98" w:hRule="exact"/>
              </w:trPr>
              <w:tc>
                <w:tcPr>
                  <w:tcW w:w="4071" w:type="dxa"/>
                  <w:gridSpan w:val="2"/>
                </w:tcPr>
                <w:p w14:paraId="15D8E780">
                  <w:pPr>
                    <w:adjustRightInd w:val="0"/>
                    <w:snapToGrid w:val="0"/>
                    <w:ind w:left="85"/>
                    <w:rPr>
                      <w:sz w:val="14"/>
                      <w:szCs w:val="14"/>
                      <w:lang w:eastAsia="zh-CN"/>
                    </w:rPr>
                  </w:pPr>
                </w:p>
              </w:tc>
            </w:tr>
            <w:tr w14:paraId="2D4B84D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50CB9622">
                  <w:pPr>
                    <w:jc w:val="center"/>
                  </w:pPr>
                  <w:r>
                    <w:rPr>
                      <w:rFonts w:ascii="Calibri" w:eastAsia="楷体_GB2312"/>
                    </w:rPr>
                    <w:drawing>
                      <wp:inline distT="0" distB="0" distL="0" distR="0">
                        <wp:extent cx="2286000" cy="1016000"/>
                        <wp:effectExtent l="0" t="0" r="0" b="5080"/>
                        <wp:docPr id="6" name="Drawing 6" descr="/data/deploy/attachments/file/temp/202601/1769691350283_Lfxu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data/deploy/attachments/file/temp/202601/1769691350283_Lfxul.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14:paraId="255CFA2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453535C7">
                  <w:pPr>
                    <w:jc w:val="center"/>
                  </w:pPr>
                  <w:r>
                    <w:rPr>
                      <w:rFonts w:ascii="Calibri" w:eastAsia="楷体_GB2312"/>
                    </w:rPr>
                    <w:drawing>
                      <wp:inline distT="0" distB="0" distL="0" distR="0">
                        <wp:extent cx="2286000" cy="660400"/>
                        <wp:effectExtent l="0" t="0" r="0" b="10160"/>
                        <wp:docPr id="7" name="Drawing 7" descr="/data/deploy/attachments/file/temp/202601/1769691350315_gvp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data/deploy/attachments/file/temp/202601/1769691350315_gvpqQ.png"/>
                                <pic:cNvPicPr>
                                  <a:picLocks noChangeAspect="1"/>
                                </pic:cNvPicPr>
                              </pic:nvPicPr>
                              <pic:blipFill>
                                <a:blip r:embed="rId19"/>
                                <a:stretch>
                                  <a:fillRect/>
                                </a:stretch>
                              </pic:blipFill>
                              <pic:spPr>
                                <a:xfrm>
                                  <a:off x="0" y="0"/>
                                  <a:ext cx="2286000" cy="660400"/>
                                </a:xfrm>
                                <a:prstGeom prst="rect">
                                  <a:avLst/>
                                </a:prstGeom>
                              </pic:spPr>
                            </pic:pic>
                          </a:graphicData>
                        </a:graphic>
                      </wp:inline>
                    </w:drawing>
                  </w:r>
                </w:p>
              </w:tc>
            </w:tr>
            <w:tr w14:paraId="5116CF8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7AF62C84">
                  <w:pPr>
                    <w:adjustRightInd w:val="0"/>
                    <w:snapToGrid w:val="0"/>
                    <w:ind w:right="85" w:firstLine="85"/>
                    <w:rPr>
                      <w:rFonts w:hint="eastAsia" w:ascii="楷体_GB2312" w:hAnsi="楷体_GB2312" w:eastAsiaTheme="minorEastAsia"/>
                      <w:i/>
                      <w:iCs/>
                      <w:sz w:val="12"/>
                      <w:szCs w:val="12"/>
                      <w:lang w:eastAsia="zh-CN"/>
                    </w:rPr>
                  </w:pPr>
                  <w:r>
                    <w:rPr>
                      <w:rFonts w:ascii="Calibri" w:eastAsia="楷体_GB2312"/>
                      <w:b w:val="0"/>
                      <w:i/>
                      <w:color w:val="000000"/>
                      <w:sz w:val="12"/>
                    </w:rPr>
                    <w:t>Source: HFI</w:t>
                  </w:r>
                </w:p>
              </w:tc>
            </w:tr>
            <w:tr w14:paraId="6B2FD78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7324F09E">
                  <w:pPr>
                    <w:adjustRightInd w:val="0"/>
                    <w:snapToGrid w:val="0"/>
                    <w:ind w:right="85" w:firstLine="85"/>
                    <w:rPr>
                      <w:sz w:val="14"/>
                      <w:szCs w:val="14"/>
                      <w:lang w:eastAsia="zh-CN"/>
                    </w:rPr>
                  </w:pPr>
                </w:p>
              </w:tc>
            </w:tr>
            <w:tr w14:paraId="722FFBD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0"/>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066B7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256C593F">
                        <w:pPr>
                          <w:rPr>
                            <w:color w:val="FFFFFF"/>
                          </w:rPr>
                        </w:pPr>
                        <w:r>
                          <w:rPr>
                            <w:rFonts w:hint="eastAsia"/>
                            <w:color w:val="FFFFFF"/>
                          </w:rPr>
                          <w:t>[</w:t>
                        </w:r>
                        <w:r>
                          <w:rPr>
                            <w:color w:val="FFFFFF"/>
                          </w:rPr>
                          <w:t>Table_Profit]</w:t>
                        </w:r>
                      </w:p>
                    </w:tc>
                    <w:tc>
                      <w:tcPr>
                        <w:tcW w:w="795" w:type="dxa"/>
                        <w:vAlign w:val="center"/>
                      </w:tcPr>
                      <w:p w14:paraId="48A87B76">
                        <w:pPr>
                          <w:ind w:right="85" w:firstLine="85"/>
                          <w:jc w:val="right"/>
                          <w:rPr>
                            <w:rFonts w:cs="Calibri"/>
                            <w:b/>
                            <w:bCs/>
                            <w:color w:val="000000"/>
                            <w:sz w:val="14"/>
                            <w:szCs w:val="14"/>
                          </w:rPr>
                        </w:pPr>
                      </w:p>
                    </w:tc>
                    <w:tc>
                      <w:tcPr>
                        <w:tcW w:w="879" w:type="dxa"/>
                        <w:gridSpan w:val="2"/>
                        <w:vAlign w:val="center"/>
                      </w:tcPr>
                      <w:p w14:paraId="029532D7">
                        <w:pPr>
                          <w:ind w:right="85" w:firstLine="85"/>
                          <w:jc w:val="right"/>
                          <w:rPr>
                            <w:rFonts w:cs="Calibri"/>
                            <w:b/>
                            <w:bCs/>
                            <w:color w:val="000000"/>
                            <w:sz w:val="14"/>
                            <w:szCs w:val="14"/>
                          </w:rPr>
                        </w:pPr>
                      </w:p>
                    </w:tc>
                    <w:tc>
                      <w:tcPr>
                        <w:tcW w:w="870" w:type="dxa"/>
                        <w:gridSpan w:val="2"/>
                        <w:vAlign w:val="center"/>
                      </w:tcPr>
                      <w:p w14:paraId="30CC14D5">
                        <w:pPr>
                          <w:ind w:right="85" w:firstLine="85"/>
                          <w:jc w:val="right"/>
                          <w:rPr>
                            <w:rFonts w:cs="Calibri"/>
                            <w:b/>
                            <w:bCs/>
                            <w:color w:val="000000"/>
                            <w:sz w:val="14"/>
                            <w:szCs w:val="14"/>
                          </w:rPr>
                        </w:pPr>
                      </w:p>
                    </w:tc>
                    <w:tc>
                      <w:tcPr>
                        <w:tcW w:w="869" w:type="dxa"/>
                        <w:gridSpan w:val="2"/>
                        <w:vAlign w:val="center"/>
                      </w:tcPr>
                      <w:p w14:paraId="20480819">
                        <w:pPr>
                          <w:ind w:right="85" w:firstLine="85"/>
                          <w:jc w:val="right"/>
                          <w:rPr>
                            <w:rFonts w:cs="Calibri"/>
                            <w:b/>
                            <w:bCs/>
                            <w:color w:val="000000"/>
                            <w:sz w:val="14"/>
                            <w:szCs w:val="14"/>
                          </w:rPr>
                        </w:pPr>
                      </w:p>
                    </w:tc>
                  </w:tr>
                  <w:tr w14:paraId="02A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634C65C7">
                        <w:pPr>
                          <w:adjustRightInd w:val="0"/>
                          <w:snapToGrid w:val="0"/>
                          <w:rPr>
                            <w:rFonts w:eastAsia="楷体_GB2312"/>
                            <w:color w:val="23558C"/>
                            <w:sz w:val="14"/>
                            <w:szCs w:val="14"/>
                            <w:lang w:eastAsia="zh-CN"/>
                          </w:rPr>
                        </w:pPr>
                        <w:r>
                          <w:rPr>
                            <w:rFonts w:ascii="Calibri" w:eastAsia="楷体_GB2312"/>
                            <w:b w:val="0"/>
                            <w:i w:val="0"/>
                            <w:color w:val="215E99"/>
                            <w:sz w:val="14"/>
                          </w:rPr>
                          <w:t>US$ mn</w:t>
                        </w:r>
                      </w:p>
                    </w:tc>
                    <w:tc>
                      <w:tcPr>
                        <w:tcW w:w="853" w:type="dxa"/>
                        <w:gridSpan w:val="2"/>
                        <w:vAlign w:val="center"/>
                      </w:tcPr>
                      <w:p w14:paraId="04E97317">
                        <w:pPr>
                          <w:adjustRightInd w:val="0"/>
                          <w:snapToGrid w:val="0"/>
                          <w:jc w:val="right"/>
                          <w:rPr>
                            <w:rFonts w:eastAsia="楷体_GB2312"/>
                            <w:color w:val="23558C"/>
                            <w:sz w:val="14"/>
                            <w:szCs w:val="14"/>
                            <w:lang w:eastAsia="zh-CN"/>
                          </w:rPr>
                        </w:pPr>
                        <w:r>
                          <w:rPr>
                            <w:rFonts w:ascii="Calibri" w:eastAsia="楷体_GB2312"/>
                            <w:b w:val="0"/>
                            <w:i w:val="0"/>
                            <w:color w:val="215E99"/>
                            <w:sz w:val="14"/>
                          </w:rPr>
                          <w:t>Dec-25A</w:t>
                        </w:r>
                      </w:p>
                    </w:tc>
                    <w:tc>
                      <w:tcPr>
                        <w:tcW w:w="853" w:type="dxa"/>
                        <w:gridSpan w:val="2"/>
                        <w:vAlign w:val="center"/>
                      </w:tcPr>
                      <w:p w14:paraId="0AF0ED22">
                        <w:pPr>
                          <w:adjustRightInd w:val="0"/>
                          <w:snapToGrid w:val="0"/>
                          <w:jc w:val="right"/>
                          <w:rPr>
                            <w:rFonts w:eastAsia="楷体_GB2312"/>
                            <w:color w:val="23558C"/>
                            <w:sz w:val="14"/>
                            <w:szCs w:val="14"/>
                            <w:lang w:eastAsia="zh-CN"/>
                          </w:rPr>
                        </w:pPr>
                        <w:r>
                          <w:rPr>
                            <w:rFonts w:ascii="Calibri" w:eastAsia="楷体_GB2312"/>
                            <w:b w:val="0"/>
                            <w:i w:val="0"/>
                            <w:color w:val="215E99"/>
                            <w:sz w:val="14"/>
                          </w:rPr>
                          <w:t>Dec-26E</w:t>
                        </w:r>
                      </w:p>
                    </w:tc>
                    <w:tc>
                      <w:tcPr>
                        <w:tcW w:w="853" w:type="dxa"/>
                        <w:gridSpan w:val="2"/>
                        <w:vAlign w:val="center"/>
                      </w:tcPr>
                      <w:p w14:paraId="57C5F888">
                        <w:pPr>
                          <w:adjustRightInd w:val="0"/>
                          <w:snapToGrid w:val="0"/>
                          <w:jc w:val="right"/>
                          <w:rPr>
                            <w:rFonts w:eastAsia="楷体_GB2312"/>
                            <w:color w:val="23558C"/>
                            <w:sz w:val="14"/>
                            <w:szCs w:val="14"/>
                            <w:lang w:eastAsia="zh-CN"/>
                          </w:rPr>
                        </w:pPr>
                        <w:r>
                          <w:rPr>
                            <w:rFonts w:ascii="Calibri" w:eastAsia="楷体_GB2312"/>
                            <w:b w:val="0"/>
                            <w:i w:val="0"/>
                            <w:color w:val="215E99"/>
                            <w:sz w:val="14"/>
                          </w:rPr>
                          <w:t>Dec-27E</w:t>
                        </w:r>
                      </w:p>
                    </w:tc>
                    <w:tc>
                      <w:tcPr>
                        <w:tcW w:w="854" w:type="dxa"/>
                        <w:vAlign w:val="center"/>
                      </w:tcPr>
                      <w:p w14:paraId="60DC68AC">
                        <w:pPr>
                          <w:adjustRightInd w:val="0"/>
                          <w:snapToGrid w:val="0"/>
                          <w:jc w:val="right"/>
                          <w:rPr>
                            <w:rFonts w:eastAsia="楷体_GB2312"/>
                            <w:color w:val="23558C"/>
                            <w:sz w:val="14"/>
                            <w:szCs w:val="14"/>
                            <w:lang w:eastAsia="zh-CN"/>
                          </w:rPr>
                        </w:pPr>
                        <w:r>
                          <w:rPr>
                            <w:rFonts w:ascii="Calibri" w:eastAsia="楷体_GB2312"/>
                            <w:b w:val="0"/>
                            <w:i w:val="0"/>
                            <w:color w:val="215E99"/>
                            <w:sz w:val="14"/>
                          </w:rPr>
                          <w:t>Dec-28E</w:t>
                        </w:r>
                      </w:p>
                    </w:tc>
                  </w:tr>
                  <w:tr w14:paraId="503AD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5F2B912">
                        <w:pPr>
                          <w:adjustRightInd w:val="0"/>
                          <w:snapToGrid w:val="0"/>
                          <w:rPr>
                            <w:rFonts w:eastAsia="楷体_GB2312"/>
                            <w:color w:val="23558C"/>
                            <w:sz w:val="14"/>
                            <w:szCs w:val="14"/>
                            <w:lang w:eastAsia="zh-CN"/>
                          </w:rPr>
                        </w:pPr>
                        <w:r>
                          <w:rPr>
                            <w:rFonts w:ascii="Calibri" w:eastAsia="楷体_GB2312"/>
                            <w:b w:val="0"/>
                            <w:i w:val="0"/>
                            <w:color w:val="215E99"/>
                            <w:sz w:val="14"/>
                          </w:rPr>
                          <w:t>Revenue</w:t>
                        </w:r>
                      </w:p>
                    </w:tc>
                    <w:tc>
                      <w:tcPr>
                        <w:tcW w:w="853" w:type="dxa"/>
                        <w:gridSpan w:val="2"/>
                        <w:vAlign w:val="center"/>
                      </w:tcPr>
                      <w:p w14:paraId="1BB2ADD4">
                        <w:pPr>
                          <w:adjustRightInd w:val="0"/>
                          <w:snapToGrid w:val="0"/>
                          <w:jc w:val="right"/>
                          <w:rPr>
                            <w:rFonts w:eastAsia="楷体_GB2312"/>
                            <w:sz w:val="14"/>
                            <w:szCs w:val="14"/>
                            <w:lang w:eastAsia="zh-CN"/>
                          </w:rPr>
                        </w:pPr>
                        <w:r>
                          <w:rPr>
                            <w:rFonts w:ascii="Calibri" w:eastAsia="楷体_GB2312"/>
                            <w:b w:val="0"/>
                            <w:i w:val="0"/>
                            <w:color w:val="215E99"/>
                            <w:sz w:val="14"/>
                          </w:rPr>
                          <w:t>38,068</w:t>
                        </w:r>
                      </w:p>
                    </w:tc>
                    <w:tc>
                      <w:tcPr>
                        <w:tcW w:w="853" w:type="dxa"/>
                        <w:gridSpan w:val="2"/>
                        <w:vAlign w:val="center"/>
                      </w:tcPr>
                      <w:p w14:paraId="30C350AB">
                        <w:pPr>
                          <w:jc w:val="right"/>
                          <w:rPr>
                            <w:rFonts w:eastAsia="楷体_GB2312" w:cs="Calibri"/>
                            <w:sz w:val="14"/>
                            <w:szCs w:val="14"/>
                          </w:rPr>
                        </w:pPr>
                        <w:r>
                          <w:rPr>
                            <w:rFonts w:ascii="Calibri" w:eastAsia="楷体_GB2312"/>
                            <w:b w:val="0"/>
                            <w:i w:val="0"/>
                            <w:color w:val="215E99"/>
                            <w:sz w:val="14"/>
                          </w:rPr>
                          <w:t>45,000</w:t>
                        </w:r>
                      </w:p>
                    </w:tc>
                    <w:tc>
                      <w:tcPr>
                        <w:tcW w:w="853" w:type="dxa"/>
                        <w:gridSpan w:val="2"/>
                        <w:vAlign w:val="center"/>
                      </w:tcPr>
                      <w:p w14:paraId="4FFA81DE">
                        <w:pPr>
                          <w:jc w:val="right"/>
                          <w:rPr>
                            <w:rFonts w:eastAsia="楷体_GB2312" w:cs="Calibri"/>
                            <w:sz w:val="14"/>
                            <w:szCs w:val="14"/>
                          </w:rPr>
                        </w:pPr>
                        <w:r>
                          <w:rPr>
                            <w:rFonts w:ascii="Calibri" w:eastAsia="楷体_GB2312"/>
                            <w:b w:val="0"/>
                            <w:i w:val="0"/>
                            <w:color w:val="215E99"/>
                            <w:sz w:val="14"/>
                          </w:rPr>
                          <w:t>48,460</w:t>
                        </w:r>
                      </w:p>
                    </w:tc>
                    <w:tc>
                      <w:tcPr>
                        <w:tcW w:w="854" w:type="dxa"/>
                        <w:vAlign w:val="center"/>
                      </w:tcPr>
                      <w:p w14:paraId="58550201">
                        <w:pPr>
                          <w:jc w:val="right"/>
                          <w:rPr>
                            <w:rFonts w:eastAsia="楷体_GB2312" w:cs="Calibri"/>
                            <w:sz w:val="14"/>
                            <w:szCs w:val="14"/>
                          </w:rPr>
                        </w:pPr>
                        <w:r>
                          <w:rPr>
                            <w:rFonts w:ascii="Calibri" w:eastAsia="楷体_GB2312"/>
                            <w:b w:val="0"/>
                            <w:i w:val="0"/>
                            <w:color w:val="215E99"/>
                            <w:sz w:val="14"/>
                          </w:rPr>
                          <w:t>56,709</w:t>
                        </w:r>
                      </w:p>
                    </w:tc>
                  </w:tr>
                  <w:tr w14:paraId="1BA47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B6A4781">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37460EAF">
                        <w:pPr>
                          <w:adjustRightInd w:val="0"/>
                          <w:snapToGrid w:val="0"/>
                          <w:jc w:val="right"/>
                          <w:rPr>
                            <w:rFonts w:eastAsia="楷体_GB2312"/>
                            <w:sz w:val="14"/>
                            <w:szCs w:val="14"/>
                            <w:lang w:eastAsia="zh-CN"/>
                          </w:rPr>
                        </w:pPr>
                        <w:r>
                          <w:rPr>
                            <w:rFonts w:ascii="Calibri" w:eastAsia="楷体_GB2312"/>
                            <w:b w:val="0"/>
                            <w:i w:val="0"/>
                            <w:color w:val="215E99"/>
                            <w:sz w:val="14"/>
                          </w:rPr>
                          <w:t>9.00%</w:t>
                        </w:r>
                      </w:p>
                    </w:tc>
                    <w:tc>
                      <w:tcPr>
                        <w:tcW w:w="853" w:type="dxa"/>
                        <w:gridSpan w:val="2"/>
                        <w:vAlign w:val="center"/>
                      </w:tcPr>
                      <w:p w14:paraId="15AE1BEE">
                        <w:pPr>
                          <w:jc w:val="right"/>
                          <w:rPr>
                            <w:rFonts w:eastAsia="楷体_GB2312" w:cs="Calibri"/>
                            <w:sz w:val="14"/>
                            <w:szCs w:val="14"/>
                          </w:rPr>
                        </w:pPr>
                        <w:r>
                          <w:rPr>
                            <w:rFonts w:ascii="Calibri" w:eastAsia="楷体_GB2312"/>
                            <w:b w:val="0"/>
                            <w:i w:val="0"/>
                            <w:color w:val="215E99"/>
                            <w:sz w:val="14"/>
                          </w:rPr>
                          <w:t>18.21%</w:t>
                        </w:r>
                      </w:p>
                    </w:tc>
                    <w:tc>
                      <w:tcPr>
                        <w:tcW w:w="853" w:type="dxa"/>
                        <w:gridSpan w:val="2"/>
                        <w:vAlign w:val="center"/>
                      </w:tcPr>
                      <w:p w14:paraId="53723075">
                        <w:pPr>
                          <w:jc w:val="right"/>
                          <w:rPr>
                            <w:rFonts w:eastAsia="楷体_GB2312" w:cs="Calibri"/>
                            <w:sz w:val="14"/>
                            <w:szCs w:val="14"/>
                          </w:rPr>
                        </w:pPr>
                        <w:r>
                          <w:rPr>
                            <w:rFonts w:ascii="Calibri" w:eastAsia="楷体_GB2312"/>
                            <w:b w:val="0"/>
                            <w:i w:val="0"/>
                            <w:color w:val="215E99"/>
                            <w:sz w:val="14"/>
                          </w:rPr>
                          <w:t>7.69%</w:t>
                        </w:r>
                      </w:p>
                    </w:tc>
                    <w:tc>
                      <w:tcPr>
                        <w:tcW w:w="854" w:type="dxa"/>
                        <w:vAlign w:val="center"/>
                      </w:tcPr>
                      <w:p w14:paraId="5EB9DEC8">
                        <w:pPr>
                          <w:jc w:val="right"/>
                          <w:rPr>
                            <w:rFonts w:eastAsia="楷体_GB2312" w:cs="Calibri"/>
                            <w:sz w:val="14"/>
                            <w:szCs w:val="14"/>
                          </w:rPr>
                        </w:pPr>
                        <w:r>
                          <w:rPr>
                            <w:rFonts w:ascii="Calibri" w:eastAsia="楷体_GB2312"/>
                            <w:b w:val="0"/>
                            <w:i w:val="0"/>
                            <w:color w:val="215E99"/>
                            <w:sz w:val="14"/>
                          </w:rPr>
                          <w:t>17.02%</w:t>
                        </w:r>
                      </w:p>
                    </w:tc>
                  </w:tr>
                  <w:tr w14:paraId="5588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F5655D2">
                        <w:pPr>
                          <w:adjustRightInd w:val="0"/>
                          <w:snapToGrid w:val="0"/>
                          <w:rPr>
                            <w:rFonts w:eastAsia="楷体_GB2312"/>
                            <w:color w:val="23558C"/>
                            <w:sz w:val="14"/>
                            <w:szCs w:val="14"/>
                            <w:lang w:eastAsia="zh-CN"/>
                          </w:rPr>
                        </w:pPr>
                        <w:r>
                          <w:rPr>
                            <w:rFonts w:ascii="Calibri" w:eastAsia="楷体_GB2312"/>
                            <w:b w:val="0"/>
                            <w:i w:val="0"/>
                            <w:color w:val="215E99"/>
                            <w:sz w:val="14"/>
                          </w:rPr>
                          <w:t>Net profit</w:t>
                        </w:r>
                      </w:p>
                    </w:tc>
                    <w:tc>
                      <w:tcPr>
                        <w:tcW w:w="853" w:type="dxa"/>
                        <w:gridSpan w:val="2"/>
                        <w:vAlign w:val="center"/>
                      </w:tcPr>
                      <w:p w14:paraId="7E2718FA">
                        <w:pPr>
                          <w:adjustRightInd w:val="0"/>
                          <w:snapToGrid w:val="0"/>
                          <w:jc w:val="right"/>
                          <w:rPr>
                            <w:rFonts w:eastAsia="楷体_GB2312"/>
                            <w:sz w:val="14"/>
                            <w:szCs w:val="14"/>
                            <w:lang w:eastAsia="zh-CN"/>
                          </w:rPr>
                        </w:pPr>
                        <w:r>
                          <w:rPr>
                            <w:rFonts w:ascii="Calibri" w:eastAsia="楷体_GB2312"/>
                            <w:b w:val="0"/>
                            <w:i w:val="0"/>
                            <w:color w:val="215E99"/>
                            <w:sz w:val="14"/>
                          </w:rPr>
                          <w:t>4,884</w:t>
                        </w:r>
                      </w:p>
                    </w:tc>
                    <w:tc>
                      <w:tcPr>
                        <w:tcW w:w="853" w:type="dxa"/>
                        <w:gridSpan w:val="2"/>
                        <w:vAlign w:val="center"/>
                      </w:tcPr>
                      <w:p w14:paraId="3CF617CC">
                        <w:pPr>
                          <w:jc w:val="right"/>
                          <w:rPr>
                            <w:rFonts w:eastAsia="楷体_GB2312" w:cs="Calibri"/>
                            <w:sz w:val="14"/>
                            <w:szCs w:val="14"/>
                          </w:rPr>
                        </w:pPr>
                        <w:r>
                          <w:rPr>
                            <w:rFonts w:ascii="Calibri" w:eastAsia="楷体_GB2312"/>
                            <w:b w:val="0"/>
                            <w:i w:val="0"/>
                            <w:color w:val="215E99"/>
                            <w:sz w:val="14"/>
                          </w:rPr>
                          <w:t>4,359</w:t>
                        </w:r>
                      </w:p>
                    </w:tc>
                    <w:tc>
                      <w:tcPr>
                        <w:tcW w:w="853" w:type="dxa"/>
                        <w:gridSpan w:val="2"/>
                        <w:vAlign w:val="center"/>
                      </w:tcPr>
                      <w:p w14:paraId="47FBB304">
                        <w:pPr>
                          <w:jc w:val="right"/>
                          <w:rPr>
                            <w:rFonts w:eastAsia="楷体_GB2312" w:cs="Calibri"/>
                            <w:sz w:val="14"/>
                            <w:szCs w:val="14"/>
                          </w:rPr>
                        </w:pPr>
                        <w:r>
                          <w:rPr>
                            <w:rFonts w:ascii="Calibri" w:eastAsia="楷体_GB2312"/>
                            <w:b w:val="0"/>
                            <w:i w:val="0"/>
                            <w:color w:val="215E99"/>
                            <w:sz w:val="14"/>
                          </w:rPr>
                          <w:t>6,734</w:t>
                        </w:r>
                      </w:p>
                    </w:tc>
                    <w:tc>
                      <w:tcPr>
                        <w:tcW w:w="854" w:type="dxa"/>
                        <w:vAlign w:val="center"/>
                      </w:tcPr>
                      <w:p w14:paraId="1E0F8C5A">
                        <w:pPr>
                          <w:jc w:val="right"/>
                          <w:rPr>
                            <w:rFonts w:eastAsia="楷体_GB2312" w:cs="Calibri"/>
                            <w:sz w:val="14"/>
                            <w:szCs w:val="14"/>
                          </w:rPr>
                        </w:pPr>
                        <w:r>
                          <w:rPr>
                            <w:rFonts w:ascii="Calibri" w:eastAsia="楷体_GB2312"/>
                            <w:b w:val="0"/>
                            <w:i w:val="0"/>
                            <w:color w:val="215E99"/>
                            <w:sz w:val="14"/>
                          </w:rPr>
                          <w:t>9,513</w:t>
                        </w:r>
                      </w:p>
                    </w:tc>
                  </w:tr>
                  <w:tr w14:paraId="6A342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283A069">
                        <w:pPr>
                          <w:adjustRightInd w:val="0"/>
                          <w:snapToGrid w:val="0"/>
                          <w:rPr>
                            <w:rFonts w:eastAsia="楷体_GB2312"/>
                            <w:color w:val="23558C"/>
                            <w:sz w:val="14"/>
                            <w:szCs w:val="14"/>
                            <w:lang w:eastAsia="zh-CN"/>
                          </w:rPr>
                        </w:pPr>
                        <w:r>
                          <w:rPr>
                            <w:rFonts w:ascii="Calibri" w:eastAsia="楷体_GB2312"/>
                            <w:b w:val="0"/>
                            <w:i w:val="0"/>
                            <w:color w:val="215E99"/>
                            <w:sz w:val="14"/>
                          </w:rPr>
                          <w:t>（+/-）</w:t>
                        </w:r>
                      </w:p>
                    </w:tc>
                    <w:tc>
                      <w:tcPr>
                        <w:tcW w:w="853" w:type="dxa"/>
                        <w:gridSpan w:val="2"/>
                        <w:vAlign w:val="center"/>
                      </w:tcPr>
                      <w:p w14:paraId="6EADB7EE">
                        <w:pPr>
                          <w:adjustRightInd w:val="0"/>
                          <w:snapToGrid w:val="0"/>
                          <w:jc w:val="right"/>
                          <w:rPr>
                            <w:rFonts w:eastAsia="楷体_GB2312"/>
                            <w:sz w:val="14"/>
                            <w:szCs w:val="14"/>
                            <w:lang w:eastAsia="zh-CN"/>
                          </w:rPr>
                        </w:pPr>
                        <w:r>
                          <w:rPr>
                            <w:rFonts w:ascii="Calibri" w:eastAsia="楷体_GB2312"/>
                            <w:b w:val="0"/>
                            <w:i w:val="0"/>
                            <w:color w:val="215E99"/>
                            <w:sz w:val="14"/>
                          </w:rPr>
                          <w:t>213%</w:t>
                        </w:r>
                      </w:p>
                    </w:tc>
                    <w:tc>
                      <w:tcPr>
                        <w:tcW w:w="853" w:type="dxa"/>
                        <w:gridSpan w:val="2"/>
                        <w:vAlign w:val="center"/>
                      </w:tcPr>
                      <w:p w14:paraId="197612DC">
                        <w:pPr>
                          <w:jc w:val="right"/>
                          <w:rPr>
                            <w:rFonts w:eastAsia="楷体_GB2312" w:cs="Calibri"/>
                            <w:sz w:val="14"/>
                            <w:szCs w:val="14"/>
                          </w:rPr>
                        </w:pPr>
                        <w:r>
                          <w:rPr>
                            <w:rFonts w:ascii="Calibri" w:eastAsia="楷体_GB2312"/>
                            <w:b w:val="0"/>
                            <w:i w:val="0"/>
                            <w:color w:val="215E99"/>
                            <w:sz w:val="14"/>
                          </w:rPr>
                          <w:t>-11%</w:t>
                        </w:r>
                      </w:p>
                    </w:tc>
                    <w:tc>
                      <w:tcPr>
                        <w:tcW w:w="853" w:type="dxa"/>
                        <w:gridSpan w:val="2"/>
                        <w:vAlign w:val="center"/>
                      </w:tcPr>
                      <w:p w14:paraId="61BE3CE4">
                        <w:pPr>
                          <w:jc w:val="right"/>
                          <w:rPr>
                            <w:rFonts w:eastAsia="楷体_GB2312" w:cs="Calibri"/>
                            <w:sz w:val="14"/>
                            <w:szCs w:val="14"/>
                          </w:rPr>
                        </w:pPr>
                        <w:r>
                          <w:rPr>
                            <w:rFonts w:ascii="Calibri" w:eastAsia="楷体_GB2312"/>
                            <w:b w:val="0"/>
                            <w:i w:val="0"/>
                            <w:color w:val="215E99"/>
                            <w:sz w:val="14"/>
                          </w:rPr>
                          <w:t>54%</w:t>
                        </w:r>
                      </w:p>
                    </w:tc>
                    <w:tc>
                      <w:tcPr>
                        <w:tcW w:w="854" w:type="dxa"/>
                        <w:vAlign w:val="center"/>
                      </w:tcPr>
                      <w:p w14:paraId="5A32CECB">
                        <w:pPr>
                          <w:jc w:val="right"/>
                          <w:rPr>
                            <w:rFonts w:eastAsia="楷体_GB2312" w:cs="Calibri"/>
                            <w:sz w:val="14"/>
                            <w:szCs w:val="14"/>
                          </w:rPr>
                        </w:pPr>
                        <w:r>
                          <w:rPr>
                            <w:rFonts w:ascii="Calibri" w:eastAsia="楷体_GB2312"/>
                            <w:b w:val="0"/>
                            <w:i w:val="0"/>
                            <w:color w:val="215E99"/>
                            <w:sz w:val="14"/>
                          </w:rPr>
                          <w:t>41%</w:t>
                        </w:r>
                      </w:p>
                    </w:tc>
                  </w:tr>
                  <w:tr w14:paraId="440AF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D7D4ADE">
                        <w:pPr>
                          <w:adjustRightInd w:val="0"/>
                          <w:snapToGrid w:val="0"/>
                          <w:rPr>
                            <w:rFonts w:eastAsia="楷体_GB2312"/>
                            <w:color w:val="23558C"/>
                            <w:sz w:val="14"/>
                            <w:szCs w:val="14"/>
                            <w:lang w:eastAsia="zh-CN"/>
                          </w:rPr>
                        </w:pPr>
                        <w:r>
                          <w:rPr>
                            <w:rFonts w:ascii="Calibri" w:eastAsia="楷体_GB2312"/>
                            <w:b w:val="0"/>
                            <w:i w:val="0"/>
                            <w:color w:val="215E99"/>
                            <w:sz w:val="14"/>
                          </w:rPr>
                          <w:t>Diluted EPS (US$)</w:t>
                        </w:r>
                      </w:p>
                    </w:tc>
                    <w:tc>
                      <w:tcPr>
                        <w:tcW w:w="853" w:type="dxa"/>
                        <w:gridSpan w:val="2"/>
                        <w:vAlign w:val="center"/>
                      </w:tcPr>
                      <w:p w14:paraId="7AAE11DE">
                        <w:pPr>
                          <w:adjustRightInd w:val="0"/>
                          <w:snapToGrid w:val="0"/>
                          <w:jc w:val="right"/>
                          <w:rPr>
                            <w:rFonts w:eastAsia="楷体_GB2312"/>
                            <w:sz w:val="14"/>
                            <w:szCs w:val="14"/>
                            <w:lang w:eastAsia="zh-CN"/>
                          </w:rPr>
                        </w:pPr>
                        <w:r>
                          <w:rPr>
                            <w:rFonts w:ascii="Calibri" w:eastAsia="楷体_GB2312"/>
                            <w:b w:val="0"/>
                            <w:i w:val="0"/>
                            <w:color w:val="215E99"/>
                            <w:sz w:val="14"/>
                          </w:rPr>
                          <w:t>17.69</w:t>
                        </w:r>
                      </w:p>
                    </w:tc>
                    <w:tc>
                      <w:tcPr>
                        <w:tcW w:w="853" w:type="dxa"/>
                        <w:gridSpan w:val="2"/>
                        <w:vAlign w:val="center"/>
                      </w:tcPr>
                      <w:p w14:paraId="02F06F28">
                        <w:pPr>
                          <w:jc w:val="right"/>
                          <w:rPr>
                            <w:rFonts w:eastAsia="楷体_GB2312" w:cs="Calibri"/>
                            <w:sz w:val="14"/>
                            <w:szCs w:val="14"/>
                          </w:rPr>
                        </w:pPr>
                        <w:r>
                          <w:rPr>
                            <w:rFonts w:ascii="Calibri" w:eastAsia="楷体_GB2312"/>
                            <w:b w:val="0"/>
                            <w:i w:val="0"/>
                            <w:color w:val="215E99"/>
                            <w:sz w:val="14"/>
                          </w:rPr>
                          <w:t>15.90</w:t>
                        </w:r>
                      </w:p>
                    </w:tc>
                    <w:tc>
                      <w:tcPr>
                        <w:tcW w:w="853" w:type="dxa"/>
                        <w:gridSpan w:val="2"/>
                        <w:vAlign w:val="center"/>
                      </w:tcPr>
                      <w:p w14:paraId="5CE50E99">
                        <w:pPr>
                          <w:jc w:val="right"/>
                          <w:rPr>
                            <w:rFonts w:eastAsia="楷体_GB2312" w:cs="Calibri"/>
                            <w:sz w:val="14"/>
                            <w:szCs w:val="14"/>
                          </w:rPr>
                        </w:pPr>
                        <w:r>
                          <w:rPr>
                            <w:rFonts w:ascii="Calibri" w:eastAsia="楷体_GB2312"/>
                            <w:b w:val="0"/>
                            <w:i w:val="0"/>
                            <w:color w:val="215E99"/>
                            <w:sz w:val="14"/>
                          </w:rPr>
                          <w:t>24.72</w:t>
                        </w:r>
                      </w:p>
                    </w:tc>
                    <w:tc>
                      <w:tcPr>
                        <w:tcW w:w="854" w:type="dxa"/>
                        <w:vAlign w:val="center"/>
                      </w:tcPr>
                      <w:p w14:paraId="5A6DDED9">
                        <w:pPr>
                          <w:jc w:val="right"/>
                          <w:rPr>
                            <w:rFonts w:eastAsia="楷体_GB2312" w:cs="Calibri"/>
                            <w:sz w:val="14"/>
                            <w:szCs w:val="14"/>
                          </w:rPr>
                        </w:pPr>
                        <w:r>
                          <w:rPr>
                            <w:rFonts w:ascii="Calibri" w:eastAsia="楷体_GB2312"/>
                            <w:b w:val="0"/>
                            <w:i w:val="0"/>
                            <w:color w:val="215E99"/>
                            <w:sz w:val="14"/>
                          </w:rPr>
                          <w:t>35.15</w:t>
                        </w:r>
                      </w:p>
                    </w:tc>
                  </w:tr>
                  <w:tr w14:paraId="4F32F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4D076E3">
                        <w:pPr>
                          <w:adjustRightInd w:val="0"/>
                          <w:snapToGrid w:val="0"/>
                          <w:rPr>
                            <w:rFonts w:eastAsia="楷体_GB2312"/>
                            <w:color w:val="23558C"/>
                            <w:sz w:val="14"/>
                            <w:szCs w:val="14"/>
                            <w:lang w:eastAsia="zh-CN"/>
                          </w:rPr>
                        </w:pPr>
                        <w:r>
                          <w:rPr>
                            <w:rFonts w:ascii="Calibri" w:eastAsia="楷体_GB2312"/>
                            <w:b w:val="0"/>
                            <w:i w:val="0"/>
                            <w:color w:val="215E99"/>
                            <w:sz w:val="14"/>
                          </w:rPr>
                          <w:t>GPM</w:t>
                        </w:r>
                      </w:p>
                    </w:tc>
                    <w:tc>
                      <w:tcPr>
                        <w:tcW w:w="853" w:type="dxa"/>
                        <w:gridSpan w:val="2"/>
                        <w:vAlign w:val="center"/>
                      </w:tcPr>
                      <w:p w14:paraId="7C6DDEFE">
                        <w:pPr>
                          <w:adjustRightInd w:val="0"/>
                          <w:snapToGrid w:val="0"/>
                          <w:jc w:val="right"/>
                          <w:rPr>
                            <w:rFonts w:eastAsia="楷体_GB2312"/>
                            <w:sz w:val="14"/>
                            <w:szCs w:val="14"/>
                            <w:lang w:eastAsia="zh-CN"/>
                          </w:rPr>
                        </w:pPr>
                        <w:r>
                          <w:rPr>
                            <w:rFonts w:ascii="Calibri" w:eastAsia="楷体_GB2312"/>
                            <w:b w:val="0"/>
                            <w:i w:val="0"/>
                            <w:color w:val="215E99"/>
                            <w:sz w:val="14"/>
                          </w:rPr>
                          <w:t>19.8%</w:t>
                        </w:r>
                      </w:p>
                    </w:tc>
                    <w:tc>
                      <w:tcPr>
                        <w:tcW w:w="853" w:type="dxa"/>
                        <w:gridSpan w:val="2"/>
                        <w:vAlign w:val="center"/>
                      </w:tcPr>
                      <w:p w14:paraId="1E10B248">
                        <w:pPr>
                          <w:jc w:val="right"/>
                          <w:rPr>
                            <w:rFonts w:eastAsia="楷体_GB2312" w:cs="Calibri"/>
                            <w:sz w:val="14"/>
                            <w:szCs w:val="14"/>
                          </w:rPr>
                        </w:pPr>
                        <w:r>
                          <w:rPr>
                            <w:rFonts w:ascii="Calibri" w:eastAsia="楷体_GB2312"/>
                            <w:b w:val="0"/>
                            <w:i w:val="0"/>
                            <w:color w:val="215E99"/>
                            <w:sz w:val="14"/>
                          </w:rPr>
                          <w:t>24.6%</w:t>
                        </w:r>
                      </w:p>
                    </w:tc>
                    <w:tc>
                      <w:tcPr>
                        <w:tcW w:w="853" w:type="dxa"/>
                        <w:gridSpan w:val="2"/>
                        <w:vAlign w:val="center"/>
                      </w:tcPr>
                      <w:p w14:paraId="01943F50">
                        <w:pPr>
                          <w:jc w:val="right"/>
                          <w:rPr>
                            <w:rFonts w:eastAsia="楷体_GB2312" w:cs="Calibri"/>
                            <w:sz w:val="14"/>
                            <w:szCs w:val="14"/>
                          </w:rPr>
                        </w:pPr>
                        <w:r>
                          <w:rPr>
                            <w:rFonts w:ascii="Calibri" w:eastAsia="楷体_GB2312"/>
                            <w:b w:val="0"/>
                            <w:i w:val="0"/>
                            <w:color w:val="215E99"/>
                            <w:sz w:val="14"/>
                          </w:rPr>
                          <w:t>29.6%</w:t>
                        </w:r>
                      </w:p>
                    </w:tc>
                    <w:tc>
                      <w:tcPr>
                        <w:tcW w:w="854" w:type="dxa"/>
                        <w:vAlign w:val="center"/>
                      </w:tcPr>
                      <w:p w14:paraId="2F4D9AA8">
                        <w:pPr>
                          <w:jc w:val="right"/>
                          <w:rPr>
                            <w:rFonts w:eastAsia="楷体_GB2312" w:cs="Calibri"/>
                            <w:sz w:val="14"/>
                            <w:szCs w:val="14"/>
                          </w:rPr>
                        </w:pPr>
                        <w:r>
                          <w:rPr>
                            <w:rFonts w:ascii="Calibri" w:eastAsia="楷体_GB2312"/>
                            <w:b w:val="0"/>
                            <w:i w:val="0"/>
                            <w:color w:val="215E99"/>
                            <w:sz w:val="14"/>
                          </w:rPr>
                          <w:t>32.0%</w:t>
                        </w:r>
                      </w:p>
                    </w:tc>
                  </w:tr>
                  <w:tr w14:paraId="523F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71C19D56">
                        <w:pPr>
                          <w:adjustRightInd w:val="0"/>
                          <w:snapToGrid w:val="0"/>
                          <w:rPr>
                            <w:rFonts w:eastAsia="楷体_GB2312"/>
                            <w:color w:val="23558C"/>
                            <w:sz w:val="14"/>
                            <w:szCs w:val="14"/>
                            <w:lang w:eastAsia="zh-CN"/>
                          </w:rPr>
                        </w:pPr>
                        <w:r>
                          <w:rPr>
                            <w:rFonts w:ascii="Calibri" w:eastAsia="楷体_GB2312"/>
                            <w:b w:val="0"/>
                            <w:i w:val="0"/>
                            <w:color w:val="215E99"/>
                            <w:sz w:val="14"/>
                          </w:rPr>
                          <w:t>ROE</w:t>
                        </w:r>
                      </w:p>
                    </w:tc>
                    <w:tc>
                      <w:tcPr>
                        <w:tcW w:w="853" w:type="dxa"/>
                        <w:gridSpan w:val="2"/>
                        <w:vAlign w:val="center"/>
                      </w:tcPr>
                      <w:p w14:paraId="2BBDECAC">
                        <w:pPr>
                          <w:jc w:val="right"/>
                          <w:rPr>
                            <w:rFonts w:eastAsia="楷体_GB2312" w:cs="Calibri"/>
                            <w:sz w:val="14"/>
                            <w:szCs w:val="14"/>
                          </w:rPr>
                        </w:pPr>
                        <w:r>
                          <w:rPr>
                            <w:rFonts w:ascii="Calibri" w:eastAsia="楷体_GB2312"/>
                            <w:b w:val="0"/>
                            <w:i w:val="0"/>
                            <w:color w:val="215E99"/>
                            <w:sz w:val="14"/>
                          </w:rPr>
                          <w:t>39.7%</w:t>
                        </w:r>
                      </w:p>
                    </w:tc>
                    <w:tc>
                      <w:tcPr>
                        <w:tcW w:w="853" w:type="dxa"/>
                        <w:gridSpan w:val="2"/>
                        <w:vAlign w:val="center"/>
                      </w:tcPr>
                      <w:p w14:paraId="302D42D9">
                        <w:pPr>
                          <w:jc w:val="right"/>
                          <w:rPr>
                            <w:rFonts w:eastAsia="楷体_GB2312" w:cs="Calibri"/>
                            <w:sz w:val="14"/>
                            <w:szCs w:val="14"/>
                          </w:rPr>
                        </w:pPr>
                        <w:r>
                          <w:rPr>
                            <w:rFonts w:ascii="Calibri" w:eastAsia="楷体_GB2312"/>
                            <w:b w:val="0"/>
                            <w:i w:val="0"/>
                            <w:color w:val="215E99"/>
                            <w:sz w:val="14"/>
                          </w:rPr>
                          <w:t>30.5%</w:t>
                        </w:r>
                      </w:p>
                    </w:tc>
                    <w:tc>
                      <w:tcPr>
                        <w:tcW w:w="853" w:type="dxa"/>
                        <w:gridSpan w:val="2"/>
                        <w:vAlign w:val="center"/>
                      </w:tcPr>
                      <w:p w14:paraId="536A59CB">
                        <w:pPr>
                          <w:jc w:val="right"/>
                          <w:rPr>
                            <w:rFonts w:eastAsia="楷体_GB2312" w:cs="Calibri"/>
                            <w:sz w:val="14"/>
                            <w:szCs w:val="14"/>
                          </w:rPr>
                        </w:pPr>
                        <w:r>
                          <w:rPr>
                            <w:rFonts w:ascii="Calibri" w:eastAsia="楷体_GB2312"/>
                            <w:b w:val="0"/>
                            <w:i w:val="0"/>
                            <w:color w:val="215E99"/>
                            <w:sz w:val="14"/>
                          </w:rPr>
                          <w:t>36.1%</w:t>
                        </w:r>
                      </w:p>
                    </w:tc>
                    <w:tc>
                      <w:tcPr>
                        <w:tcW w:w="854" w:type="dxa"/>
                        <w:vAlign w:val="center"/>
                      </w:tcPr>
                      <w:p w14:paraId="3203AE38">
                        <w:pPr>
                          <w:jc w:val="right"/>
                          <w:rPr>
                            <w:rFonts w:eastAsia="楷体_GB2312" w:cs="Calibri"/>
                            <w:sz w:val="14"/>
                            <w:szCs w:val="14"/>
                          </w:rPr>
                        </w:pPr>
                        <w:r>
                          <w:rPr>
                            <w:rFonts w:ascii="Calibri" w:eastAsia="楷体_GB2312"/>
                            <w:b w:val="0"/>
                            <w:i w:val="0"/>
                            <w:color w:val="215E99"/>
                            <w:sz w:val="14"/>
                          </w:rPr>
                          <w:t>36.9%</w:t>
                        </w:r>
                      </w:p>
                    </w:tc>
                  </w:tr>
                  <w:tr w14:paraId="22418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3C40A00">
                        <w:pPr>
                          <w:adjustRightInd w:val="0"/>
                          <w:snapToGrid w:val="0"/>
                          <w:rPr>
                            <w:rFonts w:eastAsia="楷体_GB2312"/>
                            <w:color w:val="23558C"/>
                            <w:sz w:val="14"/>
                            <w:szCs w:val="14"/>
                            <w:lang w:eastAsia="zh-CN"/>
                          </w:rPr>
                        </w:pPr>
                        <w:r>
                          <w:rPr>
                            <w:rFonts w:ascii="Calibri" w:eastAsia="楷体_GB2312"/>
                            <w:b w:val="0"/>
                            <w:i w:val="0"/>
                            <w:color w:val="215E99"/>
                            <w:sz w:val="14"/>
                          </w:rPr>
                          <w:t>P/E</w:t>
                        </w:r>
                      </w:p>
                    </w:tc>
                    <w:tc>
                      <w:tcPr>
                        <w:tcW w:w="853" w:type="dxa"/>
                        <w:gridSpan w:val="2"/>
                        <w:vAlign w:val="center"/>
                      </w:tcPr>
                      <w:p w14:paraId="72C085A7">
                        <w:pPr>
                          <w:jc w:val="right"/>
                          <w:rPr>
                            <w:rFonts w:eastAsia="楷体_GB2312" w:cs="Calibri"/>
                            <w:sz w:val="14"/>
                            <w:szCs w:val="14"/>
                          </w:rPr>
                        </w:pPr>
                        <w:r>
                          <w:rPr>
                            <w:rFonts w:ascii="Calibri" w:eastAsia="楷体_GB2312"/>
                            <w:b w:val="0"/>
                            <w:i w:val="0"/>
                            <w:color w:val="215E99"/>
                            <w:sz w:val="14"/>
                          </w:rPr>
                          <w:t>40</w:t>
                        </w:r>
                      </w:p>
                    </w:tc>
                    <w:tc>
                      <w:tcPr>
                        <w:tcW w:w="853" w:type="dxa"/>
                        <w:gridSpan w:val="2"/>
                        <w:vAlign w:val="center"/>
                      </w:tcPr>
                      <w:p w14:paraId="5ED447D6">
                        <w:pPr>
                          <w:jc w:val="right"/>
                          <w:rPr>
                            <w:rFonts w:eastAsia="楷体_GB2312" w:cs="Calibri"/>
                            <w:sz w:val="14"/>
                            <w:szCs w:val="14"/>
                          </w:rPr>
                        </w:pPr>
                        <w:r>
                          <w:rPr>
                            <w:rFonts w:ascii="Calibri" w:eastAsia="楷体_GB2312"/>
                            <w:b w:val="0"/>
                            <w:i w:val="0"/>
                            <w:color w:val="215E99"/>
                            <w:sz w:val="14"/>
                          </w:rPr>
                          <w:t>45</w:t>
                        </w:r>
                      </w:p>
                    </w:tc>
                    <w:tc>
                      <w:tcPr>
                        <w:tcW w:w="853" w:type="dxa"/>
                        <w:gridSpan w:val="2"/>
                        <w:vAlign w:val="center"/>
                      </w:tcPr>
                      <w:p w14:paraId="10D4B370">
                        <w:pPr>
                          <w:jc w:val="right"/>
                          <w:rPr>
                            <w:rFonts w:eastAsia="楷体_GB2312" w:cs="Calibri"/>
                            <w:sz w:val="14"/>
                            <w:szCs w:val="14"/>
                          </w:rPr>
                        </w:pPr>
                        <w:r>
                          <w:rPr>
                            <w:rFonts w:ascii="Calibri" w:eastAsia="楷体_GB2312"/>
                            <w:b w:val="0"/>
                            <w:i w:val="0"/>
                            <w:color w:val="215E99"/>
                            <w:sz w:val="14"/>
                          </w:rPr>
                          <w:t>29</w:t>
                        </w:r>
                      </w:p>
                    </w:tc>
                    <w:tc>
                      <w:tcPr>
                        <w:tcW w:w="854" w:type="dxa"/>
                        <w:vAlign w:val="center"/>
                      </w:tcPr>
                      <w:p w14:paraId="4AF4893B">
                        <w:pPr>
                          <w:jc w:val="right"/>
                          <w:rPr>
                            <w:rFonts w:eastAsia="楷体_GB2312" w:cs="Calibri"/>
                            <w:sz w:val="14"/>
                            <w:szCs w:val="14"/>
                          </w:rPr>
                        </w:pPr>
                        <w:r>
                          <w:rPr>
                            <w:rFonts w:ascii="Calibri" w:eastAsia="楷体_GB2312"/>
                            <w:b w:val="0"/>
                            <w:i w:val="0"/>
                            <w:color w:val="215E99"/>
                            <w:sz w:val="14"/>
                          </w:rPr>
                          <w:t>20</w:t>
                        </w:r>
                      </w:p>
                    </w:tc>
                  </w:tr>
                </w:tbl>
                <w:p w14:paraId="47430BFE">
                  <w:pPr>
                    <w:ind w:right="85" w:firstLine="85"/>
                  </w:pPr>
                </w:p>
              </w:tc>
            </w:tr>
            <w:tr w14:paraId="0AF3665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35DD6EE0">
                  <w:pPr>
                    <w:ind w:firstLine="85"/>
                    <w:rPr>
                      <w:rFonts w:cs="Calibri"/>
                      <w:i/>
                      <w:iCs/>
                      <w:color w:val="000000"/>
                      <w:sz w:val="12"/>
                      <w:lang w:eastAsia="zh-CN"/>
                    </w:rPr>
                  </w:pPr>
                  <w:r>
                    <w:rPr>
                      <w:rFonts w:ascii="Calibri" w:eastAsia="楷体_GB2312"/>
                      <w:b w:val="0"/>
                      <w:i/>
                      <w:color w:val="000000"/>
                      <w:sz w:val="12"/>
                    </w:rPr>
                    <w:t>Source: Company data, HFI</w:t>
                  </w:r>
                </w:p>
              </w:tc>
            </w:tr>
          </w:tbl>
          <w:p w14:paraId="09733C68">
            <w:pPr>
              <w:pStyle w:val="20"/>
              <w:framePr w:wrap="auto" w:vAnchor="margin" w:hAnchor="text" w:xAlign="left" w:yAlign="inline"/>
              <w:jc w:val="left"/>
            </w:pPr>
          </w:p>
        </w:tc>
        <w:tc>
          <w:tcPr>
            <w:tcW w:w="6061" w:type="dxa"/>
            <w:gridSpan w:val="4"/>
            <w:tcMar>
              <w:left w:w="85" w:type="dxa"/>
            </w:tcMar>
          </w:tcPr>
          <w:p w14:paraId="2858E169">
            <w:pPr>
              <w:pStyle w:val="85"/>
              <w:jc w:val="both"/>
              <w:rPr>
                <w:rFonts w:eastAsia="宋体" w:cs="Times New Roman"/>
                <w:lang w:eastAsia="zh-CN"/>
              </w:rPr>
            </w:pPr>
            <w:r>
              <w:rPr>
                <w:rFonts w:hint="eastAsia" w:eastAsia="宋体" w:cs="Times New Roman"/>
                <w:b/>
                <w:bCs/>
                <w:color w:val="23558C"/>
                <w:kern w:val="28"/>
                <w:sz w:val="22"/>
                <w:szCs w:val="22"/>
                <w:lang w:eastAsia="zh-CN"/>
              </w:rPr>
              <w:t xml:space="preserve">Revenue and </w:t>
            </w:r>
            <w:r>
              <w:rPr>
                <w:rFonts w:eastAsia="宋体" w:cs="Times New Roman"/>
                <w:b/>
                <w:bCs/>
                <w:color w:val="23558C"/>
                <w:kern w:val="28"/>
                <w:sz w:val="22"/>
                <w:szCs w:val="22"/>
                <w:lang w:eastAsia="zh-CN"/>
              </w:rPr>
              <w:t>profitability</w:t>
            </w:r>
            <w:r>
              <w:rPr>
                <w:rFonts w:hint="eastAsia" w:eastAsia="宋体" w:cs="Times New Roman"/>
                <w:b/>
                <w:bCs/>
                <w:color w:val="23558C"/>
                <w:kern w:val="28"/>
                <w:sz w:val="22"/>
                <w:szCs w:val="22"/>
                <w:lang w:eastAsia="zh-CN"/>
              </w:rPr>
              <w:t xml:space="preserve"> for Q4 and FY2025 is beyond </w:t>
            </w:r>
            <w:r>
              <w:rPr>
                <w:rFonts w:eastAsia="宋体" w:cs="Times New Roman"/>
                <w:b/>
                <w:bCs/>
                <w:color w:val="23558C"/>
                <w:kern w:val="28"/>
                <w:sz w:val="22"/>
                <w:szCs w:val="22"/>
                <w:lang w:eastAsia="zh-CN"/>
              </w:rPr>
              <w:t>market expectations</w:t>
            </w:r>
            <w:r>
              <w:rPr>
                <w:rFonts w:hint="eastAsia" w:eastAsia="宋体" w:cs="Times New Roman"/>
                <w:b/>
                <w:bCs/>
                <w:color w:val="23558C"/>
                <w:kern w:val="28"/>
                <w:sz w:val="22"/>
                <w:szCs w:val="22"/>
                <w:lang w:eastAsia="zh-CN"/>
              </w:rPr>
              <w:t xml:space="preserve">. </w:t>
            </w:r>
            <w:r>
              <w:rPr>
                <w:rFonts w:hint="eastAsia" w:eastAsia="宋体" w:cs="Times New Roman"/>
                <w:lang w:eastAsia="zh-CN"/>
              </w:rPr>
              <w:t>In Q4, company</w:t>
            </w:r>
            <w:r>
              <w:rPr>
                <w:rFonts w:eastAsia="MS Mincho" w:cs="Times New Roman"/>
              </w:rPr>
              <w:t xml:space="preserve"> revenue was $11.0</w:t>
            </w:r>
            <w:r>
              <w:rPr>
                <w:rFonts w:hint="eastAsia" w:eastAsia="宋体" w:cs="Times New Roman"/>
                <w:lang w:eastAsia="zh-CN"/>
              </w:rPr>
              <w:t>B</w:t>
            </w:r>
            <w:r>
              <w:rPr>
                <w:rFonts w:eastAsia="MS Mincho" w:cs="Times New Roman"/>
              </w:rPr>
              <w:t>, up 4% year-over-year, beating the market consensus of $10.3</w:t>
            </w:r>
            <w:r>
              <w:rPr>
                <w:rFonts w:hint="eastAsia" w:eastAsia="宋体" w:cs="Times New Roman"/>
                <w:lang w:eastAsia="zh-CN"/>
              </w:rPr>
              <w:t>B</w:t>
            </w:r>
            <w:r>
              <w:rPr>
                <w:rFonts w:eastAsia="MS Mincho" w:cs="Times New Roman"/>
              </w:rPr>
              <w:t>.</w:t>
            </w:r>
            <w:r>
              <w:rPr>
                <w:rFonts w:hint="eastAsia" w:eastAsia="宋体" w:cs="Times New Roman"/>
                <w:lang w:eastAsia="zh-CN"/>
              </w:rPr>
              <w:t xml:space="preserve"> </w:t>
            </w:r>
            <w:r>
              <w:rPr>
                <w:rFonts w:eastAsia="宋体" w:cs="Times New Roman"/>
                <w:lang w:eastAsia="zh-CN"/>
              </w:rPr>
              <w:t>Net income reached $3.</w:t>
            </w:r>
            <w:r>
              <w:rPr>
                <w:rFonts w:hint="eastAsia" w:eastAsia="宋体" w:cs="Times New Roman"/>
                <w:lang w:eastAsia="zh-CN"/>
              </w:rPr>
              <w:t>7B</w:t>
            </w:r>
            <w:r>
              <w:rPr>
                <w:rFonts w:eastAsia="宋体" w:cs="Times New Roman"/>
                <w:lang w:eastAsia="zh-CN"/>
              </w:rPr>
              <w:t>, with a net margin of 33.5%. Note that this high profit includes a $2.9</w:t>
            </w:r>
            <w:r>
              <w:rPr>
                <w:rFonts w:hint="eastAsia" w:eastAsia="宋体" w:cs="Times New Roman"/>
                <w:lang w:eastAsia="zh-CN"/>
              </w:rPr>
              <w:t>B</w:t>
            </w:r>
            <w:r>
              <w:rPr>
                <w:rFonts w:eastAsia="宋体" w:cs="Times New Roman"/>
                <w:lang w:eastAsia="zh-CN"/>
              </w:rPr>
              <w:t xml:space="preserve"> tax benefit. </w:t>
            </w:r>
            <w:r>
              <w:rPr>
                <w:rFonts w:hint="eastAsia" w:eastAsia="宋体" w:cs="Times New Roman"/>
                <w:lang w:eastAsia="zh-CN"/>
              </w:rPr>
              <w:t xml:space="preserve">Excluding the tax benefit, the net margin would be ~7.3% vs 5% in Q3. </w:t>
            </w:r>
            <w:r>
              <w:rPr>
                <w:rFonts w:eastAsia="宋体" w:cs="Times New Roman"/>
                <w:lang w:eastAsia="zh-CN"/>
              </w:rPr>
              <w:t>Adjusted EBITDA was $1.2</w:t>
            </w:r>
            <w:r>
              <w:rPr>
                <w:rFonts w:hint="eastAsia" w:eastAsia="宋体" w:cs="Times New Roman"/>
                <w:lang w:eastAsia="zh-CN"/>
              </w:rPr>
              <w:t xml:space="preserve">B, with </w:t>
            </w:r>
            <w:r>
              <w:rPr>
                <w:rFonts w:eastAsia="宋体" w:cs="Times New Roman"/>
                <w:lang w:eastAsia="zh-CN"/>
              </w:rPr>
              <w:t>10.6% margin. Free Cash Flow (FCF) remained strong at $1.8</w:t>
            </w:r>
            <w:r>
              <w:rPr>
                <w:rFonts w:hint="eastAsia" w:eastAsia="宋体" w:cs="Times New Roman"/>
                <w:lang w:eastAsia="zh-CN"/>
              </w:rPr>
              <w:t>B</w:t>
            </w:r>
            <w:r>
              <w:rPr>
                <w:rFonts w:eastAsia="宋体" w:cs="Times New Roman"/>
                <w:lang w:eastAsia="zh-CN"/>
              </w:rPr>
              <w:t xml:space="preserve"> for the quarter.</w:t>
            </w:r>
            <w:r>
              <w:rPr>
                <w:rFonts w:hint="eastAsia" w:eastAsia="宋体" w:cs="Times New Roman"/>
                <w:lang w:eastAsia="zh-CN"/>
              </w:rPr>
              <w:t xml:space="preserve"> </w:t>
            </w:r>
            <w:r>
              <w:rPr>
                <w:rFonts w:eastAsia="宋体" w:cs="Times New Roman"/>
                <w:lang w:eastAsia="zh-CN"/>
              </w:rPr>
              <w:t>Q4 orders reached</w:t>
            </w:r>
            <w:r>
              <w:rPr>
                <w:rFonts w:hint="eastAsia" w:eastAsia="宋体" w:cs="Times New Roman"/>
                <w:lang w:eastAsia="zh-CN"/>
              </w:rPr>
              <w:t xml:space="preserve"> </w:t>
            </w:r>
            <w:r>
              <w:rPr>
                <w:rFonts w:eastAsia="宋体" w:cs="Times New Roman"/>
                <w:lang w:eastAsia="zh-CN"/>
              </w:rPr>
              <w:t>$22.2</w:t>
            </w:r>
            <w:r>
              <w:rPr>
                <w:rFonts w:hint="eastAsia" w:eastAsia="宋体" w:cs="Times New Roman"/>
                <w:lang w:eastAsia="zh-CN"/>
              </w:rPr>
              <w:t>B</w:t>
            </w:r>
            <w:r>
              <w:rPr>
                <w:rFonts w:eastAsia="宋体" w:cs="Times New Roman"/>
                <w:lang w:eastAsia="zh-CN"/>
              </w:rPr>
              <w:t>, representing 65%</w:t>
            </w:r>
            <w:r>
              <w:rPr>
                <w:rFonts w:hint="eastAsia" w:eastAsia="宋体" w:cs="Times New Roman"/>
                <w:lang w:eastAsia="zh-CN"/>
              </w:rPr>
              <w:t xml:space="preserve"> </w:t>
            </w:r>
            <w:r>
              <w:rPr>
                <w:rFonts w:eastAsia="宋体" w:cs="Times New Roman"/>
                <w:lang w:eastAsia="zh-CN"/>
              </w:rPr>
              <w:t>organic growth. Backlog increased by $15.0</w:t>
            </w:r>
            <w:r>
              <w:rPr>
                <w:rFonts w:hint="eastAsia" w:eastAsia="宋体" w:cs="Times New Roman"/>
                <w:lang w:eastAsia="zh-CN"/>
              </w:rPr>
              <w:t>B</w:t>
            </w:r>
            <w:r>
              <w:rPr>
                <w:rFonts w:eastAsia="宋体" w:cs="Times New Roman"/>
                <w:lang w:eastAsia="zh-CN"/>
              </w:rPr>
              <w:t xml:space="preserve"> quarter-over-quarter, primarily driven by equipment and service orders in the Power and Electrification segments.</w:t>
            </w:r>
            <w:r>
              <w:rPr>
                <w:rFonts w:hint="eastAsia" w:eastAsia="宋体" w:cs="Times New Roman"/>
                <w:lang w:eastAsia="zh-CN"/>
              </w:rPr>
              <w:t xml:space="preserve"> For 2025, f</w:t>
            </w:r>
            <w:r>
              <w:rPr>
                <w:rFonts w:eastAsia="宋体" w:cs="Times New Roman"/>
                <w:lang w:eastAsia="zh-CN"/>
              </w:rPr>
              <w:t>ull-year revenue was $38.1</w:t>
            </w:r>
            <w:r>
              <w:rPr>
                <w:rFonts w:hint="eastAsia" w:eastAsia="宋体" w:cs="Times New Roman"/>
                <w:lang w:eastAsia="zh-CN"/>
              </w:rPr>
              <w:t>B</w:t>
            </w:r>
            <w:r>
              <w:rPr>
                <w:rFonts w:eastAsia="宋体" w:cs="Times New Roman"/>
                <w:lang w:eastAsia="zh-CN"/>
              </w:rPr>
              <w:t>, up 9, exceeding market expectations of $37.4</w:t>
            </w:r>
            <w:r>
              <w:rPr>
                <w:rFonts w:hint="eastAsia" w:eastAsia="宋体" w:cs="Times New Roman"/>
                <w:lang w:eastAsia="zh-CN"/>
              </w:rPr>
              <w:t>B</w:t>
            </w:r>
            <w:r>
              <w:rPr>
                <w:rFonts w:eastAsia="宋体" w:cs="Times New Roman"/>
                <w:lang w:eastAsia="zh-CN"/>
              </w:rPr>
              <w:t>.</w:t>
            </w:r>
            <w:r>
              <w:rPr>
                <w:rFonts w:hint="eastAsia" w:eastAsia="宋体" w:cs="Times New Roman"/>
                <w:lang w:eastAsia="zh-CN"/>
              </w:rPr>
              <w:t xml:space="preserve"> </w:t>
            </w:r>
            <w:r>
              <w:rPr>
                <w:rFonts w:eastAsia="MS Mincho" w:cs="Times New Roman"/>
                <w:snapToGrid w:val="0"/>
                <w:sz w:val="16"/>
                <w:szCs w:val="16"/>
              </w:rPr>
              <w:t xml:space="preserve"> </w:t>
            </w:r>
            <w:r>
              <w:rPr>
                <w:rFonts w:eastAsia="宋体" w:cs="Times New Roman"/>
                <w:lang w:eastAsia="zh-CN"/>
              </w:rPr>
              <w:t>Net income stood at $4.9</w:t>
            </w:r>
            <w:r>
              <w:rPr>
                <w:rFonts w:hint="eastAsia" w:eastAsia="宋体" w:cs="Times New Roman"/>
                <w:lang w:eastAsia="zh-CN"/>
              </w:rPr>
              <w:t>B</w:t>
            </w:r>
            <w:r>
              <w:rPr>
                <w:rFonts w:eastAsia="宋体" w:cs="Times New Roman"/>
                <w:lang w:eastAsia="zh-CN"/>
              </w:rPr>
              <w:t xml:space="preserve"> </w:t>
            </w:r>
            <w:r>
              <w:rPr>
                <w:rFonts w:hint="eastAsia" w:eastAsia="宋体" w:cs="Times New Roman"/>
                <w:lang w:eastAsia="zh-CN"/>
              </w:rPr>
              <w:t xml:space="preserve">with a </w:t>
            </w:r>
            <w:r>
              <w:rPr>
                <w:rFonts w:eastAsia="宋体" w:cs="Times New Roman"/>
                <w:lang w:eastAsia="zh-CN"/>
              </w:rPr>
              <w:t>12.8% margin.</w:t>
            </w:r>
            <w:r>
              <w:rPr>
                <w:rFonts w:hint="eastAsia" w:eastAsia="宋体" w:cs="Times New Roman"/>
                <w:lang w:eastAsia="zh-CN"/>
              </w:rPr>
              <w:t xml:space="preserve"> Net Income grew by ~27% YoY with net margin ~5.2% vs 4% in 24, </w:t>
            </w:r>
            <w:r>
              <w:rPr>
                <w:rFonts w:eastAsia="宋体" w:cs="Times New Roman"/>
                <w:lang w:eastAsia="zh-CN"/>
              </w:rPr>
              <w:t>excluding</w:t>
            </w:r>
            <w:r>
              <w:rPr>
                <w:rFonts w:hint="eastAsia" w:eastAsia="宋体" w:cs="Times New Roman"/>
                <w:lang w:eastAsia="zh-CN"/>
              </w:rPr>
              <w:t xml:space="preserve"> the tax benefit.</w:t>
            </w:r>
            <w:r>
              <w:rPr>
                <w:rFonts w:eastAsia="宋体" w:cs="Times New Roman"/>
                <w:lang w:eastAsia="zh-CN"/>
              </w:rPr>
              <w:t xml:space="preserve"> Adjusted EBITDA was $3.2</w:t>
            </w:r>
            <w:r>
              <w:rPr>
                <w:rFonts w:hint="eastAsia" w:eastAsia="宋体" w:cs="Times New Roman"/>
                <w:lang w:eastAsia="zh-CN"/>
              </w:rPr>
              <w:t>B</w:t>
            </w:r>
            <w:r>
              <w:rPr>
                <w:rFonts w:eastAsia="宋体" w:cs="Times New Roman"/>
                <w:lang w:eastAsia="zh-CN"/>
              </w:rPr>
              <w:t xml:space="preserve"> </w:t>
            </w:r>
            <w:r>
              <w:rPr>
                <w:rFonts w:hint="eastAsia" w:eastAsia="宋体" w:cs="Times New Roman"/>
                <w:lang w:eastAsia="zh-CN"/>
              </w:rPr>
              <w:t xml:space="preserve">with </w:t>
            </w:r>
            <w:r>
              <w:rPr>
                <w:rFonts w:eastAsia="宋体" w:cs="Times New Roman"/>
                <w:lang w:eastAsia="zh-CN"/>
              </w:rPr>
              <w:t>an</w:t>
            </w:r>
            <w:r>
              <w:rPr>
                <w:rFonts w:hint="eastAsia" w:eastAsia="宋体" w:cs="Times New Roman"/>
                <w:lang w:eastAsia="zh-CN"/>
              </w:rPr>
              <w:t xml:space="preserve"> </w:t>
            </w:r>
            <w:r>
              <w:rPr>
                <w:rFonts w:eastAsia="宋体" w:cs="Times New Roman"/>
                <w:lang w:eastAsia="zh-CN"/>
              </w:rPr>
              <w:t>8.4% margin.</w:t>
            </w:r>
            <w:r>
              <w:rPr>
                <w:rFonts w:hint="eastAsia" w:eastAsia="宋体" w:cs="Times New Roman"/>
                <w:lang w:eastAsia="zh-CN"/>
              </w:rPr>
              <w:t xml:space="preserve"> </w:t>
            </w:r>
            <w:r>
              <w:rPr>
                <w:rFonts w:eastAsia="MS Mincho" w:cs="Times New Roman"/>
                <w:snapToGrid w:val="0"/>
                <w:sz w:val="16"/>
                <w:szCs w:val="16"/>
              </w:rPr>
              <w:t xml:space="preserve"> </w:t>
            </w:r>
            <w:r>
              <w:rPr>
                <w:rFonts w:eastAsia="宋体" w:cs="Times New Roman"/>
                <w:lang w:eastAsia="zh-CN"/>
              </w:rPr>
              <w:t>Annual FCF reached $3.7</w:t>
            </w:r>
            <w:r>
              <w:rPr>
                <w:rFonts w:hint="eastAsia" w:eastAsia="宋体" w:cs="Times New Roman"/>
                <w:lang w:eastAsia="zh-CN"/>
              </w:rPr>
              <w:t>B</w:t>
            </w:r>
            <w:r>
              <w:rPr>
                <w:rFonts w:eastAsia="宋体" w:cs="Times New Roman"/>
                <w:lang w:eastAsia="zh-CN"/>
              </w:rPr>
              <w:t>, a year-over-year increase of 117.6%.</w:t>
            </w:r>
            <w:r>
              <w:rPr>
                <w:rFonts w:hint="eastAsia" w:eastAsia="宋体" w:cs="Times New Roman"/>
                <w:lang w:eastAsia="zh-CN"/>
              </w:rPr>
              <w:t xml:space="preserve"> </w:t>
            </w:r>
            <w:r>
              <w:rPr>
                <w:rFonts w:eastAsia="MS Mincho" w:cs="Times New Roman"/>
                <w:snapToGrid w:val="0"/>
                <w:sz w:val="16"/>
                <w:szCs w:val="16"/>
              </w:rPr>
              <w:t xml:space="preserve"> </w:t>
            </w:r>
            <w:r>
              <w:rPr>
                <w:rFonts w:eastAsia="宋体" w:cs="Times New Roman"/>
                <w:lang w:eastAsia="zh-CN"/>
              </w:rPr>
              <w:t>Annual orders totaled $59.3</w:t>
            </w:r>
            <w:r>
              <w:rPr>
                <w:rFonts w:hint="eastAsia" w:eastAsia="宋体" w:cs="Times New Roman"/>
                <w:lang w:eastAsia="zh-CN"/>
              </w:rPr>
              <w:t>B</w:t>
            </w:r>
            <w:r>
              <w:rPr>
                <w:rFonts w:eastAsia="宋体" w:cs="Times New Roman"/>
                <w:lang w:eastAsia="zh-CN"/>
              </w:rPr>
              <w:t>, an organic increase of 34%. Growth was centered on equipment within Power and Electrification, alongside service growth across all segments. Total backlog surged by $31.2</w:t>
            </w:r>
            <w:r>
              <w:rPr>
                <w:rFonts w:hint="eastAsia" w:eastAsia="宋体" w:cs="Times New Roman"/>
                <w:lang w:eastAsia="zh-CN"/>
              </w:rPr>
              <w:t>B</w:t>
            </w:r>
            <w:r>
              <w:rPr>
                <w:rFonts w:eastAsia="宋体" w:cs="Times New Roman"/>
                <w:lang w:eastAsia="zh-CN"/>
              </w:rPr>
              <w:t xml:space="preserve"> to reach $150</w:t>
            </w:r>
            <w:r>
              <w:rPr>
                <w:rFonts w:hint="eastAsia" w:eastAsia="宋体" w:cs="Times New Roman"/>
                <w:lang w:eastAsia="zh-CN"/>
              </w:rPr>
              <w:t>B</w:t>
            </w:r>
            <w:r>
              <w:rPr>
                <w:rFonts w:eastAsia="宋体" w:cs="Times New Roman"/>
                <w:lang w:eastAsia="zh-CN"/>
              </w:rPr>
              <w:t>.</w:t>
            </w:r>
          </w:p>
          <w:p w14:paraId="27DDC612">
            <w:pPr>
              <w:pStyle w:val="16"/>
              <w:jc w:val="both"/>
              <w:rPr>
                <w:rFonts w:eastAsia="宋体"/>
                <w:snapToGrid/>
                <w:szCs w:val="20"/>
                <w:lang w:eastAsia="zh-CN"/>
              </w:rPr>
            </w:pPr>
            <w:r>
              <w:rPr>
                <w:rFonts w:hint="eastAsia" w:eastAsia="宋体"/>
                <w:b/>
                <w:bCs/>
                <w:snapToGrid/>
                <w:color w:val="23558C"/>
                <w:kern w:val="28"/>
                <w:sz w:val="22"/>
                <w:szCs w:val="22"/>
                <w:lang w:eastAsia="zh-CN"/>
              </w:rPr>
              <w:t>Looking forward, GEV raised its guidance for both 2026 and 2028.</w:t>
            </w:r>
            <w:r>
              <w:rPr>
                <w:rFonts w:hint="eastAsia" w:eastAsia="宋体"/>
                <w:snapToGrid/>
                <w:szCs w:val="20"/>
                <w:lang w:eastAsia="zh-CN"/>
              </w:rPr>
              <w:t xml:space="preserve"> Revenue is </w:t>
            </w:r>
            <w:r>
              <w:rPr>
                <w:rFonts w:eastAsia="宋体"/>
                <w:snapToGrid/>
                <w:szCs w:val="20"/>
                <w:lang w:eastAsia="zh-CN"/>
              </w:rPr>
              <w:t xml:space="preserve">projected </w:t>
            </w:r>
            <w:r>
              <w:rPr>
                <w:sz w:val="16"/>
              </w:rPr>
              <w:t>at</w:t>
            </w:r>
            <w:r>
              <w:rPr>
                <w:rFonts w:eastAsia="宋体"/>
                <w:snapToGrid/>
                <w:szCs w:val="20"/>
                <w:lang w:eastAsia="zh-CN"/>
              </w:rPr>
              <w:t xml:space="preserve"> $44.0B–$45.0B (upward revision from $41.0B–$42.0B)</w:t>
            </w:r>
            <w:r>
              <w:rPr>
                <w:rFonts w:hint="eastAsia" w:eastAsia="宋体"/>
                <w:snapToGrid/>
                <w:szCs w:val="20"/>
                <w:lang w:eastAsia="zh-CN"/>
              </w:rPr>
              <w:t xml:space="preserve"> in 26 </w:t>
            </w:r>
            <w:r>
              <w:rPr>
                <w:rFonts w:eastAsia="宋体"/>
                <w:snapToGrid/>
                <w:szCs w:val="20"/>
                <w:lang w:eastAsia="zh-CN"/>
              </w:rPr>
              <w:t xml:space="preserve">and </w:t>
            </w:r>
            <w:r>
              <w:rPr>
                <w:sz w:val="16"/>
              </w:rPr>
              <w:t>$</w:t>
            </w:r>
            <w:r>
              <w:rPr>
                <w:rFonts w:eastAsia="宋体"/>
                <w:snapToGrid/>
                <w:szCs w:val="20"/>
                <w:lang w:eastAsia="zh-CN"/>
              </w:rPr>
              <w:t>56.0B (up from $52.0B)</w:t>
            </w:r>
            <w:r>
              <w:rPr>
                <w:rFonts w:hint="eastAsia" w:eastAsia="宋体"/>
                <w:snapToGrid/>
                <w:szCs w:val="20"/>
                <w:lang w:eastAsia="zh-CN"/>
              </w:rPr>
              <w:t xml:space="preserve"> in 28. </w:t>
            </w:r>
            <w:r>
              <w:rPr>
                <w:sz w:val="16"/>
              </w:rPr>
              <w:t xml:space="preserve"> </w:t>
            </w:r>
            <w:r>
              <w:rPr>
                <w:rFonts w:eastAsia="宋体"/>
                <w:snapToGrid/>
                <w:szCs w:val="20"/>
                <w:lang w:eastAsia="zh-CN"/>
              </w:rPr>
              <w:t>Adjusted EBITDA Margin</w:t>
            </w:r>
            <w:r>
              <w:rPr>
                <w:rFonts w:hint="eastAsia" w:eastAsia="宋体"/>
                <w:snapToGrid/>
                <w:szCs w:val="20"/>
                <w:lang w:eastAsia="zh-CN"/>
              </w:rPr>
              <w:t xml:space="preserve"> is targeted </w:t>
            </w:r>
            <w:r>
              <w:rPr>
                <w:rFonts w:eastAsia="宋体"/>
                <w:snapToGrid/>
                <w:szCs w:val="20"/>
                <w:lang w:eastAsia="zh-CN"/>
              </w:rPr>
              <w:t>at 11%–13%</w:t>
            </w:r>
            <w:r>
              <w:rPr>
                <w:rFonts w:hint="eastAsia" w:eastAsia="宋体"/>
                <w:snapToGrid/>
                <w:szCs w:val="20"/>
                <w:lang w:eastAsia="zh-CN"/>
              </w:rPr>
              <w:t xml:space="preserve"> in 26 and </w:t>
            </w:r>
            <w:r>
              <w:rPr>
                <w:rFonts w:eastAsia="宋体"/>
                <w:snapToGrid/>
                <w:szCs w:val="20"/>
                <w:lang w:eastAsia="zh-CN"/>
              </w:rPr>
              <w:t>20%</w:t>
            </w:r>
            <w:r>
              <w:rPr>
                <w:rFonts w:hint="eastAsia" w:eastAsia="宋体"/>
                <w:snapToGrid/>
                <w:szCs w:val="20"/>
                <w:lang w:eastAsia="zh-CN"/>
              </w:rPr>
              <w:t xml:space="preserve"> in 28</w:t>
            </w:r>
            <w:r>
              <w:rPr>
                <w:rFonts w:eastAsia="宋体"/>
                <w:snapToGrid/>
                <w:szCs w:val="20"/>
                <w:lang w:eastAsia="zh-CN"/>
              </w:rPr>
              <w:t>.</w:t>
            </w:r>
            <w:r>
              <w:rPr>
                <w:rFonts w:hint="eastAsia" w:eastAsia="宋体"/>
                <w:snapToGrid/>
                <w:szCs w:val="20"/>
                <w:lang w:eastAsia="zh-CN"/>
              </w:rPr>
              <w:t xml:space="preserve"> FCF </w:t>
            </w:r>
            <w:r>
              <w:rPr>
                <w:rFonts w:hint="eastAsia" w:eastAsia="宋体"/>
                <w:sz w:val="16"/>
                <w:lang w:eastAsia="zh-CN"/>
              </w:rPr>
              <w:t>is e</w:t>
            </w:r>
            <w:r>
              <w:rPr>
                <w:rFonts w:eastAsia="宋体"/>
                <w:snapToGrid/>
                <w:szCs w:val="20"/>
                <w:lang w:eastAsia="zh-CN"/>
              </w:rPr>
              <w:t>xpected to reach $5.0B–$5.5B (upward revision from $4.5B–$5.0B)</w:t>
            </w:r>
            <w:r>
              <w:rPr>
                <w:rFonts w:hint="eastAsia" w:eastAsia="宋体"/>
                <w:snapToGrid/>
                <w:szCs w:val="20"/>
                <w:lang w:eastAsia="zh-CN"/>
              </w:rPr>
              <w:t xml:space="preserve"> in 26 </w:t>
            </w:r>
            <w:r>
              <w:rPr>
                <w:rFonts w:eastAsia="宋体"/>
                <w:snapToGrid/>
                <w:szCs w:val="20"/>
                <w:lang w:eastAsia="zh-CN"/>
              </w:rPr>
              <w:t xml:space="preserve">and </w:t>
            </w:r>
            <w:r>
              <w:rPr>
                <w:sz w:val="16"/>
              </w:rPr>
              <w:t>$</w:t>
            </w:r>
            <w:r>
              <w:rPr>
                <w:rFonts w:eastAsia="宋体"/>
                <w:snapToGrid/>
                <w:szCs w:val="20"/>
                <w:lang w:eastAsia="zh-CN"/>
              </w:rPr>
              <w:t>24.0B (up from $22.0B)</w:t>
            </w:r>
            <w:r>
              <w:rPr>
                <w:rFonts w:hint="eastAsia" w:eastAsia="宋体"/>
                <w:snapToGrid/>
                <w:szCs w:val="20"/>
                <w:lang w:eastAsia="zh-CN"/>
              </w:rPr>
              <w:t xml:space="preserve"> in 28.</w:t>
            </w:r>
          </w:p>
          <w:p w14:paraId="7D2E9711">
            <w:pPr>
              <w:pStyle w:val="16"/>
              <w:jc w:val="both"/>
              <w:rPr>
                <w:rFonts w:eastAsia="宋体"/>
                <w:snapToGrid/>
                <w:szCs w:val="20"/>
                <w:lang w:eastAsia="zh-CN"/>
              </w:rPr>
            </w:pPr>
          </w:p>
          <w:p w14:paraId="63C12A43">
            <w:pPr>
              <w:pStyle w:val="16"/>
              <w:jc w:val="both"/>
              <w:rPr>
                <w:rFonts w:eastAsia="宋体"/>
                <w:snapToGrid/>
                <w:szCs w:val="20"/>
                <w:lang w:eastAsia="zh-CN"/>
              </w:rPr>
            </w:pPr>
            <w:r>
              <w:rPr>
                <w:rFonts w:eastAsia="宋体"/>
                <w:b/>
                <w:bCs/>
                <w:snapToGrid/>
                <w:color w:val="23558C"/>
                <w:kern w:val="28"/>
                <w:sz w:val="22"/>
                <w:szCs w:val="22"/>
                <w:lang w:eastAsia="zh-CN"/>
              </w:rPr>
              <w:t>GE</w:t>
            </w:r>
            <w:r>
              <w:rPr>
                <w:rFonts w:hint="eastAsia" w:eastAsia="宋体"/>
                <w:b/>
                <w:bCs/>
                <w:snapToGrid/>
                <w:color w:val="23558C"/>
                <w:kern w:val="28"/>
                <w:sz w:val="22"/>
                <w:szCs w:val="22"/>
                <w:lang w:eastAsia="zh-CN"/>
              </w:rPr>
              <w:t>V</w:t>
            </w:r>
            <w:r>
              <w:rPr>
                <w:rFonts w:eastAsia="宋体"/>
                <w:b/>
                <w:bCs/>
                <w:snapToGrid/>
                <w:color w:val="23558C"/>
                <w:kern w:val="28"/>
                <w:sz w:val="22"/>
                <w:szCs w:val="22"/>
                <w:lang w:eastAsia="zh-CN"/>
              </w:rPr>
              <w:t>’</w:t>
            </w:r>
            <w:r>
              <w:rPr>
                <w:rFonts w:hint="eastAsia" w:eastAsia="宋体"/>
                <w:b/>
                <w:bCs/>
                <w:snapToGrid/>
                <w:color w:val="23558C"/>
                <w:kern w:val="28"/>
                <w:sz w:val="22"/>
                <w:szCs w:val="22"/>
                <w:lang w:eastAsia="zh-CN"/>
              </w:rPr>
              <w:t xml:space="preserve">s profitability </w:t>
            </w:r>
            <w:r>
              <w:rPr>
                <w:rFonts w:eastAsia="宋体"/>
                <w:b/>
                <w:bCs/>
                <w:snapToGrid/>
                <w:color w:val="23558C"/>
                <w:kern w:val="28"/>
                <w:sz w:val="22"/>
                <w:szCs w:val="22"/>
                <w:lang w:eastAsia="zh-CN"/>
              </w:rPr>
              <w:t>has transitioned from being order-driven</w:t>
            </w:r>
            <w:r>
              <w:rPr>
                <w:rFonts w:hint="eastAsia" w:eastAsia="宋体"/>
                <w:b/>
                <w:bCs/>
                <w:snapToGrid/>
                <w:color w:val="23558C"/>
                <w:kern w:val="28"/>
                <w:sz w:val="22"/>
                <w:szCs w:val="22"/>
                <w:lang w:eastAsia="zh-CN"/>
              </w:rPr>
              <w:t xml:space="preserve"> </w:t>
            </w:r>
            <w:r>
              <w:rPr>
                <w:rFonts w:eastAsia="宋体"/>
                <w:b/>
                <w:bCs/>
                <w:snapToGrid/>
                <w:color w:val="23558C"/>
                <w:kern w:val="28"/>
                <w:sz w:val="22"/>
                <w:szCs w:val="22"/>
                <w:lang w:eastAsia="zh-CN"/>
              </w:rPr>
              <w:t>to capacity-driven.</w:t>
            </w:r>
            <w:r>
              <w:rPr>
                <w:rFonts w:eastAsia="宋体"/>
                <w:snapToGrid/>
                <w:szCs w:val="20"/>
                <w:lang w:eastAsia="zh-CN"/>
              </w:rPr>
              <w:t xml:space="preserve"> </w:t>
            </w:r>
            <w:r>
              <w:rPr>
                <w:rFonts w:hint="eastAsia" w:eastAsia="宋体"/>
                <w:snapToGrid/>
                <w:szCs w:val="20"/>
                <w:lang w:eastAsia="zh-CN"/>
              </w:rPr>
              <w:t xml:space="preserve">For the Power segment, </w:t>
            </w:r>
            <w:r>
              <w:rPr>
                <w:rFonts w:eastAsia="宋体"/>
                <w:snapToGrid/>
                <w:szCs w:val="20"/>
                <w:lang w:eastAsia="zh-CN"/>
              </w:rPr>
              <w:t>the backlog</w:t>
            </w:r>
            <w:r>
              <w:rPr>
                <w:rFonts w:hint="eastAsia" w:eastAsia="宋体"/>
                <w:snapToGrid/>
                <w:szCs w:val="20"/>
                <w:lang w:eastAsia="zh-CN"/>
              </w:rPr>
              <w:t xml:space="preserve"> </w:t>
            </w:r>
            <w:r>
              <w:rPr>
                <w:rFonts w:eastAsia="宋体"/>
                <w:snapToGrid/>
                <w:szCs w:val="20"/>
                <w:lang w:eastAsia="zh-CN"/>
              </w:rPr>
              <w:t>has</w:t>
            </w:r>
            <w:r>
              <w:rPr>
                <w:rFonts w:hint="eastAsia" w:eastAsia="宋体"/>
                <w:snapToGrid/>
                <w:szCs w:val="20"/>
                <w:lang w:eastAsia="zh-CN"/>
              </w:rPr>
              <w:t xml:space="preserve"> been pushed</w:t>
            </w:r>
            <w:r>
              <w:rPr>
                <w:rFonts w:eastAsia="宋体"/>
                <w:snapToGrid/>
                <w:szCs w:val="20"/>
                <w:lang w:eastAsia="zh-CN"/>
              </w:rPr>
              <w:t xml:space="preserve"> to $94.4B, covering 4.77 years of revenue</w:t>
            </w:r>
            <w:r>
              <w:rPr>
                <w:rFonts w:hint="eastAsia" w:eastAsia="宋体"/>
                <w:snapToGrid/>
                <w:szCs w:val="20"/>
                <w:lang w:eastAsia="zh-CN"/>
              </w:rPr>
              <w:t xml:space="preserve">, up from 4.3 years in Q3, forming a </w:t>
            </w:r>
            <w:r>
              <w:rPr>
                <w:rFonts w:eastAsia="宋体"/>
                <w:snapToGrid/>
                <w:szCs w:val="20"/>
                <w:lang w:eastAsia="zh-CN"/>
              </w:rPr>
              <w:t>dominant seller’s market</w:t>
            </w:r>
            <w:r>
              <w:rPr>
                <w:rFonts w:hint="eastAsia" w:eastAsia="宋体"/>
                <w:snapToGrid/>
                <w:szCs w:val="20"/>
                <w:lang w:eastAsia="zh-CN"/>
              </w:rPr>
              <w:t xml:space="preserve"> for GEV</w:t>
            </w:r>
            <w:r>
              <w:rPr>
                <w:rFonts w:eastAsia="宋体"/>
                <w:snapToGrid/>
                <w:szCs w:val="20"/>
                <w:lang w:eastAsia="zh-CN"/>
              </w:rPr>
              <w:t>.</w:t>
            </w:r>
            <w:r>
              <w:rPr>
                <w:rFonts w:hint="eastAsia" w:eastAsia="宋体"/>
                <w:sz w:val="16"/>
                <w:lang w:eastAsia="zh-CN"/>
              </w:rPr>
              <w:t xml:space="preserve"> </w:t>
            </w:r>
            <w:r>
              <w:rPr>
                <w:rFonts w:eastAsia="宋体"/>
                <w:snapToGrid/>
                <w:szCs w:val="20"/>
                <w:lang w:eastAsia="zh-CN"/>
              </w:rPr>
              <w:t>Current Service Reservation Agreements (SRAs) command margins 10-20% higher than the existing backlog, effectively locking in premium earnings through 2030.</w:t>
            </w:r>
            <w:r>
              <w:rPr>
                <w:rFonts w:hint="eastAsia" w:eastAsia="宋体"/>
                <w:snapToGrid/>
                <w:szCs w:val="20"/>
                <w:lang w:eastAsia="zh-CN"/>
              </w:rPr>
              <w:t xml:space="preserve"> For Electrification </w:t>
            </w:r>
            <w:r>
              <w:rPr>
                <w:rFonts w:eastAsia="宋体"/>
                <w:snapToGrid/>
                <w:szCs w:val="20"/>
                <w:lang w:eastAsia="zh-CN"/>
              </w:rPr>
              <w:t xml:space="preserve">segment, </w:t>
            </w:r>
            <w:r>
              <w:rPr>
                <w:sz w:val="16"/>
              </w:rPr>
              <w:t>revenue</w:t>
            </w:r>
            <w:r>
              <w:rPr>
                <w:rFonts w:eastAsia="宋体"/>
                <w:snapToGrid/>
                <w:szCs w:val="20"/>
                <w:lang w:eastAsia="zh-CN"/>
              </w:rPr>
              <w:t xml:space="preserve"> grew 28% in 2025 with a 590bps margin jump</w:t>
            </w:r>
            <w:r>
              <w:rPr>
                <w:rFonts w:hint="eastAsia" w:eastAsia="宋体"/>
                <w:snapToGrid/>
                <w:szCs w:val="20"/>
                <w:lang w:eastAsia="zh-CN"/>
              </w:rPr>
              <w:t xml:space="preserve">. We believe the </w:t>
            </w:r>
            <w:r>
              <w:rPr>
                <w:rFonts w:eastAsia="宋体"/>
                <w:snapToGrid/>
                <w:szCs w:val="20"/>
                <w:lang w:eastAsia="zh-CN"/>
              </w:rPr>
              <w:t>Prolec GE acquisition</w:t>
            </w:r>
            <w:r>
              <w:rPr>
                <w:rFonts w:hint="eastAsia" w:eastAsia="宋体"/>
                <w:snapToGrid/>
                <w:szCs w:val="20"/>
                <w:lang w:eastAsia="zh-CN"/>
              </w:rPr>
              <w:t xml:space="preserve"> will further</w:t>
            </w:r>
            <w:r>
              <w:rPr>
                <w:rFonts w:eastAsia="宋体"/>
                <w:snapToGrid/>
                <w:szCs w:val="20"/>
                <w:lang w:eastAsia="zh-CN"/>
              </w:rPr>
              <w:t xml:space="preserve"> secure the critical transformer supply chain for data center demand. Current 2026 margin guidance (11-13%) is likely to remain conservative.</w:t>
            </w:r>
            <w:r>
              <w:rPr>
                <w:rFonts w:hint="eastAsia" w:eastAsia="宋体"/>
                <w:snapToGrid/>
                <w:szCs w:val="20"/>
                <w:lang w:eastAsia="zh-CN"/>
              </w:rPr>
              <w:t xml:space="preserve"> </w:t>
            </w:r>
            <w:r>
              <w:rPr>
                <w:rFonts w:eastAsia="宋体"/>
                <w:snapToGrid/>
                <w:szCs w:val="20"/>
                <w:lang w:eastAsia="zh-CN"/>
              </w:rPr>
              <w:t xml:space="preserve">Now </w:t>
            </w:r>
            <w:r>
              <w:rPr>
                <w:sz w:val="16"/>
              </w:rPr>
              <w:t>The</w:t>
            </w:r>
            <w:r>
              <w:rPr>
                <w:rFonts w:eastAsia="宋体"/>
                <w:snapToGrid/>
                <w:szCs w:val="20"/>
                <w:lang w:eastAsia="zh-CN"/>
              </w:rPr>
              <w:t xml:space="preserve"> primary challenge</w:t>
            </w:r>
            <w:r>
              <w:rPr>
                <w:rFonts w:hint="eastAsia" w:eastAsia="宋体"/>
                <w:snapToGrid/>
                <w:szCs w:val="20"/>
                <w:lang w:eastAsia="zh-CN"/>
              </w:rPr>
              <w:t xml:space="preserve"> for GEV</w:t>
            </w:r>
            <w:r>
              <w:rPr>
                <w:rFonts w:eastAsia="宋体"/>
                <w:snapToGrid/>
                <w:szCs w:val="20"/>
                <w:lang w:eastAsia="zh-CN"/>
              </w:rPr>
              <w:t xml:space="preserve"> is no longer securing orders but executing the $150B backlog via the Q3 2026 capacity ramp-up.</w:t>
            </w:r>
          </w:p>
          <w:p w14:paraId="1AA46094">
            <w:pPr>
              <w:pStyle w:val="16"/>
              <w:jc w:val="both"/>
              <w:rPr>
                <w:snapToGrid/>
                <w:szCs w:val="20"/>
              </w:rPr>
            </w:pPr>
          </w:p>
          <w:p w14:paraId="588FC616">
            <w:pPr>
              <w:pStyle w:val="85"/>
              <w:jc w:val="both"/>
              <w:rPr>
                <w:rFonts w:eastAsia="宋体" w:cs="Times New Roman"/>
                <w:b/>
                <w:bCs/>
                <w:color w:val="23558C"/>
                <w:kern w:val="28"/>
                <w:sz w:val="22"/>
                <w:szCs w:val="22"/>
                <w:lang w:eastAsia="zh-CN"/>
              </w:rPr>
            </w:pPr>
            <w:r>
              <w:rPr>
                <w:rFonts w:cs="Times New Roman"/>
                <w:b/>
                <w:bCs/>
                <w:color w:val="23558C"/>
                <w:kern w:val="28"/>
                <w:sz w:val="22"/>
                <w:szCs w:val="22"/>
              </w:rPr>
              <w:t>Valuation &amp; recommendation</w:t>
            </w:r>
            <w:r>
              <w:rPr>
                <w:rFonts w:hint="eastAsia" w:eastAsia="宋体" w:cs="Times New Roman"/>
                <w:b/>
                <w:bCs/>
                <w:color w:val="23558C"/>
                <w:kern w:val="28"/>
                <w:sz w:val="22"/>
                <w:szCs w:val="22"/>
                <w:lang w:eastAsia="zh-CN"/>
              </w:rPr>
              <w:t xml:space="preserve">: </w:t>
            </w:r>
            <w:r>
              <w:rPr>
                <w:lang w:val="zh-CN"/>
              </w:rPr>
              <w:t xml:space="preserve">Based on </w:t>
            </w:r>
            <w:r>
              <w:rPr>
                <w:rFonts w:hint="eastAsia" w:eastAsia="宋体"/>
                <w:lang w:val="zh-CN" w:eastAsia="zh-CN"/>
              </w:rPr>
              <w:t>raised</w:t>
            </w:r>
            <w:r>
              <w:rPr>
                <w:lang w:val="zh-CN"/>
              </w:rPr>
              <w:t xml:space="preserve"> outlook, we estimate the company's</w:t>
            </w:r>
            <w:r>
              <w:rPr>
                <w:rFonts w:hint="eastAsia" w:eastAsia="宋体"/>
                <w:lang w:val="zh-CN" w:eastAsia="zh-CN"/>
              </w:rPr>
              <w:t xml:space="preserve"> </w:t>
            </w:r>
            <w:r>
              <w:rPr>
                <w:lang w:val="zh-CN"/>
              </w:rPr>
              <w:t>revenue from 202</w:t>
            </w:r>
            <w:r>
              <w:rPr>
                <w:rFonts w:hint="eastAsia" w:eastAsia="宋体"/>
                <w:lang w:val="zh-CN" w:eastAsia="zh-CN"/>
              </w:rPr>
              <w:t>6</w:t>
            </w:r>
            <w:r>
              <w:rPr>
                <w:lang w:val="zh-CN"/>
              </w:rPr>
              <w:t xml:space="preserve"> to 202</w:t>
            </w:r>
            <w:r>
              <w:rPr>
                <w:rFonts w:hint="eastAsia" w:eastAsia="宋体"/>
                <w:lang w:val="zh-CN" w:eastAsia="zh-CN"/>
              </w:rPr>
              <w:t>8</w:t>
            </w:r>
            <w:r>
              <w:rPr>
                <w:lang w:val="zh-CN"/>
              </w:rPr>
              <w:t xml:space="preserve"> will be $</w:t>
            </w:r>
            <w:r>
              <w:rPr>
                <w:rFonts w:hint="eastAsia" w:eastAsia="宋体"/>
                <w:lang w:val="zh-CN" w:eastAsia="zh-CN"/>
              </w:rPr>
              <w:t>45</w:t>
            </w:r>
            <w:r>
              <w:rPr>
                <w:lang w:val="zh-CN"/>
              </w:rPr>
              <w:t>/</w:t>
            </w:r>
            <w:r>
              <w:rPr>
                <w:rFonts w:hint="eastAsia" w:eastAsia="宋体"/>
                <w:lang w:val="zh-CN" w:eastAsia="zh-CN"/>
              </w:rPr>
              <w:t>48.5</w:t>
            </w:r>
            <w:r>
              <w:rPr>
                <w:lang w:val="zh-CN"/>
              </w:rPr>
              <w:t>/</w:t>
            </w:r>
            <w:r>
              <w:rPr>
                <w:rFonts w:hint="eastAsia" w:eastAsia="宋体"/>
                <w:lang w:val="zh-CN" w:eastAsia="zh-CN"/>
              </w:rPr>
              <w:t>56.7B</w:t>
            </w:r>
            <w:r>
              <w:rPr>
                <w:lang w:val="zh-CN"/>
              </w:rPr>
              <w:t>, with update</w:t>
            </w:r>
            <w:r>
              <w:rPr>
                <w:rFonts w:hint="eastAsia" w:eastAsia="宋体"/>
                <w:lang w:val="zh-CN" w:eastAsia="zh-CN"/>
              </w:rPr>
              <w:t xml:space="preserve">d </w:t>
            </w:r>
            <w:r>
              <w:rPr>
                <w:lang w:val="zh-CN"/>
              </w:rPr>
              <w:t>net income of $</w:t>
            </w:r>
            <w:r>
              <w:rPr>
                <w:rFonts w:hint="eastAsia" w:eastAsia="宋体"/>
                <w:lang w:val="zh-CN" w:eastAsia="zh-CN"/>
              </w:rPr>
              <w:t>4359</w:t>
            </w:r>
            <w:r>
              <w:rPr>
                <w:lang w:val="zh-CN"/>
              </w:rPr>
              <w:t>/</w:t>
            </w:r>
            <w:r>
              <w:rPr>
                <w:rFonts w:hint="eastAsia" w:eastAsia="宋体"/>
                <w:lang w:val="zh-CN" w:eastAsia="zh-CN"/>
              </w:rPr>
              <w:t>6734</w:t>
            </w:r>
            <w:r>
              <w:rPr>
                <w:lang w:val="zh-CN"/>
              </w:rPr>
              <w:t>/</w:t>
            </w:r>
            <w:r>
              <w:rPr>
                <w:rFonts w:hint="eastAsia" w:eastAsia="宋体"/>
                <w:lang w:val="zh-CN" w:eastAsia="zh-CN"/>
              </w:rPr>
              <w:t>9513</w:t>
            </w:r>
            <w:r>
              <w:rPr>
                <w:lang w:val="zh-CN"/>
              </w:rPr>
              <w:t xml:space="preserve"> million. Our target price is USD </w:t>
            </w:r>
            <w:r>
              <w:rPr>
                <w:rFonts w:hint="eastAsia" w:eastAsia="宋体"/>
                <w:lang w:val="zh-CN" w:eastAsia="zh-CN"/>
              </w:rPr>
              <w:t>880.01</w:t>
            </w:r>
            <w:r>
              <w:rPr>
                <w:lang w:val="zh-CN"/>
              </w:rPr>
              <w:t xml:space="preserve"> per share derived from the DCF model</w:t>
            </w:r>
            <w:r>
              <w:rPr>
                <w:rFonts w:hint="eastAsia" w:eastAsia="宋体"/>
                <w:lang w:val="zh-CN" w:eastAsia="zh-CN"/>
              </w:rPr>
              <w:t xml:space="preserve"> and maintain</w:t>
            </w:r>
            <w:r>
              <w:rPr>
                <w:lang w:val="zh-CN"/>
              </w:rPr>
              <w:t xml:space="preserve"> OUTPERFORM rating.</w:t>
            </w:r>
          </w:p>
          <w:p w14:paraId="49C9FA61">
            <w:pPr>
              <w:pStyle w:val="16"/>
              <w:jc w:val="both"/>
              <w:rPr>
                <w:rFonts w:eastAsia="宋体"/>
                <w:snapToGrid/>
                <w:szCs w:val="20"/>
                <w:lang w:eastAsia="zh-CN"/>
              </w:rPr>
            </w:pPr>
          </w:p>
          <w:p w14:paraId="183479FF">
            <w:pPr>
              <w:pStyle w:val="85"/>
              <w:jc w:val="both"/>
              <w:rPr>
                <w:rFonts w:hint="eastAsia" w:eastAsia="宋体" w:cs="Times New Roman"/>
                <w:bCs/>
                <w:kern w:val="28"/>
                <w:lang w:val="en-US" w:eastAsia="zh-CN"/>
              </w:rPr>
            </w:pPr>
            <w:r>
              <w:rPr>
                <w:rFonts w:cs="Times New Roman"/>
                <w:b/>
                <w:bCs/>
                <w:color w:val="23558C"/>
                <w:kern w:val="28"/>
                <w:sz w:val="22"/>
                <w:szCs w:val="22"/>
              </w:rPr>
              <w:t>Risks:</w:t>
            </w:r>
            <w:r>
              <w:rPr>
                <w:rFonts w:hint="eastAsia" w:eastAsia="宋体" w:cs="Times New Roman"/>
                <w:b/>
                <w:bCs/>
                <w:color w:val="23558C"/>
                <w:kern w:val="28"/>
                <w:sz w:val="22"/>
                <w:szCs w:val="22"/>
                <w:lang w:eastAsia="zh-CN"/>
              </w:rPr>
              <w:t xml:space="preserve"> </w:t>
            </w:r>
            <w:r>
              <w:rPr>
                <w:rFonts w:eastAsia="MS Mincho" w:cs="Times New Roman"/>
                <w:snapToGrid w:val="0"/>
              </w:rPr>
              <w:t>Capacity ramp-up falling short of expectations</w:t>
            </w:r>
            <w:r>
              <w:rPr>
                <w:rFonts w:hint="eastAsia" w:eastAsia="MS Mincho" w:cs="Times New Roman"/>
                <w:snapToGrid w:val="0"/>
              </w:rPr>
              <w:t>;</w:t>
            </w:r>
            <w:r>
              <w:rPr>
                <w:rFonts w:eastAsia="MS Mincho" w:cs="Times New Roman"/>
                <w:snapToGrid w:val="0"/>
              </w:rPr>
              <w:t xml:space="preserve"> Data center power demand below expectations; Intensifying competition</w:t>
            </w:r>
            <w:r>
              <w:rPr>
                <w:rFonts w:hint="eastAsia" w:eastAsia="宋体" w:cs="Times New Roman"/>
                <w:snapToGrid w:val="0"/>
                <w:lang w:val="en-US" w:eastAsia="zh-CN"/>
              </w:rPr>
              <w:t>.</w:t>
            </w:r>
          </w:p>
        </w:tc>
      </w:tr>
      <w:tr w14:paraId="1B13D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5" w:hRule="atLeast"/>
        </w:trPr>
        <w:tc>
          <w:tcPr>
            <w:tcW w:w="10740" w:type="dxa"/>
            <w:gridSpan w:val="5"/>
            <w:tcMar>
              <w:left w:w="57" w:type="dxa"/>
            </w:tcMar>
          </w:tcPr>
          <w:p w14:paraId="5CF768E5">
            <w:pPr>
              <w:pStyle w:val="85"/>
              <w:spacing w:after="0"/>
              <w:jc w:val="both"/>
              <w:rPr>
                <w:rFonts w:eastAsia="楷体_GB2312" w:cs="Times New Roman"/>
                <w:bCs/>
                <w:kern w:val="28"/>
                <w:lang w:eastAsia="zh-CN"/>
              </w:rPr>
            </w:pPr>
          </w:p>
          <w:tbl>
            <w:tblPr>
              <w:tblStyle w:val="1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304C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64420497">
                  <w:pPr>
                    <w:pStyle w:val="48"/>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53B70FF6">
                  <w:pPr>
                    <w:pStyle w:val="48"/>
                    <w:framePr w:wrap="auto" w:vAnchor="margin" w:hAnchor="text" w:yAlign="inline"/>
                    <w:rPr>
                      <w:rFonts w:eastAsia="MS Gothic"/>
                      <w:color w:val="FFFFFF" w:themeColor="background1"/>
                      <w14:textFill>
                        <w14:solidFill>
                          <w14:schemeClr w14:val="bg1"/>
                        </w14:solidFill>
                      </w14:textFill>
                    </w:rPr>
                  </w:pPr>
                </w:p>
              </w:tc>
              <w:tc>
                <w:tcPr>
                  <w:tcW w:w="2693" w:type="dxa"/>
                </w:tcPr>
                <w:p w14:paraId="30EC3AEB">
                  <w:pPr>
                    <w:pStyle w:val="48"/>
                    <w:framePr w:wrap="auto" w:vAnchor="margin" w:hAnchor="text" w:yAlign="inline"/>
                    <w:rPr>
                      <w:rFonts w:eastAsia="MS Gothic"/>
                      <w:color w:val="FFFFFF" w:themeColor="background1"/>
                      <w14:textFill>
                        <w14:solidFill>
                          <w14:schemeClr w14:val="bg1"/>
                        </w14:solidFill>
                      </w14:textFill>
                    </w:rPr>
                  </w:pPr>
                </w:p>
              </w:tc>
              <w:tc>
                <w:tcPr>
                  <w:tcW w:w="2694" w:type="dxa"/>
                </w:tcPr>
                <w:p w14:paraId="719D0815">
                  <w:pPr>
                    <w:pStyle w:val="48"/>
                    <w:framePr w:wrap="auto" w:vAnchor="margin" w:hAnchor="text" w:yAlign="inline"/>
                    <w:rPr>
                      <w:rFonts w:eastAsia="MS Gothic"/>
                      <w:color w:val="FFFFFF" w:themeColor="background1"/>
                      <w14:textFill>
                        <w14:solidFill>
                          <w14:schemeClr w14:val="bg1"/>
                        </w14:solidFill>
                      </w14:textFill>
                    </w:rPr>
                  </w:pPr>
                </w:p>
              </w:tc>
            </w:tr>
            <w:tr w14:paraId="150A7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0EC53D9">
                  <w:pPr>
                    <w:pStyle w:val="47"/>
                    <w:framePr w:wrap="auto" w:vAnchor="margin" w:hAnchor="text" w:yAlign="inline"/>
                    <w:rPr>
                      <w:rFonts w:eastAsia="楷体_GB2312"/>
                    </w:rPr>
                  </w:pPr>
                  <w:r>
                    <w:rPr>
                      <w:rFonts w:ascii="Calibri" w:eastAsia="楷体_GB2312"/>
                      <w:b/>
                      <w:i w:val="0"/>
                      <w:color w:val="000000"/>
                      <w:sz w:val="16"/>
                    </w:rPr>
                    <w:t>Bin Yang, SFC:BSQ313</w:t>
                  </w:r>
                </w:p>
              </w:tc>
              <w:tc>
                <w:tcPr>
                  <w:tcW w:w="2551" w:type="dxa"/>
                </w:tcPr>
                <w:p w14:paraId="3559B241">
                  <w:pPr>
                    <w:pStyle w:val="47"/>
                    <w:framePr w:wrap="auto" w:vAnchor="margin" w:hAnchor="text" w:yAlign="inline"/>
                    <w:rPr>
                      <w:rFonts w:eastAsia="楷体_GB2312"/>
                    </w:rPr>
                  </w:pPr>
                </w:p>
              </w:tc>
              <w:tc>
                <w:tcPr>
                  <w:tcW w:w="2693" w:type="dxa"/>
                </w:tcPr>
                <w:p w14:paraId="4D183C5B">
                  <w:pPr>
                    <w:pStyle w:val="47"/>
                    <w:framePr w:wrap="auto" w:vAnchor="margin" w:hAnchor="text" w:yAlign="inline"/>
                    <w:rPr>
                      <w:rFonts w:eastAsia="楷体_GB2312"/>
                    </w:rPr>
                  </w:pPr>
                </w:p>
              </w:tc>
              <w:tc>
                <w:tcPr>
                  <w:tcW w:w="2694" w:type="dxa"/>
                </w:tcPr>
                <w:p w14:paraId="35D0599C">
                  <w:pPr>
                    <w:pStyle w:val="47"/>
                    <w:framePr w:wrap="auto" w:vAnchor="margin" w:hAnchor="text" w:yAlign="inline"/>
                    <w:rPr>
                      <w:rFonts w:eastAsia="楷体_GB2312"/>
                    </w:rPr>
                  </w:pPr>
                </w:p>
              </w:tc>
            </w:tr>
            <w:tr w14:paraId="06F66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4D1FD514">
                  <w:pPr>
                    <w:pStyle w:val="47"/>
                    <w:framePr w:wrap="auto" w:vAnchor="margin" w:hAnchor="text" w:yAlign="inline"/>
                    <w:rPr>
                      <w:rFonts w:eastAsia="楷体_GB2312"/>
                      <w:b w:val="0"/>
                    </w:rPr>
                  </w:pPr>
                  <w:r>
                    <w:rPr>
                      <w:rFonts w:ascii="Calibri" w:eastAsia="楷体_GB2312"/>
                      <w:b w:val="0"/>
                      <w:i w:val="0"/>
                      <w:color w:val="000000"/>
                      <w:sz w:val="16"/>
                    </w:rPr>
                    <w:t>harryyang@hfisec.com.hk</w:t>
                  </w:r>
                </w:p>
              </w:tc>
              <w:tc>
                <w:tcPr>
                  <w:tcW w:w="2551" w:type="dxa"/>
                </w:tcPr>
                <w:p w14:paraId="593E354F">
                  <w:pPr>
                    <w:pStyle w:val="47"/>
                    <w:framePr w:wrap="auto" w:vAnchor="margin" w:hAnchor="text" w:yAlign="inline"/>
                    <w:rPr>
                      <w:rFonts w:eastAsia="楷体_GB2312"/>
                      <w:b w:val="0"/>
                    </w:rPr>
                  </w:pPr>
                </w:p>
              </w:tc>
              <w:tc>
                <w:tcPr>
                  <w:tcW w:w="2693" w:type="dxa"/>
                </w:tcPr>
                <w:p w14:paraId="428FF7C2">
                  <w:pPr>
                    <w:pStyle w:val="47"/>
                    <w:framePr w:wrap="auto" w:vAnchor="margin" w:hAnchor="text" w:yAlign="inline"/>
                    <w:rPr>
                      <w:rFonts w:eastAsia="楷体_GB2312"/>
                      <w:b w:val="0"/>
                    </w:rPr>
                  </w:pPr>
                </w:p>
              </w:tc>
              <w:tc>
                <w:tcPr>
                  <w:tcW w:w="2694" w:type="dxa"/>
                </w:tcPr>
                <w:p w14:paraId="2820A213">
                  <w:pPr>
                    <w:pStyle w:val="47"/>
                    <w:framePr w:wrap="auto" w:vAnchor="margin" w:hAnchor="text" w:yAlign="inline"/>
                    <w:rPr>
                      <w:rFonts w:eastAsia="楷体_GB2312"/>
                      <w:b w:val="0"/>
                    </w:rPr>
                  </w:pPr>
                </w:p>
              </w:tc>
            </w:tr>
            <w:tr w14:paraId="41707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52140D88">
                  <w:pPr>
                    <w:pStyle w:val="47"/>
                    <w:framePr w:wrap="auto" w:vAnchor="margin" w:hAnchor="text" w:yAlign="inline"/>
                    <w:rPr>
                      <w:rFonts w:eastAsia="楷体_GB2312"/>
                      <w:b w:val="0"/>
                    </w:rPr>
                  </w:pPr>
                </w:p>
              </w:tc>
              <w:tc>
                <w:tcPr>
                  <w:tcW w:w="2551" w:type="dxa"/>
                </w:tcPr>
                <w:p w14:paraId="6657F884">
                  <w:pPr>
                    <w:pStyle w:val="47"/>
                    <w:framePr w:wrap="auto" w:vAnchor="margin" w:hAnchor="text" w:yAlign="inline"/>
                    <w:rPr>
                      <w:rFonts w:eastAsia="楷体_GB2312"/>
                      <w:b w:val="0"/>
                    </w:rPr>
                  </w:pPr>
                </w:p>
              </w:tc>
              <w:tc>
                <w:tcPr>
                  <w:tcW w:w="2693" w:type="dxa"/>
                </w:tcPr>
                <w:p w14:paraId="57E5CD92">
                  <w:pPr>
                    <w:pStyle w:val="47"/>
                    <w:framePr w:wrap="auto" w:vAnchor="margin" w:hAnchor="text" w:yAlign="inline"/>
                    <w:rPr>
                      <w:rFonts w:eastAsia="楷体_GB2312"/>
                      <w:b w:val="0"/>
                    </w:rPr>
                  </w:pPr>
                </w:p>
              </w:tc>
              <w:tc>
                <w:tcPr>
                  <w:tcW w:w="2694" w:type="dxa"/>
                </w:tcPr>
                <w:p w14:paraId="260C5047">
                  <w:pPr>
                    <w:pStyle w:val="47"/>
                    <w:framePr w:wrap="auto" w:vAnchor="margin" w:hAnchor="text" w:yAlign="inline"/>
                    <w:rPr>
                      <w:rFonts w:eastAsia="楷体_GB2312"/>
                      <w:b w:val="0"/>
                    </w:rPr>
                  </w:pPr>
                </w:p>
              </w:tc>
            </w:tr>
            <w:tr w14:paraId="44C86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3D42A19">
                  <w:pPr>
                    <w:pStyle w:val="47"/>
                    <w:framePr w:wrap="auto" w:vAnchor="margin" w:hAnchor="text" w:yAlign="inline"/>
                    <w:rPr>
                      <w:rFonts w:eastAsia="楷体_GB2312"/>
                      <w:b w:val="0"/>
                    </w:rPr>
                  </w:pPr>
                </w:p>
              </w:tc>
              <w:tc>
                <w:tcPr>
                  <w:tcW w:w="2551" w:type="dxa"/>
                </w:tcPr>
                <w:p w14:paraId="4D5FC3D8">
                  <w:pPr>
                    <w:pStyle w:val="47"/>
                    <w:framePr w:wrap="auto" w:vAnchor="margin" w:hAnchor="text" w:yAlign="inline"/>
                    <w:rPr>
                      <w:rFonts w:eastAsia="楷体_GB2312"/>
                      <w:b w:val="0"/>
                    </w:rPr>
                  </w:pPr>
                </w:p>
              </w:tc>
              <w:tc>
                <w:tcPr>
                  <w:tcW w:w="2693" w:type="dxa"/>
                </w:tcPr>
                <w:p w14:paraId="6DE9093C">
                  <w:pPr>
                    <w:pStyle w:val="47"/>
                    <w:framePr w:wrap="auto" w:vAnchor="margin" w:hAnchor="text" w:yAlign="inline"/>
                    <w:rPr>
                      <w:rFonts w:eastAsia="楷体_GB2312"/>
                      <w:b w:val="0"/>
                    </w:rPr>
                  </w:pPr>
                </w:p>
              </w:tc>
              <w:tc>
                <w:tcPr>
                  <w:tcW w:w="2694" w:type="dxa"/>
                </w:tcPr>
                <w:p w14:paraId="201445D9">
                  <w:pPr>
                    <w:pStyle w:val="47"/>
                    <w:framePr w:wrap="auto" w:vAnchor="margin" w:hAnchor="text" w:yAlign="inline"/>
                    <w:rPr>
                      <w:rFonts w:eastAsia="楷体_GB2312"/>
                      <w:b w:val="0"/>
                    </w:rPr>
                  </w:pPr>
                </w:p>
              </w:tc>
            </w:tr>
          </w:tbl>
          <w:p w14:paraId="5387C816">
            <w:pPr>
              <w:pStyle w:val="85"/>
              <w:spacing w:after="0"/>
              <w:jc w:val="both"/>
              <w:rPr>
                <w:rFonts w:eastAsia="楷体_GB2312" w:cs="Times New Roman"/>
                <w:bCs/>
                <w:kern w:val="28"/>
                <w:lang w:eastAsia="zh-CN"/>
              </w:rPr>
            </w:pPr>
          </w:p>
        </w:tc>
      </w:tr>
    </w:tbl>
    <w:p w14:paraId="7401B7E2">
      <w:pPr>
        <w:pStyle w:val="68"/>
        <w:rPr>
          <w:rFonts w:eastAsia="宋体"/>
        </w:rPr>
      </w:pPr>
    </w:p>
    <w:p w14:paraId="249CA393">
      <w:pPr>
        <w:ind w:right="320"/>
        <w:rPr>
          <w:rFonts w:eastAsia="宋体"/>
          <w:lang w:eastAsia="zh-CN"/>
        </w:rPr>
      </w:pPr>
    </w:p>
    <w:p w14:paraId="283C10FA">
      <w:pPr>
        <w:rPr>
          <w:lang w:eastAsia="zh-CN"/>
        </w:rPr>
      </w:pPr>
    </w:p>
    <w:p w14:paraId="236400BE">
      <w:pPr>
        <w:rPr>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tbl>
      <w:tblPr>
        <w:tblStyle w:val="10"/>
        <w:tblW w:w="10434"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10434"/>
      </w:tblGrid>
      <w:tr w14:paraId="3D18427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10434" w:type="dxa"/>
          </w:tcPr>
          <w:p w14:paraId="1A5CC937">
            <w:pPr>
              <w:rPr>
                <w:rFonts w:eastAsia="宋体"/>
                <w:b/>
                <w:sz w:val="17"/>
              </w:rPr>
            </w:pPr>
            <w:r>
              <w:rPr>
                <w:rFonts w:eastAsia="宋体"/>
                <w:b/>
                <w:bCs/>
                <w:sz w:val="17"/>
                <w:lang w:val="zh-CN"/>
              </w:rPr>
              <w:t>Table 1: DCF model</w:t>
            </w:r>
          </w:p>
        </w:tc>
      </w:tr>
      <w:tr w14:paraId="7DD5A75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10434" w:type="dxa"/>
          </w:tcPr>
          <w:p w14:paraId="085E640C">
            <w:pPr>
              <w:rPr>
                <w:rFonts w:eastAsia="宋体"/>
                <w:sz w:val="20"/>
                <w:szCs w:val="20"/>
                <w:lang w:eastAsia="zh-CN"/>
              </w:rPr>
            </w:pPr>
            <w:r>
              <w:rPr>
                <w:rFonts w:eastAsia="楷体_GB2312" w:cs="Calibri"/>
                <w:b/>
                <w:color w:val="000000"/>
                <w:sz w:val="15"/>
                <w:szCs w:val="15"/>
                <w:lang w:eastAsia="zh-CN" w:bidi="ar"/>
              </w:rPr>
              <w:drawing>
                <wp:inline distT="0" distB="0" distL="0" distR="0">
                  <wp:extent cx="4930775" cy="2426335"/>
                  <wp:effectExtent l="0" t="0" r="6985" b="12065"/>
                  <wp:docPr id="183719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95043"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30775" cy="2426335"/>
                          </a:xfrm>
                          <a:prstGeom prst="rect">
                            <a:avLst/>
                          </a:prstGeom>
                          <a:noFill/>
                          <a:ln>
                            <a:noFill/>
                          </a:ln>
                        </pic:spPr>
                      </pic:pic>
                    </a:graphicData>
                  </a:graphic>
                </wp:inline>
              </w:drawing>
            </w:r>
            <w:r>
              <w:rPr>
                <w:rFonts w:eastAsia="楷体_GB2312" w:cs="Calibri"/>
                <w:b/>
                <w:color w:val="000000"/>
                <w:sz w:val="15"/>
                <w:szCs w:val="15"/>
                <w:lang w:eastAsia="zh-CN" w:bidi="ar"/>
              </w:rPr>
              <w:drawing>
                <wp:anchor distT="0" distB="0" distL="114300" distR="114300" simplePos="0" relativeHeight="251659264" behindDoc="0" locked="0" layoutInCell="1" allowOverlap="1">
                  <wp:simplePos x="0" y="0"/>
                  <wp:positionH relativeFrom="column">
                    <wp:posOffset>0</wp:posOffset>
                  </wp:positionH>
                  <wp:positionV relativeFrom="paragraph">
                    <wp:posOffset>4445</wp:posOffset>
                  </wp:positionV>
                  <wp:extent cx="6628765" cy="4803140"/>
                  <wp:effectExtent l="0" t="0" r="635" b="1270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628765" cy="4803140"/>
                          </a:xfrm>
                          <a:prstGeom prst="rect">
                            <a:avLst/>
                          </a:prstGeom>
                          <a:noFill/>
                          <a:ln>
                            <a:noFill/>
                          </a:ln>
                        </pic:spPr>
                      </pic:pic>
                    </a:graphicData>
                  </a:graphic>
                </wp:anchor>
              </w:drawing>
            </w:r>
          </w:p>
        </w:tc>
      </w:tr>
      <w:tr w14:paraId="036EF51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10434" w:type="dxa"/>
          </w:tcPr>
          <w:p w14:paraId="031105F0">
            <w:pPr>
              <w:rPr>
                <w:rFonts w:eastAsia="宋体"/>
                <w:sz w:val="12"/>
              </w:rPr>
            </w:pPr>
            <w:r>
              <w:rPr>
                <w:rFonts w:hint="eastAsia" w:eastAsia="楷体_GB2312"/>
                <w:sz w:val="15"/>
                <w:szCs w:val="15"/>
                <w:lang w:eastAsia="zh-CN"/>
              </w:rPr>
              <w:t>Source: HFI</w:t>
            </w:r>
          </w:p>
        </w:tc>
      </w:tr>
    </w:tbl>
    <w:p w14:paraId="5C2E8E81">
      <w:pPr>
        <w:pStyle w:val="16"/>
        <w:overflowPunct w:val="0"/>
        <w:ind w:left="3200" w:leftChars="2000"/>
        <w:jc w:val="both"/>
        <w:rPr>
          <w:rFonts w:eastAsia="宋体"/>
          <w:lang w:eastAsia="zh-CN"/>
        </w:rPr>
      </w:pPr>
    </w:p>
    <w:p w14:paraId="516D77F9">
      <w:pPr>
        <w:pStyle w:val="16"/>
        <w:overflowPunct w:val="0"/>
        <w:ind w:left="3200" w:leftChars="2000"/>
        <w:jc w:val="both"/>
        <w:rPr>
          <w:rFonts w:eastAsia="宋体"/>
          <w:lang w:eastAsia="zh-CN"/>
        </w:rPr>
      </w:pPr>
    </w:p>
    <w:p w14:paraId="78327C94">
      <w:pPr>
        <w:pStyle w:val="16"/>
        <w:overflowPunct w:val="0"/>
        <w:ind w:left="3200" w:leftChars="2000"/>
        <w:jc w:val="both"/>
        <w:rPr>
          <w:rFonts w:eastAsia="宋体"/>
          <w:lang w:eastAsia="zh-CN"/>
        </w:rPr>
      </w:pPr>
    </w:p>
    <w:p w14:paraId="2D150307">
      <w:pPr>
        <w:rPr>
          <w:rFonts w:eastAsia="宋体"/>
          <w:lang w:eastAsia="zh-CN"/>
        </w:rPr>
      </w:pPr>
      <w:r>
        <w:rPr>
          <w:rFonts w:eastAsia="宋体"/>
          <w:lang w:eastAsia="zh-CN"/>
        </w:rPr>
        <w:br w:type="page"/>
      </w:r>
    </w:p>
    <w:p w14:paraId="0DC768FF">
      <w:pPr>
        <w:pStyle w:val="16"/>
        <w:overflowPunct w:val="0"/>
        <w:jc w:val="both"/>
        <w:rPr>
          <w:rFonts w:eastAsia="宋体"/>
          <w:lang w:eastAsia="zh-CN"/>
        </w:rPr>
      </w:pPr>
      <w:r>
        <w:rPr>
          <w:rFonts w:eastAsia="宋体"/>
          <w:b/>
          <w:bCs/>
          <w:sz w:val="17"/>
          <w:lang w:val="zh-CN"/>
        </w:rPr>
        <w:t xml:space="preserve">Table </w:t>
      </w:r>
      <w:r>
        <w:rPr>
          <w:rFonts w:hint="eastAsia" w:eastAsia="宋体"/>
          <w:b/>
          <w:bCs/>
          <w:sz w:val="17"/>
          <w:lang w:val="zh-CN" w:eastAsia="zh-CN"/>
        </w:rPr>
        <w:t>2</w:t>
      </w:r>
      <w:r>
        <w:rPr>
          <w:rFonts w:eastAsia="宋体"/>
          <w:b/>
          <w:bCs/>
          <w:sz w:val="17"/>
          <w:lang w:val="zh-CN"/>
        </w:rPr>
        <w:t>: financial summary</w:t>
      </w:r>
    </w:p>
    <w:p w14:paraId="1A21E170">
      <w:pPr>
        <w:pStyle w:val="16"/>
        <w:overflowPunct w:val="0"/>
        <w:jc w:val="both"/>
        <w:rPr>
          <w:rFonts w:eastAsia="宋体"/>
          <w:lang w:eastAsia="zh-CN"/>
        </w:rPr>
      </w:pPr>
      <w:r>
        <w:rPr>
          <w:rFonts w:eastAsia="楷体_GB2312" w:cs="Calibri"/>
          <w:b/>
          <w:color w:val="000000"/>
          <w:sz w:val="15"/>
          <w:szCs w:val="15"/>
          <w:lang w:eastAsia="zh-CN" w:bidi="ar"/>
        </w:rPr>
        <w:drawing>
          <wp:inline distT="0" distB="0" distL="0" distR="0">
            <wp:extent cx="6759575" cy="6116320"/>
            <wp:effectExtent l="0" t="0" r="6985" b="10160"/>
            <wp:docPr id="123267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76987"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759575" cy="6116320"/>
                    </a:xfrm>
                    <a:prstGeom prst="rect">
                      <a:avLst/>
                    </a:prstGeom>
                    <a:noFill/>
                    <a:ln>
                      <a:noFill/>
                    </a:ln>
                  </pic:spPr>
                </pic:pic>
              </a:graphicData>
            </a:graphic>
          </wp:inline>
        </w:drawing>
      </w:r>
    </w:p>
    <w:p w14:paraId="20D23A84">
      <w:pPr>
        <w:pStyle w:val="16"/>
        <w:overflowPunct w:val="0"/>
        <w:jc w:val="both"/>
        <w:rPr>
          <w:rFonts w:hint="eastAsia" w:eastAsia="楷体_GB2312"/>
          <w:sz w:val="15"/>
          <w:szCs w:val="15"/>
          <w:lang w:eastAsia="zh-CN"/>
        </w:rPr>
      </w:pPr>
      <w:r>
        <w:rPr>
          <w:rFonts w:hint="eastAsia" w:eastAsia="楷体_GB2312"/>
          <w:sz w:val="15"/>
          <w:szCs w:val="15"/>
          <w:lang w:eastAsia="zh-CN"/>
        </w:rPr>
        <w:t>Source: HFI</w:t>
      </w:r>
    </w:p>
    <w:p w14:paraId="17034BDD">
      <w:pPr>
        <w:pStyle w:val="16"/>
        <w:overflowPunct w:val="0"/>
        <w:jc w:val="both"/>
        <w:rPr>
          <w:rFonts w:hint="eastAsia" w:eastAsia="楷体_GB2312"/>
          <w:sz w:val="15"/>
          <w:szCs w:val="15"/>
          <w:lang w:eastAsia="zh-CN"/>
        </w:rPr>
      </w:pPr>
    </w:p>
    <w:p w14:paraId="3C1B8F9A">
      <w:pPr>
        <w:pStyle w:val="16"/>
        <w:rPr>
          <w:rFonts w:eastAsia="宋体"/>
          <w:sz w:val="4"/>
          <w:szCs w:val="4"/>
          <w:lang w:eastAsia="zh-CN"/>
        </w:rPr>
      </w:pPr>
    </w:p>
    <w:p w14:paraId="0860E2E3">
      <w:pPr>
        <w:pStyle w:val="5"/>
        <w:spacing w:before="240" w:beforeLines="100" w:after="240" w:afterLines="100" w:line="260" w:lineRule="exact"/>
        <w:ind w:left="0" w:leftChars="0" w:right="42" w:firstLine="0"/>
        <w:jc w:val="both"/>
        <w:rPr>
          <w:rFonts w:ascii="Calibri" w:hAnsi="Calibri" w:eastAsia="楷体_GB2312" w:cs="Arial"/>
          <w:sz w:val="20"/>
          <w:szCs w:val="20"/>
        </w:rPr>
        <w:sectPr>
          <w:headerReference r:id="rId10" w:type="first"/>
          <w:footerReference r:id="rId12" w:type="first"/>
          <w:headerReference r:id="rId9" w:type="default"/>
          <w:footerReference r:id="rId11" w:type="default"/>
          <w:pgSz w:w="11909" w:h="16834"/>
          <w:pgMar w:top="1610" w:right="851" w:bottom="1707" w:left="567" w:header="720" w:footer="1520" w:gutter="0"/>
          <w:cols w:space="720" w:num="1"/>
          <w:docGrid w:linePitch="360" w:charSpace="0"/>
        </w:sectPr>
      </w:pPr>
    </w:p>
    <w:tbl>
      <w:tblPr>
        <w:tblStyle w:val="10"/>
        <w:tblW w:w="11199"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304"/>
      </w:tblGrid>
      <w:tr w14:paraId="483625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tcPr>
          <w:p w14:paraId="42CCDC8F">
            <w:pPr>
              <w:rPr>
                <w:rFonts w:eastAsia="宋体"/>
                <w:lang w:eastAsia="zh-CN"/>
              </w:rPr>
            </w:pPr>
            <w:r>
              <w:rPr>
                <w:rFonts w:hint="eastAsia" w:eastAsia="宋体"/>
                <w:lang w:eastAsia="zh-CN"/>
              </w:rPr>
              <w:t>[</w:t>
            </w:r>
            <w:r>
              <w:rPr>
                <w:rFonts w:eastAsia="宋体"/>
                <w:lang w:eastAsia="zh-CN"/>
              </w:rPr>
              <w:t>Table_APPENDIX]</w:t>
            </w:r>
          </w:p>
        </w:tc>
      </w:tr>
      <w:tr w14:paraId="2077FC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tbl>
            <w:tblPr>
              <w:tblStyle w:val="10"/>
              <w:tblW w:w="1111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13"/>
            </w:tblGrid>
            <w:tr w14:paraId="71A1F85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13" w:type="dxa"/>
                  <w:tcBorders>
                    <w:top w:val="nil"/>
                    <w:bottom w:val="single" w:color="C0C0C0" w:sz="4" w:space="0"/>
                  </w:tcBorders>
                </w:tcPr>
                <w:p w14:paraId="759F0C26">
                  <w:pPr>
                    <w:pStyle w:val="22"/>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776486E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24" w:space="0"/>
                  </w:tcBorders>
                </w:tcPr>
                <w:p w14:paraId="70583AC4">
                  <w:pPr>
                    <w:pStyle w:val="22"/>
                    <w:spacing w:after="60"/>
                    <w:rPr>
                      <w:rFonts w:eastAsia="楷体_GB2312" w:cs="Calibri"/>
                      <w:b/>
                      <w:bCs/>
                      <w:w w:val="70"/>
                      <w:sz w:val="22"/>
                      <w:szCs w:val="22"/>
                      <w:lang w:eastAsia="zh-CN"/>
                    </w:rPr>
                  </w:pPr>
                  <w:r>
                    <w:rPr>
                      <w:rFonts w:eastAsia="楷体_GB2312" w:cs="Calibri"/>
                      <w:b/>
                      <w:bCs/>
                      <w:w w:val="70"/>
                      <w:sz w:val="22"/>
                      <w:szCs w:val="22"/>
                    </w:rPr>
                    <w:t>APPENDIX</w:t>
                  </w:r>
                </w:p>
                <w:p w14:paraId="03D354DD">
                  <w:pPr>
                    <w:pStyle w:val="22"/>
                    <w:rPr>
                      <w:rFonts w:eastAsia="楷体_GB2312" w:cs="Calibri"/>
                      <w:b/>
                      <w:bCs/>
                      <w:w w:val="70"/>
                      <w:sz w:val="20"/>
                      <w:szCs w:val="20"/>
                    </w:rPr>
                  </w:pPr>
                  <w:r>
                    <w:rPr>
                      <w:rFonts w:eastAsia="楷体_GB2312" w:cs="Calibri"/>
                      <w:b/>
                      <w:bCs/>
                      <w:w w:val="70"/>
                      <w:sz w:val="20"/>
                      <w:szCs w:val="20"/>
                    </w:rPr>
                    <w:t>IMPORTANT DISCLOSURES</w:t>
                  </w:r>
                </w:p>
                <w:p w14:paraId="5D6B45E0">
                  <w:pPr>
                    <w:pStyle w:val="22"/>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CCCD5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tcBorders>
                </w:tcPr>
                <w:p w14:paraId="66992928">
                  <w:pPr>
                    <w:pStyle w:val="22"/>
                    <w:spacing w:after="48" w:afterLines="20"/>
                    <w:rPr>
                      <w:rFonts w:eastAsia="楷体_GB2312" w:cs="Calibri"/>
                      <w:w w:val="70"/>
                      <w:sz w:val="20"/>
                      <w:szCs w:val="20"/>
                    </w:rPr>
                  </w:pPr>
                  <w:r>
                    <w:rPr>
                      <w:rFonts w:eastAsia="楷体_GB2312" w:cs="Calibri"/>
                      <w:b/>
                      <w:w w:val="70"/>
                      <w:sz w:val="20"/>
                      <w:szCs w:val="20"/>
                    </w:rPr>
                    <w:t>Analyst Certification</w:t>
                  </w:r>
                  <w:r>
                    <w:rPr>
                      <w:rFonts w:eastAsia="楷体_GB2312" w:cs="Calibri"/>
                      <w:w w:val="70"/>
                      <w:sz w:val="20"/>
                      <w:szCs w:val="20"/>
                    </w:rPr>
                    <w:t>:</w:t>
                  </w:r>
                </w:p>
              </w:tc>
            </w:tr>
            <w:tr w14:paraId="73D6904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bottom w:val="single" w:color="C0C0C0" w:sz="24" w:space="0"/>
                  </w:tcBorders>
                </w:tcPr>
                <w:p w14:paraId="79274D8A">
                  <w:pPr>
                    <w:jc w:val="both"/>
                    <w:rPr>
                      <w:rFonts w:eastAsia="楷体_GB2312" w:cs="Calibri"/>
                      <w:w w:val="70"/>
                      <w:sz w:val="20"/>
                      <w:szCs w:val="20"/>
                      <w:lang w:eastAsia="zh-CN"/>
                    </w:rPr>
                  </w:pPr>
                  <w:r>
                    <w:rPr>
                      <w:rFonts w:ascii="Calibri" w:eastAsia="楷体_GB2312"/>
                      <w:b w:val="0"/>
                      <w:i w:val="0"/>
                      <w:color w:val="000000"/>
                      <w:w w:val="70"/>
                      <w:sz w:val="20"/>
                    </w:rPr>
                    <w:t>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D5DE70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24" w:space="0"/>
                    <w:bottom w:val="nil"/>
                  </w:tcBorders>
                </w:tcPr>
                <w:p w14:paraId="096907D3">
                  <w:pPr>
                    <w:pStyle w:val="22"/>
                    <w:spacing w:after="48" w:afterLines="20"/>
                    <w:rPr>
                      <w:rFonts w:eastAsia="楷体_GB2312" w:cs="Calibri"/>
                      <w:b/>
                      <w:bCs/>
                      <w:w w:val="70"/>
                      <w:sz w:val="20"/>
                      <w:szCs w:val="20"/>
                    </w:rPr>
                  </w:pPr>
                  <w:r>
                    <w:rPr>
                      <w:rFonts w:eastAsia="楷体_GB2312" w:cs="Calibri"/>
                      <w:b/>
                      <w:bCs/>
                      <w:w w:val="70"/>
                      <w:sz w:val="20"/>
                      <w:szCs w:val="20"/>
                    </w:rPr>
                    <w:t>Conflict of Interest Disclosures</w:t>
                  </w:r>
                </w:p>
              </w:tc>
            </w:tr>
            <w:tr w14:paraId="3F50B0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nil"/>
                    <w:bottom w:val="single" w:color="C0C0C0" w:sz="4" w:space="0"/>
                  </w:tcBorders>
                </w:tcPr>
                <w:p w14:paraId="2DB6225A">
                  <w:pPr>
                    <w:pStyle w:val="22"/>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DCE683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57D2A59">
                  <w:pPr>
                    <w:pStyle w:val="22"/>
                    <w:rPr>
                      <w:rFonts w:eastAsia="楷体_GB2312" w:cs="Calibri"/>
                      <w:w w:val="70"/>
                      <w:sz w:val="20"/>
                      <w:szCs w:val="20"/>
                    </w:rPr>
                  </w:pPr>
                </w:p>
              </w:tc>
            </w:tr>
            <w:tr w14:paraId="32FD24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3595" w:hRule="atLeast"/>
              </w:trPr>
              <w:tc>
                <w:tcPr>
                  <w:tcW w:w="11113" w:type="dxa"/>
                  <w:tcBorders>
                    <w:top w:val="single" w:color="C0C0C0" w:sz="4" w:space="0"/>
                  </w:tcBorders>
                </w:tcPr>
                <w:p w14:paraId="5DB9520B">
                  <w:pPr>
                    <w:pStyle w:val="22"/>
                    <w:rPr>
                      <w:rFonts w:eastAsia="楷体_GB2312" w:cs="Calibri"/>
                      <w:w w:val="79"/>
                      <w:sz w:val="20"/>
                      <w:szCs w:val="20"/>
                    </w:rPr>
                  </w:pPr>
                  <w:r>
                    <w:rPr>
                      <w:rFonts w:eastAsia="楷体_GB2312" w:cs="Calibri"/>
                      <w:b/>
                      <w:w w:val="79"/>
                      <w:sz w:val="20"/>
                      <w:szCs w:val="20"/>
                    </w:rPr>
                    <w:t xml:space="preserve">Ratings Definitions (from 1 Jul 2020): </w:t>
                  </w:r>
                </w:p>
                <w:p w14:paraId="298D6603">
                  <w:pPr>
                    <w:pStyle w:val="22"/>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308F37CA">
                  <w:pPr>
                    <w:pStyle w:val="22"/>
                    <w:rPr>
                      <w:rFonts w:eastAsia="楷体_GB2312" w:cs="Calibri"/>
                      <w:b/>
                      <w:w w:val="79"/>
                      <w:sz w:val="20"/>
                      <w:szCs w:val="20"/>
                    </w:rPr>
                  </w:pPr>
                  <w:r>
                    <w:rPr>
                      <w:rFonts w:eastAsia="楷体_GB2312" w:cs="Calibri"/>
                      <w:b/>
                      <w:w w:val="79"/>
                      <w:sz w:val="20"/>
                      <w:szCs w:val="20"/>
                    </w:rPr>
                    <w:t>Analyst Stock Ratings</w:t>
                  </w:r>
                </w:p>
                <w:p w14:paraId="015C0ACA">
                  <w:pPr>
                    <w:pStyle w:val="22"/>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4316A905">
                  <w:pPr>
                    <w:pStyle w:val="22"/>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575F0327">
                  <w:pPr>
                    <w:pStyle w:val="22"/>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7308C868">
                  <w:pPr>
                    <w:pStyle w:val="22"/>
                    <w:rPr>
                      <w:rFonts w:eastAsia="楷体_GB2312" w:cs="Calibri"/>
                      <w:w w:val="70"/>
                      <w:sz w:val="20"/>
                      <w:szCs w:val="20"/>
                      <w:lang w:eastAsia="zh-CN"/>
                    </w:rPr>
                  </w:pPr>
                </w:p>
              </w:tc>
            </w:tr>
            <w:tr w14:paraId="0C2650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ABF6C3">
                  <w:pPr>
                    <w:pStyle w:val="22"/>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AFF67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45A5F6F1">
                  <w:pPr>
                    <w:pStyle w:val="22"/>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5E98A0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031F309D">
                  <w:pPr>
                    <w:pStyle w:val="22"/>
                    <w:rPr>
                      <w:rFonts w:eastAsia="楷体_GB2312" w:cs="Calibri"/>
                      <w:w w:val="70"/>
                      <w:sz w:val="20"/>
                      <w:szCs w:val="20"/>
                    </w:rPr>
                  </w:pPr>
                </w:p>
              </w:tc>
            </w:tr>
            <w:tr w14:paraId="3A574B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649BF108">
                  <w:pPr>
                    <w:pStyle w:val="22"/>
                    <w:spacing w:after="40"/>
                    <w:rPr>
                      <w:rFonts w:eastAsia="楷体_GB2312" w:cs="Calibri"/>
                      <w:b/>
                      <w:bCs/>
                      <w:w w:val="70"/>
                      <w:sz w:val="20"/>
                      <w:szCs w:val="20"/>
                    </w:rPr>
                  </w:pPr>
                  <w:r>
                    <w:rPr>
                      <w:rFonts w:eastAsia="楷体_GB2312" w:cs="Calibri"/>
                      <w:b/>
                      <w:bCs/>
                      <w:w w:val="70"/>
                      <w:sz w:val="20"/>
                      <w:szCs w:val="20"/>
                    </w:rPr>
                    <w:t>IMPORTANT DISCLAIMER</w:t>
                  </w:r>
                </w:p>
                <w:p w14:paraId="4D7AA043">
                  <w:pPr>
                    <w:pStyle w:val="22"/>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74631ACE">
                  <w:pPr>
                    <w:pStyle w:val="22"/>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19084354">
                  <w:pPr>
                    <w:pStyle w:val="22"/>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D0BB5F8">
                  <w:pPr>
                    <w:pStyle w:val="22"/>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rPr>
                      <w:rFonts w:eastAsia="楷体_GB2312" w:cs="Calibri"/>
                      <w:bCs/>
                      <w:w w:val="70"/>
                      <w:sz w:val="20"/>
                      <w:szCs w:val="20"/>
                    </w:rPr>
                    <w:fldChar w:fldCharType="begin"/>
                  </w:r>
                  <w:r>
                    <w:rPr>
                      <w:rFonts w:eastAsia="楷体_GB2312" w:cs="Calibri"/>
                      <w:bCs/>
                      <w:w w:val="70"/>
                      <w:sz w:val="20"/>
                      <w:szCs w:val="20"/>
                    </w:rPr>
                    <w:instrText xml:space="preserve"> HYPERLINK "http://www.hfisec.com.hk" </w:instrText>
                  </w:r>
                  <w:r>
                    <w:rPr>
                      <w:rFonts w:eastAsia="楷体_GB2312" w:cs="Calibri"/>
                      <w:bCs/>
                      <w:w w:val="70"/>
                      <w:sz w:val="20"/>
                      <w:szCs w:val="20"/>
                    </w:rPr>
                    <w:fldChar w:fldCharType="separate"/>
                  </w:r>
                  <w:r>
                    <w:rPr>
                      <w:rStyle w:val="12"/>
                      <w:rFonts w:eastAsia="楷体_GB2312" w:cs="Calibri"/>
                      <w:bCs/>
                      <w:w w:val="70"/>
                      <w:sz w:val="20"/>
                      <w:szCs w:val="20"/>
                    </w:rPr>
                    <w:t xml:space="preserve">www.hfisec.com.hk </w:t>
                  </w:r>
                  <w:r>
                    <w:rPr>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7550DDBB">
                  <w:pPr>
                    <w:pStyle w:val="22"/>
                    <w:spacing w:after="60"/>
                    <w:rPr>
                      <w:rFonts w:eastAsia="楷体_GB2312" w:cs="Calibri"/>
                      <w:b/>
                      <w:w w:val="70"/>
                      <w:sz w:val="20"/>
                      <w:szCs w:val="20"/>
                    </w:rPr>
                  </w:pPr>
                </w:p>
              </w:tc>
            </w:tr>
            <w:tr w14:paraId="1342A94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7FFA4B3C">
                  <w:pPr>
                    <w:pStyle w:val="22"/>
                    <w:spacing w:after="40"/>
                    <w:rPr>
                      <w:rFonts w:eastAsia="楷体_GB2312" w:cs="Calibri"/>
                      <w:b/>
                      <w:bCs/>
                      <w:w w:val="70"/>
                      <w:sz w:val="20"/>
                      <w:szCs w:val="20"/>
                    </w:rPr>
                  </w:pPr>
                  <w:r>
                    <w:rPr>
                      <w:rFonts w:eastAsia="楷体_GB2312" w:cs="Calibri"/>
                      <w:b/>
                      <w:bCs/>
                      <w:w w:val="70"/>
                      <w:sz w:val="20"/>
                      <w:szCs w:val="20"/>
                    </w:rPr>
                    <w:t>DISTRIBUTION AND REGIONAL NOTICES</w:t>
                  </w:r>
                </w:p>
                <w:p w14:paraId="402543E5">
                  <w:pPr>
                    <w:pStyle w:val="22"/>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70AA6ED9">
                  <w:pPr>
                    <w:pStyle w:val="22"/>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556B5FAF">
                  <w:pPr>
                    <w:pStyle w:val="22"/>
                    <w:spacing w:after="60"/>
                    <w:rPr>
                      <w:rFonts w:eastAsia="楷体_GB2312" w:cs="Calibri"/>
                      <w:b/>
                      <w:w w:val="70"/>
                      <w:sz w:val="20"/>
                      <w:szCs w:val="20"/>
                    </w:rPr>
                  </w:pPr>
                </w:p>
              </w:tc>
            </w:tr>
            <w:tr w14:paraId="0573043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1CCCA22C">
                  <w:pPr>
                    <w:pStyle w:val="22"/>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71763365">
                  <w:pPr>
                    <w:pStyle w:val="22"/>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5E9E997C">
                  <w:pPr>
                    <w:pStyle w:val="22"/>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1577D8A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single" w:color="C0C0C0" w:sz="4" w:space="0"/>
                  </w:tcBorders>
                </w:tcPr>
                <w:p w14:paraId="28746C9F">
                  <w:pPr>
                    <w:pStyle w:val="22"/>
                    <w:spacing w:after="60"/>
                    <w:rPr>
                      <w:rFonts w:eastAsia="楷体_GB2312" w:cs="Calibri"/>
                      <w:b/>
                      <w:w w:val="70"/>
                      <w:sz w:val="20"/>
                      <w:szCs w:val="20"/>
                    </w:rPr>
                  </w:pPr>
                </w:p>
              </w:tc>
            </w:tr>
            <w:tr w14:paraId="2A2E2D8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13" w:type="dxa"/>
                  <w:tcBorders>
                    <w:top w:val="single" w:color="C0C0C0" w:sz="4" w:space="0"/>
                    <w:bottom w:val="nil"/>
                  </w:tcBorders>
                </w:tcPr>
                <w:p w14:paraId="31BFE7D9">
                  <w:pPr>
                    <w:pStyle w:val="22"/>
                    <w:spacing w:after="60"/>
                    <w:rPr>
                      <w:rFonts w:eastAsia="楷体_GB2312" w:cs="Calibri"/>
                      <w:b/>
                      <w:w w:val="70"/>
                      <w:sz w:val="20"/>
                      <w:szCs w:val="20"/>
                      <w:lang w:eastAsia="zh-CN"/>
                    </w:rPr>
                  </w:pPr>
                </w:p>
              </w:tc>
            </w:tr>
          </w:tbl>
          <w:p w14:paraId="2E54ADC1">
            <w:pPr>
              <w:pStyle w:val="68"/>
              <w:rPr>
                <w:rFonts w:eastAsia="宋体"/>
                <w:sz w:val="16"/>
              </w:rPr>
            </w:pPr>
          </w:p>
          <w:p w14:paraId="51D982B3">
            <w:pPr>
              <w:rPr>
                <w:sz w:val="20"/>
                <w:szCs w:val="20"/>
              </w:rPr>
            </w:pPr>
          </w:p>
        </w:tc>
      </w:tr>
      <w:tr w14:paraId="7C7F230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wAfter w:w="28" w:type="dxa"/>
          <w:trHeight w:val="5409" w:hRule="atLeast"/>
        </w:trPr>
        <w:tc>
          <w:tcPr>
            <w:tcW w:w="11199" w:type="dxa"/>
          </w:tcPr>
          <w:p w14:paraId="3627FE8F">
            <w:pPr>
              <w:pStyle w:val="22"/>
              <w:rPr>
                <w:rFonts w:eastAsia="楷体_GB2312"/>
                <w:b/>
                <w:w w:val="70"/>
                <w:sz w:val="20"/>
                <w:szCs w:val="20"/>
              </w:rPr>
            </w:pPr>
            <w:r>
              <w:rPr>
                <w:rFonts w:eastAsia="楷体_GB2312"/>
                <w:b/>
                <w:w w:val="70"/>
                <w:sz w:val="20"/>
                <w:szCs w:val="20"/>
              </w:rPr>
              <w:t>Recommendation Chart</w:t>
            </w:r>
          </w:p>
          <w:tbl>
            <w:tblPr>
              <w:tblStyle w:val="1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304"/>
            </w:tblGrid>
            <w:tr w14:paraId="18E7A92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1199" w:type="dxa"/>
                </w:tcPr>
                <w:p w14:paraId="375D7F41">
                  <w:pPr>
                    <w:pStyle w:val="22"/>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5770093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A50C3B1">
                  <w:pPr>
                    <w:pStyle w:val="22"/>
                    <w:rPr>
                      <w:rFonts w:hint="eastAsia" w:eastAsia="楷体_GB2312"/>
                      <w:b/>
                      <w:w w:val="70"/>
                      <w:sz w:val="20"/>
                      <w:szCs w:val="20"/>
                      <w:lang w:eastAsia="zh-CN"/>
                    </w:rPr>
                  </w:pPr>
                  <w:r>
                    <w:rPr>
                      <w:rFonts w:hint="eastAsia" w:eastAsia="楷体_GB2312"/>
                      <w:b/>
                      <w:w w:val="70"/>
                      <w:sz w:val="20"/>
                      <w:szCs w:val="20"/>
                      <w:lang w:eastAsia="zh-CN"/>
                    </w:rPr>
                    <w:drawing>
                      <wp:inline distT="0" distB="0" distL="114300" distR="114300">
                        <wp:extent cx="7173595" cy="4043045"/>
                        <wp:effectExtent l="0" t="0" r="4445" b="10795"/>
                        <wp:docPr id="2" name="图片 2" descr="957c9c993ccbe6d15e0ef0f014e47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57c9c993ccbe6d15e0ef0f014e476c2"/>
                                <pic:cNvPicPr>
                                  <a:picLocks noChangeAspect="1"/>
                                </pic:cNvPicPr>
                              </pic:nvPicPr>
                              <pic:blipFill>
                                <a:blip r:embed="rId23"/>
                                <a:stretch>
                                  <a:fillRect/>
                                </a:stretch>
                              </pic:blipFill>
                              <pic:spPr>
                                <a:xfrm>
                                  <a:off x="0" y="0"/>
                                  <a:ext cx="7173595" cy="4043045"/>
                                </a:xfrm>
                                <a:prstGeom prst="rect">
                                  <a:avLst/>
                                </a:prstGeom>
                              </pic:spPr>
                            </pic:pic>
                          </a:graphicData>
                        </a:graphic>
                      </wp:inline>
                    </w:drawing>
                  </w:r>
                </w:p>
              </w:tc>
            </w:tr>
            <w:tr w14:paraId="1EE5DD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1199" w:type="dxa"/>
                </w:tcPr>
                <w:p w14:paraId="001E2108">
                  <w:pPr>
                    <w:pStyle w:val="22"/>
                    <w:rPr>
                      <w:rFonts w:eastAsia="楷体_GB2312"/>
                      <w:b/>
                      <w:w w:val="70"/>
                      <w:sz w:val="20"/>
                      <w:szCs w:val="20"/>
                    </w:rPr>
                  </w:pPr>
                  <w:r>
                    <w:rPr>
                      <w:rFonts w:ascii="Calibri" w:eastAsia="楷体_GB2312"/>
                      <w:b w:val="0"/>
                      <w:i/>
                      <w:color w:val="000000"/>
                      <w:sz w:val="12"/>
                    </w:rPr>
                    <w:t>Source: Company data Bloomberg, HFI estimates</w:t>
                  </w:r>
                </w:p>
              </w:tc>
            </w:tr>
          </w:tbl>
          <w:p w14:paraId="73626302">
            <w:pPr>
              <w:pStyle w:val="68"/>
              <w:rPr>
                <w:rFonts w:eastAsia="宋体"/>
                <w:w w:val="70"/>
                <w:sz w:val="20"/>
                <w:szCs w:val="20"/>
              </w:rPr>
            </w:pPr>
          </w:p>
          <w:p w14:paraId="207D2848">
            <w:pPr>
              <w:pStyle w:val="68"/>
              <w:rPr>
                <w:rFonts w:eastAsia="楷体_GB2312"/>
              </w:rPr>
            </w:pPr>
          </w:p>
        </w:tc>
      </w:tr>
    </w:tbl>
    <w:p w14:paraId="346EB6D4">
      <w:pPr>
        <w:pStyle w:val="68"/>
        <w:rPr>
          <w:rFonts w:eastAsia="宋体"/>
          <w:sz w:val="20"/>
          <w:szCs w:val="20"/>
        </w:rPr>
      </w:pPr>
    </w:p>
    <w:sectPr>
      <w:headerReference r:id="rId14" w:type="first"/>
      <w:footerReference r:id="rId16" w:type="first"/>
      <w:headerReference r:id="rId13" w:type="default"/>
      <w:footerReference r:id="rId15"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PMingLi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06D7A">
    <w:pPr>
      <w:pStyle w:val="18"/>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9791700</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3D0A7AB">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71pt;height:3.95pt;width:583pt;mso-position-horizontal-relative:page;mso-position-vertical-relative:page;z-index:251660288;mso-width-relative:page;mso-height-relative:page;" fillcolor="#005BAC" filled="t" stroked="f" coordsize="21600,21600" o:gfxdata="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3jlq7YAAAA&#10;DQEAAA8AAAAAAAAAAQAgAAAAIgAAAGRycy9kb3ducmV2LnhtbFBLAQIUABQAAAAIAIdO4kCtZ5dW&#10;HQIAAD4EAAAOAAAAAAAAAAEAIAAAACcBAABkcnMvZTJvRG9jLnhtbFBLBQYAAAAABgAGAFkBAAC2&#10;BQAAAAA=&#10;">
              <v:fill on="t" focussize="0,0"/>
              <v:stroke on="f"/>
              <v:imagedata o:title=""/>
              <o:lock v:ext="edit" aspectratio="f"/>
              <v:textbox>
                <w:txbxContent>
                  <w:p w14:paraId="43D0A7AB">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-3192780</wp:posOffset>
              </wp:positionH>
              <wp:positionV relativeFrom="page">
                <wp:posOffset>9837420</wp:posOffset>
              </wp:positionV>
              <wp:extent cx="7437120" cy="807720"/>
              <wp:effectExtent l="0" t="0" r="1143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37120" cy="807720"/>
                      </a:xfrm>
                      <a:prstGeom prst="rect">
                        <a:avLst/>
                      </a:prstGeom>
                      <a:noFill/>
                      <a:ln>
                        <a:noFill/>
                      </a:ln>
                    </wps:spPr>
                    <wps:txbx>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3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1.4pt;margin-top:774.6pt;height:63.6pt;width:585.6pt;mso-position-vertical-relative:page;z-index:251663360;mso-width-relative:page;mso-height-relative:page;" filled="f" stroked="f" coordsize="21600,21600" o:gfxdata="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z43G9wAAAAOAQAADwAAAAAAAAABACAAAAAiAAAAZHJzL2Rv&#10;d25yZXYueG1sUEsBAhQAFAAAAAgAh07iQKiIjKf9AQAABwQAAA4AAAAAAAAAAQAgAAAAKwEAAGRy&#10;cy9lMm9Eb2MueG1sUEsFBgAAAAAGAAYAWQEAAJoFAAAAAA==&#10;">
              <v:fill on="f" focussize="0,0"/>
              <v:stroke on="f"/>
              <v:imagedata o:title=""/>
              <o:lock v:ext="edit" aspectratio="f"/>
              <v:textbox inset="0mm,0mm,0mm,0mm">
                <w:txbxContent>
                  <w:tbl>
                    <w:tblPr>
                      <w:tblStyle w:val="10"/>
                      <w:tblW w:w="0" w:type="auto"/>
                      <w:tblCaption w:val="[Table_yejiao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80"/>
                    </w:tblGrid>
                    <w:tr w14:paraId="3B78B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0B644C3">
                          <w:pPr>
                            <w:pStyle w:val="13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37527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80" w:type="dxa"/>
                        </w:tcPr>
                        <w:p w14:paraId="203EC76B">
                          <w:pPr>
                            <w:pStyle w:val="139"/>
                            <w:rPr>
                              <w:rFonts w:cs="Calibri"/>
                              <w:b w:val="0"/>
                              <w:sz w:val="21"/>
                              <w:szCs w:val="21"/>
                              <w:lang w:eastAsia="zh-CN"/>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0731BC8">
                    <w:pPr>
                      <w:pStyle w:val="13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B83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18746">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61CC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31173157">
          <w:pPr>
            <w:pStyle w:val="27"/>
            <w:framePr w:wrap="auto" w:vAnchor="margin" w:hAnchor="text" w:xAlign="left" w:yAlign="inline"/>
          </w:pPr>
          <w:r>
            <w:fldChar w:fldCharType="begin"/>
          </w:r>
          <w:r>
            <w:instrText xml:space="preserve"> DATE  \@ "d MMM yyyy"  \* MERGEFORMAT </w:instrText>
          </w:r>
          <w:r>
            <w:fldChar w:fldCharType="separate"/>
          </w:r>
          <w:r>
            <w:t>29 Jan 2026</w:t>
          </w:r>
          <w:r>
            <w:fldChar w:fldCharType="end"/>
          </w:r>
          <w:r>
            <w:tab/>
          </w:r>
          <w:r>
            <w:fldChar w:fldCharType="begin"/>
          </w:r>
          <w:r>
            <w:instrText xml:space="preserve"> PAGE </w:instrText>
          </w:r>
          <w:r>
            <w:fldChar w:fldCharType="separate"/>
          </w:r>
          <w:r>
            <w:t>3</w:t>
          </w:r>
          <w:r>
            <w:fldChar w:fldCharType="end"/>
          </w:r>
        </w:p>
      </w:tc>
    </w:tr>
  </w:tbl>
  <w:p w14:paraId="03B6C14F">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C60EF">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87A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5AEA849">
          <w:pPr>
            <w:pStyle w:val="27"/>
            <w:framePr w:wrap="auto" w:vAnchor="margin" w:hAnchor="text" w:xAlign="left" w:yAlign="inline"/>
          </w:pPr>
          <w:r>
            <w:tab/>
          </w:r>
          <w:r>
            <w:fldChar w:fldCharType="begin"/>
          </w:r>
          <w:r>
            <w:instrText xml:space="preserve"> PAGE </w:instrText>
          </w:r>
          <w:r>
            <w:fldChar w:fldCharType="separate"/>
          </w:r>
          <w:r>
            <w:t>8</w:t>
          </w:r>
          <w:r>
            <w:fldChar w:fldCharType="end"/>
          </w:r>
        </w:p>
      </w:tc>
    </w:tr>
  </w:tbl>
  <w:p w14:paraId="36CE942B">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D223C">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52F0">
    <w:pPr>
      <w:pStyle w:val="18"/>
    </w:pPr>
    <w:r>
      <w:rPr>
        <w:snapToGrid/>
      </w:rPr>
      <w:drawing>
        <wp:anchor distT="0" distB="0" distL="114300" distR="114300" simplePos="0" relativeHeight="251664384" behindDoc="0" locked="0" layoutInCell="1" allowOverlap="1">
          <wp:simplePos x="0" y="0"/>
          <wp:positionH relativeFrom="margin">
            <wp:posOffset>1752600</wp:posOffset>
          </wp:positionH>
          <wp:positionV relativeFrom="paragraph">
            <wp:posOffset>269240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-2705100</wp:posOffset>
              </wp:positionH>
              <wp:positionV relativeFrom="paragraph">
                <wp:posOffset>1724660</wp:posOffset>
              </wp:positionV>
              <wp:extent cx="2291715" cy="27432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74320"/>
                      </a:xfrm>
                      <a:prstGeom prst="rect">
                        <a:avLst/>
                      </a:prstGeom>
                      <a:noFill/>
                      <a:ln w="9525">
                        <a:noFill/>
                        <a:miter lim="800000"/>
                      </a:ln>
                    </wps:spPr>
                    <wps:txb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3pt;margin-top:135.8pt;height:21.6pt;width:180.45pt;z-index:251661312;mso-width-relative:page;mso-height-relative:page;" filled="f" stroked="f" coordsize="21600,21600" o:gfxdata="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8sAY9oAAAAMAQAADwAAAAAAAAABACAAAAAiAAAAZHJzL2Rvd25yZXYueG1sUEsBAhQAFAAA&#10;AAgAh07iQA/800wmAgAAKwQAAA4AAAAAAAAAAQAgAAAAKQEAAGRycy9lMm9Eb2MueG1sUEsFBgAA&#10;AAAGAAYAWQEAAMEFAAAAAA==&#10;">
              <v:fill on="f" focussize="0,0"/>
              <v:stroke on="f" miterlimit="8" joinstyle="miter"/>
              <v:imagedata o:title=""/>
              <o:lock v:ext="edit" aspectratio="f"/>
              <v:textbox>
                <w:txbxContent>
                  <w:tbl>
                    <w:tblPr>
                      <w:tblStyle w:val="10"/>
                      <w:tblW w:w="0" w:type="auto"/>
                      <w:tblCaption w:val="[Table_yemei1]"/>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12"/>
                    </w:tblGrid>
                    <w:tr w14:paraId="55F4C5F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12" w:type="dxa"/>
                        </w:tcPr>
                        <w:p w14:paraId="677D88C4">
                          <w:pPr>
                            <w:rPr>
                              <w:rFonts w:eastAsia="楷体_GB2312"/>
                              <w:color w:val="23558C"/>
                              <w:sz w:val="20"/>
                              <w:szCs w:val="20"/>
                            </w:rPr>
                          </w:pPr>
                          <w:r>
                            <w:rPr>
                              <w:rFonts w:eastAsia="楷体_GB2312"/>
                              <w:color w:val="FFFFFF" w:themeColor="background1"/>
                              <w:sz w:val="20"/>
                              <w:szCs w:val="20"/>
                              <w14:textFill>
                                <w14:solidFill>
                                  <w14:schemeClr w14:val="bg1"/>
                                </w14:solidFill>
                              </w14:textFill>
                            </w:rPr>
                            <w:t>[Table_yemei1]</w:t>
                          </w:r>
                        </w:p>
                      </w:tc>
                    </w:tr>
                    <w:tr w14:paraId="299B09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12" w:type="dxa"/>
                        </w:tcPr>
                        <w:p w14:paraId="2A5C14E9">
                          <w:pPr>
                            <w:rPr>
                              <w:color w:val="23558C"/>
                              <w:sz w:val="20"/>
                              <w:szCs w:val="20"/>
                            </w:rPr>
                          </w:pPr>
                          <w:r>
                            <w:rPr>
                              <w:rFonts w:hint="eastAsia" w:eastAsia="楷体_GB2312"/>
                              <w:color w:val="23558C"/>
                              <w:sz w:val="20"/>
                              <w:szCs w:val="20"/>
                              <w:lang w:eastAsia="zh-CN"/>
                            </w:rPr>
                            <w:t>Investment Focus</w:t>
                          </w:r>
                        </w:p>
                      </w:tc>
                    </w:tr>
                  </w:tbl>
                  <w:p w14:paraId="7A91B522">
                    <w:pPr>
                      <w:rPr>
                        <w:rFonts w:eastAsia="楷体_GB2312"/>
                        <w:color w:val="23558C"/>
                        <w:sz w:val="20"/>
                        <w:szCs w:val="20"/>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7A1EF066">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7A1EF066">
                    <w:pPr>
                      <w:pStyle w:val="18"/>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0FF974FD"/>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23E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4CFB4">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10632" w:type="dxa"/>
      <w:tblCaption w:val="[Table_header2]"/>
      <w:tblDescription w:val="表格隐藏标识（请勿删除或修改）"/>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182"/>
      <w:gridCol w:w="4450"/>
    </w:tblGrid>
    <w:tr w14:paraId="76ADD63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182" w:type="dxa"/>
          <w:tcBorders>
            <w:top w:val="nil"/>
            <w:bottom w:val="nil"/>
          </w:tcBorders>
          <w:vAlign w:val="center"/>
        </w:tcPr>
        <w:p w14:paraId="570ECF28">
          <w:pPr>
            <w:pStyle w:val="18"/>
            <w:rPr>
              <w:rFonts w:eastAsia="楷体_GB2312"/>
              <w:sz w:val="24"/>
              <w:szCs w:val="24"/>
            </w:rPr>
          </w:pPr>
          <w:r>
            <w:rPr>
              <w:rFonts w:eastAsia="楷体_GB2312"/>
              <w:color w:val="FFFFFF" w:themeColor="background1"/>
              <w:sz w:val="24"/>
              <w:szCs w:val="24"/>
              <w14:textFill>
                <w14:solidFill>
                  <w14:schemeClr w14:val="bg1"/>
                </w14:solidFill>
              </w14:textFill>
            </w:rPr>
            <w:t>[Table_header2]</w:t>
          </w:r>
        </w:p>
      </w:tc>
      <w:tc>
        <w:tcPr>
          <w:tcW w:w="4450" w:type="dxa"/>
          <w:tcBorders>
            <w:top w:val="nil"/>
            <w:bottom w:val="nil"/>
          </w:tcBorders>
          <w:vAlign w:val="center"/>
        </w:tcPr>
        <w:p w14:paraId="6E2E061F">
          <w:pPr>
            <w:pStyle w:val="18"/>
            <w:jc w:val="right"/>
            <w:rPr>
              <w:rStyle w:val="60"/>
              <w:rFonts w:eastAsia="楷体_GB2312"/>
              <w:sz w:val="24"/>
              <w:lang w:eastAsia="zh-CN"/>
            </w:rPr>
          </w:pPr>
        </w:p>
      </w:tc>
    </w:tr>
    <w:tr w14:paraId="4DE6CC4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182" w:type="dxa"/>
          <w:tcBorders>
            <w:top w:val="nil"/>
          </w:tcBorders>
          <w:vAlign w:val="center"/>
        </w:tcPr>
        <w:p w14:paraId="0600A91F">
          <w:pPr>
            <w:pStyle w:val="18"/>
            <w:rPr>
              <w:rFonts w:eastAsia="楷体_GB2312" w:cs="Calibri"/>
              <w:color w:val="005BAC"/>
              <w:sz w:val="24"/>
              <w:szCs w:val="24"/>
              <w:lang w:eastAsia="zh-CN"/>
            </w:rPr>
          </w:pPr>
          <w:r>
            <w:rPr>
              <w:rFonts w:ascii="Calibri" w:eastAsia="楷体_GB2312"/>
              <w:b/>
              <w:i w:val="0"/>
              <w:color w:val="215E99"/>
              <w:sz w:val="24"/>
            </w:rPr>
            <w:t>GE Vernova(GEV US)</w:t>
          </w:r>
        </w:p>
      </w:tc>
      <w:tc>
        <w:tcPr>
          <w:tcW w:w="4450" w:type="dxa"/>
          <w:tcBorders>
            <w:top w:val="nil"/>
          </w:tcBorders>
          <w:vAlign w:val="center"/>
        </w:tcPr>
        <w:p w14:paraId="6264BE56">
          <w:pPr>
            <w:pStyle w:val="18"/>
            <w:wordWrap w:val="0"/>
            <w:jc w:val="right"/>
            <w:rPr>
              <w:rStyle w:val="60"/>
              <w:rFonts w:eastAsia="楷体_GB2312" w:cs="Calibri"/>
              <w:color w:val="005BAC"/>
              <w:sz w:val="24"/>
              <w:lang w:eastAsia="zh-CN"/>
            </w:rPr>
          </w:pPr>
          <w:r>
            <w:rPr>
              <w:rFonts w:ascii="Calibri" w:eastAsia="楷体_GB2312"/>
              <w:b/>
              <w:i w:val="0"/>
              <w:color w:val="215E99"/>
              <w:sz w:val="24"/>
            </w:rPr>
            <w:t>Maintain OUTPERFORM</w:t>
          </w:r>
        </w:p>
      </w:tc>
    </w:tr>
  </w:tbl>
  <w:p w14:paraId="04C16F5A">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EFDCE">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1C4B3">
    <w:pPr>
      <w:pStyle w:val="18"/>
      <w:spacing w:line="360" w:lineRule="auto"/>
    </w:pPr>
  </w:p>
  <w:p w14:paraId="7FAD4701">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D2D9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4"/>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3"/>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99"/>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2"/>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5"/>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62B5102"/>
    <w:multiLevelType w:val="multilevel"/>
    <w:tmpl w:val="662B5102"/>
    <w:lvl w:ilvl="0" w:tentative="0">
      <w:start w:val="1"/>
      <w:numFmt w:val="bullet"/>
      <w:pStyle w:val="84"/>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6C4E34EC"/>
    <w:multiLevelType w:val="multilevel"/>
    <w:tmpl w:val="6C4E34EC"/>
    <w:lvl w:ilvl="0" w:tentative="0">
      <w:start w:val="1"/>
      <w:numFmt w:val="bullet"/>
      <w:pStyle w:val="51"/>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6"/>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D9"/>
    <w:rsid w:val="00013244"/>
    <w:rsid w:val="0001353C"/>
    <w:rsid w:val="00013C0A"/>
    <w:rsid w:val="000145D2"/>
    <w:rsid w:val="000146CB"/>
    <w:rsid w:val="00014903"/>
    <w:rsid w:val="000171D2"/>
    <w:rsid w:val="000201AE"/>
    <w:rsid w:val="00020B7A"/>
    <w:rsid w:val="00021DAC"/>
    <w:rsid w:val="00021DD0"/>
    <w:rsid w:val="000228DF"/>
    <w:rsid w:val="00022C11"/>
    <w:rsid w:val="00023367"/>
    <w:rsid w:val="000234C5"/>
    <w:rsid w:val="000235E3"/>
    <w:rsid w:val="0002434D"/>
    <w:rsid w:val="00024F59"/>
    <w:rsid w:val="0002500A"/>
    <w:rsid w:val="000251C8"/>
    <w:rsid w:val="000255D9"/>
    <w:rsid w:val="00025E71"/>
    <w:rsid w:val="00025F59"/>
    <w:rsid w:val="000267AC"/>
    <w:rsid w:val="00026B55"/>
    <w:rsid w:val="00026DCC"/>
    <w:rsid w:val="00027183"/>
    <w:rsid w:val="00027FEF"/>
    <w:rsid w:val="00032B31"/>
    <w:rsid w:val="00033DF7"/>
    <w:rsid w:val="000347D5"/>
    <w:rsid w:val="00035535"/>
    <w:rsid w:val="00035E45"/>
    <w:rsid w:val="0003686B"/>
    <w:rsid w:val="00041A6F"/>
    <w:rsid w:val="0004283E"/>
    <w:rsid w:val="00043062"/>
    <w:rsid w:val="00043657"/>
    <w:rsid w:val="0004399F"/>
    <w:rsid w:val="00044570"/>
    <w:rsid w:val="00047D52"/>
    <w:rsid w:val="000516AD"/>
    <w:rsid w:val="00051EC9"/>
    <w:rsid w:val="00052DCF"/>
    <w:rsid w:val="00053BBB"/>
    <w:rsid w:val="00053F18"/>
    <w:rsid w:val="00054224"/>
    <w:rsid w:val="00054231"/>
    <w:rsid w:val="0005444B"/>
    <w:rsid w:val="00054451"/>
    <w:rsid w:val="000548F3"/>
    <w:rsid w:val="000551D4"/>
    <w:rsid w:val="00055381"/>
    <w:rsid w:val="0005652E"/>
    <w:rsid w:val="00056B03"/>
    <w:rsid w:val="00057779"/>
    <w:rsid w:val="00062452"/>
    <w:rsid w:val="00062CC5"/>
    <w:rsid w:val="00063976"/>
    <w:rsid w:val="00063EA0"/>
    <w:rsid w:val="000640E9"/>
    <w:rsid w:val="00064BEB"/>
    <w:rsid w:val="00065200"/>
    <w:rsid w:val="000662BB"/>
    <w:rsid w:val="00066838"/>
    <w:rsid w:val="00067C6F"/>
    <w:rsid w:val="000700E0"/>
    <w:rsid w:val="00070B53"/>
    <w:rsid w:val="0007309A"/>
    <w:rsid w:val="00073BEB"/>
    <w:rsid w:val="000746CD"/>
    <w:rsid w:val="0007570F"/>
    <w:rsid w:val="00075771"/>
    <w:rsid w:val="00077BA0"/>
    <w:rsid w:val="00080296"/>
    <w:rsid w:val="000810B3"/>
    <w:rsid w:val="00081E65"/>
    <w:rsid w:val="00085E3F"/>
    <w:rsid w:val="000860EA"/>
    <w:rsid w:val="00086E96"/>
    <w:rsid w:val="0008775D"/>
    <w:rsid w:val="0009175B"/>
    <w:rsid w:val="00091895"/>
    <w:rsid w:val="00091AFF"/>
    <w:rsid w:val="000920C4"/>
    <w:rsid w:val="00092279"/>
    <w:rsid w:val="000924C1"/>
    <w:rsid w:val="00093274"/>
    <w:rsid w:val="00094A4C"/>
    <w:rsid w:val="00094B1D"/>
    <w:rsid w:val="00094FAC"/>
    <w:rsid w:val="000958A7"/>
    <w:rsid w:val="000964A0"/>
    <w:rsid w:val="000964CE"/>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EAE"/>
    <w:rsid w:val="000A6FBA"/>
    <w:rsid w:val="000A7E66"/>
    <w:rsid w:val="000B13C1"/>
    <w:rsid w:val="000B18D6"/>
    <w:rsid w:val="000B2336"/>
    <w:rsid w:val="000B465C"/>
    <w:rsid w:val="000B5622"/>
    <w:rsid w:val="000B6286"/>
    <w:rsid w:val="000B7DE2"/>
    <w:rsid w:val="000C02F6"/>
    <w:rsid w:val="000C1F65"/>
    <w:rsid w:val="000C2E9E"/>
    <w:rsid w:val="000C3D03"/>
    <w:rsid w:val="000C627B"/>
    <w:rsid w:val="000C6614"/>
    <w:rsid w:val="000C7E1A"/>
    <w:rsid w:val="000D158C"/>
    <w:rsid w:val="000D1903"/>
    <w:rsid w:val="000D19B0"/>
    <w:rsid w:val="000D1A3C"/>
    <w:rsid w:val="000D2D34"/>
    <w:rsid w:val="000D576C"/>
    <w:rsid w:val="000D61EA"/>
    <w:rsid w:val="000E1100"/>
    <w:rsid w:val="000E1A93"/>
    <w:rsid w:val="000E1FB8"/>
    <w:rsid w:val="000E35E3"/>
    <w:rsid w:val="000E38B5"/>
    <w:rsid w:val="000E3BD4"/>
    <w:rsid w:val="000E3E8B"/>
    <w:rsid w:val="000E4F8C"/>
    <w:rsid w:val="000E5287"/>
    <w:rsid w:val="000E5D6F"/>
    <w:rsid w:val="000E664D"/>
    <w:rsid w:val="000F2165"/>
    <w:rsid w:val="000F240F"/>
    <w:rsid w:val="000F2DBB"/>
    <w:rsid w:val="000F3079"/>
    <w:rsid w:val="000F344B"/>
    <w:rsid w:val="000F3823"/>
    <w:rsid w:val="000F445A"/>
    <w:rsid w:val="000F4524"/>
    <w:rsid w:val="000F48CA"/>
    <w:rsid w:val="000F4B02"/>
    <w:rsid w:val="000F4E66"/>
    <w:rsid w:val="000F520F"/>
    <w:rsid w:val="000F587B"/>
    <w:rsid w:val="000F58C6"/>
    <w:rsid w:val="000F5BDB"/>
    <w:rsid w:val="000F6139"/>
    <w:rsid w:val="000F626D"/>
    <w:rsid w:val="000F6300"/>
    <w:rsid w:val="000F6823"/>
    <w:rsid w:val="00103CDB"/>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3AC1"/>
    <w:rsid w:val="0012412A"/>
    <w:rsid w:val="00124271"/>
    <w:rsid w:val="00125D88"/>
    <w:rsid w:val="0012686A"/>
    <w:rsid w:val="00126871"/>
    <w:rsid w:val="00127CD0"/>
    <w:rsid w:val="00130841"/>
    <w:rsid w:val="00130BC2"/>
    <w:rsid w:val="001311FC"/>
    <w:rsid w:val="0013302A"/>
    <w:rsid w:val="00133D86"/>
    <w:rsid w:val="001345B6"/>
    <w:rsid w:val="00135A41"/>
    <w:rsid w:val="00136803"/>
    <w:rsid w:val="00137678"/>
    <w:rsid w:val="00140D27"/>
    <w:rsid w:val="00140E2E"/>
    <w:rsid w:val="00143223"/>
    <w:rsid w:val="001447D7"/>
    <w:rsid w:val="00146B74"/>
    <w:rsid w:val="001472F8"/>
    <w:rsid w:val="00147D4C"/>
    <w:rsid w:val="00147D9D"/>
    <w:rsid w:val="00150630"/>
    <w:rsid w:val="00151197"/>
    <w:rsid w:val="001513EB"/>
    <w:rsid w:val="0015270C"/>
    <w:rsid w:val="00152755"/>
    <w:rsid w:val="001529C2"/>
    <w:rsid w:val="0015302E"/>
    <w:rsid w:val="00153A16"/>
    <w:rsid w:val="00153A6A"/>
    <w:rsid w:val="00153D09"/>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631"/>
    <w:rsid w:val="00170DCB"/>
    <w:rsid w:val="00171BCA"/>
    <w:rsid w:val="001721EC"/>
    <w:rsid w:val="00175F0D"/>
    <w:rsid w:val="001763B0"/>
    <w:rsid w:val="0017673B"/>
    <w:rsid w:val="0017675F"/>
    <w:rsid w:val="001771D0"/>
    <w:rsid w:val="00177FA4"/>
    <w:rsid w:val="00181893"/>
    <w:rsid w:val="001851F4"/>
    <w:rsid w:val="0018583D"/>
    <w:rsid w:val="00185B06"/>
    <w:rsid w:val="00186D51"/>
    <w:rsid w:val="001872F4"/>
    <w:rsid w:val="001875FC"/>
    <w:rsid w:val="0019111C"/>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2EC"/>
    <w:rsid w:val="001B0473"/>
    <w:rsid w:val="001B1F03"/>
    <w:rsid w:val="001B3090"/>
    <w:rsid w:val="001B31CA"/>
    <w:rsid w:val="001B3D32"/>
    <w:rsid w:val="001B3E45"/>
    <w:rsid w:val="001B45FD"/>
    <w:rsid w:val="001B572E"/>
    <w:rsid w:val="001B69E6"/>
    <w:rsid w:val="001B72B7"/>
    <w:rsid w:val="001C020B"/>
    <w:rsid w:val="001C0553"/>
    <w:rsid w:val="001C105A"/>
    <w:rsid w:val="001C2549"/>
    <w:rsid w:val="001C3243"/>
    <w:rsid w:val="001C3C78"/>
    <w:rsid w:val="001C5458"/>
    <w:rsid w:val="001C556D"/>
    <w:rsid w:val="001C577A"/>
    <w:rsid w:val="001C5D7B"/>
    <w:rsid w:val="001C62E1"/>
    <w:rsid w:val="001C637C"/>
    <w:rsid w:val="001C6401"/>
    <w:rsid w:val="001C777D"/>
    <w:rsid w:val="001C77F6"/>
    <w:rsid w:val="001C7FED"/>
    <w:rsid w:val="001D00D0"/>
    <w:rsid w:val="001D0994"/>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75AC"/>
    <w:rsid w:val="001F78F7"/>
    <w:rsid w:val="00200B71"/>
    <w:rsid w:val="00201113"/>
    <w:rsid w:val="0020168F"/>
    <w:rsid w:val="002017C5"/>
    <w:rsid w:val="0020268B"/>
    <w:rsid w:val="0020295D"/>
    <w:rsid w:val="00203E93"/>
    <w:rsid w:val="002047C0"/>
    <w:rsid w:val="00205DDC"/>
    <w:rsid w:val="00205F60"/>
    <w:rsid w:val="0020724C"/>
    <w:rsid w:val="00207881"/>
    <w:rsid w:val="002110FC"/>
    <w:rsid w:val="0021325D"/>
    <w:rsid w:val="00214810"/>
    <w:rsid w:val="00214CA6"/>
    <w:rsid w:val="00215AB9"/>
    <w:rsid w:val="00215D4D"/>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2B04"/>
    <w:rsid w:val="00233031"/>
    <w:rsid w:val="002333C1"/>
    <w:rsid w:val="00237463"/>
    <w:rsid w:val="0023779B"/>
    <w:rsid w:val="00240167"/>
    <w:rsid w:val="0024040E"/>
    <w:rsid w:val="00240493"/>
    <w:rsid w:val="002408B0"/>
    <w:rsid w:val="00240D3A"/>
    <w:rsid w:val="002417E6"/>
    <w:rsid w:val="00242E7B"/>
    <w:rsid w:val="0024314C"/>
    <w:rsid w:val="00243BC1"/>
    <w:rsid w:val="00244462"/>
    <w:rsid w:val="00245858"/>
    <w:rsid w:val="00246972"/>
    <w:rsid w:val="00247965"/>
    <w:rsid w:val="002501F5"/>
    <w:rsid w:val="0025139A"/>
    <w:rsid w:val="00251EC5"/>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171"/>
    <w:rsid w:val="00267EFE"/>
    <w:rsid w:val="00270C4E"/>
    <w:rsid w:val="002716F0"/>
    <w:rsid w:val="002721BC"/>
    <w:rsid w:val="0027305C"/>
    <w:rsid w:val="00275A6D"/>
    <w:rsid w:val="00275B79"/>
    <w:rsid w:val="00275CDD"/>
    <w:rsid w:val="00276A7D"/>
    <w:rsid w:val="00276B51"/>
    <w:rsid w:val="00276D38"/>
    <w:rsid w:val="002772E9"/>
    <w:rsid w:val="002777FE"/>
    <w:rsid w:val="00280FB4"/>
    <w:rsid w:val="00281553"/>
    <w:rsid w:val="00281946"/>
    <w:rsid w:val="00282413"/>
    <w:rsid w:val="0028248E"/>
    <w:rsid w:val="00282A74"/>
    <w:rsid w:val="00282B2F"/>
    <w:rsid w:val="00282B6C"/>
    <w:rsid w:val="002833B6"/>
    <w:rsid w:val="00283532"/>
    <w:rsid w:val="00283A36"/>
    <w:rsid w:val="00283A64"/>
    <w:rsid w:val="002843D0"/>
    <w:rsid w:val="002846D0"/>
    <w:rsid w:val="00284A68"/>
    <w:rsid w:val="00286353"/>
    <w:rsid w:val="00286C1A"/>
    <w:rsid w:val="00286C20"/>
    <w:rsid w:val="00286E37"/>
    <w:rsid w:val="0029111D"/>
    <w:rsid w:val="00293C73"/>
    <w:rsid w:val="00293E45"/>
    <w:rsid w:val="0029503A"/>
    <w:rsid w:val="00295407"/>
    <w:rsid w:val="002969CE"/>
    <w:rsid w:val="00297FB7"/>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C7"/>
    <w:rsid w:val="002B516B"/>
    <w:rsid w:val="002B6571"/>
    <w:rsid w:val="002B68AF"/>
    <w:rsid w:val="002B7296"/>
    <w:rsid w:val="002C07D1"/>
    <w:rsid w:val="002C0CCE"/>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524C"/>
    <w:rsid w:val="002D7C1D"/>
    <w:rsid w:val="002D7CB8"/>
    <w:rsid w:val="002E3842"/>
    <w:rsid w:val="002E400B"/>
    <w:rsid w:val="002E4281"/>
    <w:rsid w:val="002E5175"/>
    <w:rsid w:val="002E6900"/>
    <w:rsid w:val="002F00B0"/>
    <w:rsid w:val="002F00E8"/>
    <w:rsid w:val="002F09F8"/>
    <w:rsid w:val="002F0EEC"/>
    <w:rsid w:val="002F113C"/>
    <w:rsid w:val="002F1C9A"/>
    <w:rsid w:val="002F3F48"/>
    <w:rsid w:val="002F437F"/>
    <w:rsid w:val="002F65E1"/>
    <w:rsid w:val="002F79B1"/>
    <w:rsid w:val="00301355"/>
    <w:rsid w:val="003015C5"/>
    <w:rsid w:val="0030327A"/>
    <w:rsid w:val="00303949"/>
    <w:rsid w:val="00303F8F"/>
    <w:rsid w:val="00304304"/>
    <w:rsid w:val="00304467"/>
    <w:rsid w:val="00304E2E"/>
    <w:rsid w:val="003053EE"/>
    <w:rsid w:val="00305579"/>
    <w:rsid w:val="003057B2"/>
    <w:rsid w:val="00305FAD"/>
    <w:rsid w:val="003104B3"/>
    <w:rsid w:val="003111EE"/>
    <w:rsid w:val="003122D1"/>
    <w:rsid w:val="003137DC"/>
    <w:rsid w:val="003142B9"/>
    <w:rsid w:val="003170E4"/>
    <w:rsid w:val="00317870"/>
    <w:rsid w:val="003200D1"/>
    <w:rsid w:val="003206AC"/>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57D"/>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2E4"/>
    <w:rsid w:val="00360CFB"/>
    <w:rsid w:val="003620E0"/>
    <w:rsid w:val="00363BD9"/>
    <w:rsid w:val="00364B54"/>
    <w:rsid w:val="00365E9C"/>
    <w:rsid w:val="00366310"/>
    <w:rsid w:val="00366ED6"/>
    <w:rsid w:val="0036739C"/>
    <w:rsid w:val="003677DE"/>
    <w:rsid w:val="003722C0"/>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A0D"/>
    <w:rsid w:val="0038635C"/>
    <w:rsid w:val="00387071"/>
    <w:rsid w:val="00387C20"/>
    <w:rsid w:val="00387F76"/>
    <w:rsid w:val="003902FB"/>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B2E59"/>
    <w:rsid w:val="003B3DFE"/>
    <w:rsid w:val="003B3E37"/>
    <w:rsid w:val="003B3E41"/>
    <w:rsid w:val="003B509D"/>
    <w:rsid w:val="003B53AD"/>
    <w:rsid w:val="003B5E82"/>
    <w:rsid w:val="003B69AF"/>
    <w:rsid w:val="003B7A01"/>
    <w:rsid w:val="003C0B2E"/>
    <w:rsid w:val="003C0CEC"/>
    <w:rsid w:val="003C2B67"/>
    <w:rsid w:val="003C3701"/>
    <w:rsid w:val="003C3ED1"/>
    <w:rsid w:val="003C630B"/>
    <w:rsid w:val="003C635C"/>
    <w:rsid w:val="003D0442"/>
    <w:rsid w:val="003D2049"/>
    <w:rsid w:val="003D220D"/>
    <w:rsid w:val="003D2FBC"/>
    <w:rsid w:val="003D4C53"/>
    <w:rsid w:val="003D5B68"/>
    <w:rsid w:val="003D60E8"/>
    <w:rsid w:val="003E0642"/>
    <w:rsid w:val="003E095A"/>
    <w:rsid w:val="003E1544"/>
    <w:rsid w:val="003E1742"/>
    <w:rsid w:val="003E1947"/>
    <w:rsid w:val="003E20CF"/>
    <w:rsid w:val="003E36AF"/>
    <w:rsid w:val="003E4225"/>
    <w:rsid w:val="003E46AE"/>
    <w:rsid w:val="003E6A30"/>
    <w:rsid w:val="003F0B9B"/>
    <w:rsid w:val="003F1C5D"/>
    <w:rsid w:val="003F3133"/>
    <w:rsid w:val="003F3890"/>
    <w:rsid w:val="003F3B50"/>
    <w:rsid w:val="003F3D61"/>
    <w:rsid w:val="003F471A"/>
    <w:rsid w:val="003F53D2"/>
    <w:rsid w:val="003F6324"/>
    <w:rsid w:val="003F7730"/>
    <w:rsid w:val="00401985"/>
    <w:rsid w:val="00401B4F"/>
    <w:rsid w:val="00402599"/>
    <w:rsid w:val="00402B6F"/>
    <w:rsid w:val="00402DAC"/>
    <w:rsid w:val="00403664"/>
    <w:rsid w:val="004040BC"/>
    <w:rsid w:val="00406080"/>
    <w:rsid w:val="00407691"/>
    <w:rsid w:val="00407D23"/>
    <w:rsid w:val="00410565"/>
    <w:rsid w:val="00410C8E"/>
    <w:rsid w:val="0041116F"/>
    <w:rsid w:val="0041162A"/>
    <w:rsid w:val="00411712"/>
    <w:rsid w:val="00411C25"/>
    <w:rsid w:val="00411D19"/>
    <w:rsid w:val="00411FBC"/>
    <w:rsid w:val="0041212F"/>
    <w:rsid w:val="0041218C"/>
    <w:rsid w:val="0041231B"/>
    <w:rsid w:val="004128B0"/>
    <w:rsid w:val="004133EF"/>
    <w:rsid w:val="0041342D"/>
    <w:rsid w:val="00413DA3"/>
    <w:rsid w:val="00413FAA"/>
    <w:rsid w:val="004165D1"/>
    <w:rsid w:val="00420FFA"/>
    <w:rsid w:val="00423186"/>
    <w:rsid w:val="00424323"/>
    <w:rsid w:val="00425552"/>
    <w:rsid w:val="00425799"/>
    <w:rsid w:val="004268E2"/>
    <w:rsid w:val="00426C76"/>
    <w:rsid w:val="00426E9A"/>
    <w:rsid w:val="004308C2"/>
    <w:rsid w:val="0043142D"/>
    <w:rsid w:val="004317E7"/>
    <w:rsid w:val="00432736"/>
    <w:rsid w:val="004343C0"/>
    <w:rsid w:val="004358FB"/>
    <w:rsid w:val="00436E43"/>
    <w:rsid w:val="00437AE7"/>
    <w:rsid w:val="00437C5D"/>
    <w:rsid w:val="004419D5"/>
    <w:rsid w:val="00441A02"/>
    <w:rsid w:val="004427CF"/>
    <w:rsid w:val="0044308E"/>
    <w:rsid w:val="004459F7"/>
    <w:rsid w:val="00445B35"/>
    <w:rsid w:val="0044603F"/>
    <w:rsid w:val="00446483"/>
    <w:rsid w:val="00446E1E"/>
    <w:rsid w:val="00447892"/>
    <w:rsid w:val="00447F55"/>
    <w:rsid w:val="00450236"/>
    <w:rsid w:val="00451B81"/>
    <w:rsid w:val="00451D9F"/>
    <w:rsid w:val="00452258"/>
    <w:rsid w:val="0045342C"/>
    <w:rsid w:val="00454315"/>
    <w:rsid w:val="00455784"/>
    <w:rsid w:val="0045656D"/>
    <w:rsid w:val="00457009"/>
    <w:rsid w:val="004614F7"/>
    <w:rsid w:val="004625C9"/>
    <w:rsid w:val="00463078"/>
    <w:rsid w:val="0046476B"/>
    <w:rsid w:val="00466070"/>
    <w:rsid w:val="00466A33"/>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2B91"/>
    <w:rsid w:val="00493114"/>
    <w:rsid w:val="00493228"/>
    <w:rsid w:val="00493ED4"/>
    <w:rsid w:val="00494369"/>
    <w:rsid w:val="004957E9"/>
    <w:rsid w:val="00495A6D"/>
    <w:rsid w:val="00496684"/>
    <w:rsid w:val="00496F1D"/>
    <w:rsid w:val="004A10C4"/>
    <w:rsid w:val="004A1510"/>
    <w:rsid w:val="004A1571"/>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7D7"/>
    <w:rsid w:val="004D08FF"/>
    <w:rsid w:val="004D0B93"/>
    <w:rsid w:val="004D179A"/>
    <w:rsid w:val="004D2B04"/>
    <w:rsid w:val="004D414B"/>
    <w:rsid w:val="004D5D78"/>
    <w:rsid w:val="004D63DD"/>
    <w:rsid w:val="004D7D4B"/>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1824"/>
    <w:rsid w:val="00502CBA"/>
    <w:rsid w:val="0050337A"/>
    <w:rsid w:val="00504579"/>
    <w:rsid w:val="005046B3"/>
    <w:rsid w:val="005058BF"/>
    <w:rsid w:val="0050605B"/>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CF6"/>
    <w:rsid w:val="005278BB"/>
    <w:rsid w:val="00530EA3"/>
    <w:rsid w:val="005322A6"/>
    <w:rsid w:val="0053303A"/>
    <w:rsid w:val="00533A32"/>
    <w:rsid w:val="005345BE"/>
    <w:rsid w:val="00534B5F"/>
    <w:rsid w:val="00535196"/>
    <w:rsid w:val="005353F3"/>
    <w:rsid w:val="00535B57"/>
    <w:rsid w:val="00535FC6"/>
    <w:rsid w:val="00536353"/>
    <w:rsid w:val="005368CB"/>
    <w:rsid w:val="00537C21"/>
    <w:rsid w:val="00540A1F"/>
    <w:rsid w:val="00540E1E"/>
    <w:rsid w:val="00541053"/>
    <w:rsid w:val="00541FF6"/>
    <w:rsid w:val="00543926"/>
    <w:rsid w:val="00543C68"/>
    <w:rsid w:val="00543D0D"/>
    <w:rsid w:val="00544B2A"/>
    <w:rsid w:val="00545CAF"/>
    <w:rsid w:val="00546EDD"/>
    <w:rsid w:val="00547212"/>
    <w:rsid w:val="0055185B"/>
    <w:rsid w:val="00552ABB"/>
    <w:rsid w:val="00552EA0"/>
    <w:rsid w:val="00553786"/>
    <w:rsid w:val="00553847"/>
    <w:rsid w:val="0055395D"/>
    <w:rsid w:val="00553ED4"/>
    <w:rsid w:val="00554097"/>
    <w:rsid w:val="00554174"/>
    <w:rsid w:val="005543BE"/>
    <w:rsid w:val="005545B6"/>
    <w:rsid w:val="005554D3"/>
    <w:rsid w:val="00555A69"/>
    <w:rsid w:val="00556102"/>
    <w:rsid w:val="0055727A"/>
    <w:rsid w:val="0055730F"/>
    <w:rsid w:val="00560063"/>
    <w:rsid w:val="005600C6"/>
    <w:rsid w:val="00560847"/>
    <w:rsid w:val="00560D70"/>
    <w:rsid w:val="00561FC9"/>
    <w:rsid w:val="005625E4"/>
    <w:rsid w:val="00562E67"/>
    <w:rsid w:val="005631DD"/>
    <w:rsid w:val="0056356D"/>
    <w:rsid w:val="00564933"/>
    <w:rsid w:val="005654CF"/>
    <w:rsid w:val="005702AC"/>
    <w:rsid w:val="005706CD"/>
    <w:rsid w:val="00570B4D"/>
    <w:rsid w:val="00570D9C"/>
    <w:rsid w:val="00570E72"/>
    <w:rsid w:val="00570EC0"/>
    <w:rsid w:val="00576317"/>
    <w:rsid w:val="005777CB"/>
    <w:rsid w:val="005779C2"/>
    <w:rsid w:val="00577DCE"/>
    <w:rsid w:val="005805F8"/>
    <w:rsid w:val="00580CF8"/>
    <w:rsid w:val="005811FD"/>
    <w:rsid w:val="00582AE8"/>
    <w:rsid w:val="0058321A"/>
    <w:rsid w:val="00584671"/>
    <w:rsid w:val="0058516B"/>
    <w:rsid w:val="00585434"/>
    <w:rsid w:val="00585902"/>
    <w:rsid w:val="00585A30"/>
    <w:rsid w:val="00587EA1"/>
    <w:rsid w:val="005901EF"/>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4568"/>
    <w:rsid w:val="005A6767"/>
    <w:rsid w:val="005A69D6"/>
    <w:rsid w:val="005A6E86"/>
    <w:rsid w:val="005A70A6"/>
    <w:rsid w:val="005A7259"/>
    <w:rsid w:val="005A773F"/>
    <w:rsid w:val="005A77B9"/>
    <w:rsid w:val="005B0456"/>
    <w:rsid w:val="005B0707"/>
    <w:rsid w:val="005B0BAC"/>
    <w:rsid w:val="005B174E"/>
    <w:rsid w:val="005B18D4"/>
    <w:rsid w:val="005B2275"/>
    <w:rsid w:val="005B2D1A"/>
    <w:rsid w:val="005B403B"/>
    <w:rsid w:val="005B434C"/>
    <w:rsid w:val="005B4BA6"/>
    <w:rsid w:val="005B5EA9"/>
    <w:rsid w:val="005B6311"/>
    <w:rsid w:val="005B6506"/>
    <w:rsid w:val="005B7391"/>
    <w:rsid w:val="005C04B0"/>
    <w:rsid w:val="005C18C3"/>
    <w:rsid w:val="005C1CF1"/>
    <w:rsid w:val="005C274F"/>
    <w:rsid w:val="005C31A9"/>
    <w:rsid w:val="005C61D7"/>
    <w:rsid w:val="005C6F27"/>
    <w:rsid w:val="005D03EA"/>
    <w:rsid w:val="005D1D7B"/>
    <w:rsid w:val="005D2BEF"/>
    <w:rsid w:val="005D33F1"/>
    <w:rsid w:val="005D57C0"/>
    <w:rsid w:val="005D5E45"/>
    <w:rsid w:val="005D6BB5"/>
    <w:rsid w:val="005E20FD"/>
    <w:rsid w:val="005E261A"/>
    <w:rsid w:val="005E3B1F"/>
    <w:rsid w:val="005E3B8F"/>
    <w:rsid w:val="005E3F8F"/>
    <w:rsid w:val="005E420F"/>
    <w:rsid w:val="005E437D"/>
    <w:rsid w:val="005E46DB"/>
    <w:rsid w:val="005E53EB"/>
    <w:rsid w:val="005E665B"/>
    <w:rsid w:val="005E699B"/>
    <w:rsid w:val="005F115F"/>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0DF7"/>
    <w:rsid w:val="00612089"/>
    <w:rsid w:val="0061306B"/>
    <w:rsid w:val="00613770"/>
    <w:rsid w:val="0061378B"/>
    <w:rsid w:val="00613888"/>
    <w:rsid w:val="0061515D"/>
    <w:rsid w:val="006158CD"/>
    <w:rsid w:val="00616808"/>
    <w:rsid w:val="00617AA6"/>
    <w:rsid w:val="006203C0"/>
    <w:rsid w:val="00620A28"/>
    <w:rsid w:val="00620A3C"/>
    <w:rsid w:val="00620A80"/>
    <w:rsid w:val="00621E59"/>
    <w:rsid w:val="006234FF"/>
    <w:rsid w:val="00624B75"/>
    <w:rsid w:val="00625A26"/>
    <w:rsid w:val="006260F8"/>
    <w:rsid w:val="00626CAD"/>
    <w:rsid w:val="0063008E"/>
    <w:rsid w:val="00630818"/>
    <w:rsid w:val="006322FD"/>
    <w:rsid w:val="00633456"/>
    <w:rsid w:val="00634861"/>
    <w:rsid w:val="00634A29"/>
    <w:rsid w:val="00634D33"/>
    <w:rsid w:val="00635858"/>
    <w:rsid w:val="00635C8B"/>
    <w:rsid w:val="00636FAA"/>
    <w:rsid w:val="0063744B"/>
    <w:rsid w:val="00637601"/>
    <w:rsid w:val="00637824"/>
    <w:rsid w:val="00637B27"/>
    <w:rsid w:val="00640134"/>
    <w:rsid w:val="00640F23"/>
    <w:rsid w:val="00641930"/>
    <w:rsid w:val="00641D04"/>
    <w:rsid w:val="00643514"/>
    <w:rsid w:val="006459A5"/>
    <w:rsid w:val="00646BA7"/>
    <w:rsid w:val="00647178"/>
    <w:rsid w:val="00647698"/>
    <w:rsid w:val="0065015C"/>
    <w:rsid w:val="006510CB"/>
    <w:rsid w:val="00651357"/>
    <w:rsid w:val="006525C9"/>
    <w:rsid w:val="0065371E"/>
    <w:rsid w:val="00654941"/>
    <w:rsid w:val="0065545D"/>
    <w:rsid w:val="006554AB"/>
    <w:rsid w:val="00656700"/>
    <w:rsid w:val="00657A3D"/>
    <w:rsid w:val="00657E2E"/>
    <w:rsid w:val="0066094D"/>
    <w:rsid w:val="00661496"/>
    <w:rsid w:val="006627B3"/>
    <w:rsid w:val="0066297C"/>
    <w:rsid w:val="00663003"/>
    <w:rsid w:val="0066338C"/>
    <w:rsid w:val="00665CA9"/>
    <w:rsid w:val="00666BD8"/>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34A1"/>
    <w:rsid w:val="00684FDE"/>
    <w:rsid w:val="006850A8"/>
    <w:rsid w:val="0068626B"/>
    <w:rsid w:val="00687A44"/>
    <w:rsid w:val="00687E1E"/>
    <w:rsid w:val="00690DED"/>
    <w:rsid w:val="00692376"/>
    <w:rsid w:val="00692771"/>
    <w:rsid w:val="00692E5F"/>
    <w:rsid w:val="00693AB3"/>
    <w:rsid w:val="00694022"/>
    <w:rsid w:val="0069527F"/>
    <w:rsid w:val="00695726"/>
    <w:rsid w:val="006962D7"/>
    <w:rsid w:val="00697704"/>
    <w:rsid w:val="006A014D"/>
    <w:rsid w:val="006A1255"/>
    <w:rsid w:val="006A3270"/>
    <w:rsid w:val="006A3A3C"/>
    <w:rsid w:val="006A3FE7"/>
    <w:rsid w:val="006A4D7D"/>
    <w:rsid w:val="006A4FE9"/>
    <w:rsid w:val="006A560C"/>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2CCC"/>
    <w:rsid w:val="006C319B"/>
    <w:rsid w:val="006C34CB"/>
    <w:rsid w:val="006C4687"/>
    <w:rsid w:val="006C478B"/>
    <w:rsid w:val="006C5C78"/>
    <w:rsid w:val="006C61E6"/>
    <w:rsid w:val="006C7548"/>
    <w:rsid w:val="006C7F7F"/>
    <w:rsid w:val="006D14C1"/>
    <w:rsid w:val="006D14EC"/>
    <w:rsid w:val="006D1E8A"/>
    <w:rsid w:val="006D3905"/>
    <w:rsid w:val="006D3B72"/>
    <w:rsid w:val="006D3D1D"/>
    <w:rsid w:val="006D48DE"/>
    <w:rsid w:val="006D4B64"/>
    <w:rsid w:val="006D4E13"/>
    <w:rsid w:val="006D5FAE"/>
    <w:rsid w:val="006D65DC"/>
    <w:rsid w:val="006D6C59"/>
    <w:rsid w:val="006D7950"/>
    <w:rsid w:val="006D797C"/>
    <w:rsid w:val="006E0668"/>
    <w:rsid w:val="006E0FB2"/>
    <w:rsid w:val="006E109A"/>
    <w:rsid w:val="006E1402"/>
    <w:rsid w:val="006E2309"/>
    <w:rsid w:val="006E4225"/>
    <w:rsid w:val="006E6A4C"/>
    <w:rsid w:val="006E6C49"/>
    <w:rsid w:val="006E746C"/>
    <w:rsid w:val="006F4323"/>
    <w:rsid w:val="006F4BB4"/>
    <w:rsid w:val="006F5B75"/>
    <w:rsid w:val="006F5CF7"/>
    <w:rsid w:val="006F5F73"/>
    <w:rsid w:val="006F6893"/>
    <w:rsid w:val="006F6BCC"/>
    <w:rsid w:val="006F7249"/>
    <w:rsid w:val="006F73EC"/>
    <w:rsid w:val="006F7776"/>
    <w:rsid w:val="006F7F16"/>
    <w:rsid w:val="00700C42"/>
    <w:rsid w:val="00700FC4"/>
    <w:rsid w:val="00700FFC"/>
    <w:rsid w:val="00701493"/>
    <w:rsid w:val="00701859"/>
    <w:rsid w:val="0070263D"/>
    <w:rsid w:val="00702F23"/>
    <w:rsid w:val="0070326F"/>
    <w:rsid w:val="007033D2"/>
    <w:rsid w:val="00703F83"/>
    <w:rsid w:val="007056D7"/>
    <w:rsid w:val="007059DF"/>
    <w:rsid w:val="00706C26"/>
    <w:rsid w:val="00706EC1"/>
    <w:rsid w:val="00707768"/>
    <w:rsid w:val="00710759"/>
    <w:rsid w:val="00711654"/>
    <w:rsid w:val="0071239E"/>
    <w:rsid w:val="007133D1"/>
    <w:rsid w:val="00714ABF"/>
    <w:rsid w:val="00717115"/>
    <w:rsid w:val="0072046F"/>
    <w:rsid w:val="007207EC"/>
    <w:rsid w:val="007224DE"/>
    <w:rsid w:val="00722AAD"/>
    <w:rsid w:val="007234E6"/>
    <w:rsid w:val="0072445F"/>
    <w:rsid w:val="007269BB"/>
    <w:rsid w:val="00730428"/>
    <w:rsid w:val="00731D6D"/>
    <w:rsid w:val="00733A7D"/>
    <w:rsid w:val="00733B2D"/>
    <w:rsid w:val="007345FF"/>
    <w:rsid w:val="00735B26"/>
    <w:rsid w:val="0073669C"/>
    <w:rsid w:val="0073677A"/>
    <w:rsid w:val="0073771D"/>
    <w:rsid w:val="007402BF"/>
    <w:rsid w:val="007405CD"/>
    <w:rsid w:val="00740E08"/>
    <w:rsid w:val="00740F14"/>
    <w:rsid w:val="007414B7"/>
    <w:rsid w:val="00741671"/>
    <w:rsid w:val="00741897"/>
    <w:rsid w:val="00741B9F"/>
    <w:rsid w:val="00741E18"/>
    <w:rsid w:val="0074206B"/>
    <w:rsid w:val="00742C0B"/>
    <w:rsid w:val="0074407E"/>
    <w:rsid w:val="00746029"/>
    <w:rsid w:val="00746511"/>
    <w:rsid w:val="00747BC9"/>
    <w:rsid w:val="00750AD1"/>
    <w:rsid w:val="0075187E"/>
    <w:rsid w:val="00751E5C"/>
    <w:rsid w:val="00752269"/>
    <w:rsid w:val="00752ED0"/>
    <w:rsid w:val="0075313B"/>
    <w:rsid w:val="00753930"/>
    <w:rsid w:val="00753B92"/>
    <w:rsid w:val="00754036"/>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5B0"/>
    <w:rsid w:val="0077147E"/>
    <w:rsid w:val="00771E4E"/>
    <w:rsid w:val="00771E96"/>
    <w:rsid w:val="0077545F"/>
    <w:rsid w:val="00775636"/>
    <w:rsid w:val="007757AF"/>
    <w:rsid w:val="00776FDA"/>
    <w:rsid w:val="00781411"/>
    <w:rsid w:val="0078218B"/>
    <w:rsid w:val="00783043"/>
    <w:rsid w:val="0078393B"/>
    <w:rsid w:val="007849F9"/>
    <w:rsid w:val="00784ACD"/>
    <w:rsid w:val="00784C5B"/>
    <w:rsid w:val="0078589A"/>
    <w:rsid w:val="00785D74"/>
    <w:rsid w:val="00786B39"/>
    <w:rsid w:val="0078790B"/>
    <w:rsid w:val="00787E95"/>
    <w:rsid w:val="007903C3"/>
    <w:rsid w:val="0079180D"/>
    <w:rsid w:val="00791E51"/>
    <w:rsid w:val="007928DE"/>
    <w:rsid w:val="0079367A"/>
    <w:rsid w:val="007938EA"/>
    <w:rsid w:val="00793AD5"/>
    <w:rsid w:val="0079434C"/>
    <w:rsid w:val="00794CF1"/>
    <w:rsid w:val="00794E8C"/>
    <w:rsid w:val="00795A24"/>
    <w:rsid w:val="00795AC2"/>
    <w:rsid w:val="00796CB0"/>
    <w:rsid w:val="00796EDB"/>
    <w:rsid w:val="00796FE4"/>
    <w:rsid w:val="007A0124"/>
    <w:rsid w:val="007A03CF"/>
    <w:rsid w:val="007A0ED1"/>
    <w:rsid w:val="007A124E"/>
    <w:rsid w:val="007A385B"/>
    <w:rsid w:val="007A3FB9"/>
    <w:rsid w:val="007A41F0"/>
    <w:rsid w:val="007A42AA"/>
    <w:rsid w:val="007A4335"/>
    <w:rsid w:val="007B213E"/>
    <w:rsid w:val="007B26C7"/>
    <w:rsid w:val="007B3CA5"/>
    <w:rsid w:val="007B49B6"/>
    <w:rsid w:val="007B6782"/>
    <w:rsid w:val="007B6957"/>
    <w:rsid w:val="007B7581"/>
    <w:rsid w:val="007C06C1"/>
    <w:rsid w:val="007C1AF4"/>
    <w:rsid w:val="007C2643"/>
    <w:rsid w:val="007C29E7"/>
    <w:rsid w:val="007C40E0"/>
    <w:rsid w:val="007C4B87"/>
    <w:rsid w:val="007C56ED"/>
    <w:rsid w:val="007C5CF4"/>
    <w:rsid w:val="007C60BE"/>
    <w:rsid w:val="007C60F0"/>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0EEE"/>
    <w:rsid w:val="007E3200"/>
    <w:rsid w:val="007E3865"/>
    <w:rsid w:val="007E3C27"/>
    <w:rsid w:val="007E429C"/>
    <w:rsid w:val="007E5DB9"/>
    <w:rsid w:val="007E6A26"/>
    <w:rsid w:val="007E744F"/>
    <w:rsid w:val="007E7F70"/>
    <w:rsid w:val="007F0B02"/>
    <w:rsid w:val="007F1586"/>
    <w:rsid w:val="007F17DD"/>
    <w:rsid w:val="007F25B0"/>
    <w:rsid w:val="007F276A"/>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076C1"/>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57EC"/>
    <w:rsid w:val="0081608B"/>
    <w:rsid w:val="00816811"/>
    <w:rsid w:val="008205E9"/>
    <w:rsid w:val="00820657"/>
    <w:rsid w:val="00821076"/>
    <w:rsid w:val="008227EF"/>
    <w:rsid w:val="00823286"/>
    <w:rsid w:val="0082334C"/>
    <w:rsid w:val="00823775"/>
    <w:rsid w:val="008239BD"/>
    <w:rsid w:val="00823B5C"/>
    <w:rsid w:val="00824955"/>
    <w:rsid w:val="00824EAB"/>
    <w:rsid w:val="008259DF"/>
    <w:rsid w:val="00825CDA"/>
    <w:rsid w:val="00825F4A"/>
    <w:rsid w:val="00826CA7"/>
    <w:rsid w:val="008271D6"/>
    <w:rsid w:val="00827430"/>
    <w:rsid w:val="008276D2"/>
    <w:rsid w:val="00830CAF"/>
    <w:rsid w:val="0083248F"/>
    <w:rsid w:val="00834600"/>
    <w:rsid w:val="00834875"/>
    <w:rsid w:val="0083496D"/>
    <w:rsid w:val="00835155"/>
    <w:rsid w:val="008352A7"/>
    <w:rsid w:val="00836421"/>
    <w:rsid w:val="00836F18"/>
    <w:rsid w:val="00837129"/>
    <w:rsid w:val="00837B3D"/>
    <w:rsid w:val="0084074A"/>
    <w:rsid w:val="00842805"/>
    <w:rsid w:val="008433DF"/>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DAF"/>
    <w:rsid w:val="00863ED1"/>
    <w:rsid w:val="00864B81"/>
    <w:rsid w:val="00865F16"/>
    <w:rsid w:val="0086689F"/>
    <w:rsid w:val="00867F11"/>
    <w:rsid w:val="008718D1"/>
    <w:rsid w:val="00872A74"/>
    <w:rsid w:val="00873693"/>
    <w:rsid w:val="00874319"/>
    <w:rsid w:val="00874960"/>
    <w:rsid w:val="00874D24"/>
    <w:rsid w:val="00875719"/>
    <w:rsid w:val="00875D97"/>
    <w:rsid w:val="008760E1"/>
    <w:rsid w:val="00877C59"/>
    <w:rsid w:val="008802BF"/>
    <w:rsid w:val="00880DA8"/>
    <w:rsid w:val="00881B0F"/>
    <w:rsid w:val="00881B5D"/>
    <w:rsid w:val="008830C3"/>
    <w:rsid w:val="0088398F"/>
    <w:rsid w:val="00883CEC"/>
    <w:rsid w:val="008845D7"/>
    <w:rsid w:val="00886B9B"/>
    <w:rsid w:val="00887955"/>
    <w:rsid w:val="00890CDB"/>
    <w:rsid w:val="00891AFC"/>
    <w:rsid w:val="00891D6D"/>
    <w:rsid w:val="00891FDB"/>
    <w:rsid w:val="008920E3"/>
    <w:rsid w:val="008929A5"/>
    <w:rsid w:val="00893041"/>
    <w:rsid w:val="00895031"/>
    <w:rsid w:val="00897D5C"/>
    <w:rsid w:val="008A053A"/>
    <w:rsid w:val="008A1623"/>
    <w:rsid w:val="008A269D"/>
    <w:rsid w:val="008A35E2"/>
    <w:rsid w:val="008A3ED4"/>
    <w:rsid w:val="008A436D"/>
    <w:rsid w:val="008A5986"/>
    <w:rsid w:val="008A5B6E"/>
    <w:rsid w:val="008A6029"/>
    <w:rsid w:val="008A638A"/>
    <w:rsid w:val="008B0BC4"/>
    <w:rsid w:val="008B0DBE"/>
    <w:rsid w:val="008B12C1"/>
    <w:rsid w:val="008B156A"/>
    <w:rsid w:val="008B1576"/>
    <w:rsid w:val="008B1BF4"/>
    <w:rsid w:val="008B1E0D"/>
    <w:rsid w:val="008B3BC9"/>
    <w:rsid w:val="008B462F"/>
    <w:rsid w:val="008B786E"/>
    <w:rsid w:val="008C034F"/>
    <w:rsid w:val="008C0421"/>
    <w:rsid w:val="008C04FE"/>
    <w:rsid w:val="008C0AE4"/>
    <w:rsid w:val="008C0F64"/>
    <w:rsid w:val="008C130F"/>
    <w:rsid w:val="008C3D68"/>
    <w:rsid w:val="008C4022"/>
    <w:rsid w:val="008C55B9"/>
    <w:rsid w:val="008C7D99"/>
    <w:rsid w:val="008D00A2"/>
    <w:rsid w:val="008D00B7"/>
    <w:rsid w:val="008D04A2"/>
    <w:rsid w:val="008D0826"/>
    <w:rsid w:val="008D1558"/>
    <w:rsid w:val="008D1C72"/>
    <w:rsid w:val="008D3A2B"/>
    <w:rsid w:val="008D4565"/>
    <w:rsid w:val="008D476D"/>
    <w:rsid w:val="008D479D"/>
    <w:rsid w:val="008D4A46"/>
    <w:rsid w:val="008D5313"/>
    <w:rsid w:val="008D5CBB"/>
    <w:rsid w:val="008D6ABE"/>
    <w:rsid w:val="008E02C4"/>
    <w:rsid w:val="008E0A2E"/>
    <w:rsid w:val="008E1B77"/>
    <w:rsid w:val="008E2F9B"/>
    <w:rsid w:val="008E33C0"/>
    <w:rsid w:val="008E3C50"/>
    <w:rsid w:val="008E4920"/>
    <w:rsid w:val="008E5146"/>
    <w:rsid w:val="008E5B1A"/>
    <w:rsid w:val="008E5E24"/>
    <w:rsid w:val="008E5F12"/>
    <w:rsid w:val="008E5F49"/>
    <w:rsid w:val="008E612D"/>
    <w:rsid w:val="008E651E"/>
    <w:rsid w:val="008E7944"/>
    <w:rsid w:val="008F0B3A"/>
    <w:rsid w:val="008F0D41"/>
    <w:rsid w:val="008F13E3"/>
    <w:rsid w:val="008F3387"/>
    <w:rsid w:val="008F37C6"/>
    <w:rsid w:val="008F52E0"/>
    <w:rsid w:val="008F77A6"/>
    <w:rsid w:val="009004AA"/>
    <w:rsid w:val="00900647"/>
    <w:rsid w:val="009007C7"/>
    <w:rsid w:val="00900F7A"/>
    <w:rsid w:val="009013F5"/>
    <w:rsid w:val="00902758"/>
    <w:rsid w:val="00904623"/>
    <w:rsid w:val="009049C8"/>
    <w:rsid w:val="00904C4A"/>
    <w:rsid w:val="0090788B"/>
    <w:rsid w:val="00910871"/>
    <w:rsid w:val="009117F0"/>
    <w:rsid w:val="009118EE"/>
    <w:rsid w:val="00912305"/>
    <w:rsid w:val="009123BE"/>
    <w:rsid w:val="00912B3D"/>
    <w:rsid w:val="00912C52"/>
    <w:rsid w:val="0091317C"/>
    <w:rsid w:val="00913F76"/>
    <w:rsid w:val="0091421D"/>
    <w:rsid w:val="009157EA"/>
    <w:rsid w:val="00915DDC"/>
    <w:rsid w:val="00920242"/>
    <w:rsid w:val="00920744"/>
    <w:rsid w:val="0092240B"/>
    <w:rsid w:val="00922908"/>
    <w:rsid w:val="00922BEA"/>
    <w:rsid w:val="0092338F"/>
    <w:rsid w:val="009239C7"/>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923"/>
    <w:rsid w:val="00935CAD"/>
    <w:rsid w:val="00935F05"/>
    <w:rsid w:val="00937073"/>
    <w:rsid w:val="009377BA"/>
    <w:rsid w:val="00940E4B"/>
    <w:rsid w:val="009411B9"/>
    <w:rsid w:val="00943A4D"/>
    <w:rsid w:val="00944425"/>
    <w:rsid w:val="00944A7C"/>
    <w:rsid w:val="00944DC6"/>
    <w:rsid w:val="00946FED"/>
    <w:rsid w:val="0094759D"/>
    <w:rsid w:val="00953E9E"/>
    <w:rsid w:val="00954096"/>
    <w:rsid w:val="009552BF"/>
    <w:rsid w:val="009557B6"/>
    <w:rsid w:val="0095597C"/>
    <w:rsid w:val="009562F4"/>
    <w:rsid w:val="00956388"/>
    <w:rsid w:val="00956504"/>
    <w:rsid w:val="009566AB"/>
    <w:rsid w:val="00956744"/>
    <w:rsid w:val="00957131"/>
    <w:rsid w:val="009604C0"/>
    <w:rsid w:val="00960B97"/>
    <w:rsid w:val="00962ADE"/>
    <w:rsid w:val="00963062"/>
    <w:rsid w:val="00963396"/>
    <w:rsid w:val="00963506"/>
    <w:rsid w:val="00963963"/>
    <w:rsid w:val="00963F76"/>
    <w:rsid w:val="009641ED"/>
    <w:rsid w:val="009642A3"/>
    <w:rsid w:val="009656C9"/>
    <w:rsid w:val="00965CDA"/>
    <w:rsid w:val="009661D3"/>
    <w:rsid w:val="00967118"/>
    <w:rsid w:val="0096727C"/>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2BA2"/>
    <w:rsid w:val="0098383D"/>
    <w:rsid w:val="00984EDD"/>
    <w:rsid w:val="0098612C"/>
    <w:rsid w:val="009864DF"/>
    <w:rsid w:val="0098686E"/>
    <w:rsid w:val="00986CDA"/>
    <w:rsid w:val="00990575"/>
    <w:rsid w:val="00990938"/>
    <w:rsid w:val="00991BC3"/>
    <w:rsid w:val="009922E0"/>
    <w:rsid w:val="00992B2F"/>
    <w:rsid w:val="00994446"/>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B0AA1"/>
    <w:rsid w:val="009B19B4"/>
    <w:rsid w:val="009B1E6D"/>
    <w:rsid w:val="009B29A2"/>
    <w:rsid w:val="009B30B8"/>
    <w:rsid w:val="009B344B"/>
    <w:rsid w:val="009B43F6"/>
    <w:rsid w:val="009B4D3E"/>
    <w:rsid w:val="009B61A9"/>
    <w:rsid w:val="009B7610"/>
    <w:rsid w:val="009C13A3"/>
    <w:rsid w:val="009C35E1"/>
    <w:rsid w:val="009C4F95"/>
    <w:rsid w:val="009C5919"/>
    <w:rsid w:val="009C5D54"/>
    <w:rsid w:val="009C5DD4"/>
    <w:rsid w:val="009C7409"/>
    <w:rsid w:val="009C76B8"/>
    <w:rsid w:val="009D1062"/>
    <w:rsid w:val="009D21B2"/>
    <w:rsid w:val="009D34CF"/>
    <w:rsid w:val="009D3F35"/>
    <w:rsid w:val="009D3F59"/>
    <w:rsid w:val="009D47C2"/>
    <w:rsid w:val="009D47F3"/>
    <w:rsid w:val="009D4CB6"/>
    <w:rsid w:val="009D6000"/>
    <w:rsid w:val="009D6593"/>
    <w:rsid w:val="009D71D0"/>
    <w:rsid w:val="009D7F09"/>
    <w:rsid w:val="009E0380"/>
    <w:rsid w:val="009E148A"/>
    <w:rsid w:val="009E2B8F"/>
    <w:rsid w:val="009E38A0"/>
    <w:rsid w:val="009E3F27"/>
    <w:rsid w:val="009E5144"/>
    <w:rsid w:val="009E532C"/>
    <w:rsid w:val="009E6FC1"/>
    <w:rsid w:val="009E752B"/>
    <w:rsid w:val="009F0AF0"/>
    <w:rsid w:val="009F1749"/>
    <w:rsid w:val="009F2B81"/>
    <w:rsid w:val="009F2CCD"/>
    <w:rsid w:val="009F37AF"/>
    <w:rsid w:val="009F399F"/>
    <w:rsid w:val="009F41E5"/>
    <w:rsid w:val="009F4B84"/>
    <w:rsid w:val="009F5B76"/>
    <w:rsid w:val="009F5E85"/>
    <w:rsid w:val="009F62BD"/>
    <w:rsid w:val="009F68EE"/>
    <w:rsid w:val="00A01CE2"/>
    <w:rsid w:val="00A0269F"/>
    <w:rsid w:val="00A029B0"/>
    <w:rsid w:val="00A02FFF"/>
    <w:rsid w:val="00A0555E"/>
    <w:rsid w:val="00A0603A"/>
    <w:rsid w:val="00A06629"/>
    <w:rsid w:val="00A07B48"/>
    <w:rsid w:val="00A07E9F"/>
    <w:rsid w:val="00A108FA"/>
    <w:rsid w:val="00A109FF"/>
    <w:rsid w:val="00A11C71"/>
    <w:rsid w:val="00A12085"/>
    <w:rsid w:val="00A1275A"/>
    <w:rsid w:val="00A13870"/>
    <w:rsid w:val="00A13DED"/>
    <w:rsid w:val="00A14AF7"/>
    <w:rsid w:val="00A15859"/>
    <w:rsid w:val="00A16500"/>
    <w:rsid w:val="00A167A3"/>
    <w:rsid w:val="00A170EC"/>
    <w:rsid w:val="00A177C4"/>
    <w:rsid w:val="00A17F9F"/>
    <w:rsid w:val="00A20F34"/>
    <w:rsid w:val="00A220A2"/>
    <w:rsid w:val="00A2243C"/>
    <w:rsid w:val="00A23607"/>
    <w:rsid w:val="00A23800"/>
    <w:rsid w:val="00A24EC6"/>
    <w:rsid w:val="00A25182"/>
    <w:rsid w:val="00A25A13"/>
    <w:rsid w:val="00A25CDC"/>
    <w:rsid w:val="00A27C46"/>
    <w:rsid w:val="00A30D22"/>
    <w:rsid w:val="00A32571"/>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0FB5"/>
    <w:rsid w:val="00A816FA"/>
    <w:rsid w:val="00A81DF9"/>
    <w:rsid w:val="00A829DD"/>
    <w:rsid w:val="00A83BC7"/>
    <w:rsid w:val="00A8479A"/>
    <w:rsid w:val="00A8485C"/>
    <w:rsid w:val="00A861EE"/>
    <w:rsid w:val="00A867FC"/>
    <w:rsid w:val="00A8751B"/>
    <w:rsid w:val="00A90C94"/>
    <w:rsid w:val="00A91C02"/>
    <w:rsid w:val="00A93235"/>
    <w:rsid w:val="00A96347"/>
    <w:rsid w:val="00A972B4"/>
    <w:rsid w:val="00A97E9A"/>
    <w:rsid w:val="00AA1F05"/>
    <w:rsid w:val="00AA3A64"/>
    <w:rsid w:val="00AA6479"/>
    <w:rsid w:val="00AA785F"/>
    <w:rsid w:val="00AA7EF4"/>
    <w:rsid w:val="00AB1AC6"/>
    <w:rsid w:val="00AB1AE9"/>
    <w:rsid w:val="00AB29FC"/>
    <w:rsid w:val="00AB2AB5"/>
    <w:rsid w:val="00AB306B"/>
    <w:rsid w:val="00AB337B"/>
    <w:rsid w:val="00AB6B96"/>
    <w:rsid w:val="00AB7470"/>
    <w:rsid w:val="00AC133B"/>
    <w:rsid w:val="00AC1564"/>
    <w:rsid w:val="00AC227D"/>
    <w:rsid w:val="00AC23A8"/>
    <w:rsid w:val="00AC260D"/>
    <w:rsid w:val="00AC2A2B"/>
    <w:rsid w:val="00AC2C96"/>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F009B"/>
    <w:rsid w:val="00AF0C2C"/>
    <w:rsid w:val="00AF18E4"/>
    <w:rsid w:val="00AF2AD8"/>
    <w:rsid w:val="00AF37D3"/>
    <w:rsid w:val="00AF38E9"/>
    <w:rsid w:val="00AF3A97"/>
    <w:rsid w:val="00AF471D"/>
    <w:rsid w:val="00AF4FDD"/>
    <w:rsid w:val="00AF608F"/>
    <w:rsid w:val="00AF724B"/>
    <w:rsid w:val="00B00072"/>
    <w:rsid w:val="00B00508"/>
    <w:rsid w:val="00B00516"/>
    <w:rsid w:val="00B0053A"/>
    <w:rsid w:val="00B00EE7"/>
    <w:rsid w:val="00B01140"/>
    <w:rsid w:val="00B01EF9"/>
    <w:rsid w:val="00B02045"/>
    <w:rsid w:val="00B035F5"/>
    <w:rsid w:val="00B0389A"/>
    <w:rsid w:val="00B03B69"/>
    <w:rsid w:val="00B03C2B"/>
    <w:rsid w:val="00B04931"/>
    <w:rsid w:val="00B051F8"/>
    <w:rsid w:val="00B060DC"/>
    <w:rsid w:val="00B063A2"/>
    <w:rsid w:val="00B0667C"/>
    <w:rsid w:val="00B06B06"/>
    <w:rsid w:val="00B06FA5"/>
    <w:rsid w:val="00B107CE"/>
    <w:rsid w:val="00B11D91"/>
    <w:rsid w:val="00B13458"/>
    <w:rsid w:val="00B13DF4"/>
    <w:rsid w:val="00B15A48"/>
    <w:rsid w:val="00B17430"/>
    <w:rsid w:val="00B17B0D"/>
    <w:rsid w:val="00B20715"/>
    <w:rsid w:val="00B213E2"/>
    <w:rsid w:val="00B21427"/>
    <w:rsid w:val="00B21775"/>
    <w:rsid w:val="00B229F1"/>
    <w:rsid w:val="00B22E62"/>
    <w:rsid w:val="00B24A34"/>
    <w:rsid w:val="00B24BBD"/>
    <w:rsid w:val="00B25A3C"/>
    <w:rsid w:val="00B25BB7"/>
    <w:rsid w:val="00B2628A"/>
    <w:rsid w:val="00B26CC0"/>
    <w:rsid w:val="00B26D0E"/>
    <w:rsid w:val="00B27FFE"/>
    <w:rsid w:val="00B30D92"/>
    <w:rsid w:val="00B30FB0"/>
    <w:rsid w:val="00B312F9"/>
    <w:rsid w:val="00B315FB"/>
    <w:rsid w:val="00B324AB"/>
    <w:rsid w:val="00B33824"/>
    <w:rsid w:val="00B341BA"/>
    <w:rsid w:val="00B342BA"/>
    <w:rsid w:val="00B342FA"/>
    <w:rsid w:val="00B34CC6"/>
    <w:rsid w:val="00B353E8"/>
    <w:rsid w:val="00B3764A"/>
    <w:rsid w:val="00B403F9"/>
    <w:rsid w:val="00B40C36"/>
    <w:rsid w:val="00B40F68"/>
    <w:rsid w:val="00B42732"/>
    <w:rsid w:val="00B43126"/>
    <w:rsid w:val="00B436FC"/>
    <w:rsid w:val="00B43723"/>
    <w:rsid w:val="00B44135"/>
    <w:rsid w:val="00B45751"/>
    <w:rsid w:val="00B4661E"/>
    <w:rsid w:val="00B46C01"/>
    <w:rsid w:val="00B5001E"/>
    <w:rsid w:val="00B5065C"/>
    <w:rsid w:val="00B516D4"/>
    <w:rsid w:val="00B51B91"/>
    <w:rsid w:val="00B52274"/>
    <w:rsid w:val="00B525C0"/>
    <w:rsid w:val="00B541B3"/>
    <w:rsid w:val="00B54342"/>
    <w:rsid w:val="00B554CA"/>
    <w:rsid w:val="00B561AB"/>
    <w:rsid w:val="00B56B85"/>
    <w:rsid w:val="00B56E8B"/>
    <w:rsid w:val="00B57698"/>
    <w:rsid w:val="00B57A82"/>
    <w:rsid w:val="00B60541"/>
    <w:rsid w:val="00B6066B"/>
    <w:rsid w:val="00B60AC1"/>
    <w:rsid w:val="00B61A7B"/>
    <w:rsid w:val="00B63D00"/>
    <w:rsid w:val="00B646F2"/>
    <w:rsid w:val="00B64F5F"/>
    <w:rsid w:val="00B653F7"/>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145D"/>
    <w:rsid w:val="00B821C4"/>
    <w:rsid w:val="00B82347"/>
    <w:rsid w:val="00B83123"/>
    <w:rsid w:val="00B83A29"/>
    <w:rsid w:val="00B8775E"/>
    <w:rsid w:val="00B8791D"/>
    <w:rsid w:val="00B917BE"/>
    <w:rsid w:val="00B91D4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5F6"/>
    <w:rsid w:val="00BA4713"/>
    <w:rsid w:val="00BA4DAF"/>
    <w:rsid w:val="00BA53AB"/>
    <w:rsid w:val="00BA5875"/>
    <w:rsid w:val="00BA59FB"/>
    <w:rsid w:val="00BA746F"/>
    <w:rsid w:val="00BA7ADC"/>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472"/>
    <w:rsid w:val="00BD09B9"/>
    <w:rsid w:val="00BD19BF"/>
    <w:rsid w:val="00BD3E93"/>
    <w:rsid w:val="00BD444B"/>
    <w:rsid w:val="00BD45A1"/>
    <w:rsid w:val="00BD4933"/>
    <w:rsid w:val="00BD5EE3"/>
    <w:rsid w:val="00BE1986"/>
    <w:rsid w:val="00BE211C"/>
    <w:rsid w:val="00BE2538"/>
    <w:rsid w:val="00BE38C9"/>
    <w:rsid w:val="00BE42FB"/>
    <w:rsid w:val="00BE5BA7"/>
    <w:rsid w:val="00BE6A80"/>
    <w:rsid w:val="00BE6F02"/>
    <w:rsid w:val="00BF1B4D"/>
    <w:rsid w:val="00BF22BC"/>
    <w:rsid w:val="00BF2D5C"/>
    <w:rsid w:val="00BF32A2"/>
    <w:rsid w:val="00BF3C85"/>
    <w:rsid w:val="00BF425F"/>
    <w:rsid w:val="00BF4A39"/>
    <w:rsid w:val="00BF4F35"/>
    <w:rsid w:val="00BF5A1F"/>
    <w:rsid w:val="00C0086C"/>
    <w:rsid w:val="00C00C0A"/>
    <w:rsid w:val="00C0229C"/>
    <w:rsid w:val="00C023E0"/>
    <w:rsid w:val="00C03C87"/>
    <w:rsid w:val="00C044ED"/>
    <w:rsid w:val="00C05571"/>
    <w:rsid w:val="00C0573A"/>
    <w:rsid w:val="00C06C88"/>
    <w:rsid w:val="00C06D0A"/>
    <w:rsid w:val="00C07480"/>
    <w:rsid w:val="00C07E3A"/>
    <w:rsid w:val="00C10FAC"/>
    <w:rsid w:val="00C11020"/>
    <w:rsid w:val="00C1119D"/>
    <w:rsid w:val="00C11A78"/>
    <w:rsid w:val="00C11BEE"/>
    <w:rsid w:val="00C120C8"/>
    <w:rsid w:val="00C12446"/>
    <w:rsid w:val="00C12A35"/>
    <w:rsid w:val="00C134C5"/>
    <w:rsid w:val="00C13584"/>
    <w:rsid w:val="00C139EE"/>
    <w:rsid w:val="00C145D4"/>
    <w:rsid w:val="00C16B7A"/>
    <w:rsid w:val="00C16FF4"/>
    <w:rsid w:val="00C20CEA"/>
    <w:rsid w:val="00C21794"/>
    <w:rsid w:val="00C217A5"/>
    <w:rsid w:val="00C21BCB"/>
    <w:rsid w:val="00C224D3"/>
    <w:rsid w:val="00C22B4F"/>
    <w:rsid w:val="00C23539"/>
    <w:rsid w:val="00C23BAD"/>
    <w:rsid w:val="00C24702"/>
    <w:rsid w:val="00C247B9"/>
    <w:rsid w:val="00C25020"/>
    <w:rsid w:val="00C25700"/>
    <w:rsid w:val="00C25EA7"/>
    <w:rsid w:val="00C27899"/>
    <w:rsid w:val="00C300AC"/>
    <w:rsid w:val="00C324DA"/>
    <w:rsid w:val="00C32A43"/>
    <w:rsid w:val="00C337A2"/>
    <w:rsid w:val="00C372EC"/>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A1D"/>
    <w:rsid w:val="00C52D29"/>
    <w:rsid w:val="00C53C26"/>
    <w:rsid w:val="00C547B7"/>
    <w:rsid w:val="00C54862"/>
    <w:rsid w:val="00C54B6B"/>
    <w:rsid w:val="00C557D5"/>
    <w:rsid w:val="00C55C55"/>
    <w:rsid w:val="00C55E58"/>
    <w:rsid w:val="00C57013"/>
    <w:rsid w:val="00C57F58"/>
    <w:rsid w:val="00C60175"/>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D01"/>
    <w:rsid w:val="00C71BA1"/>
    <w:rsid w:val="00C720DE"/>
    <w:rsid w:val="00C72546"/>
    <w:rsid w:val="00C72D97"/>
    <w:rsid w:val="00C746A5"/>
    <w:rsid w:val="00C75704"/>
    <w:rsid w:val="00C7574E"/>
    <w:rsid w:val="00C75ADD"/>
    <w:rsid w:val="00C81010"/>
    <w:rsid w:val="00C81797"/>
    <w:rsid w:val="00C819A6"/>
    <w:rsid w:val="00C81A01"/>
    <w:rsid w:val="00C82085"/>
    <w:rsid w:val="00C823F2"/>
    <w:rsid w:val="00C82A0B"/>
    <w:rsid w:val="00C8353A"/>
    <w:rsid w:val="00C8383F"/>
    <w:rsid w:val="00C842FE"/>
    <w:rsid w:val="00C8641D"/>
    <w:rsid w:val="00C866C6"/>
    <w:rsid w:val="00C86A89"/>
    <w:rsid w:val="00C86B25"/>
    <w:rsid w:val="00C86F65"/>
    <w:rsid w:val="00C91DCB"/>
    <w:rsid w:val="00C91F21"/>
    <w:rsid w:val="00C93A4E"/>
    <w:rsid w:val="00C94A7B"/>
    <w:rsid w:val="00C94FA8"/>
    <w:rsid w:val="00C9501D"/>
    <w:rsid w:val="00C95A9C"/>
    <w:rsid w:val="00CA043C"/>
    <w:rsid w:val="00CA0C07"/>
    <w:rsid w:val="00CA1ED3"/>
    <w:rsid w:val="00CA2B69"/>
    <w:rsid w:val="00CA30BB"/>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46F1"/>
    <w:rsid w:val="00CC5170"/>
    <w:rsid w:val="00CC5EDE"/>
    <w:rsid w:val="00CC60D1"/>
    <w:rsid w:val="00CC6182"/>
    <w:rsid w:val="00CC6310"/>
    <w:rsid w:val="00CC64E8"/>
    <w:rsid w:val="00CC6DD5"/>
    <w:rsid w:val="00CC7BBA"/>
    <w:rsid w:val="00CD0F83"/>
    <w:rsid w:val="00CD1452"/>
    <w:rsid w:val="00CD16B2"/>
    <w:rsid w:val="00CD24E9"/>
    <w:rsid w:val="00CD24EB"/>
    <w:rsid w:val="00CD3563"/>
    <w:rsid w:val="00CD451A"/>
    <w:rsid w:val="00CD52B2"/>
    <w:rsid w:val="00CD554B"/>
    <w:rsid w:val="00CD57AF"/>
    <w:rsid w:val="00CD5933"/>
    <w:rsid w:val="00CD6E99"/>
    <w:rsid w:val="00CD7C37"/>
    <w:rsid w:val="00CE05C9"/>
    <w:rsid w:val="00CE078D"/>
    <w:rsid w:val="00CE0E7D"/>
    <w:rsid w:val="00CE0ED0"/>
    <w:rsid w:val="00CE1894"/>
    <w:rsid w:val="00CE1DA5"/>
    <w:rsid w:val="00CE2063"/>
    <w:rsid w:val="00CE2C2E"/>
    <w:rsid w:val="00CE3183"/>
    <w:rsid w:val="00CE55D8"/>
    <w:rsid w:val="00CE5783"/>
    <w:rsid w:val="00CE5E93"/>
    <w:rsid w:val="00CE61F4"/>
    <w:rsid w:val="00CE700F"/>
    <w:rsid w:val="00CE7E64"/>
    <w:rsid w:val="00CF0EC1"/>
    <w:rsid w:val="00CF15BC"/>
    <w:rsid w:val="00CF16D6"/>
    <w:rsid w:val="00CF199B"/>
    <w:rsid w:val="00CF26EA"/>
    <w:rsid w:val="00CF277D"/>
    <w:rsid w:val="00CF3565"/>
    <w:rsid w:val="00CF3BC6"/>
    <w:rsid w:val="00CF3F04"/>
    <w:rsid w:val="00CF40B8"/>
    <w:rsid w:val="00CF59C9"/>
    <w:rsid w:val="00CF5E5C"/>
    <w:rsid w:val="00D01930"/>
    <w:rsid w:val="00D01DC4"/>
    <w:rsid w:val="00D02025"/>
    <w:rsid w:val="00D02120"/>
    <w:rsid w:val="00D03123"/>
    <w:rsid w:val="00D037DA"/>
    <w:rsid w:val="00D03987"/>
    <w:rsid w:val="00D03DA8"/>
    <w:rsid w:val="00D04B94"/>
    <w:rsid w:val="00D04CB7"/>
    <w:rsid w:val="00D06043"/>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42B5"/>
    <w:rsid w:val="00D2493A"/>
    <w:rsid w:val="00D24A86"/>
    <w:rsid w:val="00D24E76"/>
    <w:rsid w:val="00D24F4A"/>
    <w:rsid w:val="00D272C3"/>
    <w:rsid w:val="00D27520"/>
    <w:rsid w:val="00D306DB"/>
    <w:rsid w:val="00D31565"/>
    <w:rsid w:val="00D31645"/>
    <w:rsid w:val="00D34687"/>
    <w:rsid w:val="00D353C6"/>
    <w:rsid w:val="00D361F8"/>
    <w:rsid w:val="00D36541"/>
    <w:rsid w:val="00D366F4"/>
    <w:rsid w:val="00D3709E"/>
    <w:rsid w:val="00D40097"/>
    <w:rsid w:val="00D40D11"/>
    <w:rsid w:val="00D40EDC"/>
    <w:rsid w:val="00D410EF"/>
    <w:rsid w:val="00D41A7E"/>
    <w:rsid w:val="00D42C02"/>
    <w:rsid w:val="00D44724"/>
    <w:rsid w:val="00D44AC4"/>
    <w:rsid w:val="00D45610"/>
    <w:rsid w:val="00D45E85"/>
    <w:rsid w:val="00D46012"/>
    <w:rsid w:val="00D46451"/>
    <w:rsid w:val="00D46484"/>
    <w:rsid w:val="00D507B7"/>
    <w:rsid w:val="00D5265A"/>
    <w:rsid w:val="00D52894"/>
    <w:rsid w:val="00D53298"/>
    <w:rsid w:val="00D54C4A"/>
    <w:rsid w:val="00D563AE"/>
    <w:rsid w:val="00D57A66"/>
    <w:rsid w:val="00D57DB7"/>
    <w:rsid w:val="00D6071D"/>
    <w:rsid w:val="00D61312"/>
    <w:rsid w:val="00D6185B"/>
    <w:rsid w:val="00D61A69"/>
    <w:rsid w:val="00D61AC1"/>
    <w:rsid w:val="00D61D31"/>
    <w:rsid w:val="00D61D8B"/>
    <w:rsid w:val="00D6265D"/>
    <w:rsid w:val="00D63A1D"/>
    <w:rsid w:val="00D63B73"/>
    <w:rsid w:val="00D649CF"/>
    <w:rsid w:val="00D6637C"/>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7829"/>
    <w:rsid w:val="00D90ADC"/>
    <w:rsid w:val="00D90C06"/>
    <w:rsid w:val="00D91250"/>
    <w:rsid w:val="00D91A22"/>
    <w:rsid w:val="00D92E24"/>
    <w:rsid w:val="00D93FAE"/>
    <w:rsid w:val="00D94043"/>
    <w:rsid w:val="00D95AA6"/>
    <w:rsid w:val="00D95BBB"/>
    <w:rsid w:val="00D9634B"/>
    <w:rsid w:val="00D974BE"/>
    <w:rsid w:val="00DA0E91"/>
    <w:rsid w:val="00DA0F5B"/>
    <w:rsid w:val="00DA2219"/>
    <w:rsid w:val="00DA2ED0"/>
    <w:rsid w:val="00DA4528"/>
    <w:rsid w:val="00DA502B"/>
    <w:rsid w:val="00DA6755"/>
    <w:rsid w:val="00DA6AE3"/>
    <w:rsid w:val="00DA6D39"/>
    <w:rsid w:val="00DA72A4"/>
    <w:rsid w:val="00DB0086"/>
    <w:rsid w:val="00DB05C0"/>
    <w:rsid w:val="00DB0846"/>
    <w:rsid w:val="00DB0DEA"/>
    <w:rsid w:val="00DB1134"/>
    <w:rsid w:val="00DB1804"/>
    <w:rsid w:val="00DB1945"/>
    <w:rsid w:val="00DB1A45"/>
    <w:rsid w:val="00DB39CD"/>
    <w:rsid w:val="00DB3AC0"/>
    <w:rsid w:val="00DB3CE7"/>
    <w:rsid w:val="00DB42A5"/>
    <w:rsid w:val="00DB486F"/>
    <w:rsid w:val="00DB4C15"/>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6C3"/>
    <w:rsid w:val="00DC5172"/>
    <w:rsid w:val="00DC53B9"/>
    <w:rsid w:val="00DC54D4"/>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E0A1B"/>
    <w:rsid w:val="00DE109D"/>
    <w:rsid w:val="00DE1D00"/>
    <w:rsid w:val="00DE2114"/>
    <w:rsid w:val="00DE2151"/>
    <w:rsid w:val="00DE2A0D"/>
    <w:rsid w:val="00DE2A5D"/>
    <w:rsid w:val="00DE5966"/>
    <w:rsid w:val="00DE678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4E3"/>
    <w:rsid w:val="00E06CD6"/>
    <w:rsid w:val="00E07328"/>
    <w:rsid w:val="00E075B9"/>
    <w:rsid w:val="00E105AC"/>
    <w:rsid w:val="00E112D0"/>
    <w:rsid w:val="00E1189E"/>
    <w:rsid w:val="00E1258A"/>
    <w:rsid w:val="00E12D6F"/>
    <w:rsid w:val="00E12E6E"/>
    <w:rsid w:val="00E130B4"/>
    <w:rsid w:val="00E13CF8"/>
    <w:rsid w:val="00E13E4E"/>
    <w:rsid w:val="00E14465"/>
    <w:rsid w:val="00E14935"/>
    <w:rsid w:val="00E14C01"/>
    <w:rsid w:val="00E15431"/>
    <w:rsid w:val="00E156ED"/>
    <w:rsid w:val="00E158B1"/>
    <w:rsid w:val="00E17812"/>
    <w:rsid w:val="00E17CFE"/>
    <w:rsid w:val="00E20351"/>
    <w:rsid w:val="00E21433"/>
    <w:rsid w:val="00E21913"/>
    <w:rsid w:val="00E2231A"/>
    <w:rsid w:val="00E23031"/>
    <w:rsid w:val="00E23901"/>
    <w:rsid w:val="00E23BE3"/>
    <w:rsid w:val="00E24FF2"/>
    <w:rsid w:val="00E27BD4"/>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F02"/>
    <w:rsid w:val="00E46546"/>
    <w:rsid w:val="00E46E2E"/>
    <w:rsid w:val="00E50765"/>
    <w:rsid w:val="00E51172"/>
    <w:rsid w:val="00E51E14"/>
    <w:rsid w:val="00E528A5"/>
    <w:rsid w:val="00E532CB"/>
    <w:rsid w:val="00E55C6C"/>
    <w:rsid w:val="00E56453"/>
    <w:rsid w:val="00E564AA"/>
    <w:rsid w:val="00E60005"/>
    <w:rsid w:val="00E60F0A"/>
    <w:rsid w:val="00E65EFB"/>
    <w:rsid w:val="00E663FB"/>
    <w:rsid w:val="00E6700A"/>
    <w:rsid w:val="00E70BA0"/>
    <w:rsid w:val="00E71FF3"/>
    <w:rsid w:val="00E72601"/>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0627"/>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48C9"/>
    <w:rsid w:val="00ED5DC3"/>
    <w:rsid w:val="00ED7950"/>
    <w:rsid w:val="00ED7F3C"/>
    <w:rsid w:val="00EE1978"/>
    <w:rsid w:val="00EE2014"/>
    <w:rsid w:val="00EE2CDE"/>
    <w:rsid w:val="00EE30DA"/>
    <w:rsid w:val="00EE3795"/>
    <w:rsid w:val="00EE398E"/>
    <w:rsid w:val="00EE3A25"/>
    <w:rsid w:val="00EE3DD7"/>
    <w:rsid w:val="00EE72DF"/>
    <w:rsid w:val="00EE7B1A"/>
    <w:rsid w:val="00EF1256"/>
    <w:rsid w:val="00EF1360"/>
    <w:rsid w:val="00EF23AF"/>
    <w:rsid w:val="00EF2504"/>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3A18"/>
    <w:rsid w:val="00F04691"/>
    <w:rsid w:val="00F0497A"/>
    <w:rsid w:val="00F04BD6"/>
    <w:rsid w:val="00F053DC"/>
    <w:rsid w:val="00F05553"/>
    <w:rsid w:val="00F055C4"/>
    <w:rsid w:val="00F057AB"/>
    <w:rsid w:val="00F05948"/>
    <w:rsid w:val="00F06FD4"/>
    <w:rsid w:val="00F102AD"/>
    <w:rsid w:val="00F1092C"/>
    <w:rsid w:val="00F10A55"/>
    <w:rsid w:val="00F1179A"/>
    <w:rsid w:val="00F123CA"/>
    <w:rsid w:val="00F12723"/>
    <w:rsid w:val="00F1274F"/>
    <w:rsid w:val="00F12B57"/>
    <w:rsid w:val="00F13196"/>
    <w:rsid w:val="00F133F1"/>
    <w:rsid w:val="00F13A83"/>
    <w:rsid w:val="00F13B8F"/>
    <w:rsid w:val="00F13E92"/>
    <w:rsid w:val="00F169DB"/>
    <w:rsid w:val="00F170B0"/>
    <w:rsid w:val="00F1772A"/>
    <w:rsid w:val="00F218A0"/>
    <w:rsid w:val="00F218F9"/>
    <w:rsid w:val="00F21EBF"/>
    <w:rsid w:val="00F225DE"/>
    <w:rsid w:val="00F229D3"/>
    <w:rsid w:val="00F238C3"/>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1F92"/>
    <w:rsid w:val="00F4208D"/>
    <w:rsid w:val="00F42E84"/>
    <w:rsid w:val="00F434AF"/>
    <w:rsid w:val="00F44026"/>
    <w:rsid w:val="00F44374"/>
    <w:rsid w:val="00F45299"/>
    <w:rsid w:val="00F45B43"/>
    <w:rsid w:val="00F4678A"/>
    <w:rsid w:val="00F506AF"/>
    <w:rsid w:val="00F50E04"/>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412"/>
    <w:rsid w:val="00F737C8"/>
    <w:rsid w:val="00F74BF7"/>
    <w:rsid w:val="00F74C11"/>
    <w:rsid w:val="00F757C9"/>
    <w:rsid w:val="00F75FEB"/>
    <w:rsid w:val="00F764F0"/>
    <w:rsid w:val="00F76CE8"/>
    <w:rsid w:val="00F7710C"/>
    <w:rsid w:val="00F776F8"/>
    <w:rsid w:val="00F77FCE"/>
    <w:rsid w:val="00F80938"/>
    <w:rsid w:val="00F81BED"/>
    <w:rsid w:val="00F821DB"/>
    <w:rsid w:val="00F82C66"/>
    <w:rsid w:val="00F841BF"/>
    <w:rsid w:val="00F85F67"/>
    <w:rsid w:val="00F86C95"/>
    <w:rsid w:val="00F86D7A"/>
    <w:rsid w:val="00F8706F"/>
    <w:rsid w:val="00F90448"/>
    <w:rsid w:val="00F90D29"/>
    <w:rsid w:val="00F9156A"/>
    <w:rsid w:val="00F917FF"/>
    <w:rsid w:val="00F92721"/>
    <w:rsid w:val="00F93A03"/>
    <w:rsid w:val="00F94D99"/>
    <w:rsid w:val="00F95741"/>
    <w:rsid w:val="00F959B1"/>
    <w:rsid w:val="00F95B12"/>
    <w:rsid w:val="00F95BC2"/>
    <w:rsid w:val="00F96282"/>
    <w:rsid w:val="00F974B4"/>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27BF"/>
    <w:rsid w:val="00FE443A"/>
    <w:rsid w:val="00FE446F"/>
    <w:rsid w:val="00FE4954"/>
    <w:rsid w:val="00FE4BBD"/>
    <w:rsid w:val="00FE5FB5"/>
    <w:rsid w:val="00FE61E2"/>
    <w:rsid w:val="00FE61FA"/>
    <w:rsid w:val="00FE657D"/>
    <w:rsid w:val="00FE6A57"/>
    <w:rsid w:val="00FF01C2"/>
    <w:rsid w:val="00FF0288"/>
    <w:rsid w:val="00FF0DB4"/>
    <w:rsid w:val="00FF1124"/>
    <w:rsid w:val="00FF11FF"/>
    <w:rsid w:val="00FF22EF"/>
    <w:rsid w:val="00FF557C"/>
    <w:rsid w:val="00FF68BE"/>
    <w:rsid w:val="00FF6BF5"/>
    <w:rsid w:val="00FF7280"/>
    <w:rsid w:val="00FF7DAE"/>
    <w:rsid w:val="028F475A"/>
    <w:rsid w:val="07CA6305"/>
    <w:rsid w:val="1D741DF8"/>
    <w:rsid w:val="3BD30C12"/>
    <w:rsid w:val="4AEC698D"/>
    <w:rsid w:val="61DE16C3"/>
    <w:rsid w:val="62FE79D4"/>
    <w:rsid w:val="6464192A"/>
    <w:rsid w:val="64821589"/>
    <w:rsid w:val="6C2C0569"/>
    <w:rsid w:val="7CCC10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3"/>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99"/>
    <w:rPr>
      <w:color w:val="0000FF"/>
      <w:u w:val="single"/>
    </w:rPr>
  </w:style>
  <w:style w:type="character" w:customStyle="1" w:styleId="13">
    <w:name w:val="批注框文本 字符"/>
    <w:basedOn w:val="11"/>
    <w:link w:val="6"/>
    <w:qFormat/>
    <w:uiPriority w:val="0"/>
    <w:rPr>
      <w:rFonts w:ascii="Tahoma" w:hAnsi="Tahoma" w:cs="Tahoma"/>
      <w:lang w:eastAsia="ja-JP"/>
    </w:rPr>
  </w:style>
  <w:style w:type="paragraph" w:customStyle="1" w:styleId="14">
    <w:name w:val="EFAFPReportType"/>
    <w:link w:val="78"/>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5">
    <w:name w:val="EFABullet"/>
    <w:basedOn w:val="16"/>
    <w:qFormat/>
    <w:uiPriority w:val="99"/>
    <w:pPr>
      <w:numPr>
        <w:ilvl w:val="0"/>
        <w:numId w:val="1"/>
      </w:numPr>
      <w:tabs>
        <w:tab w:val="left" w:pos="480"/>
      </w:tabs>
      <w:ind w:left="192" w:firstLine="0"/>
    </w:pPr>
    <w:rPr>
      <w:szCs w:val="22"/>
    </w:rPr>
  </w:style>
  <w:style w:type="paragraph" w:customStyle="1" w:styleId="16">
    <w:name w:val="EFABodyText"/>
    <w:link w:val="34"/>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17">
    <w:name w:val="EFAButton"/>
    <w:basedOn w:val="18"/>
    <w:qFormat/>
    <w:uiPriority w:val="0"/>
    <w:rPr>
      <w:b/>
    </w:rPr>
  </w:style>
  <w:style w:type="paragraph" w:customStyle="1" w:styleId="18">
    <w:name w:val="EFANormal"/>
    <w:link w:val="33"/>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19">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0">
    <w:name w:val="EFAFPFrameText_11.5pt_Right"/>
    <w:basedOn w:val="21"/>
    <w:link w:val="109"/>
    <w:qFormat/>
    <w:uiPriority w:val="0"/>
    <w:pPr>
      <w:framePr w:wrap="around" w:xAlign="right" w:y="1"/>
      <w:suppressOverlap/>
      <w:jc w:val="right"/>
    </w:pPr>
    <w:rPr>
      <w:bCs/>
      <w:szCs w:val="32"/>
    </w:rPr>
  </w:style>
  <w:style w:type="paragraph" w:customStyle="1" w:styleId="21">
    <w:name w:val="EFAFPFrameText_11.5pt"/>
    <w:link w:val="107"/>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2">
    <w:name w:val="EFADisclaimerText"/>
    <w:basedOn w:val="18"/>
    <w:link w:val="137"/>
    <w:qFormat/>
    <w:uiPriority w:val="99"/>
    <w:pPr>
      <w:jc w:val="both"/>
    </w:pPr>
  </w:style>
  <w:style w:type="paragraph" w:styleId="23">
    <w:name w:val="List Paragraph"/>
    <w:basedOn w:val="1"/>
    <w:qFormat/>
    <w:uiPriority w:val="34"/>
    <w:pPr>
      <w:ind w:left="720"/>
      <w:contextualSpacing/>
    </w:pPr>
  </w:style>
  <w:style w:type="paragraph" w:customStyle="1" w:styleId="24">
    <w:name w:val="EFABullet_Red"/>
    <w:basedOn w:val="25"/>
    <w:qFormat/>
    <w:uiPriority w:val="99"/>
    <w:pPr>
      <w:numPr>
        <w:ilvl w:val="0"/>
        <w:numId w:val="2"/>
      </w:numPr>
      <w:tabs>
        <w:tab w:val="left" w:pos="481"/>
      </w:tabs>
      <w:ind w:left="0" w:firstLine="0"/>
    </w:pPr>
  </w:style>
  <w:style w:type="paragraph" w:customStyle="1" w:styleId="25">
    <w:name w:val="EFAFP_BodyText"/>
    <w:link w:val="35"/>
    <w:qFormat/>
    <w:uiPriority w:val="0"/>
    <w:pPr>
      <w:widowControl w:val="0"/>
      <w:adjustRightInd w:val="0"/>
      <w:snapToGrid w:val="0"/>
    </w:pPr>
    <w:rPr>
      <w:rFonts w:ascii="Calibri" w:hAnsi="Calibri" w:eastAsia="MS Mincho" w:cs="Times New Roman"/>
      <w:snapToGrid w:val="0"/>
      <w:sz w:val="20"/>
      <w:szCs w:val="16"/>
      <w:lang w:val="en-US" w:eastAsia="ja-JP" w:bidi="ar-SA"/>
    </w:rPr>
  </w:style>
  <w:style w:type="paragraph" w:customStyle="1" w:styleId="26">
    <w:name w:val="EFA2ndPageHeader"/>
    <w:basedOn w:val="18"/>
    <w:qFormat/>
    <w:uiPriority w:val="0"/>
    <w:pPr>
      <w:spacing w:before="40" w:after="40"/>
      <w:jc w:val="right"/>
    </w:pPr>
    <w:rPr>
      <w:color w:val="FF0000"/>
      <w:sz w:val="24"/>
    </w:rPr>
  </w:style>
  <w:style w:type="paragraph" w:customStyle="1" w:styleId="27">
    <w:name w:val="EFAPageFooter"/>
    <w:basedOn w:val="18"/>
    <w:qFormat/>
    <w:uiPriority w:val="0"/>
    <w:pPr>
      <w:framePr w:wrap="around" w:vAnchor="page" w:hAnchor="page" w:x="347" w:y="15481"/>
      <w:suppressOverlap/>
      <w:tabs>
        <w:tab w:val="center" w:pos="5165"/>
      </w:tabs>
    </w:pPr>
    <w:rPr>
      <w:b/>
      <w:sz w:val="20"/>
      <w:szCs w:val="20"/>
    </w:rPr>
  </w:style>
  <w:style w:type="paragraph" w:customStyle="1" w:styleId="28">
    <w:name w:val="EFAPageHeader"/>
    <w:basedOn w:val="18"/>
    <w:qFormat/>
    <w:uiPriority w:val="0"/>
    <w:pPr>
      <w:tabs>
        <w:tab w:val="right" w:pos="10692"/>
      </w:tabs>
      <w:spacing w:before="40" w:after="40"/>
    </w:pPr>
    <w:rPr>
      <w:color w:val="005BAC"/>
      <w:sz w:val="24"/>
    </w:rPr>
  </w:style>
  <w:style w:type="paragraph" w:customStyle="1" w:styleId="29">
    <w:name w:val="EFAHiddenBookmark"/>
    <w:basedOn w:val="1"/>
    <w:link w:val="30"/>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0">
    <w:name w:val="EFAHiddenBookmark Char"/>
    <w:link w:val="29"/>
    <w:qFormat/>
    <w:uiPriority w:val="99"/>
    <w:rPr>
      <w:rFonts w:ascii="Arial" w:hAnsi="Arial" w:eastAsia="Times New Roman"/>
      <w:vanish/>
      <w:kern w:val="2"/>
      <w:sz w:val="14"/>
      <w:szCs w:val="19"/>
      <w:lang w:val="en-GB" w:eastAsia="en-US"/>
    </w:rPr>
  </w:style>
  <w:style w:type="paragraph" w:customStyle="1" w:styleId="31">
    <w:name w:val="EFAPoweredByEFA"/>
    <w:link w:val="32"/>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2">
    <w:name w:val="EFAPoweredByEFA Char"/>
    <w:link w:val="31"/>
    <w:qFormat/>
    <w:uiPriority w:val="0"/>
    <w:rPr>
      <w:rFonts w:ascii="Arial" w:hAnsi="Arial" w:eastAsia="PMingLiU"/>
      <w:color w:val="5A5A5A"/>
      <w:sz w:val="9"/>
      <w:szCs w:val="9"/>
      <w:lang w:eastAsia="zh-TW"/>
    </w:rPr>
  </w:style>
  <w:style w:type="character" w:customStyle="1" w:styleId="33">
    <w:name w:val="EFANormal Char"/>
    <w:basedOn w:val="11"/>
    <w:link w:val="18"/>
    <w:qFormat/>
    <w:uiPriority w:val="0"/>
    <w:rPr>
      <w:lang w:eastAsia="ja-JP"/>
    </w:rPr>
  </w:style>
  <w:style w:type="character" w:customStyle="1" w:styleId="34">
    <w:name w:val="EFABodyText Char"/>
    <w:basedOn w:val="11"/>
    <w:link w:val="16"/>
    <w:qFormat/>
    <w:uiPriority w:val="0"/>
    <w:rPr>
      <w:sz w:val="20"/>
      <w:lang w:eastAsia="ja-JP"/>
    </w:rPr>
  </w:style>
  <w:style w:type="character" w:customStyle="1" w:styleId="35">
    <w:name w:val="EFAFP_BodyText Char"/>
    <w:basedOn w:val="11"/>
    <w:link w:val="25"/>
    <w:qFormat/>
    <w:uiPriority w:val="0"/>
    <w:rPr>
      <w:sz w:val="20"/>
      <w:lang w:eastAsia="ja-JP"/>
    </w:rPr>
  </w:style>
  <w:style w:type="paragraph" w:customStyle="1" w:styleId="36">
    <w:name w:val="EFAFPTag"/>
    <w:basedOn w:val="18"/>
    <w:qFormat/>
    <w:uiPriority w:val="0"/>
    <w:pPr>
      <w:jc w:val="center"/>
    </w:pPr>
    <w:rPr>
      <w:b/>
    </w:rPr>
  </w:style>
  <w:style w:type="paragraph" w:customStyle="1" w:styleId="37">
    <w:name w:val="EFAFPFooter2"/>
    <w:link w:val="123"/>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38">
    <w:name w:val="EFACharGrey"/>
    <w:qFormat/>
    <w:uiPriority w:val="1"/>
    <w:rPr>
      <w:color w:val="808080"/>
    </w:rPr>
  </w:style>
  <w:style w:type="paragraph" w:customStyle="1" w:styleId="39">
    <w:name w:val="EFAFPTitle"/>
    <w:link w:val="108"/>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0">
    <w:name w:val="EFAFPColFrameText"/>
    <w:link w:val="42"/>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1">
    <w:name w:val="EFAFPColFrameText_Right"/>
    <w:basedOn w:val="40"/>
    <w:qFormat/>
    <w:uiPriority w:val="0"/>
    <w:pPr>
      <w:framePr w:wrap="around"/>
      <w:jc w:val="right"/>
    </w:pPr>
  </w:style>
  <w:style w:type="character" w:customStyle="1" w:styleId="42">
    <w:name w:val="EFAFPColFrameText Char"/>
    <w:basedOn w:val="11"/>
    <w:link w:val="40"/>
    <w:qFormat/>
    <w:uiPriority w:val="0"/>
    <w:rPr>
      <w:sz w:val="14"/>
      <w:szCs w:val="14"/>
    </w:rPr>
  </w:style>
  <w:style w:type="paragraph" w:customStyle="1" w:styleId="43">
    <w:name w:val="EFAFPColFrameHeading"/>
    <w:basedOn w:val="40"/>
    <w:qFormat/>
    <w:uiPriority w:val="0"/>
    <w:pPr>
      <w:framePr w:wrap="around"/>
    </w:pPr>
    <w:rPr>
      <w:b/>
      <w:color w:val="23558C"/>
      <w:sz w:val="16"/>
    </w:rPr>
  </w:style>
  <w:style w:type="paragraph" w:customStyle="1" w:styleId="44">
    <w:name w:val="EFAFPColFrameText_Left"/>
    <w:basedOn w:val="40"/>
    <w:link w:val="66"/>
    <w:qFormat/>
    <w:uiPriority w:val="0"/>
    <w:pPr>
      <w:framePr w:wrap="around"/>
    </w:pPr>
  </w:style>
  <w:style w:type="paragraph" w:customStyle="1" w:styleId="45">
    <w:name w:val="EFAFPColFrame_Source"/>
    <w:basedOn w:val="44"/>
    <w:qFormat/>
    <w:uiPriority w:val="0"/>
    <w:pPr>
      <w:framePr w:wrap="around"/>
    </w:pPr>
    <w:rPr>
      <w:sz w:val="12"/>
      <w:szCs w:val="12"/>
    </w:rPr>
  </w:style>
  <w:style w:type="character" w:customStyle="1" w:styleId="46">
    <w:name w:val="EFACharBold"/>
    <w:basedOn w:val="11"/>
    <w:qFormat/>
    <w:uiPriority w:val="1"/>
    <w:rPr>
      <w:b/>
    </w:rPr>
  </w:style>
  <w:style w:type="paragraph" w:customStyle="1" w:styleId="47">
    <w:name w:val="EFAFPColFrame_AnalystName"/>
    <w:basedOn w:val="44"/>
    <w:qFormat/>
    <w:uiPriority w:val="0"/>
    <w:pPr>
      <w:framePr w:wrap="around"/>
    </w:pPr>
    <w:rPr>
      <w:b/>
      <w:sz w:val="16"/>
    </w:rPr>
  </w:style>
  <w:style w:type="paragraph" w:customStyle="1" w:styleId="48">
    <w:name w:val="EFAFPColFrameText_8pt"/>
    <w:basedOn w:val="44"/>
    <w:qFormat/>
    <w:uiPriority w:val="0"/>
    <w:pPr>
      <w:framePr w:wrap="around"/>
    </w:pPr>
    <w:rPr>
      <w:sz w:val="16"/>
    </w:rPr>
  </w:style>
  <w:style w:type="paragraph" w:customStyle="1" w:styleId="49">
    <w:name w:val="EFAFP_Source"/>
    <w:basedOn w:val="18"/>
    <w:qFormat/>
    <w:uiPriority w:val="0"/>
    <w:rPr>
      <w:sz w:val="12"/>
      <w:szCs w:val="12"/>
    </w:rPr>
  </w:style>
  <w:style w:type="paragraph" w:customStyle="1" w:styleId="50">
    <w:name w:val="EFAFP_Abstract"/>
    <w:qFormat/>
    <w:uiPriority w:val="0"/>
    <w:rPr>
      <w:rFonts w:ascii="Calibri" w:hAnsi="Calibri" w:eastAsia="MS Mincho" w:cs="Times New Roman"/>
      <w:snapToGrid w:val="0"/>
      <w:sz w:val="18"/>
      <w:szCs w:val="16"/>
      <w:lang w:val="en-US" w:eastAsia="ja-JP" w:bidi="ar-SA"/>
    </w:rPr>
  </w:style>
  <w:style w:type="paragraph" w:customStyle="1" w:styleId="51">
    <w:name w:val="EFABullet_Green"/>
    <w:basedOn w:val="25"/>
    <w:qFormat/>
    <w:uiPriority w:val="0"/>
    <w:pPr>
      <w:numPr>
        <w:ilvl w:val="0"/>
        <w:numId w:val="3"/>
      </w:numPr>
      <w:tabs>
        <w:tab w:val="left" w:pos="468"/>
      </w:tabs>
      <w:ind w:left="0" w:firstLine="0"/>
    </w:pPr>
  </w:style>
  <w:style w:type="paragraph" w:customStyle="1" w:styleId="52">
    <w:name w:val="EFABullet_Blue"/>
    <w:basedOn w:val="25"/>
    <w:qFormat/>
    <w:uiPriority w:val="0"/>
    <w:pPr>
      <w:numPr>
        <w:ilvl w:val="0"/>
        <w:numId w:val="4"/>
      </w:numPr>
      <w:tabs>
        <w:tab w:val="left" w:pos="468"/>
      </w:tabs>
      <w:ind w:left="0" w:firstLine="0"/>
    </w:pPr>
  </w:style>
  <w:style w:type="paragraph" w:customStyle="1" w:styleId="53">
    <w:name w:val="EFABullet_Yellow"/>
    <w:basedOn w:val="25"/>
    <w:qFormat/>
    <w:uiPriority w:val="0"/>
    <w:pPr>
      <w:numPr>
        <w:ilvl w:val="0"/>
        <w:numId w:val="5"/>
      </w:numPr>
      <w:tabs>
        <w:tab w:val="left" w:pos="468"/>
      </w:tabs>
      <w:ind w:left="0" w:firstLine="0"/>
    </w:pPr>
  </w:style>
  <w:style w:type="paragraph" w:customStyle="1" w:styleId="54">
    <w:name w:val="EFASource"/>
    <w:basedOn w:val="16"/>
    <w:qFormat/>
    <w:uiPriority w:val="0"/>
    <w:rPr>
      <w:sz w:val="12"/>
      <w:szCs w:val="14"/>
    </w:rPr>
  </w:style>
  <w:style w:type="paragraph" w:customStyle="1" w:styleId="55">
    <w:name w:val="EFASubHeader"/>
    <w:basedOn w:val="16"/>
    <w:next w:val="16"/>
    <w:link w:val="106"/>
    <w:qFormat/>
    <w:uiPriority w:val="0"/>
    <w:rPr>
      <w:b/>
      <w:bCs/>
    </w:rPr>
  </w:style>
  <w:style w:type="paragraph" w:customStyle="1" w:styleId="56">
    <w:name w:val="EFADisclaimerHeading"/>
    <w:basedOn w:val="22"/>
    <w:next w:val="22"/>
    <w:qFormat/>
    <w:uiPriority w:val="99"/>
    <w:rPr>
      <w:b/>
    </w:rPr>
  </w:style>
  <w:style w:type="paragraph" w:customStyle="1" w:styleId="57">
    <w:name w:val="EFADisclaimerHeading2"/>
    <w:basedOn w:val="22"/>
    <w:next w:val="22"/>
    <w:qFormat/>
    <w:uiPriority w:val="0"/>
    <w:rPr>
      <w:b/>
      <w:sz w:val="20"/>
      <w:szCs w:val="20"/>
    </w:rPr>
  </w:style>
  <w:style w:type="paragraph" w:customStyle="1" w:styleId="58">
    <w:name w:val="EFADisclaimerHeading3"/>
    <w:basedOn w:val="22"/>
    <w:qFormat/>
    <w:uiPriority w:val="0"/>
    <w:rPr>
      <w:b/>
      <w:sz w:val="18"/>
      <w:szCs w:val="18"/>
    </w:rPr>
  </w:style>
  <w:style w:type="paragraph" w:customStyle="1" w:styleId="59">
    <w:name w:val="EFASideComment"/>
    <w:basedOn w:val="16"/>
    <w:qFormat/>
    <w:uiPriority w:val="0"/>
    <w:pPr>
      <w:framePr w:w="2980" w:hSpace="180" w:wrap="around" w:vAnchor="text" w:hAnchor="text" w:x="-3250" w:y="160"/>
    </w:pPr>
  </w:style>
  <w:style w:type="character" w:customStyle="1" w:styleId="60">
    <w:name w:val="EFACharBold_and_AllCap"/>
    <w:qFormat/>
    <w:uiPriority w:val="1"/>
    <w:rPr>
      <w:b/>
      <w:caps/>
    </w:rPr>
  </w:style>
  <w:style w:type="paragraph" w:customStyle="1" w:styleId="61">
    <w:name w:val="__Table_Normal"/>
    <w:basedOn w:val="1"/>
    <w:link w:val="62"/>
    <w:qFormat/>
    <w:uiPriority w:val="0"/>
    <w:rPr>
      <w:snapToGrid/>
      <w:color w:val="000000"/>
      <w:kern w:val="28"/>
    </w:rPr>
  </w:style>
  <w:style w:type="character" w:customStyle="1" w:styleId="62">
    <w:name w:val="__Table_Normal Char"/>
    <w:basedOn w:val="11"/>
    <w:link w:val="61"/>
    <w:qFormat/>
    <w:uiPriority w:val="0"/>
    <w:rPr>
      <w:snapToGrid/>
      <w:color w:val="000000"/>
      <w:kern w:val="28"/>
      <w:lang w:eastAsia="ja-JP"/>
    </w:rPr>
  </w:style>
  <w:style w:type="paragraph" w:customStyle="1" w:styleId="63">
    <w:name w:val="Front pg Tbl left just 7 pt"/>
    <w:basedOn w:val="1"/>
    <w:link w:val="64"/>
    <w:qFormat/>
    <w:uiPriority w:val="0"/>
    <w:rPr>
      <w:snapToGrid/>
      <w:sz w:val="14"/>
      <w:szCs w:val="24"/>
    </w:rPr>
  </w:style>
  <w:style w:type="character" w:customStyle="1" w:styleId="64">
    <w:name w:val="Front pg Tbl left just 7 pt Char Char"/>
    <w:basedOn w:val="11"/>
    <w:link w:val="63"/>
    <w:qFormat/>
    <w:uiPriority w:val="0"/>
    <w:rPr>
      <w:snapToGrid/>
      <w:sz w:val="14"/>
      <w:szCs w:val="24"/>
      <w:lang w:eastAsia="ja-JP"/>
    </w:rPr>
  </w:style>
  <w:style w:type="paragraph" w:customStyle="1" w:styleId="65">
    <w:name w:val="EFAFPColFrameText_Center"/>
    <w:basedOn w:val="44"/>
    <w:link w:val="67"/>
    <w:qFormat/>
    <w:uiPriority w:val="0"/>
    <w:pPr>
      <w:framePr w:wrap="around"/>
    </w:pPr>
  </w:style>
  <w:style w:type="character" w:customStyle="1" w:styleId="66">
    <w:name w:val="EFAFPColFrameText_Left Char"/>
    <w:basedOn w:val="42"/>
    <w:link w:val="44"/>
    <w:qFormat/>
    <w:uiPriority w:val="0"/>
    <w:rPr>
      <w:sz w:val="14"/>
      <w:szCs w:val="14"/>
    </w:rPr>
  </w:style>
  <w:style w:type="character" w:customStyle="1" w:styleId="67">
    <w:name w:val="EFAFPColFrameText_Center Char"/>
    <w:basedOn w:val="66"/>
    <w:link w:val="65"/>
    <w:qFormat/>
    <w:uiPriority w:val="0"/>
    <w:rPr>
      <w:sz w:val="14"/>
      <w:szCs w:val="14"/>
    </w:rPr>
  </w:style>
  <w:style w:type="paragraph" w:customStyle="1" w:styleId="68">
    <w:name w:val="EFAAnchor"/>
    <w:basedOn w:val="18"/>
    <w:qFormat/>
    <w:uiPriority w:val="0"/>
    <w:rPr>
      <w:sz w:val="4"/>
      <w:lang w:eastAsia="zh-CN"/>
    </w:rPr>
  </w:style>
  <w:style w:type="paragraph" w:customStyle="1" w:styleId="69">
    <w:name w:val="EFAFPColFrameAnchor"/>
    <w:basedOn w:val="40"/>
    <w:qFormat/>
    <w:uiPriority w:val="0"/>
    <w:pPr>
      <w:framePr w:wrap="around"/>
    </w:pPr>
    <w:rPr>
      <w:sz w:val="4"/>
      <w:szCs w:val="4"/>
    </w:rPr>
  </w:style>
  <w:style w:type="paragraph" w:customStyle="1" w:styleId="70">
    <w:name w:val="EFAFigureTitle_SC"/>
    <w:basedOn w:val="16"/>
    <w:next w:val="16"/>
    <w:link w:val="72"/>
    <w:qFormat/>
    <w:uiPriority w:val="0"/>
    <w:pPr>
      <w:spacing w:before="40" w:after="40"/>
    </w:pPr>
    <w:rPr>
      <w:rFonts w:cs="Calibri"/>
      <w:b/>
      <w:sz w:val="17"/>
    </w:rPr>
  </w:style>
  <w:style w:type="paragraph" w:customStyle="1" w:styleId="71">
    <w:name w:val="EFASource_SC"/>
    <w:basedOn w:val="16"/>
    <w:next w:val="16"/>
    <w:qFormat/>
    <w:uiPriority w:val="0"/>
    <w:rPr>
      <w:sz w:val="12"/>
    </w:rPr>
  </w:style>
  <w:style w:type="character" w:customStyle="1" w:styleId="72">
    <w:name w:val="EFAFigureTitle_SC Char"/>
    <w:basedOn w:val="34"/>
    <w:link w:val="70"/>
    <w:qFormat/>
    <w:uiPriority w:val="0"/>
    <w:rPr>
      <w:rFonts w:cs="Calibri"/>
      <w:b/>
      <w:sz w:val="17"/>
      <w:lang w:eastAsia="ja-JP"/>
    </w:rPr>
  </w:style>
  <w:style w:type="paragraph" w:customStyle="1" w:styleId="73">
    <w:name w:val="EFAFPCol_Hdr2"/>
    <w:basedOn w:val="40"/>
    <w:link w:val="75"/>
    <w:qFormat/>
    <w:uiPriority w:val="0"/>
    <w:pPr>
      <w:framePr w:wrap="around"/>
      <w:jc w:val="both"/>
    </w:pPr>
    <w:rPr>
      <w:b/>
      <w:color w:val="808080"/>
      <w:sz w:val="24"/>
      <w:szCs w:val="24"/>
    </w:rPr>
  </w:style>
  <w:style w:type="paragraph" w:customStyle="1" w:styleId="74">
    <w:name w:val="EFAFP_CustomRec"/>
    <w:link w:val="77"/>
    <w:qFormat/>
    <w:uiPriority w:val="0"/>
    <w:rPr>
      <w:rFonts w:ascii="Calibri" w:hAnsi="Calibri" w:eastAsia="MS Mincho" w:cs="Times New Roman"/>
      <w:b/>
      <w:bCs/>
      <w:snapToGrid w:val="0"/>
      <w:color w:val="23558C"/>
      <w:sz w:val="40"/>
      <w:szCs w:val="24"/>
      <w:lang w:val="en-US" w:eastAsia="zh-CN" w:bidi="ar-SA"/>
    </w:rPr>
  </w:style>
  <w:style w:type="character" w:customStyle="1" w:styleId="75">
    <w:name w:val="EFAFPCol_Hdr2 Char"/>
    <w:basedOn w:val="42"/>
    <w:link w:val="73"/>
    <w:qFormat/>
    <w:uiPriority w:val="0"/>
    <w:rPr>
      <w:b/>
      <w:color w:val="808080"/>
      <w:sz w:val="24"/>
      <w:szCs w:val="24"/>
    </w:rPr>
  </w:style>
  <w:style w:type="paragraph" w:customStyle="1" w:styleId="76">
    <w:name w:val="EFAFP_Rec"/>
    <w:basedOn w:val="40"/>
    <w:link w:val="79"/>
    <w:qFormat/>
    <w:uiPriority w:val="0"/>
    <w:pPr>
      <w:framePr w:wrap="around"/>
    </w:pPr>
    <w:rPr>
      <w:b/>
      <w:bCs/>
      <w:color w:val="23558C"/>
      <w:sz w:val="36"/>
    </w:rPr>
  </w:style>
  <w:style w:type="character" w:customStyle="1" w:styleId="77">
    <w:name w:val="EFAFP_CustomRec Char"/>
    <w:basedOn w:val="11"/>
    <w:link w:val="74"/>
    <w:qFormat/>
    <w:uiPriority w:val="0"/>
    <w:rPr>
      <w:b/>
      <w:bCs/>
      <w:color w:val="23558C"/>
      <w:sz w:val="40"/>
      <w:szCs w:val="24"/>
    </w:rPr>
  </w:style>
  <w:style w:type="character" w:customStyle="1" w:styleId="78">
    <w:name w:val="EFAFPReportType Char"/>
    <w:basedOn w:val="11"/>
    <w:link w:val="14"/>
    <w:qFormat/>
    <w:uiPriority w:val="0"/>
    <w:rPr>
      <w:color w:val="23558C"/>
      <w:sz w:val="44"/>
      <w:szCs w:val="44"/>
      <w:lang w:eastAsia="ja-JP"/>
    </w:rPr>
  </w:style>
  <w:style w:type="character" w:customStyle="1" w:styleId="79">
    <w:name w:val="EFAFP_Rec Char"/>
    <w:basedOn w:val="75"/>
    <w:link w:val="76"/>
    <w:qFormat/>
    <w:uiPriority w:val="0"/>
    <w:rPr>
      <w:bCs/>
      <w:color w:val="23558C"/>
      <w:sz w:val="36"/>
      <w:szCs w:val="14"/>
    </w:rPr>
  </w:style>
  <w:style w:type="paragraph" w:customStyle="1" w:styleId="80">
    <w:name w:val="EFAFPHdrInfo"/>
    <w:link w:val="81"/>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81">
    <w:name w:val="EFAFPHdrInfo Char"/>
    <w:basedOn w:val="78"/>
    <w:link w:val="80"/>
    <w:qFormat/>
    <w:uiPriority w:val="0"/>
    <w:rPr>
      <w:b/>
      <w:bCs/>
      <w:color w:val="000000"/>
      <w:sz w:val="32"/>
      <w:szCs w:val="32"/>
      <w:lang w:eastAsia="ja-JP"/>
    </w:rPr>
  </w:style>
  <w:style w:type="paragraph" w:customStyle="1" w:styleId="82">
    <w:name w:val="Style EFAFP_BodyText + After:  6 pt"/>
    <w:basedOn w:val="25"/>
    <w:qFormat/>
    <w:uiPriority w:val="0"/>
    <w:pPr>
      <w:spacing w:after="120"/>
    </w:pPr>
    <w:rPr>
      <w:rFonts w:eastAsia="Times New Roman"/>
      <w:snapToGrid/>
      <w:sz w:val="22"/>
      <w:szCs w:val="20"/>
    </w:rPr>
  </w:style>
  <w:style w:type="paragraph" w:customStyle="1" w:styleId="83">
    <w:name w:val="Style EFAFP_BodyText + 12 pt Bold Black After:  6 pt Kern at 14..."/>
    <w:basedOn w:val="25"/>
    <w:qFormat/>
    <w:uiPriority w:val="0"/>
    <w:pPr>
      <w:spacing w:after="120"/>
    </w:pPr>
    <w:rPr>
      <w:rFonts w:eastAsia="Times New Roman"/>
      <w:b/>
      <w:bCs/>
      <w:snapToGrid/>
      <w:color w:val="000000"/>
      <w:kern w:val="28"/>
      <w:sz w:val="26"/>
      <w:szCs w:val="20"/>
    </w:rPr>
  </w:style>
  <w:style w:type="paragraph" w:customStyle="1" w:styleId="84">
    <w:name w:val="EFAFP_Headline"/>
    <w:next w:val="85"/>
    <w:link w:val="86"/>
    <w:qFormat/>
    <w:uiPriority w:val="0"/>
    <w:pPr>
      <w:numPr>
        <w:ilvl w:val="0"/>
        <w:numId w:val="6"/>
      </w:numPr>
      <w:adjustRightInd w:val="0"/>
      <w:snapToGrid w:val="0"/>
    </w:pPr>
    <w:rPr>
      <w:rFonts w:ascii="Calibri" w:hAnsi="Calibri" w:eastAsia="Times New Roman" w:cs="Times New Roman"/>
      <w:b/>
      <w:bCs/>
      <w:snapToGrid/>
      <w:color w:val="23558C"/>
      <w:kern w:val="28"/>
      <w:sz w:val="28"/>
      <w:szCs w:val="20"/>
      <w:lang w:val="en-US" w:eastAsia="ja-JP" w:bidi="ar-SA"/>
    </w:rPr>
  </w:style>
  <w:style w:type="paragraph" w:customStyle="1" w:styleId="85">
    <w:name w:val="EFAFP_BodyText2"/>
    <w:link w:val="88"/>
    <w:qFormat/>
    <w:uiPriority w:val="0"/>
    <w:pPr>
      <w:adjustRightInd w:val="0"/>
      <w:snapToGrid w:val="0"/>
      <w:spacing w:after="120"/>
    </w:pPr>
    <w:rPr>
      <w:rFonts w:ascii="Calibri" w:hAnsi="Calibri" w:eastAsia="Times New Roman" w:cs="PMingLiU"/>
      <w:snapToGrid/>
      <w:sz w:val="20"/>
      <w:szCs w:val="20"/>
      <w:lang w:val="en-US" w:eastAsia="ja-JP" w:bidi="ar-SA"/>
    </w:rPr>
  </w:style>
  <w:style w:type="character" w:customStyle="1" w:styleId="86">
    <w:name w:val="EFAFP_Headline Char"/>
    <w:basedOn w:val="11"/>
    <w:link w:val="84"/>
    <w:qFormat/>
    <w:uiPriority w:val="0"/>
    <w:rPr>
      <w:rFonts w:eastAsia="Times New Roman"/>
      <w:b/>
      <w:bCs/>
      <w:snapToGrid/>
      <w:color w:val="23558C"/>
      <w:kern w:val="28"/>
      <w:sz w:val="28"/>
      <w:szCs w:val="20"/>
      <w:lang w:eastAsia="ja-JP"/>
    </w:rPr>
  </w:style>
  <w:style w:type="character" w:customStyle="1" w:styleId="87">
    <w:name w:val="EFABlueChar"/>
    <w:qFormat/>
    <w:uiPriority w:val="1"/>
    <w:rPr>
      <w:b/>
      <w:color w:val="23508C"/>
    </w:rPr>
  </w:style>
  <w:style w:type="character" w:customStyle="1" w:styleId="88">
    <w:name w:val="EFAFP_BodyText2 Char"/>
    <w:basedOn w:val="11"/>
    <w:link w:val="85"/>
    <w:qFormat/>
    <w:uiPriority w:val="0"/>
    <w:rPr>
      <w:rFonts w:eastAsia="Times New Roman" w:cs="PMingLiU"/>
      <w:snapToGrid/>
      <w:sz w:val="20"/>
      <w:szCs w:val="20"/>
      <w:lang w:eastAsia="ja-JP"/>
    </w:rPr>
  </w:style>
  <w:style w:type="paragraph" w:customStyle="1" w:styleId="89">
    <w:name w:val="EFAHeading2"/>
    <w:basedOn w:val="1"/>
    <w:link w:val="91"/>
    <w:qFormat/>
    <w:uiPriority w:val="0"/>
    <w:pPr>
      <w:widowControl w:val="0"/>
      <w:adjustRightInd w:val="0"/>
      <w:snapToGrid w:val="0"/>
      <w:spacing w:before="160"/>
    </w:pPr>
    <w:rPr>
      <w:color w:val="23558C"/>
      <w:kern w:val="28"/>
      <w:sz w:val="28"/>
    </w:rPr>
  </w:style>
  <w:style w:type="paragraph" w:customStyle="1" w:styleId="90">
    <w:name w:val="EFABodyText2"/>
    <w:basedOn w:val="16"/>
    <w:link w:val="93"/>
    <w:qFormat/>
    <w:uiPriority w:val="0"/>
    <w:rPr>
      <w:szCs w:val="22"/>
    </w:rPr>
  </w:style>
  <w:style w:type="character" w:customStyle="1" w:styleId="91">
    <w:name w:val="EFAHeading2 Char"/>
    <w:basedOn w:val="11"/>
    <w:link w:val="89"/>
    <w:qFormat/>
    <w:uiPriority w:val="0"/>
    <w:rPr>
      <w:color w:val="23558C"/>
      <w:kern w:val="28"/>
      <w:sz w:val="28"/>
      <w:lang w:eastAsia="ja-JP"/>
    </w:rPr>
  </w:style>
  <w:style w:type="paragraph" w:customStyle="1" w:styleId="92">
    <w:name w:val="EFAHeading_with_bullet"/>
    <w:basedOn w:val="1"/>
    <w:next w:val="90"/>
    <w:link w:val="94"/>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3">
    <w:name w:val="EFABodyText2 Char"/>
    <w:basedOn w:val="34"/>
    <w:link w:val="90"/>
    <w:qFormat/>
    <w:uiPriority w:val="0"/>
    <w:rPr>
      <w:sz w:val="20"/>
      <w:szCs w:val="22"/>
      <w:lang w:eastAsia="ja-JP"/>
    </w:rPr>
  </w:style>
  <w:style w:type="character" w:customStyle="1" w:styleId="94">
    <w:name w:val="EFAHeading_with_bullet Char"/>
    <w:basedOn w:val="11"/>
    <w:link w:val="92"/>
    <w:qFormat/>
    <w:uiPriority w:val="0"/>
    <w:rPr>
      <w:b/>
      <w:color w:val="23558C"/>
      <w:kern w:val="28"/>
      <w:sz w:val="28"/>
      <w:lang w:eastAsia="ja-JP"/>
    </w:rPr>
  </w:style>
  <w:style w:type="paragraph" w:customStyle="1" w:styleId="95">
    <w:name w:val="EFARiskText"/>
    <w:link w:val="97"/>
    <w:qFormat/>
    <w:uiPriority w:val="0"/>
    <w:pPr>
      <w:jc w:val="center"/>
    </w:pPr>
    <w:rPr>
      <w:rFonts w:ascii="Calibri" w:hAnsi="Calibri" w:eastAsia="MS Mincho" w:cs="Times New Roman"/>
      <w:snapToGrid/>
      <w:color w:val="23508C"/>
      <w:sz w:val="16"/>
      <w:szCs w:val="16"/>
      <w:lang w:val="en-US" w:eastAsia="ja-JP" w:bidi="ar-SA"/>
    </w:rPr>
  </w:style>
  <w:style w:type="paragraph" w:customStyle="1" w:styleId="96">
    <w:name w:val="EFARiskText_Inv"/>
    <w:basedOn w:val="95"/>
    <w:link w:val="98"/>
    <w:qFormat/>
    <w:uiPriority w:val="0"/>
    <w:rPr>
      <w:b/>
      <w:color w:val="FFFFFF"/>
    </w:rPr>
  </w:style>
  <w:style w:type="character" w:customStyle="1" w:styleId="97">
    <w:name w:val="EFARiskText Char"/>
    <w:basedOn w:val="11"/>
    <w:link w:val="95"/>
    <w:qFormat/>
    <w:uiPriority w:val="0"/>
    <w:rPr>
      <w:snapToGrid/>
      <w:color w:val="23508C"/>
      <w:lang w:eastAsia="ja-JP"/>
    </w:rPr>
  </w:style>
  <w:style w:type="character" w:customStyle="1" w:styleId="98">
    <w:name w:val="EFARiskText_Inv Char"/>
    <w:basedOn w:val="97"/>
    <w:link w:val="96"/>
    <w:qFormat/>
    <w:uiPriority w:val="0"/>
    <w:rPr>
      <w:b/>
      <w:snapToGrid/>
      <w:color w:val="FFFFFF"/>
      <w:lang w:eastAsia="ja-JP"/>
    </w:rPr>
  </w:style>
  <w:style w:type="paragraph" w:customStyle="1" w:styleId="99">
    <w:name w:val="EFAHeading3"/>
    <w:basedOn w:val="1"/>
    <w:link w:val="104"/>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0">
    <w:name w:val="EFATextInBullet"/>
    <w:link w:val="102"/>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1">
    <w:name w:val="EFATextInBullet_Inv"/>
    <w:basedOn w:val="100"/>
    <w:qFormat/>
    <w:uiPriority w:val="0"/>
    <w:rPr>
      <w:color w:val="FFFFFF" w:themeColor="background1"/>
      <w14:textFill>
        <w14:solidFill>
          <w14:schemeClr w14:val="bg1"/>
        </w14:solidFill>
      </w14:textFill>
    </w:rPr>
  </w:style>
  <w:style w:type="character" w:customStyle="1" w:styleId="102">
    <w:name w:val="EFATextInBullet Char"/>
    <w:basedOn w:val="11"/>
    <w:link w:val="100"/>
    <w:qFormat/>
    <w:uiPriority w:val="0"/>
    <w:rPr>
      <w:b/>
      <w:bCs/>
      <w:lang w:eastAsia="ja-JP"/>
    </w:rPr>
  </w:style>
  <w:style w:type="paragraph" w:customStyle="1" w:styleId="103">
    <w:name w:val="EFAHeading"/>
    <w:link w:val="105"/>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4">
    <w:name w:val="EFAHeading3 Char"/>
    <w:basedOn w:val="11"/>
    <w:link w:val="99"/>
    <w:qFormat/>
    <w:uiPriority w:val="0"/>
    <w:rPr>
      <w:b/>
      <w:color w:val="23558C"/>
      <w:kern w:val="28"/>
      <w:sz w:val="28"/>
      <w:lang w:eastAsia="ja-JP"/>
    </w:rPr>
  </w:style>
  <w:style w:type="character" w:customStyle="1" w:styleId="105">
    <w:name w:val="EFAHeading Char"/>
    <w:basedOn w:val="11"/>
    <w:link w:val="103"/>
    <w:qFormat/>
    <w:uiPriority w:val="0"/>
    <w:rPr>
      <w:b/>
      <w:color w:val="000000"/>
      <w:kern w:val="28"/>
      <w:sz w:val="24"/>
      <w:szCs w:val="14"/>
      <w:lang w:eastAsia="ja-JP"/>
    </w:rPr>
  </w:style>
  <w:style w:type="character" w:customStyle="1" w:styleId="106">
    <w:name w:val="EFASubHeader Char"/>
    <w:basedOn w:val="34"/>
    <w:link w:val="55"/>
    <w:qFormat/>
    <w:uiPriority w:val="0"/>
    <w:rPr>
      <w:b/>
      <w:bCs/>
      <w:sz w:val="20"/>
      <w:lang w:eastAsia="ja-JP"/>
    </w:rPr>
  </w:style>
  <w:style w:type="character" w:customStyle="1" w:styleId="107">
    <w:name w:val="EFAFPFrameText_11.5pt Char"/>
    <w:basedOn w:val="11"/>
    <w:link w:val="21"/>
    <w:qFormat/>
    <w:uiPriority w:val="0"/>
    <w:rPr>
      <w:b/>
      <w:color w:val="23558C"/>
      <w:sz w:val="24"/>
      <w:lang w:eastAsia="ja-JP"/>
    </w:rPr>
  </w:style>
  <w:style w:type="character" w:customStyle="1" w:styleId="108">
    <w:name w:val="EFAFPTitle Char"/>
    <w:basedOn w:val="11"/>
    <w:link w:val="39"/>
    <w:qFormat/>
    <w:uiPriority w:val="0"/>
    <w:rPr>
      <w:b/>
      <w:color w:val="FFFFFF"/>
      <w:sz w:val="32"/>
      <w:szCs w:val="32"/>
      <w:lang w:eastAsia="ja-JP"/>
    </w:rPr>
  </w:style>
  <w:style w:type="character" w:customStyle="1" w:styleId="109">
    <w:name w:val="EFAFPFrameText_11.5pt_Right Char"/>
    <w:basedOn w:val="107"/>
    <w:link w:val="20"/>
    <w:qFormat/>
    <w:uiPriority w:val="0"/>
    <w:rPr>
      <w:bCs/>
      <w:color w:val="23558C"/>
      <w:sz w:val="24"/>
      <w:szCs w:val="32"/>
      <w:lang w:eastAsia="ja-JP"/>
    </w:rPr>
  </w:style>
  <w:style w:type="paragraph" w:customStyle="1" w:styleId="110">
    <w:name w:val="EFADisclaimerHiddenText"/>
    <w:link w:val="111"/>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1">
    <w:name w:val="EFADisclaimerHiddenText Char"/>
    <w:basedOn w:val="11"/>
    <w:link w:val="110"/>
    <w:qFormat/>
    <w:uiPriority w:val="0"/>
    <w:rPr>
      <w:vanish/>
      <w:color w:val="FFFFFF"/>
      <w:sz w:val="2"/>
      <w:lang w:eastAsia="ja-JP"/>
    </w:rPr>
  </w:style>
  <w:style w:type="paragraph" w:customStyle="1" w:styleId="112">
    <w:name w:val="EFATagging"/>
    <w:link w:val="113"/>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3">
    <w:name w:val="EFATagging Char"/>
    <w:basedOn w:val="11"/>
    <w:link w:val="112"/>
    <w:qFormat/>
    <w:uiPriority w:val="0"/>
    <w:rPr>
      <w:bCs/>
      <w:color w:val="0066CC" w:themeColor="accent1" w:themeShade="80"/>
      <w:lang w:eastAsia="ja-JP"/>
    </w:rPr>
  </w:style>
  <w:style w:type="paragraph" w:customStyle="1" w:styleId="114">
    <w:name w:val="EFAFP_Tagging"/>
    <w:link w:val="115"/>
    <w:qFormat/>
    <w:uiPriority w:val="0"/>
    <w:rPr>
      <w:rFonts w:ascii="Calibri" w:hAnsi="Calibri" w:eastAsia="MS Mincho" w:cs="Times New Roman"/>
      <w:snapToGrid w:val="0"/>
      <w:color w:val="0066CC" w:themeColor="accent1" w:themeShade="80"/>
      <w:sz w:val="16"/>
      <w:szCs w:val="20"/>
      <w:lang w:val="en-US" w:eastAsia="ja-JP" w:bidi="ar-SA"/>
    </w:rPr>
  </w:style>
  <w:style w:type="character" w:customStyle="1" w:styleId="115">
    <w:name w:val="EFAFP_Tagging Char"/>
    <w:basedOn w:val="11"/>
    <w:link w:val="114"/>
    <w:qFormat/>
    <w:uiPriority w:val="0"/>
    <w:rPr>
      <w:color w:val="0066CC" w:themeColor="accent1" w:themeShade="80"/>
      <w:szCs w:val="20"/>
      <w:lang w:eastAsia="ja-JP"/>
    </w:rPr>
  </w:style>
  <w:style w:type="paragraph" w:customStyle="1" w:styleId="116">
    <w:name w:val="EFAFPHdrInfo3"/>
    <w:link w:val="117"/>
    <w:qFormat/>
    <w:uiPriority w:val="0"/>
    <w:rPr>
      <w:rFonts w:ascii="Calibri" w:hAnsi="Calibri" w:eastAsia="MS Mincho" w:cs="Times New Roman"/>
      <w:b/>
      <w:bCs/>
      <w:snapToGrid w:val="0"/>
      <w:color w:val="000000"/>
      <w:sz w:val="32"/>
      <w:szCs w:val="20"/>
      <w:lang w:val="en-US" w:eastAsia="ja-JP" w:bidi="ar-SA"/>
    </w:rPr>
  </w:style>
  <w:style w:type="character" w:customStyle="1" w:styleId="117">
    <w:name w:val="EFAFPHdrInfo3 Char"/>
    <w:basedOn w:val="11"/>
    <w:link w:val="116"/>
    <w:qFormat/>
    <w:uiPriority w:val="0"/>
    <w:rPr>
      <w:b/>
      <w:bCs/>
      <w:color w:val="000000"/>
      <w:sz w:val="32"/>
      <w:szCs w:val="20"/>
      <w:lang w:eastAsia="ja-JP"/>
    </w:rPr>
  </w:style>
  <w:style w:type="paragraph" w:customStyle="1" w:styleId="118">
    <w:name w:val="EFAFP_HTI_Link"/>
    <w:basedOn w:val="40"/>
    <w:qFormat/>
    <w:uiPriority w:val="0"/>
    <w:pPr>
      <w:framePr w:wrap="around"/>
      <w:jc w:val="center"/>
    </w:pPr>
    <w:rPr>
      <w:sz w:val="20"/>
      <w:szCs w:val="20"/>
    </w:rPr>
  </w:style>
  <w:style w:type="paragraph" w:customStyle="1" w:styleId="119">
    <w:name w:val="EFAFPTitle6"/>
    <w:link w:val="120"/>
    <w:qFormat/>
    <w:uiPriority w:val="0"/>
    <w:rPr>
      <w:rFonts w:ascii="Calibri" w:hAnsi="Calibri" w:eastAsia="MS Mincho" w:cs="Times New Roman"/>
      <w:b/>
      <w:bCs/>
      <w:snapToGrid w:val="0"/>
      <w:color w:val="FFFFFF"/>
      <w:sz w:val="32"/>
      <w:szCs w:val="20"/>
      <w:lang w:val="en-US" w:eastAsia="ja-JP" w:bidi="ar-SA"/>
    </w:rPr>
  </w:style>
  <w:style w:type="character" w:customStyle="1" w:styleId="120">
    <w:name w:val="EFAFPTitle6 Char"/>
    <w:basedOn w:val="11"/>
    <w:link w:val="119"/>
    <w:qFormat/>
    <w:uiPriority w:val="0"/>
    <w:rPr>
      <w:b/>
      <w:bCs/>
      <w:color w:val="FFFFFF"/>
      <w:sz w:val="32"/>
      <w:szCs w:val="20"/>
      <w:lang w:eastAsia="ja-JP"/>
    </w:rPr>
  </w:style>
  <w:style w:type="paragraph" w:customStyle="1" w:styleId="121">
    <w:name w:val="EFAHiddenText"/>
    <w:link w:val="122"/>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2">
    <w:name w:val="EFAHiddenText Char"/>
    <w:basedOn w:val="11"/>
    <w:link w:val="121"/>
    <w:qFormat/>
    <w:uiPriority w:val="0"/>
    <w:rPr>
      <w:vanish/>
      <w:sz w:val="2"/>
      <w:lang w:eastAsia="ja-JP"/>
    </w:rPr>
  </w:style>
  <w:style w:type="character" w:customStyle="1" w:styleId="123">
    <w:name w:val="EFAFPFooter2 Char"/>
    <w:basedOn w:val="11"/>
    <w:link w:val="37"/>
    <w:qFormat/>
    <w:uiPriority w:val="0"/>
    <w:rPr>
      <w:rFonts w:cs="Arial"/>
      <w:sz w:val="21"/>
      <w:lang w:eastAsia="ja-JP"/>
    </w:rPr>
  </w:style>
  <w:style w:type="table" w:customStyle="1" w:styleId="124">
    <w:name w:val="Table Grid1"/>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EFAFP_HTI_Link2"/>
    <w:link w:val="126"/>
    <w:qFormat/>
    <w:uiPriority w:val="0"/>
    <w:rPr>
      <w:rFonts w:ascii="Calibri" w:hAnsi="Calibri" w:eastAsia="MS Mincho" w:cs="Times New Roman"/>
      <w:snapToGrid w:val="0"/>
      <w:sz w:val="16"/>
      <w:szCs w:val="16"/>
      <w:lang w:val="en-US" w:eastAsia="zh-CN" w:bidi="ar-SA"/>
    </w:rPr>
  </w:style>
  <w:style w:type="character" w:customStyle="1" w:styleId="126">
    <w:name w:val="EFAFP_HTI_Link2 Char"/>
    <w:basedOn w:val="11"/>
    <w:link w:val="125"/>
    <w:qFormat/>
    <w:uiPriority w:val="0"/>
  </w:style>
  <w:style w:type="paragraph" w:customStyle="1" w:styleId="127">
    <w:name w:val="EFAFP_HeadLine_SE"/>
    <w:link w:val="129"/>
    <w:qFormat/>
    <w:uiPriority w:val="0"/>
    <w:rPr>
      <w:rFonts w:ascii="Calibri" w:hAnsi="Calibri" w:eastAsia="Times New Roman" w:cs="Times New Roman"/>
      <w:b/>
      <w:bCs/>
      <w:snapToGrid/>
      <w:color w:val="23558C"/>
      <w:kern w:val="28"/>
      <w:sz w:val="22"/>
      <w:szCs w:val="20"/>
      <w:lang w:val="en-US" w:eastAsia="ja-JP" w:bidi="ar-SA"/>
    </w:rPr>
  </w:style>
  <w:style w:type="paragraph" w:customStyle="1" w:styleId="128">
    <w:name w:val="EFAFPBodyText_SE"/>
    <w:link w:val="130"/>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snapToGrid/>
      <w:sz w:val="20"/>
      <w:szCs w:val="20"/>
      <w:lang w:val="en-US" w:eastAsia="ja-JP" w:bidi="ar-SA"/>
    </w:rPr>
  </w:style>
  <w:style w:type="character" w:customStyle="1" w:styleId="129">
    <w:name w:val="EFAFP_HeadLine_SE Char"/>
    <w:basedOn w:val="11"/>
    <w:link w:val="127"/>
    <w:qFormat/>
    <w:uiPriority w:val="0"/>
    <w:rPr>
      <w:rFonts w:eastAsia="Times New Roman"/>
      <w:b/>
      <w:bCs/>
      <w:snapToGrid/>
      <w:color w:val="23558C"/>
      <w:kern w:val="28"/>
      <w:sz w:val="22"/>
      <w:szCs w:val="20"/>
      <w:lang w:eastAsia="ja-JP"/>
    </w:rPr>
  </w:style>
  <w:style w:type="character" w:customStyle="1" w:styleId="130">
    <w:name w:val="EFAFPBodyText_SE Char"/>
    <w:basedOn w:val="11"/>
    <w:link w:val="128"/>
    <w:qFormat/>
    <w:uiPriority w:val="0"/>
    <w:rPr>
      <w:rFonts w:eastAsia="Times New Roman" w:cs="PMingLiU"/>
      <w:snapToGrid/>
      <w:sz w:val="20"/>
      <w:szCs w:val="20"/>
      <w:lang w:eastAsia="ja-JP"/>
    </w:rPr>
  </w:style>
  <w:style w:type="paragraph" w:customStyle="1" w:styleId="131">
    <w:name w:val="EFAHeader_SE"/>
    <w:link w:val="133"/>
    <w:qFormat/>
    <w:uiPriority w:val="0"/>
    <w:pPr>
      <w:spacing w:after="280" w:line="280" w:lineRule="exact"/>
    </w:pPr>
    <w:rPr>
      <w:rFonts w:ascii="Calibri" w:hAnsi="Calibri" w:eastAsia="MS Mincho" w:cs="Times New Roman"/>
      <w:b/>
      <w:bCs/>
      <w:snapToGrid/>
      <w:color w:val="23558C"/>
      <w:kern w:val="28"/>
      <w:sz w:val="22"/>
      <w:szCs w:val="16"/>
      <w:lang w:val="en-US" w:eastAsia="ja-JP" w:bidi="ar-SA"/>
    </w:rPr>
  </w:style>
  <w:style w:type="paragraph" w:customStyle="1" w:styleId="132">
    <w:name w:val="EFABodyText_SE"/>
    <w:link w:val="135"/>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snapToGrid/>
      <w:sz w:val="20"/>
      <w:szCs w:val="20"/>
      <w:lang w:val="en-US" w:eastAsia="ja-JP" w:bidi="ar-SA"/>
    </w:rPr>
  </w:style>
  <w:style w:type="character" w:customStyle="1" w:styleId="133">
    <w:name w:val="EFAHeader_SE Char"/>
    <w:basedOn w:val="11"/>
    <w:link w:val="131"/>
    <w:qFormat/>
    <w:uiPriority w:val="0"/>
    <w:rPr>
      <w:b/>
      <w:bCs/>
      <w:snapToGrid/>
      <w:color w:val="23558C"/>
      <w:kern w:val="28"/>
      <w:sz w:val="22"/>
      <w:lang w:eastAsia="ja-JP"/>
    </w:rPr>
  </w:style>
  <w:style w:type="paragraph" w:customStyle="1" w:styleId="134">
    <w:name w:val="EFABodyText_SE2"/>
    <w:link w:val="136"/>
    <w:qFormat/>
    <w:uiPriority w:val="0"/>
    <w:rPr>
      <w:rFonts w:ascii="Calibri" w:hAnsi="Calibri" w:eastAsia="Times New Roman" w:cs="PMingLiU"/>
      <w:snapToGrid/>
      <w:sz w:val="20"/>
      <w:szCs w:val="20"/>
      <w:lang w:val="en-US" w:eastAsia="ja-JP" w:bidi="ar-SA"/>
    </w:rPr>
  </w:style>
  <w:style w:type="character" w:customStyle="1" w:styleId="135">
    <w:name w:val="EFABodyText_SE Char"/>
    <w:basedOn w:val="11"/>
    <w:link w:val="132"/>
    <w:qFormat/>
    <w:uiPriority w:val="0"/>
    <w:rPr>
      <w:rFonts w:eastAsia="Times New Roman" w:cs="PMingLiU"/>
      <w:snapToGrid/>
      <w:sz w:val="20"/>
      <w:szCs w:val="20"/>
      <w:lang w:eastAsia="ja-JP"/>
    </w:rPr>
  </w:style>
  <w:style w:type="character" w:customStyle="1" w:styleId="136">
    <w:name w:val="EFABodyText_SE2 Char"/>
    <w:basedOn w:val="11"/>
    <w:link w:val="134"/>
    <w:qFormat/>
    <w:uiPriority w:val="0"/>
    <w:rPr>
      <w:rFonts w:eastAsia="Times New Roman" w:cs="PMingLiU"/>
      <w:snapToGrid/>
      <w:sz w:val="20"/>
      <w:szCs w:val="20"/>
      <w:lang w:eastAsia="ja-JP"/>
    </w:rPr>
  </w:style>
  <w:style w:type="character" w:customStyle="1" w:styleId="137">
    <w:name w:val="EFADisclaimerText Char"/>
    <w:basedOn w:val="11"/>
    <w:link w:val="22"/>
    <w:qFormat/>
    <w:locked/>
    <w:uiPriority w:val="99"/>
    <w:rPr>
      <w:lang w:eastAsia="ja-JP"/>
    </w:rPr>
  </w:style>
  <w:style w:type="paragraph" w:customStyle="1" w:styleId="138">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39">
    <w:name w:val="EFAFPFooter"/>
    <w:basedOn w:val="18"/>
    <w:qFormat/>
    <w:uiPriority w:val="0"/>
    <w:pPr>
      <w:tabs>
        <w:tab w:val="right" w:pos="10679"/>
      </w:tabs>
      <w:autoSpaceDE w:val="0"/>
      <w:autoSpaceDN w:val="0"/>
      <w:jc w:val="both"/>
    </w:pPr>
    <w:rPr>
      <w:rFonts w:eastAsia="宋体" w:cs="Arial"/>
      <w:b/>
    </w:rPr>
  </w:style>
  <w:style w:type="paragraph" w:customStyle="1" w:styleId="140">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1">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2">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3">
    <w:name w:val="Common"/>
    <w:basedOn w:val="1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285173-6CA3-4F8A-8A22-FE28415BA957}">
  <ds:schemaRefs/>
</ds:datastoreItem>
</file>

<file path=docProps/app.xml><?xml version="1.0" encoding="utf-8"?>
<Properties xmlns="http://schemas.openxmlformats.org/officeDocument/2006/extended-properties" xmlns:vt="http://schemas.openxmlformats.org/officeDocument/2006/docPropsVTypes">
  <Template>The Scoop - HTI.dotx</Template>
  <Company>Japaninvest</Company>
  <Pages>5</Pages>
  <Words>1961</Words>
  <Characters>10868</Characters>
  <Lines>401</Lines>
  <Paragraphs>175</Paragraphs>
  <TotalTime>24</TotalTime>
  <ScaleCrop>false</ScaleCrop>
  <LinksUpToDate>false</LinksUpToDate>
  <CharactersWithSpaces>12725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2021-05-17T12:04:00Z</dcterms:created>
  <dc:creator>HaiTong-IT</dc:creator>
  <cp:lastModifiedBy>微信用户</cp:lastModifiedBy>
  <cp:lastPrinted>2020-02-08T07:07:00Z</cp:lastPrinted>
  <dcterms:modified xsi:type="dcterms:W3CDTF">2026-01-29T13:22:51Z</dcterms:modified>
  <dc:title>Corp note</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TemplateID">
    <vt:lpwstr>201</vt:lpwstr>
  </property>
  <property fmtid="{D5CDD505-2E9C-101B-9397-08002B2CF9AE}" pid="3" name="EFATemplate">
    <vt:lpwstr>The Scoop - HTI.dotx</vt:lpwstr>
  </property>
  <property fmtid="{D5CDD505-2E9C-101B-9397-08002B2CF9AE}" pid="4" name="EFACorpID">
    <vt:lpwstr>846</vt:lpwstr>
  </property>
  <property fmtid="{D5CDD505-2E9C-101B-9397-08002B2CF9AE}" pid="5" name="EFACoName">
    <vt:lpwstr>AAC Technologies Holdings</vt:lpwstr>
  </property>
  <property fmtid="{D5CDD505-2E9C-101B-9397-08002B2CF9AE}" pid="6" name="EFAModel">
    <vt:lpwstr>INDUSTRIAL</vt:lpwstr>
  </property>
  <property fmtid="{D5CDD505-2E9C-101B-9397-08002B2CF9AE}" pid="7" name="EFADevData">
    <vt:lpwstr>0</vt:lpwstr>
  </property>
  <property fmtid="{D5CDD505-2E9C-101B-9397-08002B2CF9AE}" pid="8" name="EFAUnits">
    <vt:lpwstr>Use Default</vt:lpwstr>
  </property>
  <property fmtid="{D5CDD505-2E9C-101B-9397-08002B2CF9AE}" pid="9" name="EFAStartYear">
    <vt:lpwstr>0</vt:lpwstr>
  </property>
  <property fmtid="{D5CDD505-2E9C-101B-9397-08002B2CF9AE}" pid="10" name="EFADefaultPriceDate">
    <vt:lpwstr>-1</vt:lpwstr>
  </property>
  <property fmtid="{D5CDD505-2E9C-101B-9397-08002B2CF9AE}" pid="11" name="EFAPriceDate">
    <vt:lpwstr>20190902 00:00:00</vt:lpwstr>
  </property>
  <property fmtid="{D5CDD505-2E9C-101B-9397-08002B2CF9AE}" pid="12" name="EFADocID">
    <vt:lpwstr>39600</vt:lpwstr>
  </property>
  <property fmtid="{D5CDD505-2E9C-101B-9397-08002B2CF9AE}" pid="13" name="EFALastRefreshDate">
    <vt:lpwstr>20190903 09:07:58</vt:lpwstr>
  </property>
  <property fmtid="{D5CDD505-2E9C-101B-9397-08002B2CF9AE}" pid="14" name="EFAUserID">
    <vt:lpwstr>2106</vt:lpwstr>
  </property>
  <property fmtid="{D5CDD505-2E9C-101B-9397-08002B2CF9AE}" pid="15" name="EFAAccountID">
    <vt:lpwstr>1010</vt:lpwstr>
  </property>
  <property fmtid="{D5CDD505-2E9C-101B-9397-08002B2CF9AE}" pid="16" name="EFALanguageID">
    <vt:lpwstr>2057</vt:lpwstr>
  </property>
  <property fmtid="{D5CDD505-2E9C-101B-9397-08002B2CF9AE}" pid="17" name="EFAExcelVersion">
    <vt:lpwstr>14</vt:lpwstr>
  </property>
  <property fmtid="{D5CDD505-2E9C-101B-9397-08002B2CF9AE}" pid="18" name="EFAWordVersion">
    <vt:lpwstr>14</vt:lpwstr>
  </property>
  <property fmtid="{D5CDD505-2E9C-101B-9397-08002B2CF9AE}" pid="19" name="EFAUseIntTables">
    <vt:lpwstr>0</vt:lpwstr>
  </property>
  <property fmtid="{D5CDD505-2E9C-101B-9397-08002B2CF9AE}" pid="20" name="EFAIntStartYear">
    <vt:lpwstr>0</vt:lpwstr>
  </property>
  <property fmtid="{D5CDD505-2E9C-101B-9397-08002B2CF9AE}" pid="21" name="EFAIntEndYear">
    <vt:lpwstr>0</vt:lpwstr>
  </property>
  <property fmtid="{D5CDD505-2E9C-101B-9397-08002B2CF9AE}" pid="22" name="EFAFirstIntOffset">
    <vt:lpwstr>1</vt:lpwstr>
  </property>
  <property fmtid="{D5CDD505-2E9C-101B-9397-08002B2CF9AE}" pid="23" name="EFAIntPeriodNumber">
    <vt:lpwstr>0</vt:lpwstr>
  </property>
  <property fmtid="{D5CDD505-2E9C-101B-9397-08002B2CF9AE}" pid="24" name="EFASectorID">
    <vt:lpwstr>5</vt:lpwstr>
  </property>
  <property fmtid="{D5CDD505-2E9C-101B-9397-08002B2CF9AE}" pid="25" name="EFAIndustryID">
    <vt:lpwstr>19</vt:lpwstr>
  </property>
  <property fmtid="{D5CDD505-2E9C-101B-9397-08002B2CF9AE}" pid="26" name="EFAMarket">
    <vt:lpwstr>HK</vt:lpwstr>
  </property>
  <property fmtid="{D5CDD505-2E9C-101B-9397-08002B2CF9AE}" pid="27" name="EFASecurityIndex">
    <vt:lpwstr>842</vt:lpwstr>
  </property>
  <property fmtid="{D5CDD505-2E9C-101B-9397-08002B2CF9AE}" pid="28" name="EFASecurityID">
    <vt:lpwstr>2018 HK</vt:lpwstr>
  </property>
  <property fmtid="{D5CDD505-2E9C-101B-9397-08002B2CF9AE}" pid="29" name="EFAAnnualise">
    <vt:lpwstr>0</vt:lpwstr>
  </property>
  <property fmtid="{D5CDD505-2E9C-101B-9397-08002B2CF9AE}" pid="30" name="EFAAnnMonth">
    <vt:lpwstr>12</vt:lpwstr>
  </property>
  <property fmtid="{D5CDD505-2E9C-101B-9397-08002B2CF9AE}" pid="31" name="EFACompCorpIDs">
    <vt:lpwstr/>
  </property>
  <property fmtid="{D5CDD505-2E9C-101B-9397-08002B2CF9AE}" pid="32" name="EFACompCorpNames">
    <vt:lpwstr/>
  </property>
  <property fmtid="{D5CDD505-2E9C-101B-9397-08002B2CF9AE}" pid="33" name="EFACoShortName">
    <vt:lpwstr>AAC Technologies Holdings</vt:lpwstr>
  </property>
  <property fmtid="{D5CDD505-2E9C-101B-9397-08002B2CF9AE}" pid="34" name="EFACompCorpShortNames">
    <vt:lpwstr/>
  </property>
  <property fmtid="{D5CDD505-2E9C-101B-9397-08002B2CF9AE}" pid="35" name="EFACorpMentionIDs">
    <vt:lpwstr>846</vt:lpwstr>
  </property>
  <property fmtid="{D5CDD505-2E9C-101B-9397-08002B2CF9AE}" pid="36" name="EFACorpMentionNames">
    <vt:lpwstr>AAC Technologies Holdings</vt:lpwstr>
  </property>
  <property fmtid="{D5CDD505-2E9C-101B-9397-08002B2CF9AE}" pid="37" name="EFACorpMentionShortNames">
    <vt:lpwstr>AAC Technologies Holdings</vt:lpwstr>
  </property>
  <property fmtid="{D5CDD505-2E9C-101B-9397-08002B2CF9AE}" pid="38" name="EFAAuthorIDs">
    <vt:lpwstr>2106</vt:lpwstr>
  </property>
  <property fmtid="{D5CDD505-2E9C-101B-9397-08002B2CF9AE}" pid="39" name="EFAAuthorNames">
    <vt:lpwstr>Amber Zhou</vt:lpwstr>
  </property>
  <property fmtid="{D5CDD505-2E9C-101B-9397-08002B2CF9AE}" pid="40" name="EFAAuthorEmails">
    <vt:lpwstr>amber.lh.zhou@htisec.com</vt:lpwstr>
  </property>
  <property fmtid="{D5CDD505-2E9C-101B-9397-08002B2CF9AE}" pid="41" name="EFAAuthorPhones">
    <vt:lpwstr/>
  </property>
  <property fmtid="{D5CDD505-2E9C-101B-9397-08002B2CF9AE}" pid="42" name="EFAAuthorJobTitles">
    <vt:lpwstr/>
  </property>
  <property fmtid="{D5CDD505-2E9C-101B-9397-08002B2CF9AE}" pid="43" name="EFAPageCount">
    <vt:lpwstr>8</vt:lpwstr>
  </property>
  <property fmtid="{D5CDD505-2E9C-101B-9397-08002B2CF9AE}" pid="44" name="date">
    <vt:lpwstr>30 Jun 2020</vt:lpwstr>
  </property>
  <property fmtid="{D5CDD505-2E9C-101B-9397-08002B2CF9AE}" pid="45" name="rank">
    <vt:lpwstr>Downgrade to UNDERPERFORM</vt:lpwstr>
  </property>
  <property fmtid="{D5CDD505-2E9C-101B-9397-08002B2CF9AE}" pid="46" name="stockinfo">
    <vt:lpwstr>BTG Hotels Group (600258 CH)</vt:lpwstr>
  </property>
  <property fmtid="{D5CDD505-2E9C-101B-9397-08002B2CF9AE}" pid="47" name="reporttype">
    <vt:lpwstr>1</vt:lpwstr>
  </property>
  <property fmtid="{D5CDD505-2E9C-101B-9397-08002B2CF9AE}" pid="48" name="mktcode">
    <vt:lpwstr>CH</vt:lpwstr>
  </property>
  <property fmtid="{D5CDD505-2E9C-101B-9397-08002B2CF9AE}" pid="49" name="analysts">
    <vt:lpwstr>System.Collections.ArrayList</vt:lpwstr>
  </property>
  <property fmtid="{D5CDD505-2E9C-101B-9397-08002B2CF9AE}" pid="50" name="scode">
    <vt:lpwstr>600258</vt:lpwstr>
  </property>
  <property fmtid="{D5CDD505-2E9C-101B-9397-08002B2CF9AE}" pid="51" name="updateDate">
    <vt:lpwstr>2020-06-02</vt:lpwstr>
  </property>
  <property fmtid="{D5CDD505-2E9C-101B-9397-08002B2CF9AE}" pid="52" name="sname">
    <vt:lpwstr>600258 CH</vt:lpwstr>
  </property>
  <property fmtid="{D5CDD505-2E9C-101B-9397-08002B2CF9AE}" pid="53" name="analystids">
    <vt:lpwstr>56,77,110</vt:lpwstr>
  </property>
  <property fmtid="{D5CDD505-2E9C-101B-9397-08002B2CF9AE}" pid="54" name="stype">
    <vt:lpwstr>2</vt:lpwstr>
  </property>
  <property fmtid="{D5CDD505-2E9C-101B-9397-08002B2CF9AE}" pid="55" name="investrank">
    <vt:lpwstr>BUY</vt:lpwstr>
  </property>
  <property fmtid="{D5CDD505-2E9C-101B-9397-08002B2CF9AE}" pid="56" name="targetprice">
    <vt:lpwstr>50.00</vt:lpwstr>
  </property>
  <property fmtid="{D5CDD505-2E9C-101B-9397-08002B2CF9AE}" pid="57" name="languageType">
    <vt:lpwstr>0</vt:lpwstr>
  </property>
  <property fmtid="{D5CDD505-2E9C-101B-9397-08002B2CF9AE}" pid="58" name="versiontype">
    <vt:lpwstr>HTI_Company_EN</vt:lpwstr>
  </property>
  <property fmtid="{D5CDD505-2E9C-101B-9397-08002B2CF9AE}" pid="59" name="version">
    <vt:lpwstr>1.0</vt:lpwstr>
  </property>
  <property fmtid="{D5CDD505-2E9C-101B-9397-08002B2CF9AE}" pid="60" name="rankname">
    <vt:lpwstr>UNDERPERFORM</vt:lpwstr>
  </property>
  <property fmtid="{D5CDD505-2E9C-101B-9397-08002B2CF9AE}" pid="61" name="ratingId">
    <vt:lpwstr>3</vt:lpwstr>
  </property>
  <property fmtid="{D5CDD505-2E9C-101B-9397-08002B2CF9AE}" pid="62" name="rank_Chinese">
    <vt:lpwstr>弱大于市</vt:lpwstr>
  </property>
  <property fmtid="{D5CDD505-2E9C-101B-9397-08002B2CF9AE}" pid="63" name="rank_tc">
    <vt:lpwstr>弱於大市</vt:lpwstr>
  </property>
  <property fmtid="{D5CDD505-2E9C-101B-9397-08002B2CF9AE}" pid="64" name="KSOTemplateDocerSaveRecord">
    <vt:lpwstr>eyJoZGlkIjoiYjk5ODM0YmMxOWJiYWQyNDU4MGIzYWRmYTA0ZmI5NDciLCJ1c2VySWQiOiIxMjgyNzI4NjcyIn0=</vt:lpwstr>
  </property>
  <property fmtid="{D5CDD505-2E9C-101B-9397-08002B2CF9AE}" pid="65" name="KSOProductBuildVer">
    <vt:lpwstr>2052-12.1.0.24034</vt:lpwstr>
  </property>
  <property fmtid="{D5CDD505-2E9C-101B-9397-08002B2CF9AE}" pid="66" name="ICV">
    <vt:lpwstr>C3E43EED79D740EC857F4000EFF5DF7D_12</vt:lpwstr>
  </property>
</Properties>
</file>