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087"/>
        <w:gridCol w:w="2389"/>
        <w:gridCol w:w="1269"/>
        <w:gridCol w:w="2807"/>
        <w:gridCol w:w="126"/>
      </w:tblGrid>
      <w:tr w14:paraId="76985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5BACA1F4">
            <w:pPr>
              <w:pStyle w:val="118"/>
              <w:rPr>
                <w:rFonts w:hint="default" w:ascii="Calibri" w:hAnsi="Calibri" w:eastAsia="楷体_GB2312" w:cs="Calibri"/>
                <w:color w:val="FFFFFF" w:themeColor="background1"/>
                <w:sz w:val="21"/>
                <w:szCs w:val="21"/>
                <w:lang w:eastAsia="zh-CN"/>
                <w14:textFill>
                  <w14:solidFill>
                    <w14:schemeClr w14:val="bg1"/>
                  </w14:solidFill>
                </w14:textFill>
              </w:rPr>
            </w:pPr>
            <w:r>
              <w:rPr>
                <w:rFonts w:hint="default" w:ascii="Calibri" w:hAnsi="Calibri" w:eastAsia="楷体_GB2312" w:cs="Calibri"/>
                <w:color w:val="FFFFFF" w:themeColor="background1"/>
                <w:sz w:val="21"/>
                <w:szCs w:val="21"/>
                <w:lang w:eastAsia="zh-CN"/>
                <w14:textFill>
                  <w14:solidFill>
                    <w14:schemeClr w14:val="bg1"/>
                  </w14:solidFill>
                </w14:textFill>
              </w:rPr>
              <w:t>[</w:t>
            </w:r>
            <w:r>
              <w:rPr>
                <w:rFonts w:hint="default" w:ascii="Calibri" w:hAnsi="Calibri" w:eastAsia="楷体_GB2312" w:cs="Calibri"/>
                <w:color w:val="FFFFFF" w:themeColor="background1"/>
                <w:sz w:val="21"/>
                <w:szCs w:val="21"/>
                <w:lang w:eastAsia="zh-CN"/>
                <w14:textFill>
                  <w14:solidFill>
                    <w14:schemeClr w14:val="bg1"/>
                  </w14:solidFill>
                </w14:textFill>
              </w:rPr>
              <w:t>Table_Main]</w:t>
            </w:r>
          </w:p>
        </w:tc>
        <w:tc>
          <w:tcPr>
            <w:tcW w:w="1276" w:type="dxa"/>
            <w:vAlign w:val="center"/>
          </w:tcPr>
          <w:p w14:paraId="08CDEF80">
            <w:pPr>
              <w:pStyle w:val="23"/>
              <w:framePr w:wrap="auto" w:vAnchor="margin" w:hAnchor="text" w:xAlign="left" w:yAlign="inline"/>
              <w:rPr>
                <w:rFonts w:hint="default" w:ascii="Calibri" w:hAnsi="Calibri" w:eastAsia="楷体_GB2312" w:cs="Calibri"/>
                <w:highlight w:val="yellow"/>
              </w:rPr>
            </w:pPr>
          </w:p>
        </w:tc>
        <w:tc>
          <w:tcPr>
            <w:tcW w:w="2823" w:type="dxa"/>
          </w:tcPr>
          <w:p w14:paraId="5F69BD84">
            <w:pPr>
              <w:pStyle w:val="22"/>
              <w:framePr w:wrap="auto" w:vAnchor="margin" w:hAnchor="text" w:xAlign="left" w:yAlign="inline"/>
              <w:rPr>
                <w:rFonts w:hint="default" w:ascii="Calibri" w:hAnsi="Calibri" w:eastAsia="楷体_GB2312" w:cs="Calibri"/>
                <w:highlight w:val="yellow"/>
              </w:rPr>
            </w:pPr>
          </w:p>
        </w:tc>
      </w:tr>
      <w:tr w14:paraId="0D546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4E515EB3">
            <w:pPr>
              <w:pStyle w:val="23"/>
              <w:framePr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Research Report</w:t>
            </w:r>
          </w:p>
        </w:tc>
        <w:tc>
          <w:tcPr>
            <w:tcW w:w="4099" w:type="dxa"/>
            <w:gridSpan w:val="2"/>
          </w:tcPr>
          <w:p w14:paraId="22AACBAD">
            <w:pPr>
              <w:pStyle w:val="118"/>
              <w:rPr>
                <w:rFonts w:hint="default" w:ascii="Calibri" w:hAnsi="Calibri" w:eastAsia="楷体_GB2312" w:cs="Calibri"/>
                <w:sz w:val="16"/>
                <w:szCs w:val="16"/>
                <w:lang w:eastAsia="zh-CN"/>
              </w:rPr>
            </w:pPr>
          </w:p>
        </w:tc>
      </w:tr>
      <w:tr w14:paraId="47110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7ADC4DAC">
            <w:pPr>
              <w:pStyle w:val="23"/>
              <w:framePr w:wrap="auto" w:vAnchor="margin" w:hAnchor="text" w:xAlign="left" w:yAlign="inline"/>
              <w:rPr>
                <w:rFonts w:hint="default" w:ascii="Calibri" w:hAnsi="Calibri" w:eastAsia="楷体_GB2312" w:cs="Calibri"/>
                <w:b w:val="0"/>
                <w:sz w:val="20"/>
                <w:szCs w:val="20"/>
              </w:rPr>
            </w:pPr>
            <w:r>
              <w:rPr>
                <w:rFonts w:hint="default" w:ascii="Calibri" w:hAnsi="Calibri" w:eastAsia="楷体_GB2312" w:cs="Calibri"/>
                <w:b w:val="0"/>
                <w:color w:val="215E99"/>
                <w:sz w:val="16"/>
                <w:lang w:val="en-US" w:eastAsia="zh-CN"/>
              </w:rPr>
              <w:t>9</w:t>
            </w:r>
            <w:r>
              <w:rPr>
                <w:rFonts w:hint="default" w:ascii="Calibri" w:hAnsi="Calibri" w:eastAsia="楷体_GB2312" w:cs="Calibri"/>
                <w:b w:val="0"/>
                <w:color w:val="215E99"/>
                <w:sz w:val="16"/>
              </w:rPr>
              <w:t xml:space="preserve"> Feb 2026</w:t>
            </w:r>
          </w:p>
        </w:tc>
        <w:tc>
          <w:tcPr>
            <w:tcW w:w="4099" w:type="dxa"/>
            <w:gridSpan w:val="2"/>
          </w:tcPr>
          <w:p w14:paraId="709CB678">
            <w:pPr>
              <w:pStyle w:val="118"/>
              <w:rPr>
                <w:rFonts w:hint="default" w:ascii="Calibri" w:hAnsi="Calibri" w:eastAsia="楷体_GB2312" w:cs="Calibri"/>
                <w:sz w:val="16"/>
                <w:szCs w:val="16"/>
                <w:lang w:eastAsia="zh-CN"/>
              </w:rPr>
            </w:pPr>
          </w:p>
        </w:tc>
      </w:tr>
      <w:tr w14:paraId="2766D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72E71D95">
            <w:pPr>
              <w:pStyle w:val="22"/>
              <w:framePr w:wrap="auto" w:vAnchor="margin" w:hAnchor="text" w:xAlign="left" w:yAlign="inline"/>
              <w:jc w:val="left"/>
              <w:rPr>
                <w:rFonts w:hint="default" w:ascii="Calibri" w:hAnsi="Calibri" w:eastAsia="楷体_GB2312" w:cs="Calibri"/>
                <w:sz w:val="40"/>
                <w:szCs w:val="40"/>
                <w:lang w:eastAsia="zh-CN"/>
              </w:rPr>
            </w:pPr>
          </w:p>
        </w:tc>
      </w:tr>
      <w:tr w14:paraId="6F0E9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2E6B8D0A">
            <w:pPr>
              <w:pStyle w:val="22"/>
              <w:framePr w:wrap="auto" w:vAnchor="margin" w:hAnchor="text" w:xAlign="left" w:yAlign="inline"/>
              <w:jc w:val="left"/>
              <w:rPr>
                <w:rFonts w:hint="default" w:ascii="Calibri" w:hAnsi="Calibri" w:eastAsia="楷体_GB2312" w:cs="Calibri"/>
                <w:sz w:val="40"/>
                <w:szCs w:val="40"/>
                <w:lang w:eastAsia="zh-CN"/>
              </w:rPr>
            </w:pPr>
            <w:r>
              <w:rPr>
                <w:rFonts w:hint="default" w:ascii="Calibri" w:hAnsi="Calibri" w:eastAsia="楷体_GB2312" w:cs="Calibri"/>
                <w:color w:val="215E99"/>
                <w:sz w:val="40"/>
                <w:lang w:eastAsia="zh-CN"/>
              </w:rPr>
              <w:t>Bloom Energy</w:t>
            </w:r>
            <w:r>
              <w:rPr>
                <w:rFonts w:hint="default" w:ascii="Calibri" w:hAnsi="Calibri" w:eastAsia="楷体_GB2312" w:cs="Calibri"/>
                <w:color w:val="215E99"/>
                <w:sz w:val="40"/>
              </w:rPr>
              <w:t>(BE US)</w:t>
            </w:r>
          </w:p>
        </w:tc>
      </w:tr>
      <w:tr w14:paraId="3C6A0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73" w:hRule="exact"/>
        </w:trPr>
        <w:tc>
          <w:tcPr>
            <w:tcW w:w="10740" w:type="dxa"/>
            <w:gridSpan w:val="5"/>
            <w:tcMar>
              <w:top w:w="60" w:type="dxa"/>
              <w:left w:w="119" w:type="dxa"/>
              <w:right w:w="0" w:type="dxa"/>
            </w:tcMar>
          </w:tcPr>
          <w:p w14:paraId="1D861896">
            <w:pPr>
              <w:pStyle w:val="118"/>
              <w:rPr>
                <w:rFonts w:hint="default" w:ascii="Calibri" w:hAnsi="Calibri" w:eastAsia="楷体_GB2312" w:cs="Calibri"/>
                <w:b w:val="0"/>
                <w:color w:val="23558C"/>
                <w:sz w:val="44"/>
                <w:szCs w:val="44"/>
                <w:lang w:eastAsia="zh-CN"/>
              </w:rPr>
            </w:pPr>
            <w:r>
              <w:rPr>
                <w:rFonts w:hint="default" w:ascii="Calibri" w:hAnsi="Calibri" w:eastAsia="楷体_GB2312" w:cs="Calibri"/>
                <w:b w:val="0"/>
                <w:color w:val="215E99"/>
                <w:sz w:val="28"/>
                <w:szCs w:val="18"/>
              </w:rPr>
              <w:t>随着燃料电池从应急备用电源角色逐步升级为核心基础设施，公司业绩实现强劲增长，尤其在人工智能数据中心市场表现突出</w:t>
            </w:r>
          </w:p>
        </w:tc>
      </w:tr>
      <w:tr w14:paraId="7C8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740" w:type="dxa"/>
            <w:gridSpan w:val="5"/>
            <w:tcMar>
              <w:top w:w="60" w:type="dxa"/>
              <w:left w:w="119" w:type="dxa"/>
              <w:right w:w="0" w:type="dxa"/>
            </w:tcMar>
          </w:tcPr>
          <w:p w14:paraId="4A42B7BE">
            <w:pPr>
              <w:pStyle w:val="22"/>
              <w:framePr w:wrap="auto" w:vAnchor="margin" w:hAnchor="text" w:xAlign="left" w:yAlign="inline"/>
              <w:rPr>
                <w:rFonts w:hint="default" w:ascii="Calibri" w:hAnsi="Calibri" w:eastAsia="楷体_GB2312" w:cs="Calibri"/>
                <w:szCs w:val="24"/>
                <w:lang w:eastAsia="zh-CN"/>
              </w:rPr>
            </w:pPr>
          </w:p>
        </w:tc>
      </w:tr>
      <w:tr w14:paraId="26E8C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3388EC94">
            <w:pPr>
              <w:pStyle w:val="22"/>
              <w:framePr w:wrap="auto" w:vAnchor="margin" w:hAnchor="text" w:xAlign="left" w:yAlign="inline"/>
              <w:rPr>
                <w:rFonts w:hint="default" w:ascii="Calibri" w:hAnsi="Calibri" w:eastAsia="楷体_GB2312" w:cs="Calibri"/>
              </w:rPr>
            </w:pPr>
          </w:p>
        </w:tc>
      </w:tr>
      <w:tr w14:paraId="0F2ED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1"/>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32A4909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4AA4E2FB">
                  <w:pPr>
                    <w:adjustRightInd w:val="0"/>
                    <w:snapToGrid w:val="0"/>
                    <w:rPr>
                      <w:rFonts w:hint="default" w:ascii="Calibri" w:hAnsi="Calibri" w:eastAsia="楷体_GB2312" w:cs="Calibri"/>
                      <w:sz w:val="21"/>
                      <w:szCs w:val="21"/>
                      <w:lang w:eastAsia="zh-CN"/>
                    </w:rPr>
                  </w:pPr>
                  <w:r>
                    <w:rPr>
                      <w:rFonts w:hint="default" w:ascii="Calibri" w:hAnsi="Calibri" w:eastAsia="楷体_GB2312" w:cs="Calibri"/>
                      <w:color w:val="FFFFFF"/>
                      <w:sz w:val="21"/>
                      <w:szCs w:val="21"/>
                      <w:lang w:eastAsia="zh-CN"/>
                    </w:rPr>
                    <w:t>[</w:t>
                  </w:r>
                  <w:r>
                    <w:rPr>
                      <w:rFonts w:hint="default" w:ascii="Calibri" w:hAnsi="Calibri" w:eastAsia="楷体_GB2312" w:cs="Calibri"/>
                      <w:color w:val="FFFFFF"/>
                      <w:sz w:val="21"/>
                      <w:szCs w:val="21"/>
                      <w:lang w:eastAsia="zh-CN"/>
                    </w:rPr>
                    <w:t>Table_Info]</w:t>
                  </w:r>
                </w:p>
              </w:tc>
            </w:tr>
            <w:tr w14:paraId="53EF5D3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E4B25A0">
                  <w:pPr>
                    <w:adjustRightInd w:val="0"/>
                    <w:snapToGrid w:val="0"/>
                    <w:ind w:right="85" w:firstLine="85"/>
                    <w:jc w:val="center"/>
                    <w:rPr>
                      <w:rFonts w:hint="default" w:ascii="Calibri" w:hAnsi="Calibri" w:eastAsia="楷体_GB2312" w:cs="Calibri"/>
                      <w:b/>
                      <w:i/>
                      <w:color w:val="23558C"/>
                      <w:sz w:val="24"/>
                      <w:szCs w:val="14"/>
                      <w:lang w:val="en-US" w:eastAsia="zh-CN"/>
                    </w:rPr>
                  </w:pPr>
                  <w:r>
                    <w:rPr>
                      <w:rFonts w:hint="default" w:ascii="Calibri" w:hAnsi="Calibri" w:eastAsia="楷体_GB2312" w:cs="Calibri"/>
                      <w:b/>
                      <w:i w:val="0"/>
                      <w:iCs/>
                      <w:color w:val="FFFFFF" w:themeColor="background1"/>
                      <w:sz w:val="24"/>
                      <w:szCs w:val="14"/>
                      <w:lang w:val="en-US" w:eastAsia="zh-CN"/>
                      <w14:textFill>
                        <w14:solidFill>
                          <w14:schemeClr w14:val="bg1"/>
                        </w14:solidFill>
                      </w14:textFill>
                    </w:rPr>
                    <w:t>维持优于大市</w:t>
                  </w:r>
                  <w:r>
                    <w:rPr>
                      <w:rFonts w:hint="default" w:ascii="Calibri" w:hAnsi="Calibri" w:eastAsia="楷体_GB2312" w:cs="Calibri"/>
                      <w:b/>
                      <w:i/>
                      <w:color w:val="FFFFFF"/>
                      <w:sz w:val="22"/>
                    </w:rPr>
                    <w:t>Maintain OUTPERFORM</w:t>
                  </w:r>
                </w:p>
              </w:tc>
            </w:tr>
            <w:tr w14:paraId="3B05F24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20D8DF94">
                  <w:pPr>
                    <w:adjustRightInd w:val="0"/>
                    <w:snapToGrid w:val="0"/>
                    <w:ind w:right="85" w:firstLine="85"/>
                    <w:rPr>
                      <w:rFonts w:hint="default" w:ascii="Calibri" w:hAnsi="Calibri" w:eastAsia="楷体_GB2312" w:cs="Calibri"/>
                      <w:b/>
                      <w:color w:val="23558C"/>
                      <w:szCs w:val="14"/>
                      <w:lang w:eastAsia="zh-CN"/>
                    </w:rPr>
                  </w:pPr>
                </w:p>
              </w:tc>
            </w:tr>
            <w:tr w14:paraId="0773B6B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E2B7802">
                  <w:pPr>
                    <w:adjustRightInd w:val="0"/>
                    <w:snapToGrid w:val="0"/>
                    <w:ind w:right="85" w:firstLine="85"/>
                    <w:rPr>
                      <w:rFonts w:hint="default" w:ascii="Calibri" w:hAnsi="Calibri" w:eastAsia="楷体_GB2312" w:cs="Calibri"/>
                      <w:color w:val="23558C"/>
                      <w:szCs w:val="14"/>
                      <w:lang w:val="en-US" w:eastAsia="zh-CN"/>
                    </w:rPr>
                  </w:pPr>
                  <w:r>
                    <w:rPr>
                      <w:rFonts w:hint="default" w:ascii="Calibri" w:hAnsi="Calibri" w:eastAsia="楷体_GB2312" w:cs="Calibri"/>
                      <w:color w:val="23558C"/>
                      <w:szCs w:val="14"/>
                      <w:lang w:val="en-US" w:eastAsia="zh-CN"/>
                    </w:rPr>
                    <w:t>评级</w:t>
                  </w:r>
                </w:p>
              </w:tc>
              <w:tc>
                <w:tcPr>
                  <w:tcW w:w="2347" w:type="dxa"/>
                </w:tcPr>
                <w:p w14:paraId="14A7E11C">
                  <w:pPr>
                    <w:adjustRightInd w:val="0"/>
                    <w:snapToGrid w:val="0"/>
                    <w:ind w:right="85" w:firstLine="85"/>
                    <w:jc w:val="right"/>
                    <w:rPr>
                      <w:rFonts w:hint="default" w:ascii="Calibri" w:hAnsi="Calibri" w:eastAsia="楷体_GB2312" w:cs="Calibri"/>
                      <w:sz w:val="14"/>
                      <w:szCs w:val="14"/>
                      <w:lang w:val="en-US" w:eastAsia="zh-CN"/>
                    </w:rPr>
                  </w:pPr>
                  <w:r>
                    <w:rPr>
                      <w:rFonts w:hint="default" w:ascii="Calibri" w:hAnsi="Calibri" w:eastAsia="楷体_GB2312" w:cs="Calibri"/>
                      <w:color w:val="215E99"/>
                      <w:lang w:val="en-US" w:eastAsia="zh-CN"/>
                    </w:rPr>
                    <w:t>OUTPERFORM</w:t>
                  </w:r>
                </w:p>
              </w:tc>
            </w:tr>
            <w:tr w14:paraId="1D370F4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D35E950">
                  <w:pPr>
                    <w:adjustRightInd w:val="0"/>
                    <w:snapToGrid w:val="0"/>
                    <w:ind w:right="85" w:firstLine="85"/>
                    <w:rPr>
                      <w:rFonts w:hint="default" w:ascii="Calibri" w:hAnsi="Calibri" w:eastAsia="楷体_GB2312" w:cs="Calibri"/>
                      <w:color w:val="23558C"/>
                      <w:szCs w:val="14"/>
                      <w:lang w:val="en-US" w:eastAsia="zh-CN"/>
                    </w:rPr>
                  </w:pPr>
                  <w:r>
                    <w:rPr>
                      <w:rFonts w:hint="default" w:ascii="Calibri" w:hAnsi="Calibri" w:eastAsia="楷体_GB2312" w:cs="Calibri"/>
                      <w:color w:val="23558C"/>
                      <w:szCs w:val="14"/>
                      <w:lang w:val="en-US" w:eastAsia="zh-CN"/>
                    </w:rPr>
                    <w:t>当前股价</w:t>
                  </w:r>
                </w:p>
              </w:tc>
              <w:tc>
                <w:tcPr>
                  <w:tcW w:w="2347" w:type="dxa"/>
                </w:tcPr>
                <w:p w14:paraId="1844A9E9">
                  <w:pPr>
                    <w:adjustRightInd w:val="0"/>
                    <w:snapToGrid w:val="0"/>
                    <w:ind w:right="85" w:firstLine="85"/>
                    <w:jc w:val="right"/>
                    <w:rPr>
                      <w:rFonts w:hint="default" w:ascii="Calibri" w:hAnsi="Calibri" w:eastAsia="楷体_GB2312" w:cs="Calibri"/>
                      <w:sz w:val="14"/>
                      <w:szCs w:val="14"/>
                      <w:lang w:eastAsia="zh-CN"/>
                    </w:rPr>
                  </w:pPr>
                  <w:r>
                    <w:rPr>
                      <w:rFonts w:hint="default" w:ascii="Calibri" w:hAnsi="Calibri" w:eastAsia="楷体_GB2312" w:cs="Calibri"/>
                      <w:color w:val="215E99"/>
                    </w:rPr>
                    <w:t>136.60</w:t>
                  </w:r>
                </w:p>
              </w:tc>
            </w:tr>
            <w:tr w14:paraId="7F88440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45138FB">
                  <w:pPr>
                    <w:adjustRightInd w:val="0"/>
                    <w:snapToGrid w:val="0"/>
                    <w:ind w:right="85" w:firstLine="85"/>
                    <w:rPr>
                      <w:rFonts w:hint="default" w:ascii="Calibri" w:hAnsi="Calibri" w:eastAsia="楷体_GB2312" w:cs="Calibri"/>
                      <w:color w:val="23558C"/>
                      <w:szCs w:val="14"/>
                      <w:lang w:val="en-US" w:eastAsia="zh-CN"/>
                    </w:rPr>
                  </w:pPr>
                  <w:r>
                    <w:rPr>
                      <w:rFonts w:hint="default" w:ascii="Calibri" w:hAnsi="Calibri" w:eastAsia="楷体_GB2312" w:cs="Calibri"/>
                      <w:color w:val="23558C"/>
                      <w:szCs w:val="14"/>
                      <w:lang w:val="en-US" w:eastAsia="zh-CN"/>
                    </w:rPr>
                    <w:t>目标股价</w:t>
                  </w:r>
                </w:p>
              </w:tc>
              <w:tc>
                <w:tcPr>
                  <w:tcW w:w="2347" w:type="dxa"/>
                </w:tcPr>
                <w:p w14:paraId="1B03E581">
                  <w:pPr>
                    <w:adjustRightInd w:val="0"/>
                    <w:snapToGrid w:val="0"/>
                    <w:ind w:right="85" w:firstLine="85"/>
                    <w:jc w:val="right"/>
                    <w:rPr>
                      <w:rFonts w:hint="default" w:ascii="Calibri" w:hAnsi="Calibri" w:eastAsia="楷体_GB2312" w:cs="Calibri"/>
                      <w:sz w:val="14"/>
                      <w:szCs w:val="14"/>
                      <w:lang w:eastAsia="zh-CN"/>
                    </w:rPr>
                  </w:pPr>
                  <w:r>
                    <w:rPr>
                      <w:rFonts w:hint="default" w:ascii="Calibri" w:hAnsi="Calibri" w:eastAsia="楷体_GB2312" w:cs="Calibri"/>
                      <w:color w:val="215E99"/>
                    </w:rPr>
                    <w:t>170.4</w:t>
                  </w:r>
                </w:p>
              </w:tc>
            </w:tr>
            <w:tr w14:paraId="6EFAFF2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9A79DC9">
                  <w:pPr>
                    <w:adjustRightInd w:val="0"/>
                    <w:snapToGrid w:val="0"/>
                    <w:ind w:right="85" w:firstLine="85"/>
                    <w:rPr>
                      <w:rFonts w:hint="default" w:ascii="Calibri" w:hAnsi="Calibri" w:eastAsia="楷体_GB2312" w:cs="Calibri"/>
                      <w:color w:val="23558C"/>
                      <w:szCs w:val="14"/>
                      <w:lang w:val="en-US" w:eastAsia="zh-CN"/>
                    </w:rPr>
                  </w:pPr>
                  <w:r>
                    <w:rPr>
                      <w:rFonts w:hint="default" w:ascii="Calibri" w:hAnsi="Calibri" w:eastAsia="楷体_GB2312" w:cs="Calibri"/>
                      <w:color w:val="23558C"/>
                      <w:szCs w:val="14"/>
                      <w:lang w:val="en-US" w:eastAsia="zh-CN"/>
                    </w:rPr>
                    <w:t>市值</w:t>
                  </w:r>
                </w:p>
              </w:tc>
              <w:tc>
                <w:tcPr>
                  <w:tcW w:w="2347" w:type="dxa"/>
                </w:tcPr>
                <w:p w14:paraId="1E5CF3A0">
                  <w:pPr>
                    <w:adjustRightInd w:val="0"/>
                    <w:snapToGrid w:val="0"/>
                    <w:ind w:right="85" w:firstLine="85"/>
                    <w:jc w:val="right"/>
                    <w:rPr>
                      <w:rFonts w:hint="default" w:ascii="Calibri" w:hAnsi="Calibri" w:eastAsia="楷体_GB2312" w:cs="Calibri"/>
                      <w:sz w:val="14"/>
                      <w:szCs w:val="14"/>
                      <w:lang w:eastAsia="zh-CN"/>
                    </w:rPr>
                  </w:pPr>
                  <w:r>
                    <w:rPr>
                      <w:rFonts w:hint="default" w:ascii="Calibri" w:hAnsi="Calibri" w:eastAsia="楷体_GB2312" w:cs="Calibri"/>
                      <w:color w:val="215E99"/>
                    </w:rPr>
                    <w:t>32.31bn</w:t>
                  </w:r>
                </w:p>
              </w:tc>
            </w:tr>
            <w:tr w14:paraId="34255F1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E1BD762">
                  <w:pPr>
                    <w:adjustRightInd w:val="0"/>
                    <w:snapToGrid w:val="0"/>
                    <w:ind w:right="85" w:firstLine="85"/>
                    <w:rPr>
                      <w:rFonts w:hint="default" w:ascii="Calibri" w:hAnsi="Calibri" w:eastAsia="楷体_GB2312" w:cs="Calibri"/>
                      <w:color w:val="23558C"/>
                      <w:szCs w:val="14"/>
                      <w:lang w:val="en-US" w:eastAsia="zh-CN"/>
                    </w:rPr>
                  </w:pPr>
                  <w:r>
                    <w:rPr>
                      <w:rFonts w:hint="default" w:ascii="Calibri" w:hAnsi="Calibri" w:eastAsia="楷体_GB2312" w:cs="Calibri"/>
                      <w:color w:val="23558C"/>
                      <w:szCs w:val="14"/>
                      <w:lang w:val="en-US" w:eastAsia="zh-CN"/>
                    </w:rPr>
                    <w:t>已发行股份数</w:t>
                  </w:r>
                </w:p>
              </w:tc>
              <w:tc>
                <w:tcPr>
                  <w:tcW w:w="2347" w:type="dxa"/>
                </w:tcPr>
                <w:p w14:paraId="7D229E71">
                  <w:pPr>
                    <w:adjustRightInd w:val="0"/>
                    <w:snapToGrid w:val="0"/>
                    <w:ind w:right="85" w:firstLine="85"/>
                    <w:jc w:val="right"/>
                    <w:rPr>
                      <w:rFonts w:hint="default" w:ascii="Calibri" w:hAnsi="Calibri" w:eastAsia="楷体_GB2312" w:cs="Calibri"/>
                      <w:sz w:val="14"/>
                      <w:szCs w:val="14"/>
                      <w:lang w:eastAsia="zh-CN"/>
                    </w:rPr>
                  </w:pPr>
                  <w:r>
                    <w:rPr>
                      <w:rFonts w:hint="default" w:ascii="Calibri" w:hAnsi="Calibri" w:eastAsia="楷体_GB2312" w:cs="Calibri"/>
                      <w:color w:val="215E99"/>
                    </w:rPr>
                    <w:t>236.51mn</w:t>
                  </w:r>
                </w:p>
              </w:tc>
            </w:tr>
            <w:tr w14:paraId="62AF8C3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8BCFF7F">
                  <w:pPr>
                    <w:adjustRightInd w:val="0"/>
                    <w:snapToGrid w:val="0"/>
                    <w:ind w:right="85" w:firstLine="85"/>
                    <w:rPr>
                      <w:rFonts w:hint="default" w:ascii="Calibri" w:hAnsi="Calibri" w:eastAsia="楷体_GB2312" w:cs="Calibri"/>
                      <w:color w:val="23558C"/>
                      <w:szCs w:val="14"/>
                      <w:lang w:val="en-US" w:eastAsia="zh-CN"/>
                    </w:rPr>
                  </w:pPr>
                  <w:r>
                    <w:rPr>
                      <w:rFonts w:hint="default" w:ascii="Calibri" w:hAnsi="Calibri" w:eastAsia="楷体_GB2312" w:cs="Calibri"/>
                      <w:color w:val="23558C"/>
                      <w:szCs w:val="14"/>
                      <w:lang w:eastAsia="zh-CN"/>
                    </w:rPr>
                    <w:t>1</w:t>
                  </w:r>
                  <w:r>
                    <w:rPr>
                      <w:rFonts w:hint="default" w:ascii="Calibri" w:hAnsi="Calibri" w:eastAsia="楷体_GB2312" w:cs="Calibri"/>
                      <w:color w:val="23558C"/>
                      <w:szCs w:val="14"/>
                      <w:lang w:val="en-US" w:eastAsia="zh-CN"/>
                    </w:rPr>
                    <w:t>年最高价/最低价</w:t>
                  </w:r>
                </w:p>
              </w:tc>
              <w:tc>
                <w:tcPr>
                  <w:tcW w:w="2347" w:type="dxa"/>
                </w:tcPr>
                <w:p w14:paraId="25A26954">
                  <w:pPr>
                    <w:adjustRightInd w:val="0"/>
                    <w:snapToGrid w:val="0"/>
                    <w:ind w:right="85" w:firstLine="85"/>
                    <w:jc w:val="right"/>
                    <w:rPr>
                      <w:rFonts w:hint="default" w:ascii="Calibri" w:hAnsi="Calibri" w:eastAsia="楷体_GB2312" w:cs="Calibri"/>
                      <w:sz w:val="14"/>
                      <w:szCs w:val="14"/>
                      <w:lang w:eastAsia="zh-CN"/>
                    </w:rPr>
                  </w:pPr>
                  <w:r>
                    <w:rPr>
                      <w:rFonts w:hint="default" w:ascii="Calibri" w:hAnsi="Calibri" w:eastAsia="楷体_GB2312" w:cs="Calibri"/>
                      <w:color w:val="215E99"/>
                    </w:rPr>
                    <w:t>168.89-16.32</w:t>
                  </w:r>
                </w:p>
              </w:tc>
            </w:tr>
            <w:tr w14:paraId="1B4B89A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03A2E583">
                  <w:pPr>
                    <w:adjustRightInd w:val="0"/>
                    <w:snapToGrid w:val="0"/>
                    <w:ind w:left="85"/>
                    <w:rPr>
                      <w:rFonts w:hint="default" w:ascii="Calibri" w:hAnsi="Calibri" w:eastAsia="楷体_GB2312" w:cs="Calibri"/>
                      <w:i/>
                      <w:iCs/>
                      <w:sz w:val="14"/>
                      <w:szCs w:val="14"/>
                      <w:lang w:eastAsia="zh-CN"/>
                    </w:rPr>
                  </w:pPr>
                  <w:r>
                    <w:rPr>
                      <w:rFonts w:hint="default" w:ascii="Calibri" w:hAnsi="Calibri" w:eastAsia="楷体_GB2312" w:cs="Calibri"/>
                      <w:i w:val="0"/>
                      <w:iCs/>
                      <w:color w:val="000000"/>
                      <w:sz w:val="14"/>
                    </w:rPr>
                    <w:t>注：当前股价 136.60 美元为 2026 年 2 月 5 日的收盘价。</w:t>
                  </w:r>
                </w:p>
              </w:tc>
            </w:tr>
            <w:tr w14:paraId="0EFE37F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3BED05A4">
                  <w:pPr>
                    <w:adjustRightInd w:val="0"/>
                    <w:snapToGrid w:val="0"/>
                    <w:ind w:left="85"/>
                    <w:rPr>
                      <w:rFonts w:hint="default" w:ascii="Calibri" w:hAnsi="Calibri" w:eastAsia="楷体_GB2312" w:cs="Calibri"/>
                      <w:sz w:val="14"/>
                      <w:szCs w:val="14"/>
                      <w:lang w:eastAsia="zh-CN"/>
                    </w:rPr>
                  </w:pPr>
                </w:p>
              </w:tc>
            </w:tr>
            <w:tr w14:paraId="6CB5FB49">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49B62BAA">
                  <w:pPr>
                    <w:jc w:val="center"/>
                    <w:rPr>
                      <w:rFonts w:hint="default" w:ascii="Calibri" w:hAnsi="Calibri" w:eastAsia="楷体_GB2312" w:cs="Calibri"/>
                    </w:rPr>
                  </w:pPr>
                  <w:r>
                    <w:rPr>
                      <w:rFonts w:hint="default" w:ascii="Calibri" w:hAnsi="Calibri" w:eastAsia="楷体_GB2312" w:cs="Calibri"/>
                    </w:rPr>
                    <w:drawing>
                      <wp:inline distT="0" distB="0" distL="0" distR="0">
                        <wp:extent cx="2286000" cy="1016000"/>
                        <wp:effectExtent l="0" t="0" r="0" b="5080"/>
                        <wp:docPr id="4" name="Drawing 4" descr="/data/deploy/attachments/file/temp/202602/1770416210781_eiF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data/deploy/attachments/file/temp/202602/1770416210781_eiFfp.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79D9F77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1C761A41">
                  <w:pPr>
                    <w:jc w:val="center"/>
                    <w:rPr>
                      <w:rFonts w:hint="default" w:ascii="Calibri" w:hAnsi="Calibri" w:eastAsia="楷体_GB2312" w:cs="Calibri"/>
                    </w:rPr>
                  </w:pPr>
                  <w:r>
                    <w:rPr>
                      <w:rFonts w:hint="default" w:ascii="Calibri" w:hAnsi="Calibri" w:eastAsia="楷体_GB2312" w:cs="Calibri"/>
                    </w:rPr>
                    <w:drawing>
                      <wp:inline distT="0" distB="0" distL="0" distR="0">
                        <wp:extent cx="2286000" cy="660400"/>
                        <wp:effectExtent l="0" t="0" r="0" b="10160"/>
                        <wp:docPr id="5" name="Drawing 5" descr="/data/deploy/attachments/file/temp/202602/1770416210828_DIgz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data/deploy/attachments/file/temp/202602/1770416210828_DIgzi.png"/>
                                <pic:cNvPicPr>
                                  <a:picLocks noChangeAspect="1"/>
                                </pic:cNvPicPr>
                              </pic:nvPicPr>
                              <pic:blipFill>
                                <a:blip r:embed="rId19"/>
                                <a:stretch>
                                  <a:fillRect/>
                                </a:stretch>
                              </pic:blipFill>
                              <pic:spPr>
                                <a:xfrm>
                                  <a:off x="0" y="0"/>
                                  <a:ext cx="2286000" cy="660400"/>
                                </a:xfrm>
                                <a:prstGeom prst="rect">
                                  <a:avLst/>
                                </a:prstGeom>
                              </pic:spPr>
                            </pic:pic>
                          </a:graphicData>
                        </a:graphic>
                      </wp:inline>
                    </w:drawing>
                  </w:r>
                </w:p>
              </w:tc>
            </w:tr>
            <w:tr w14:paraId="6A89575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39F797DA">
                  <w:pPr>
                    <w:adjustRightInd w:val="0"/>
                    <w:snapToGrid w:val="0"/>
                    <w:ind w:right="85" w:firstLine="85"/>
                    <w:rPr>
                      <w:rFonts w:hint="default" w:ascii="Calibri" w:hAnsi="Calibri" w:eastAsia="楷体_GB2312" w:cs="Calibri"/>
                      <w:i/>
                      <w:iCs/>
                      <w:sz w:val="12"/>
                      <w:szCs w:val="12"/>
                      <w:lang w:eastAsia="zh-CN"/>
                    </w:rPr>
                  </w:pPr>
                  <w:r>
                    <w:rPr>
                      <w:rFonts w:hint="default" w:ascii="Calibri" w:hAnsi="Calibri" w:eastAsia="楷体_GB2312" w:cs="Calibri"/>
                      <w:i/>
                      <w:color w:val="000000"/>
                      <w:sz w:val="12"/>
                    </w:rPr>
                    <w:t>Source: HFI</w:t>
                  </w:r>
                </w:p>
              </w:tc>
            </w:tr>
            <w:tr w14:paraId="43669DA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31E899F2">
                  <w:pPr>
                    <w:adjustRightInd w:val="0"/>
                    <w:snapToGrid w:val="0"/>
                    <w:ind w:right="85" w:firstLine="85"/>
                    <w:rPr>
                      <w:rFonts w:hint="default" w:ascii="Calibri" w:hAnsi="Calibri" w:eastAsia="楷体_GB2312" w:cs="Calibri"/>
                      <w:sz w:val="14"/>
                      <w:szCs w:val="14"/>
                      <w:lang w:eastAsia="zh-CN"/>
                    </w:rPr>
                  </w:pPr>
                </w:p>
              </w:tc>
            </w:tr>
            <w:tr w14:paraId="2938DE2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1"/>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4780A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52B9CC41">
                        <w:pPr>
                          <w:rPr>
                            <w:rFonts w:hint="default" w:ascii="Calibri" w:hAnsi="Calibri" w:eastAsia="楷体_GB2312" w:cs="Calibri"/>
                            <w:color w:val="FFFFFF"/>
                          </w:rPr>
                        </w:pPr>
                        <w:r>
                          <w:rPr>
                            <w:rFonts w:hint="default" w:ascii="Calibri" w:hAnsi="Calibri" w:eastAsia="楷体_GB2312" w:cs="Calibri"/>
                            <w:color w:val="FFFFFF"/>
                          </w:rPr>
                          <w:t>[</w:t>
                        </w:r>
                        <w:r>
                          <w:rPr>
                            <w:rFonts w:hint="default" w:ascii="Calibri" w:hAnsi="Calibri" w:eastAsia="楷体_GB2312" w:cs="Calibri"/>
                            <w:color w:val="FFFFFF"/>
                          </w:rPr>
                          <w:t>Table_Profit]</w:t>
                        </w:r>
                      </w:p>
                    </w:tc>
                    <w:tc>
                      <w:tcPr>
                        <w:tcW w:w="795" w:type="dxa"/>
                        <w:vAlign w:val="center"/>
                      </w:tcPr>
                      <w:p w14:paraId="3CDDBE3E">
                        <w:pPr>
                          <w:ind w:right="85" w:firstLine="85"/>
                          <w:jc w:val="right"/>
                          <w:rPr>
                            <w:rFonts w:hint="default" w:ascii="Calibri" w:hAnsi="Calibri" w:eastAsia="楷体_GB2312" w:cs="Calibri"/>
                            <w:b/>
                            <w:bCs/>
                            <w:color w:val="000000"/>
                            <w:sz w:val="14"/>
                            <w:szCs w:val="14"/>
                          </w:rPr>
                        </w:pPr>
                      </w:p>
                    </w:tc>
                    <w:tc>
                      <w:tcPr>
                        <w:tcW w:w="879" w:type="dxa"/>
                        <w:gridSpan w:val="2"/>
                        <w:vAlign w:val="center"/>
                      </w:tcPr>
                      <w:p w14:paraId="21D82831">
                        <w:pPr>
                          <w:ind w:right="85" w:firstLine="85"/>
                          <w:jc w:val="right"/>
                          <w:rPr>
                            <w:rFonts w:hint="default" w:ascii="Calibri" w:hAnsi="Calibri" w:eastAsia="楷体_GB2312" w:cs="Calibri"/>
                            <w:b/>
                            <w:bCs/>
                            <w:color w:val="000000"/>
                            <w:sz w:val="14"/>
                            <w:szCs w:val="14"/>
                          </w:rPr>
                        </w:pPr>
                      </w:p>
                    </w:tc>
                    <w:tc>
                      <w:tcPr>
                        <w:tcW w:w="870" w:type="dxa"/>
                        <w:gridSpan w:val="2"/>
                        <w:vAlign w:val="center"/>
                      </w:tcPr>
                      <w:p w14:paraId="7C8AA734">
                        <w:pPr>
                          <w:ind w:right="85" w:firstLine="85"/>
                          <w:jc w:val="right"/>
                          <w:rPr>
                            <w:rFonts w:hint="default" w:ascii="Calibri" w:hAnsi="Calibri" w:eastAsia="楷体_GB2312" w:cs="Calibri"/>
                            <w:b/>
                            <w:bCs/>
                            <w:color w:val="000000"/>
                            <w:sz w:val="14"/>
                            <w:szCs w:val="14"/>
                          </w:rPr>
                        </w:pPr>
                      </w:p>
                    </w:tc>
                    <w:tc>
                      <w:tcPr>
                        <w:tcW w:w="869" w:type="dxa"/>
                        <w:gridSpan w:val="2"/>
                        <w:vAlign w:val="center"/>
                      </w:tcPr>
                      <w:p w14:paraId="6E3D7A10">
                        <w:pPr>
                          <w:ind w:right="85" w:firstLine="85"/>
                          <w:jc w:val="right"/>
                          <w:rPr>
                            <w:rFonts w:hint="default" w:ascii="Calibri" w:hAnsi="Calibri" w:eastAsia="楷体_GB2312" w:cs="Calibri"/>
                            <w:b/>
                            <w:bCs/>
                            <w:color w:val="000000"/>
                            <w:sz w:val="14"/>
                            <w:szCs w:val="14"/>
                          </w:rPr>
                        </w:pPr>
                      </w:p>
                    </w:tc>
                  </w:tr>
                  <w:tr w14:paraId="13115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2CC1EA00">
                        <w:pPr>
                          <w:adjustRightInd w:val="0"/>
                          <w:snapToGrid w:val="0"/>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US$ mn</w:t>
                        </w:r>
                      </w:p>
                    </w:tc>
                    <w:tc>
                      <w:tcPr>
                        <w:tcW w:w="853" w:type="dxa"/>
                        <w:gridSpan w:val="2"/>
                        <w:vAlign w:val="center"/>
                      </w:tcPr>
                      <w:p w14:paraId="263AC4B0">
                        <w:pPr>
                          <w:adjustRightInd w:val="0"/>
                          <w:snapToGrid w:val="0"/>
                          <w:jc w:val="right"/>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Dec-25A</w:t>
                        </w:r>
                      </w:p>
                    </w:tc>
                    <w:tc>
                      <w:tcPr>
                        <w:tcW w:w="853" w:type="dxa"/>
                        <w:gridSpan w:val="2"/>
                        <w:vAlign w:val="center"/>
                      </w:tcPr>
                      <w:p w14:paraId="379860BD">
                        <w:pPr>
                          <w:adjustRightInd w:val="0"/>
                          <w:snapToGrid w:val="0"/>
                          <w:jc w:val="right"/>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Dec-26E</w:t>
                        </w:r>
                      </w:p>
                    </w:tc>
                    <w:tc>
                      <w:tcPr>
                        <w:tcW w:w="853" w:type="dxa"/>
                        <w:gridSpan w:val="2"/>
                        <w:vAlign w:val="center"/>
                      </w:tcPr>
                      <w:p w14:paraId="6BC41377">
                        <w:pPr>
                          <w:adjustRightInd w:val="0"/>
                          <w:snapToGrid w:val="0"/>
                          <w:jc w:val="right"/>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Dec-27E</w:t>
                        </w:r>
                      </w:p>
                    </w:tc>
                    <w:tc>
                      <w:tcPr>
                        <w:tcW w:w="854" w:type="dxa"/>
                        <w:vAlign w:val="center"/>
                      </w:tcPr>
                      <w:p w14:paraId="5C2BB025">
                        <w:pPr>
                          <w:adjustRightInd w:val="0"/>
                          <w:snapToGrid w:val="0"/>
                          <w:jc w:val="right"/>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Dec-28E</w:t>
                        </w:r>
                      </w:p>
                    </w:tc>
                  </w:tr>
                  <w:tr w14:paraId="4C36D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B017CD5">
                        <w:pPr>
                          <w:adjustRightInd w:val="0"/>
                          <w:snapToGrid w:val="0"/>
                          <w:rPr>
                            <w:rFonts w:hint="default" w:ascii="Calibri" w:hAnsi="Calibri" w:eastAsia="楷体_GB2312" w:cs="Calibri"/>
                            <w:color w:val="23558C"/>
                            <w:sz w:val="14"/>
                            <w:szCs w:val="14"/>
                            <w:lang w:val="en-US" w:eastAsia="zh-CN"/>
                          </w:rPr>
                        </w:pPr>
                        <w:r>
                          <w:rPr>
                            <w:rFonts w:hint="default" w:ascii="Calibri" w:hAnsi="Calibri" w:eastAsia="楷体_GB2312" w:cs="Calibri"/>
                            <w:color w:val="23558C"/>
                            <w:sz w:val="14"/>
                            <w:szCs w:val="14"/>
                            <w:lang w:val="en-US" w:eastAsia="zh-CN"/>
                          </w:rPr>
                          <w:t>收入</w:t>
                        </w:r>
                      </w:p>
                    </w:tc>
                    <w:tc>
                      <w:tcPr>
                        <w:tcW w:w="853" w:type="dxa"/>
                        <w:gridSpan w:val="2"/>
                        <w:vAlign w:val="center"/>
                      </w:tcPr>
                      <w:p w14:paraId="231EAA68">
                        <w:pPr>
                          <w:adjustRightInd w:val="0"/>
                          <w:snapToGrid w:val="0"/>
                          <w:jc w:val="right"/>
                          <w:rPr>
                            <w:rFonts w:hint="default" w:ascii="Calibri" w:hAnsi="Calibri" w:eastAsia="楷体_GB2312" w:cs="Calibri"/>
                            <w:sz w:val="14"/>
                            <w:szCs w:val="14"/>
                            <w:lang w:eastAsia="zh-CN"/>
                          </w:rPr>
                        </w:pPr>
                        <w:r>
                          <w:rPr>
                            <w:rFonts w:hint="default" w:ascii="Calibri" w:hAnsi="Calibri" w:eastAsia="楷体_GB2312" w:cs="Calibri"/>
                            <w:color w:val="215E99"/>
                            <w:sz w:val="14"/>
                          </w:rPr>
                          <w:t xml:space="preserve">2024_ </w:t>
                        </w:r>
                      </w:p>
                    </w:tc>
                    <w:tc>
                      <w:tcPr>
                        <w:tcW w:w="853" w:type="dxa"/>
                        <w:gridSpan w:val="2"/>
                        <w:vAlign w:val="center"/>
                      </w:tcPr>
                      <w:p w14:paraId="6A7C2601">
                        <w:pPr>
                          <w:jc w:val="right"/>
                          <w:rPr>
                            <w:rFonts w:hint="default" w:ascii="Calibri" w:hAnsi="Calibri" w:eastAsia="楷体_GB2312" w:cs="Calibri"/>
                            <w:sz w:val="14"/>
                            <w:szCs w:val="14"/>
                          </w:rPr>
                        </w:pPr>
                        <w:r>
                          <w:rPr>
                            <w:rFonts w:hint="default" w:ascii="Calibri" w:hAnsi="Calibri" w:eastAsia="楷体_GB2312" w:cs="Calibri"/>
                            <w:color w:val="215E99"/>
                            <w:sz w:val="14"/>
                          </w:rPr>
                          <w:t xml:space="preserve">3272_ </w:t>
                        </w:r>
                      </w:p>
                    </w:tc>
                    <w:tc>
                      <w:tcPr>
                        <w:tcW w:w="853" w:type="dxa"/>
                        <w:gridSpan w:val="2"/>
                        <w:vAlign w:val="center"/>
                      </w:tcPr>
                      <w:p w14:paraId="37CAE67B">
                        <w:pPr>
                          <w:jc w:val="right"/>
                          <w:rPr>
                            <w:rFonts w:hint="default" w:ascii="Calibri" w:hAnsi="Calibri" w:eastAsia="楷体_GB2312" w:cs="Calibri"/>
                            <w:sz w:val="14"/>
                            <w:szCs w:val="14"/>
                          </w:rPr>
                        </w:pPr>
                        <w:r>
                          <w:rPr>
                            <w:rFonts w:hint="default" w:ascii="Calibri" w:hAnsi="Calibri" w:eastAsia="楷体_GB2312" w:cs="Calibri"/>
                            <w:color w:val="215E99"/>
                            <w:sz w:val="14"/>
                          </w:rPr>
                          <w:t xml:space="preserve">6491_ </w:t>
                        </w:r>
                      </w:p>
                    </w:tc>
                    <w:tc>
                      <w:tcPr>
                        <w:tcW w:w="854" w:type="dxa"/>
                        <w:vAlign w:val="center"/>
                      </w:tcPr>
                      <w:p w14:paraId="7DF8C8A8">
                        <w:pPr>
                          <w:jc w:val="right"/>
                          <w:rPr>
                            <w:rFonts w:hint="default" w:ascii="Calibri" w:hAnsi="Calibri" w:eastAsia="楷体_GB2312" w:cs="Calibri"/>
                            <w:sz w:val="14"/>
                            <w:szCs w:val="14"/>
                          </w:rPr>
                        </w:pPr>
                        <w:r>
                          <w:rPr>
                            <w:rFonts w:hint="default" w:ascii="Calibri" w:hAnsi="Calibri" w:eastAsia="楷体_GB2312" w:cs="Calibri"/>
                            <w:color w:val="215E99"/>
                            <w:sz w:val="14"/>
                          </w:rPr>
                          <w:t xml:space="preserve">7784_ </w:t>
                        </w:r>
                      </w:p>
                    </w:tc>
                  </w:tr>
                  <w:tr w14:paraId="3C9F6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FAD6462">
                        <w:pPr>
                          <w:adjustRightInd w:val="0"/>
                          <w:snapToGrid w:val="0"/>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w:t>
                        </w:r>
                      </w:p>
                    </w:tc>
                    <w:tc>
                      <w:tcPr>
                        <w:tcW w:w="853" w:type="dxa"/>
                        <w:gridSpan w:val="2"/>
                        <w:vAlign w:val="center"/>
                      </w:tcPr>
                      <w:p w14:paraId="69F10693">
                        <w:pPr>
                          <w:adjustRightInd w:val="0"/>
                          <w:snapToGrid w:val="0"/>
                          <w:jc w:val="right"/>
                          <w:rPr>
                            <w:rFonts w:hint="default" w:ascii="Calibri" w:hAnsi="Calibri" w:eastAsia="楷体_GB2312" w:cs="Calibri"/>
                            <w:sz w:val="14"/>
                            <w:szCs w:val="14"/>
                            <w:lang w:eastAsia="zh-CN"/>
                          </w:rPr>
                        </w:pPr>
                        <w:r>
                          <w:rPr>
                            <w:rFonts w:hint="default" w:ascii="Calibri" w:hAnsi="Calibri" w:eastAsia="楷体_GB2312" w:cs="Calibri"/>
                            <w:color w:val="215E99"/>
                            <w:sz w:val="14"/>
                          </w:rPr>
                          <w:t>37%</w:t>
                        </w:r>
                      </w:p>
                    </w:tc>
                    <w:tc>
                      <w:tcPr>
                        <w:tcW w:w="853" w:type="dxa"/>
                        <w:gridSpan w:val="2"/>
                        <w:vAlign w:val="center"/>
                      </w:tcPr>
                      <w:p w14:paraId="5E9622B9">
                        <w:pPr>
                          <w:jc w:val="right"/>
                          <w:rPr>
                            <w:rFonts w:hint="default" w:ascii="Calibri" w:hAnsi="Calibri" w:eastAsia="楷体_GB2312" w:cs="Calibri"/>
                            <w:sz w:val="14"/>
                            <w:szCs w:val="14"/>
                          </w:rPr>
                        </w:pPr>
                        <w:r>
                          <w:rPr>
                            <w:rFonts w:hint="default" w:ascii="Calibri" w:hAnsi="Calibri" w:eastAsia="楷体_GB2312" w:cs="Calibri"/>
                            <w:color w:val="215E99"/>
                            <w:sz w:val="14"/>
                          </w:rPr>
                          <w:t>62%</w:t>
                        </w:r>
                      </w:p>
                    </w:tc>
                    <w:tc>
                      <w:tcPr>
                        <w:tcW w:w="853" w:type="dxa"/>
                        <w:gridSpan w:val="2"/>
                        <w:vAlign w:val="center"/>
                      </w:tcPr>
                      <w:p w14:paraId="40BEED92">
                        <w:pPr>
                          <w:jc w:val="right"/>
                          <w:rPr>
                            <w:rFonts w:hint="default" w:ascii="Calibri" w:hAnsi="Calibri" w:eastAsia="楷体_GB2312" w:cs="Calibri"/>
                            <w:sz w:val="14"/>
                            <w:szCs w:val="14"/>
                          </w:rPr>
                        </w:pPr>
                        <w:r>
                          <w:rPr>
                            <w:rFonts w:hint="default" w:ascii="Calibri" w:hAnsi="Calibri" w:eastAsia="楷体_GB2312" w:cs="Calibri"/>
                            <w:color w:val="215E99"/>
                            <w:sz w:val="14"/>
                          </w:rPr>
                          <w:t>98%</w:t>
                        </w:r>
                      </w:p>
                    </w:tc>
                    <w:tc>
                      <w:tcPr>
                        <w:tcW w:w="854" w:type="dxa"/>
                        <w:vAlign w:val="center"/>
                      </w:tcPr>
                      <w:p w14:paraId="77ACD61F">
                        <w:pPr>
                          <w:jc w:val="right"/>
                          <w:rPr>
                            <w:rFonts w:hint="default" w:ascii="Calibri" w:hAnsi="Calibri" w:eastAsia="楷体_GB2312" w:cs="Calibri"/>
                            <w:sz w:val="14"/>
                            <w:szCs w:val="14"/>
                          </w:rPr>
                        </w:pPr>
                        <w:r>
                          <w:rPr>
                            <w:rFonts w:hint="default" w:ascii="Calibri" w:hAnsi="Calibri" w:eastAsia="楷体_GB2312" w:cs="Calibri"/>
                            <w:color w:val="215E99"/>
                            <w:sz w:val="14"/>
                          </w:rPr>
                          <w:t>20%</w:t>
                        </w:r>
                      </w:p>
                    </w:tc>
                  </w:tr>
                  <w:tr w14:paraId="45D64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B136E41">
                        <w:pPr>
                          <w:adjustRightInd w:val="0"/>
                          <w:snapToGrid w:val="0"/>
                          <w:rPr>
                            <w:rFonts w:hint="default" w:ascii="Calibri" w:hAnsi="Calibri" w:eastAsia="楷体_GB2312" w:cs="Calibri"/>
                            <w:color w:val="23558C"/>
                            <w:sz w:val="14"/>
                            <w:szCs w:val="14"/>
                            <w:lang w:val="en-US" w:eastAsia="zh-CN"/>
                          </w:rPr>
                        </w:pPr>
                        <w:r>
                          <w:rPr>
                            <w:rFonts w:hint="default" w:ascii="Calibri" w:hAnsi="Calibri" w:eastAsia="楷体_GB2312" w:cs="Calibri"/>
                            <w:color w:val="23558C"/>
                            <w:sz w:val="14"/>
                            <w:szCs w:val="14"/>
                            <w:lang w:val="en-US" w:eastAsia="zh-CN"/>
                          </w:rPr>
                          <w:t>净利润</w:t>
                        </w:r>
                      </w:p>
                    </w:tc>
                    <w:tc>
                      <w:tcPr>
                        <w:tcW w:w="853" w:type="dxa"/>
                        <w:gridSpan w:val="2"/>
                        <w:vAlign w:val="center"/>
                      </w:tcPr>
                      <w:p w14:paraId="43798D14">
                        <w:pPr>
                          <w:adjustRightInd w:val="0"/>
                          <w:snapToGrid w:val="0"/>
                          <w:jc w:val="right"/>
                          <w:rPr>
                            <w:rFonts w:hint="default" w:ascii="Calibri" w:hAnsi="Calibri" w:eastAsia="楷体_GB2312" w:cs="Calibri"/>
                            <w:sz w:val="14"/>
                            <w:szCs w:val="14"/>
                            <w:lang w:eastAsia="zh-CN"/>
                          </w:rPr>
                        </w:pPr>
                        <w:r>
                          <w:rPr>
                            <w:rFonts w:hint="default" w:ascii="Calibri" w:hAnsi="Calibri" w:eastAsia="楷体_GB2312" w:cs="Calibri"/>
                            <w:color w:val="215E99"/>
                            <w:sz w:val="14"/>
                          </w:rPr>
                          <w:t>131</w:t>
                        </w:r>
                      </w:p>
                    </w:tc>
                    <w:tc>
                      <w:tcPr>
                        <w:tcW w:w="853" w:type="dxa"/>
                        <w:gridSpan w:val="2"/>
                        <w:vAlign w:val="center"/>
                      </w:tcPr>
                      <w:p w14:paraId="29260D76">
                        <w:pPr>
                          <w:jc w:val="right"/>
                          <w:rPr>
                            <w:rFonts w:hint="default" w:ascii="Calibri" w:hAnsi="Calibri" w:eastAsia="楷体_GB2312" w:cs="Calibri"/>
                            <w:sz w:val="14"/>
                            <w:szCs w:val="14"/>
                          </w:rPr>
                        </w:pPr>
                        <w:r>
                          <w:rPr>
                            <w:rFonts w:hint="default" w:ascii="Calibri" w:hAnsi="Calibri" w:eastAsia="楷体_GB2312" w:cs="Calibri"/>
                            <w:color w:val="215E99"/>
                            <w:sz w:val="14"/>
                          </w:rPr>
                          <w:t>437</w:t>
                        </w:r>
                      </w:p>
                    </w:tc>
                    <w:tc>
                      <w:tcPr>
                        <w:tcW w:w="853" w:type="dxa"/>
                        <w:gridSpan w:val="2"/>
                        <w:vAlign w:val="center"/>
                      </w:tcPr>
                      <w:p w14:paraId="33DF2F80">
                        <w:pPr>
                          <w:jc w:val="right"/>
                          <w:rPr>
                            <w:rFonts w:hint="default" w:ascii="Calibri" w:hAnsi="Calibri" w:eastAsia="楷体_GB2312" w:cs="Calibri"/>
                            <w:sz w:val="14"/>
                            <w:szCs w:val="14"/>
                          </w:rPr>
                        </w:pPr>
                        <w:r>
                          <w:rPr>
                            <w:rFonts w:hint="default" w:ascii="Calibri" w:hAnsi="Calibri" w:eastAsia="楷体_GB2312" w:cs="Calibri"/>
                            <w:color w:val="215E99"/>
                            <w:sz w:val="14"/>
                          </w:rPr>
                          <w:t>1,605</w:t>
                        </w:r>
                      </w:p>
                    </w:tc>
                    <w:tc>
                      <w:tcPr>
                        <w:tcW w:w="854" w:type="dxa"/>
                        <w:vAlign w:val="center"/>
                      </w:tcPr>
                      <w:p w14:paraId="142E0DDB">
                        <w:pPr>
                          <w:jc w:val="right"/>
                          <w:rPr>
                            <w:rFonts w:hint="default" w:ascii="Calibri" w:hAnsi="Calibri" w:eastAsia="楷体_GB2312" w:cs="Calibri"/>
                            <w:sz w:val="14"/>
                            <w:szCs w:val="14"/>
                          </w:rPr>
                        </w:pPr>
                        <w:r>
                          <w:rPr>
                            <w:rFonts w:hint="default" w:ascii="Calibri" w:hAnsi="Calibri" w:eastAsia="楷体_GB2312" w:cs="Calibri"/>
                            <w:color w:val="215E99"/>
                            <w:sz w:val="14"/>
                          </w:rPr>
                          <w:t>1,789</w:t>
                        </w:r>
                      </w:p>
                    </w:tc>
                  </w:tr>
                  <w:tr w14:paraId="0FA2A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79DCADD">
                        <w:pPr>
                          <w:adjustRightInd w:val="0"/>
                          <w:snapToGrid w:val="0"/>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rPr>
                          <w:t>（+/-）</w:t>
                        </w:r>
                      </w:p>
                    </w:tc>
                    <w:tc>
                      <w:tcPr>
                        <w:tcW w:w="853" w:type="dxa"/>
                        <w:gridSpan w:val="2"/>
                        <w:vAlign w:val="center"/>
                      </w:tcPr>
                      <w:p w14:paraId="0B7C57CE">
                        <w:pPr>
                          <w:adjustRightInd w:val="0"/>
                          <w:snapToGrid w:val="0"/>
                          <w:jc w:val="right"/>
                          <w:rPr>
                            <w:rFonts w:hint="default" w:ascii="Calibri" w:hAnsi="Calibri" w:eastAsia="楷体_GB2312" w:cs="Calibri"/>
                            <w:sz w:val="14"/>
                            <w:szCs w:val="14"/>
                            <w:lang w:eastAsia="zh-CN"/>
                          </w:rPr>
                        </w:pPr>
                        <w:r>
                          <w:rPr>
                            <w:rFonts w:hint="default" w:ascii="Calibri" w:hAnsi="Calibri" w:eastAsia="楷体_GB2312" w:cs="Calibri"/>
                            <w:color w:val="215E99"/>
                            <w:sz w:val="14"/>
                          </w:rPr>
                          <w:t>-</w:t>
                        </w:r>
                      </w:p>
                    </w:tc>
                    <w:tc>
                      <w:tcPr>
                        <w:tcW w:w="853" w:type="dxa"/>
                        <w:gridSpan w:val="2"/>
                        <w:vAlign w:val="center"/>
                      </w:tcPr>
                      <w:p w14:paraId="3C41334E">
                        <w:pPr>
                          <w:jc w:val="right"/>
                          <w:rPr>
                            <w:rFonts w:hint="default" w:ascii="Calibri" w:hAnsi="Calibri" w:eastAsia="楷体_GB2312" w:cs="Calibri"/>
                            <w:sz w:val="14"/>
                            <w:szCs w:val="14"/>
                          </w:rPr>
                        </w:pPr>
                        <w:r>
                          <w:rPr>
                            <w:rFonts w:hint="default" w:ascii="Calibri" w:hAnsi="Calibri" w:eastAsia="楷体_GB2312" w:cs="Calibri"/>
                            <w:color w:val="215E99"/>
                            <w:sz w:val="14"/>
                          </w:rPr>
                          <w:t>234%</w:t>
                        </w:r>
                      </w:p>
                    </w:tc>
                    <w:tc>
                      <w:tcPr>
                        <w:tcW w:w="853" w:type="dxa"/>
                        <w:gridSpan w:val="2"/>
                        <w:vAlign w:val="center"/>
                      </w:tcPr>
                      <w:p w14:paraId="2C5A1D64">
                        <w:pPr>
                          <w:jc w:val="right"/>
                          <w:rPr>
                            <w:rFonts w:hint="default" w:ascii="Calibri" w:hAnsi="Calibri" w:eastAsia="楷体_GB2312" w:cs="Calibri"/>
                            <w:sz w:val="14"/>
                            <w:szCs w:val="14"/>
                          </w:rPr>
                        </w:pPr>
                        <w:r>
                          <w:rPr>
                            <w:rFonts w:hint="default" w:ascii="Calibri" w:hAnsi="Calibri" w:eastAsia="楷体_GB2312" w:cs="Calibri"/>
                            <w:color w:val="215E99"/>
                            <w:sz w:val="14"/>
                          </w:rPr>
                          <w:t>267%</w:t>
                        </w:r>
                      </w:p>
                    </w:tc>
                    <w:tc>
                      <w:tcPr>
                        <w:tcW w:w="854" w:type="dxa"/>
                        <w:vAlign w:val="center"/>
                      </w:tcPr>
                      <w:p w14:paraId="182647F1">
                        <w:pPr>
                          <w:jc w:val="right"/>
                          <w:rPr>
                            <w:rFonts w:hint="default" w:ascii="Calibri" w:hAnsi="Calibri" w:eastAsia="楷体_GB2312" w:cs="Calibri"/>
                            <w:sz w:val="14"/>
                            <w:szCs w:val="14"/>
                          </w:rPr>
                        </w:pPr>
                        <w:r>
                          <w:rPr>
                            <w:rFonts w:hint="default" w:ascii="Calibri" w:hAnsi="Calibri" w:eastAsia="楷体_GB2312" w:cs="Calibri"/>
                            <w:color w:val="215E99"/>
                            <w:sz w:val="14"/>
                          </w:rPr>
                          <w:t>11%</w:t>
                        </w:r>
                      </w:p>
                    </w:tc>
                  </w:tr>
                  <w:tr w14:paraId="46917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F08CA87">
                        <w:pPr>
                          <w:adjustRightInd w:val="0"/>
                          <w:snapToGrid w:val="0"/>
                          <w:rPr>
                            <w:rFonts w:hint="default" w:ascii="Calibri" w:hAnsi="Calibri" w:eastAsia="楷体_GB2312" w:cs="Calibri"/>
                            <w:color w:val="23558C"/>
                            <w:sz w:val="14"/>
                            <w:szCs w:val="14"/>
                            <w:lang w:eastAsia="zh-CN"/>
                          </w:rPr>
                        </w:pPr>
                        <w:r>
                          <w:rPr>
                            <w:rFonts w:hint="default" w:ascii="Calibri" w:hAnsi="Calibri" w:eastAsia="楷体_GB2312" w:cs="Calibri"/>
                            <w:color w:val="215E99"/>
                            <w:sz w:val="14"/>
                            <w:lang w:val="en-US" w:eastAsia="zh-CN"/>
                          </w:rPr>
                          <w:t>稀释后每股收益</w:t>
                        </w:r>
                        <w:r>
                          <w:rPr>
                            <w:rFonts w:hint="default" w:ascii="Calibri" w:hAnsi="Calibri" w:eastAsia="楷体_GB2312" w:cs="Calibri"/>
                            <w:color w:val="215E99"/>
                            <w:sz w:val="14"/>
                          </w:rPr>
                          <w:t xml:space="preserve"> (US$)</w:t>
                        </w:r>
                      </w:p>
                    </w:tc>
                    <w:tc>
                      <w:tcPr>
                        <w:tcW w:w="853" w:type="dxa"/>
                        <w:gridSpan w:val="2"/>
                        <w:vAlign w:val="center"/>
                      </w:tcPr>
                      <w:p w14:paraId="3F4E9095">
                        <w:pPr>
                          <w:adjustRightInd w:val="0"/>
                          <w:snapToGrid w:val="0"/>
                          <w:jc w:val="right"/>
                          <w:rPr>
                            <w:rFonts w:hint="default" w:ascii="Calibri" w:hAnsi="Calibri" w:eastAsia="楷体_GB2312" w:cs="Calibri"/>
                            <w:sz w:val="14"/>
                            <w:szCs w:val="14"/>
                            <w:lang w:eastAsia="zh-CN"/>
                          </w:rPr>
                        </w:pPr>
                        <w:r>
                          <w:rPr>
                            <w:rFonts w:hint="default" w:ascii="Calibri" w:hAnsi="Calibri" w:eastAsia="楷体_GB2312" w:cs="Calibri"/>
                            <w:color w:val="215E99"/>
                            <w:sz w:val="14"/>
                          </w:rPr>
                          <w:t>0.45</w:t>
                        </w:r>
                      </w:p>
                    </w:tc>
                    <w:tc>
                      <w:tcPr>
                        <w:tcW w:w="853" w:type="dxa"/>
                        <w:gridSpan w:val="2"/>
                        <w:vAlign w:val="center"/>
                      </w:tcPr>
                      <w:p w14:paraId="440D8191">
                        <w:pPr>
                          <w:jc w:val="right"/>
                          <w:rPr>
                            <w:rFonts w:hint="default" w:ascii="Calibri" w:hAnsi="Calibri" w:eastAsia="楷体_GB2312" w:cs="Calibri"/>
                            <w:sz w:val="14"/>
                            <w:szCs w:val="14"/>
                          </w:rPr>
                        </w:pPr>
                        <w:r>
                          <w:rPr>
                            <w:rFonts w:hint="default" w:ascii="Calibri" w:hAnsi="Calibri" w:eastAsia="楷体_GB2312" w:cs="Calibri"/>
                            <w:color w:val="215E99"/>
                            <w:sz w:val="14"/>
                          </w:rPr>
                          <w:t>1.65</w:t>
                        </w:r>
                      </w:p>
                    </w:tc>
                    <w:tc>
                      <w:tcPr>
                        <w:tcW w:w="853" w:type="dxa"/>
                        <w:gridSpan w:val="2"/>
                        <w:vAlign w:val="center"/>
                      </w:tcPr>
                      <w:p w14:paraId="55305E8F">
                        <w:pPr>
                          <w:jc w:val="right"/>
                          <w:rPr>
                            <w:rFonts w:hint="default" w:ascii="Calibri" w:hAnsi="Calibri" w:eastAsia="楷体_GB2312" w:cs="Calibri"/>
                            <w:sz w:val="14"/>
                            <w:szCs w:val="14"/>
                          </w:rPr>
                        </w:pPr>
                        <w:r>
                          <w:rPr>
                            <w:rFonts w:hint="default" w:ascii="Calibri" w:hAnsi="Calibri" w:eastAsia="楷体_GB2312" w:cs="Calibri"/>
                            <w:color w:val="215E99"/>
                            <w:sz w:val="14"/>
                          </w:rPr>
                          <w:t>6.04</w:t>
                        </w:r>
                      </w:p>
                    </w:tc>
                    <w:tc>
                      <w:tcPr>
                        <w:tcW w:w="854" w:type="dxa"/>
                        <w:vAlign w:val="center"/>
                      </w:tcPr>
                      <w:p w14:paraId="3BA86758">
                        <w:pPr>
                          <w:jc w:val="right"/>
                          <w:rPr>
                            <w:rFonts w:hint="default" w:ascii="Calibri" w:hAnsi="Calibri" w:eastAsia="楷体_GB2312" w:cs="Calibri"/>
                            <w:sz w:val="14"/>
                            <w:szCs w:val="14"/>
                          </w:rPr>
                        </w:pPr>
                        <w:r>
                          <w:rPr>
                            <w:rFonts w:hint="default" w:ascii="Calibri" w:hAnsi="Calibri" w:eastAsia="楷体_GB2312" w:cs="Calibri"/>
                            <w:color w:val="215E99"/>
                            <w:sz w:val="14"/>
                          </w:rPr>
                          <w:t>6.71</w:t>
                        </w:r>
                      </w:p>
                    </w:tc>
                  </w:tr>
                  <w:tr w14:paraId="2EA7B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62F4FE1">
                        <w:pPr>
                          <w:adjustRightInd w:val="0"/>
                          <w:snapToGrid w:val="0"/>
                          <w:rPr>
                            <w:rFonts w:hint="default" w:ascii="Calibri" w:hAnsi="Calibri" w:eastAsia="楷体_GB2312" w:cs="Calibri"/>
                            <w:color w:val="23558C"/>
                            <w:sz w:val="14"/>
                            <w:szCs w:val="14"/>
                            <w:lang w:val="en-US" w:eastAsia="zh-CN"/>
                          </w:rPr>
                        </w:pPr>
                        <w:r>
                          <w:rPr>
                            <w:rFonts w:hint="default" w:ascii="Calibri" w:hAnsi="Calibri" w:eastAsia="楷体_GB2312" w:cs="Calibri"/>
                            <w:color w:val="23558C"/>
                            <w:sz w:val="14"/>
                            <w:szCs w:val="14"/>
                            <w:lang w:val="en-US" w:eastAsia="zh-CN"/>
                          </w:rPr>
                          <w:t>毛利率</w:t>
                        </w:r>
                      </w:p>
                    </w:tc>
                    <w:tc>
                      <w:tcPr>
                        <w:tcW w:w="853" w:type="dxa"/>
                        <w:gridSpan w:val="2"/>
                        <w:vAlign w:val="center"/>
                      </w:tcPr>
                      <w:p w14:paraId="70183F1B">
                        <w:pPr>
                          <w:adjustRightInd w:val="0"/>
                          <w:snapToGrid w:val="0"/>
                          <w:jc w:val="right"/>
                          <w:rPr>
                            <w:rFonts w:hint="default" w:ascii="Calibri" w:hAnsi="Calibri" w:eastAsia="楷体_GB2312" w:cs="Calibri"/>
                            <w:sz w:val="14"/>
                            <w:szCs w:val="14"/>
                            <w:lang w:eastAsia="zh-CN"/>
                          </w:rPr>
                        </w:pPr>
                        <w:r>
                          <w:rPr>
                            <w:rFonts w:hint="default" w:ascii="Calibri" w:hAnsi="Calibri" w:eastAsia="楷体_GB2312" w:cs="Calibri"/>
                            <w:color w:val="215E99"/>
                            <w:sz w:val="14"/>
                          </w:rPr>
                          <w:t>29.02%</w:t>
                        </w:r>
                      </w:p>
                    </w:tc>
                    <w:tc>
                      <w:tcPr>
                        <w:tcW w:w="853" w:type="dxa"/>
                        <w:gridSpan w:val="2"/>
                        <w:vAlign w:val="center"/>
                      </w:tcPr>
                      <w:p w14:paraId="6D39DCE0">
                        <w:pPr>
                          <w:jc w:val="right"/>
                          <w:rPr>
                            <w:rFonts w:hint="default" w:ascii="Calibri" w:hAnsi="Calibri" w:eastAsia="楷体_GB2312" w:cs="Calibri"/>
                            <w:sz w:val="14"/>
                            <w:szCs w:val="14"/>
                          </w:rPr>
                        </w:pPr>
                        <w:r>
                          <w:rPr>
                            <w:rFonts w:hint="default" w:ascii="Calibri" w:hAnsi="Calibri" w:eastAsia="楷体_GB2312" w:cs="Calibri"/>
                            <w:color w:val="215E99"/>
                            <w:sz w:val="14"/>
                          </w:rPr>
                          <w:t>32.85%</w:t>
                        </w:r>
                      </w:p>
                    </w:tc>
                    <w:tc>
                      <w:tcPr>
                        <w:tcW w:w="853" w:type="dxa"/>
                        <w:gridSpan w:val="2"/>
                        <w:vAlign w:val="center"/>
                      </w:tcPr>
                      <w:p w14:paraId="5FDB7722">
                        <w:pPr>
                          <w:jc w:val="right"/>
                          <w:rPr>
                            <w:rFonts w:hint="default" w:ascii="Calibri" w:hAnsi="Calibri" w:eastAsia="楷体_GB2312" w:cs="Calibri"/>
                            <w:sz w:val="14"/>
                            <w:szCs w:val="14"/>
                          </w:rPr>
                        </w:pPr>
                        <w:r>
                          <w:rPr>
                            <w:rFonts w:hint="default" w:ascii="Calibri" w:hAnsi="Calibri" w:eastAsia="楷体_GB2312" w:cs="Calibri"/>
                            <w:color w:val="215E99"/>
                            <w:sz w:val="14"/>
                          </w:rPr>
                          <w:t>36.12%</w:t>
                        </w:r>
                      </w:p>
                    </w:tc>
                    <w:tc>
                      <w:tcPr>
                        <w:tcW w:w="854" w:type="dxa"/>
                        <w:vAlign w:val="center"/>
                      </w:tcPr>
                      <w:p w14:paraId="017633A3">
                        <w:pPr>
                          <w:jc w:val="right"/>
                          <w:rPr>
                            <w:rFonts w:hint="default" w:ascii="Calibri" w:hAnsi="Calibri" w:eastAsia="楷体_GB2312" w:cs="Calibri"/>
                            <w:sz w:val="14"/>
                            <w:szCs w:val="14"/>
                          </w:rPr>
                        </w:pPr>
                        <w:r>
                          <w:rPr>
                            <w:rFonts w:hint="default" w:ascii="Calibri" w:hAnsi="Calibri" w:eastAsia="楷体_GB2312" w:cs="Calibri"/>
                            <w:color w:val="215E99"/>
                            <w:sz w:val="14"/>
                          </w:rPr>
                          <w:t>33.09%</w:t>
                        </w:r>
                      </w:p>
                    </w:tc>
                  </w:tr>
                  <w:tr w14:paraId="546F6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331C7F1">
                        <w:pPr>
                          <w:adjustRightInd w:val="0"/>
                          <w:snapToGrid w:val="0"/>
                          <w:rPr>
                            <w:rFonts w:hint="default" w:ascii="Calibri" w:hAnsi="Calibri" w:eastAsia="楷体_GB2312" w:cs="Calibri"/>
                            <w:color w:val="23558C"/>
                            <w:sz w:val="14"/>
                            <w:szCs w:val="14"/>
                            <w:lang w:val="en-US" w:eastAsia="zh-CN"/>
                          </w:rPr>
                        </w:pPr>
                        <w:r>
                          <w:rPr>
                            <w:rFonts w:hint="default" w:ascii="Calibri" w:hAnsi="Calibri" w:eastAsia="楷体_GB2312" w:cs="Calibri"/>
                            <w:color w:val="23558C"/>
                            <w:sz w:val="14"/>
                            <w:szCs w:val="14"/>
                            <w:lang w:val="en-US" w:eastAsia="zh-CN"/>
                          </w:rPr>
                          <w:t>净资产收益率</w:t>
                        </w:r>
                      </w:p>
                    </w:tc>
                    <w:tc>
                      <w:tcPr>
                        <w:tcW w:w="853" w:type="dxa"/>
                        <w:gridSpan w:val="2"/>
                        <w:vAlign w:val="center"/>
                      </w:tcPr>
                      <w:p w14:paraId="57D0627F">
                        <w:pPr>
                          <w:jc w:val="right"/>
                          <w:rPr>
                            <w:rFonts w:hint="default" w:ascii="Calibri" w:hAnsi="Calibri" w:eastAsia="楷体_GB2312" w:cs="Calibri"/>
                            <w:sz w:val="14"/>
                            <w:szCs w:val="14"/>
                          </w:rPr>
                        </w:pPr>
                        <w:r>
                          <w:rPr>
                            <w:rFonts w:hint="default" w:ascii="Calibri" w:hAnsi="Calibri" w:eastAsia="楷体_GB2312" w:cs="Calibri"/>
                            <w:color w:val="215E99"/>
                            <w:sz w:val="14"/>
                          </w:rPr>
                          <w:t>17.02%</w:t>
                        </w:r>
                      </w:p>
                    </w:tc>
                    <w:tc>
                      <w:tcPr>
                        <w:tcW w:w="853" w:type="dxa"/>
                        <w:gridSpan w:val="2"/>
                        <w:vAlign w:val="center"/>
                      </w:tcPr>
                      <w:p w14:paraId="705F809E">
                        <w:pPr>
                          <w:jc w:val="right"/>
                          <w:rPr>
                            <w:rFonts w:hint="default" w:ascii="Calibri" w:hAnsi="Calibri" w:eastAsia="楷体_GB2312" w:cs="Calibri"/>
                            <w:sz w:val="14"/>
                            <w:szCs w:val="14"/>
                          </w:rPr>
                        </w:pPr>
                        <w:r>
                          <w:rPr>
                            <w:rFonts w:hint="default" w:ascii="Calibri" w:hAnsi="Calibri" w:eastAsia="楷体_GB2312" w:cs="Calibri"/>
                            <w:color w:val="215E99"/>
                            <w:sz w:val="14"/>
                          </w:rPr>
                          <w:t>37.68%</w:t>
                        </w:r>
                      </w:p>
                    </w:tc>
                    <w:tc>
                      <w:tcPr>
                        <w:tcW w:w="853" w:type="dxa"/>
                        <w:gridSpan w:val="2"/>
                        <w:vAlign w:val="center"/>
                      </w:tcPr>
                      <w:p w14:paraId="1AD62F7A">
                        <w:pPr>
                          <w:jc w:val="right"/>
                          <w:rPr>
                            <w:rFonts w:hint="default" w:ascii="Calibri" w:hAnsi="Calibri" w:eastAsia="楷体_GB2312" w:cs="Calibri"/>
                            <w:sz w:val="14"/>
                            <w:szCs w:val="14"/>
                          </w:rPr>
                        </w:pPr>
                        <w:r>
                          <w:rPr>
                            <w:rFonts w:hint="default" w:ascii="Calibri" w:hAnsi="Calibri" w:eastAsia="楷体_GB2312" w:cs="Calibri"/>
                            <w:color w:val="215E99"/>
                            <w:sz w:val="14"/>
                          </w:rPr>
                          <w:t>59.04%</w:t>
                        </w:r>
                      </w:p>
                    </w:tc>
                    <w:tc>
                      <w:tcPr>
                        <w:tcW w:w="854" w:type="dxa"/>
                        <w:vAlign w:val="center"/>
                      </w:tcPr>
                      <w:p w14:paraId="25E81B63">
                        <w:pPr>
                          <w:jc w:val="right"/>
                          <w:rPr>
                            <w:rFonts w:hint="default" w:ascii="Calibri" w:hAnsi="Calibri" w:eastAsia="楷体_GB2312" w:cs="Calibri"/>
                            <w:sz w:val="14"/>
                            <w:szCs w:val="14"/>
                          </w:rPr>
                        </w:pPr>
                        <w:r>
                          <w:rPr>
                            <w:rFonts w:hint="default" w:ascii="Calibri" w:hAnsi="Calibri" w:eastAsia="楷体_GB2312" w:cs="Calibri"/>
                            <w:color w:val="215E99"/>
                            <w:sz w:val="14"/>
                          </w:rPr>
                          <w:t>40.10%</w:t>
                        </w:r>
                      </w:p>
                    </w:tc>
                  </w:tr>
                  <w:tr w14:paraId="66D3D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05E44AD">
                        <w:pPr>
                          <w:adjustRightInd w:val="0"/>
                          <w:snapToGrid w:val="0"/>
                          <w:rPr>
                            <w:rFonts w:hint="default" w:ascii="Calibri" w:hAnsi="Calibri" w:eastAsia="楷体_GB2312" w:cs="Calibri"/>
                            <w:color w:val="23558C"/>
                            <w:sz w:val="14"/>
                            <w:szCs w:val="14"/>
                            <w:lang w:val="en-US" w:eastAsia="zh-CN"/>
                          </w:rPr>
                        </w:pPr>
                        <w:r>
                          <w:rPr>
                            <w:rFonts w:hint="default" w:ascii="Calibri" w:hAnsi="Calibri" w:eastAsia="楷体_GB2312" w:cs="Calibri"/>
                            <w:color w:val="23558C"/>
                            <w:sz w:val="14"/>
                            <w:szCs w:val="14"/>
                            <w:lang w:val="en-US" w:eastAsia="zh-CN"/>
                          </w:rPr>
                          <w:t>市盈率</w:t>
                        </w:r>
                      </w:p>
                    </w:tc>
                    <w:tc>
                      <w:tcPr>
                        <w:tcW w:w="853" w:type="dxa"/>
                        <w:gridSpan w:val="2"/>
                        <w:vAlign w:val="center"/>
                      </w:tcPr>
                      <w:p w14:paraId="4B7D87A6">
                        <w:pPr>
                          <w:jc w:val="right"/>
                          <w:rPr>
                            <w:rFonts w:hint="default" w:ascii="Calibri" w:hAnsi="Calibri" w:eastAsia="楷体_GB2312" w:cs="Calibri"/>
                            <w:sz w:val="14"/>
                            <w:szCs w:val="14"/>
                          </w:rPr>
                        </w:pPr>
                        <w:r>
                          <w:rPr>
                            <w:rFonts w:hint="default" w:ascii="Calibri" w:hAnsi="Calibri" w:eastAsia="楷体_GB2312" w:cs="Calibri"/>
                            <w:color w:val="215E99"/>
                            <w:sz w:val="14"/>
                          </w:rPr>
                          <w:t>305</w:t>
                        </w:r>
                      </w:p>
                    </w:tc>
                    <w:tc>
                      <w:tcPr>
                        <w:tcW w:w="853" w:type="dxa"/>
                        <w:gridSpan w:val="2"/>
                        <w:vAlign w:val="center"/>
                      </w:tcPr>
                      <w:p w14:paraId="29C9CD3D">
                        <w:pPr>
                          <w:jc w:val="right"/>
                          <w:rPr>
                            <w:rFonts w:hint="default" w:ascii="Calibri" w:hAnsi="Calibri" w:eastAsia="楷体_GB2312" w:cs="Calibri"/>
                            <w:sz w:val="14"/>
                            <w:szCs w:val="14"/>
                          </w:rPr>
                        </w:pPr>
                        <w:r>
                          <w:rPr>
                            <w:rFonts w:hint="default" w:ascii="Calibri" w:hAnsi="Calibri" w:eastAsia="楷体_GB2312" w:cs="Calibri"/>
                            <w:color w:val="215E99"/>
                            <w:sz w:val="14"/>
                          </w:rPr>
                          <w:t>83</w:t>
                        </w:r>
                      </w:p>
                    </w:tc>
                    <w:tc>
                      <w:tcPr>
                        <w:tcW w:w="853" w:type="dxa"/>
                        <w:gridSpan w:val="2"/>
                        <w:vAlign w:val="center"/>
                      </w:tcPr>
                      <w:p w14:paraId="3DD36026">
                        <w:pPr>
                          <w:jc w:val="right"/>
                          <w:rPr>
                            <w:rFonts w:hint="default" w:ascii="Calibri" w:hAnsi="Calibri" w:eastAsia="楷体_GB2312" w:cs="Calibri"/>
                            <w:sz w:val="14"/>
                            <w:szCs w:val="14"/>
                          </w:rPr>
                        </w:pPr>
                        <w:r>
                          <w:rPr>
                            <w:rFonts w:hint="default" w:ascii="Calibri" w:hAnsi="Calibri" w:eastAsia="楷体_GB2312" w:cs="Calibri"/>
                            <w:color w:val="215E99"/>
                            <w:sz w:val="14"/>
                          </w:rPr>
                          <w:t>23</w:t>
                        </w:r>
                      </w:p>
                    </w:tc>
                    <w:tc>
                      <w:tcPr>
                        <w:tcW w:w="854" w:type="dxa"/>
                        <w:vAlign w:val="center"/>
                      </w:tcPr>
                      <w:p w14:paraId="711C541D">
                        <w:pPr>
                          <w:jc w:val="right"/>
                          <w:rPr>
                            <w:rFonts w:hint="default" w:ascii="Calibri" w:hAnsi="Calibri" w:eastAsia="楷体_GB2312" w:cs="Calibri"/>
                            <w:sz w:val="14"/>
                            <w:szCs w:val="14"/>
                          </w:rPr>
                        </w:pPr>
                        <w:r>
                          <w:rPr>
                            <w:rFonts w:hint="default" w:ascii="Calibri" w:hAnsi="Calibri" w:eastAsia="楷体_GB2312" w:cs="Calibri"/>
                            <w:color w:val="215E99"/>
                            <w:sz w:val="14"/>
                          </w:rPr>
                          <w:t>20</w:t>
                        </w:r>
                      </w:p>
                    </w:tc>
                  </w:tr>
                </w:tbl>
                <w:p w14:paraId="675B00C1">
                  <w:pPr>
                    <w:ind w:right="85" w:firstLine="85"/>
                    <w:rPr>
                      <w:rFonts w:hint="default" w:ascii="Calibri" w:hAnsi="Calibri" w:eastAsia="楷体_GB2312" w:cs="Calibri"/>
                    </w:rPr>
                  </w:pPr>
                </w:p>
              </w:tc>
            </w:tr>
            <w:tr w14:paraId="3570B82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05AF698B">
                  <w:pPr>
                    <w:ind w:firstLine="85"/>
                    <w:rPr>
                      <w:rFonts w:hint="default" w:ascii="Calibri" w:hAnsi="Calibri" w:eastAsia="楷体_GB2312" w:cs="Calibri"/>
                      <w:i/>
                      <w:iCs/>
                      <w:color w:val="000000"/>
                      <w:sz w:val="12"/>
                      <w:lang w:eastAsia="zh-CN"/>
                    </w:rPr>
                  </w:pPr>
                  <w:r>
                    <w:rPr>
                      <w:rFonts w:hint="default" w:ascii="Calibri" w:hAnsi="Calibri" w:eastAsia="楷体_GB2312" w:cs="Calibri"/>
                      <w:i/>
                      <w:color w:val="000000"/>
                      <w:sz w:val="12"/>
                      <w:lang w:val="en-US" w:eastAsia="zh-CN"/>
                    </w:rPr>
                    <w:t>数据来源</w:t>
                  </w:r>
                  <w:r>
                    <w:rPr>
                      <w:rFonts w:hint="default" w:ascii="Calibri" w:hAnsi="Calibri" w:eastAsia="楷体_GB2312" w:cs="Calibri"/>
                      <w:i/>
                      <w:color w:val="000000"/>
                      <w:sz w:val="12"/>
                    </w:rPr>
                    <w:t>: Company data, HFI</w:t>
                  </w:r>
                </w:p>
              </w:tc>
            </w:tr>
          </w:tbl>
          <w:p w14:paraId="4054EADC">
            <w:pPr>
              <w:pStyle w:val="22"/>
              <w:framePr w:wrap="auto" w:vAnchor="margin" w:hAnchor="text" w:xAlign="left" w:yAlign="inline"/>
              <w:jc w:val="left"/>
              <w:rPr>
                <w:rFonts w:hint="default" w:ascii="Calibri" w:hAnsi="Calibri" w:eastAsia="楷体_GB2312" w:cs="Calibri"/>
              </w:rPr>
            </w:pPr>
          </w:p>
        </w:tc>
        <w:tc>
          <w:tcPr>
            <w:tcW w:w="6566" w:type="dxa"/>
            <w:gridSpan w:val="4"/>
            <w:tcMar>
              <w:left w:w="85" w:type="dxa"/>
            </w:tcMar>
          </w:tcPr>
          <w:p w14:paraId="59634558">
            <w:pPr>
              <w:pStyle w:val="18"/>
              <w:spacing w:after="120" w:afterLines="50"/>
              <w:jc w:val="both"/>
              <w:rPr>
                <w:rFonts w:hint="default" w:ascii="Calibri" w:hAnsi="Calibri" w:eastAsia="楷体_GB2312" w:cs="Calibri"/>
                <w:kern w:val="28"/>
                <w:sz w:val="21"/>
                <w:szCs w:val="21"/>
                <w:lang w:eastAsia="zh-CN"/>
              </w:rPr>
            </w:pPr>
            <w:bookmarkStart w:id="0" w:name="_GoBack"/>
            <w:bookmarkEnd w:id="0"/>
            <w:r>
              <w:rPr>
                <w:rFonts w:hint="default" w:ascii="Calibri" w:hAnsi="Calibri" w:eastAsia="楷体_GB2312" w:cs="Calibri"/>
                <w:b/>
                <w:bCs/>
                <w:color w:val="23558C"/>
                <w:kern w:val="28"/>
                <w:sz w:val="20"/>
                <w:szCs w:val="20"/>
                <w:lang w:eastAsia="zh-CN"/>
              </w:rPr>
              <w:t>Bloom</w:t>
            </w:r>
            <w:r>
              <w:rPr>
                <w:rFonts w:hint="default" w:ascii="Calibri" w:hAnsi="Calibri" w:eastAsia="楷体_GB2312" w:cs="Calibri"/>
                <w:b/>
                <w:bCs/>
                <w:color w:val="23558C"/>
                <w:kern w:val="28"/>
                <w:sz w:val="20"/>
                <w:szCs w:val="20"/>
                <w:lang w:val="en-US" w:eastAsia="zh-CN"/>
              </w:rPr>
              <w:t xml:space="preserve"> </w:t>
            </w:r>
            <w:r>
              <w:rPr>
                <w:rFonts w:hint="default" w:ascii="Calibri" w:hAnsi="Calibri" w:eastAsia="楷体_GB2312" w:cs="Calibri"/>
                <w:b/>
                <w:bCs/>
                <w:color w:val="23558C"/>
                <w:kern w:val="28"/>
                <w:sz w:val="20"/>
                <w:szCs w:val="20"/>
                <w:lang w:eastAsia="zh-CN"/>
              </w:rPr>
              <w:t>Energy在2025年第四季度及整财年实现了稳健的收入增长，并录得创纪录的在手订单扩张。</w:t>
            </w:r>
            <w:r>
              <w:rPr>
                <w:rFonts w:hint="default" w:ascii="Calibri" w:hAnsi="Calibri" w:eastAsia="楷体_GB2312" w:cs="Calibri"/>
                <w:kern w:val="28"/>
                <w:sz w:val="20"/>
                <w:szCs w:val="20"/>
                <w:lang w:eastAsia="zh-CN"/>
              </w:rPr>
              <w:t>第四季度收入达到7.777亿美元，同比增长35.9%，显著高于市场一致预期的6.55亿美元。受具体项目组合波动影响，第四季度非GAAP毛利率小幅回落至31.9%（一致预期31.56%），但服务业务实现明显扭转，非GAAP服务毛利率由2024年第四季度的0.5%大幅提升至19.5%。第四季度非GAAP经营利润小幅下降500万美元至1.33亿美元。2025财年公司实现总收入20.2亿美元，同比增长37.3%；非GAAP毛利率提升至30.3%，同比提高1.6个百分点；非GAAP经营利润同比大幅增加1.134亿美元至2.21亿美元，同时公司连续第二年实现自由现金流转正，2025财年自由现金流达1.139亿美元。增长主要由需求大幅提升所驱动，总在手订单规模扩大至约200亿美元（2024年为121亿美元），其中产品相关在手订单同比增长2.5倍至约60亿美元。</w:t>
            </w:r>
          </w:p>
          <w:p w14:paraId="73866EEA">
            <w:pPr>
              <w:pStyle w:val="18"/>
              <w:spacing w:after="120" w:afterLines="50"/>
              <w:jc w:val="both"/>
              <w:rPr>
                <w:rFonts w:hint="default" w:ascii="Calibri" w:hAnsi="Calibri" w:eastAsia="楷体_GB2312" w:cs="Calibri"/>
                <w:snapToGrid/>
                <w:sz w:val="20"/>
                <w:szCs w:val="20"/>
                <w:lang w:eastAsia="zh-CN"/>
              </w:rPr>
            </w:pPr>
            <w:r>
              <w:rPr>
                <w:rFonts w:hint="default" w:ascii="Calibri" w:hAnsi="Calibri" w:eastAsia="楷体_GB2312" w:cs="Calibri"/>
                <w:b/>
                <w:bCs/>
                <w:color w:val="23558C"/>
                <w:kern w:val="28"/>
                <w:sz w:val="20"/>
                <w:szCs w:val="20"/>
                <w:lang w:eastAsia="zh-CN"/>
              </w:rPr>
              <w:t>展望未来，</w:t>
            </w:r>
            <w:r>
              <w:rPr>
                <w:rFonts w:hint="default" w:ascii="Calibri" w:hAnsi="Calibri" w:eastAsia="楷体_GB2312" w:cs="Calibri"/>
                <w:kern w:val="28"/>
                <w:sz w:val="20"/>
                <w:szCs w:val="20"/>
                <w:lang w:eastAsia="zh-CN"/>
              </w:rPr>
              <w:t>Bloom</w:t>
            </w:r>
            <w:r>
              <w:rPr>
                <w:rFonts w:hint="default" w:ascii="Calibri" w:hAnsi="Calibri" w:eastAsia="楷体_GB2312" w:cs="Calibri"/>
                <w:kern w:val="28"/>
                <w:sz w:val="20"/>
                <w:szCs w:val="20"/>
                <w:lang w:val="en-US" w:eastAsia="zh-CN"/>
              </w:rPr>
              <w:t xml:space="preserve"> </w:t>
            </w:r>
            <w:r>
              <w:rPr>
                <w:rFonts w:hint="default" w:ascii="Calibri" w:hAnsi="Calibri" w:eastAsia="楷体_GB2312" w:cs="Calibri"/>
                <w:kern w:val="28"/>
                <w:sz w:val="20"/>
                <w:szCs w:val="20"/>
                <w:lang w:eastAsia="zh-CN"/>
              </w:rPr>
              <w:t>Energy给出的2026财年指引显著高于市场预期。公司预计2026财年收入将达到31亿至33亿美元，非GAAP毛利率目标约为32%。此外，公司预计非GAAP经营利润将提升至4.25亿至4.75亿美元，反映出随着公司在能源转型市场中持续扩张规模，经营杠杆效应将进一步释放。</w:t>
            </w:r>
          </w:p>
          <w:p w14:paraId="184CE2A6">
            <w:pPr>
              <w:pStyle w:val="18"/>
              <w:spacing w:after="120" w:afterLines="50"/>
              <w:jc w:val="both"/>
              <w:rPr>
                <w:rFonts w:hint="default" w:ascii="Calibri" w:hAnsi="Calibri" w:eastAsia="楷体_GB2312" w:cs="Calibri"/>
                <w:snapToGrid/>
                <w:sz w:val="20"/>
                <w:szCs w:val="20"/>
              </w:rPr>
            </w:pPr>
            <w:r>
              <w:rPr>
                <w:rFonts w:hint="default" w:ascii="Calibri" w:hAnsi="Calibri" w:eastAsia="楷体_GB2312" w:cs="Calibri"/>
                <w:b/>
                <w:bCs/>
                <w:snapToGrid/>
                <w:color w:val="23558C"/>
                <w:kern w:val="28"/>
                <w:sz w:val="20"/>
                <w:szCs w:val="20"/>
                <w:lang w:eastAsia="zh-CN"/>
              </w:rPr>
              <w:t>Bloom</w:t>
            </w:r>
            <w:r>
              <w:rPr>
                <w:rFonts w:hint="default" w:ascii="Calibri" w:hAnsi="Calibri" w:eastAsia="楷体_GB2312" w:cs="Calibri"/>
                <w:b/>
                <w:bCs/>
                <w:snapToGrid/>
                <w:color w:val="23558C"/>
                <w:kern w:val="28"/>
                <w:sz w:val="20"/>
                <w:szCs w:val="20"/>
                <w:lang w:val="en-US" w:eastAsia="zh-CN"/>
              </w:rPr>
              <w:t xml:space="preserve"> </w:t>
            </w:r>
            <w:r>
              <w:rPr>
                <w:rFonts w:hint="default" w:ascii="Calibri" w:hAnsi="Calibri" w:eastAsia="楷体_GB2312" w:cs="Calibri"/>
                <w:b/>
                <w:bCs/>
                <w:snapToGrid/>
                <w:color w:val="23558C"/>
                <w:kern w:val="28"/>
                <w:sz w:val="20"/>
                <w:szCs w:val="20"/>
                <w:lang w:eastAsia="zh-CN"/>
              </w:rPr>
              <w:t>Energy的强劲发展动能，正越来越多地体现在“自备电力（bring</w:t>
            </w:r>
            <w:r>
              <w:rPr>
                <w:rFonts w:hint="default" w:ascii="Calibri" w:hAnsi="Calibri" w:eastAsia="楷体_GB2312" w:cs="Calibri"/>
                <w:b/>
                <w:bCs/>
                <w:snapToGrid/>
                <w:color w:val="23558C"/>
                <w:kern w:val="28"/>
                <w:sz w:val="20"/>
                <w:szCs w:val="20"/>
                <w:lang w:val="en-US" w:eastAsia="zh-CN"/>
              </w:rPr>
              <w:t xml:space="preserve"> </w:t>
            </w:r>
            <w:r>
              <w:rPr>
                <w:rFonts w:hint="default" w:ascii="Calibri" w:hAnsi="Calibri" w:eastAsia="楷体_GB2312" w:cs="Calibri"/>
                <w:b/>
                <w:bCs/>
                <w:snapToGrid/>
                <w:color w:val="23558C"/>
                <w:kern w:val="28"/>
                <w:sz w:val="20"/>
                <w:szCs w:val="20"/>
                <w:lang w:eastAsia="zh-CN"/>
              </w:rPr>
              <w:t>your</w:t>
            </w:r>
            <w:r>
              <w:rPr>
                <w:rFonts w:hint="default" w:ascii="Calibri" w:hAnsi="Calibri" w:eastAsia="楷体_GB2312" w:cs="Calibri"/>
                <w:b/>
                <w:bCs/>
                <w:snapToGrid/>
                <w:color w:val="23558C"/>
                <w:kern w:val="28"/>
                <w:sz w:val="20"/>
                <w:szCs w:val="20"/>
                <w:lang w:val="en-US" w:eastAsia="zh-CN"/>
              </w:rPr>
              <w:t xml:space="preserve"> </w:t>
            </w:r>
            <w:r>
              <w:rPr>
                <w:rFonts w:hint="default" w:ascii="Calibri" w:hAnsi="Calibri" w:eastAsia="楷体_GB2312" w:cs="Calibri"/>
                <w:b/>
                <w:bCs/>
                <w:snapToGrid/>
                <w:color w:val="23558C"/>
                <w:kern w:val="28"/>
                <w:sz w:val="20"/>
                <w:szCs w:val="20"/>
                <w:lang w:eastAsia="zh-CN"/>
              </w:rPr>
              <w:t>own</w:t>
            </w:r>
            <w:r>
              <w:rPr>
                <w:rFonts w:hint="default" w:ascii="Calibri" w:hAnsi="Calibri" w:eastAsia="楷体_GB2312" w:cs="Calibri"/>
                <w:b/>
                <w:bCs/>
                <w:snapToGrid/>
                <w:color w:val="23558C"/>
                <w:kern w:val="28"/>
                <w:sz w:val="20"/>
                <w:szCs w:val="20"/>
                <w:lang w:val="en-US" w:eastAsia="zh-CN"/>
              </w:rPr>
              <w:t xml:space="preserve"> </w:t>
            </w:r>
            <w:r>
              <w:rPr>
                <w:rFonts w:hint="default" w:ascii="Calibri" w:hAnsi="Calibri" w:eastAsia="楷体_GB2312" w:cs="Calibri"/>
                <w:b/>
                <w:bCs/>
                <w:snapToGrid/>
                <w:color w:val="23558C"/>
                <w:kern w:val="28"/>
                <w:sz w:val="20"/>
                <w:szCs w:val="20"/>
                <w:lang w:eastAsia="zh-CN"/>
              </w:rPr>
              <w:t>power）”从应急方案向关键业务刚需的转变之中，尤其是在AI数据中心（AIDC）市场。</w:t>
            </w:r>
            <w:r>
              <w:rPr>
                <w:rFonts w:hint="default" w:ascii="Calibri" w:hAnsi="Calibri" w:eastAsia="楷体_GB2312" w:cs="Calibri"/>
                <w:snapToGrid/>
                <w:kern w:val="28"/>
                <w:sz w:val="20"/>
                <w:szCs w:val="20"/>
                <w:lang w:eastAsia="zh-CN"/>
              </w:rPr>
              <w:t>管理层对在2025年完成初始项目交付后，持续从现有数据中心客户中获取追加订单持乐观态度，并明确指出与Oracle相关的多项潜在项目机会。为进一步巩固竞争优势，Bloom正将自身定位为以“技术优先”为核心的平台，重点布局三项关键创新应用：一是原生支持800V直流（DC），以满足下一代AI机架的架构需求；二是无需电池的运行模式，使系统能够在不受电池供应链约束的情况下，应对AI负载的剧烈波动；三是集成吸收式制冷机，将尾气余热转化为制冷能力。我们认为，在25亿美元的充裕现金储备以及可在数月内实现投入资本回报（ROIC）的轻资产制造模式支撑下，上述技术创新使BloomEnergy在行业发展曲线上处于明显领先位置。</w:t>
            </w:r>
          </w:p>
          <w:p w14:paraId="21C06B5E">
            <w:pPr>
              <w:pStyle w:val="87"/>
              <w:spacing w:afterLines="50"/>
              <w:jc w:val="both"/>
              <w:rPr>
                <w:rFonts w:hint="default" w:ascii="Calibri" w:hAnsi="Calibri" w:eastAsia="楷体_GB2312" w:cs="Calibri"/>
                <w:sz w:val="20"/>
                <w:szCs w:val="20"/>
                <w:lang w:eastAsia="zh-CN"/>
              </w:rPr>
            </w:pPr>
            <w:r>
              <w:rPr>
                <w:rFonts w:hint="default" w:ascii="Calibri" w:hAnsi="Calibri" w:eastAsia="楷体_GB2312" w:cs="Calibri"/>
                <w:b/>
                <w:bCs/>
                <w:color w:val="23558C"/>
                <w:kern w:val="28"/>
                <w:sz w:val="20"/>
                <w:szCs w:val="20"/>
                <w:lang w:eastAsia="zh-CN"/>
              </w:rPr>
              <w:t>估值与投资建议:</w:t>
            </w:r>
            <w:r>
              <w:rPr>
                <w:rFonts w:hint="default" w:ascii="Calibri" w:hAnsi="Calibri" w:eastAsia="楷体_GB2312" w:cs="Calibri"/>
                <w:kern w:val="28"/>
                <w:sz w:val="20"/>
                <w:szCs w:val="20"/>
                <w:lang w:eastAsia="zh-CN"/>
              </w:rPr>
              <w:t>基于公司上调后的业绩展望，我们预计公司2026–2028年收入分别为33/65/78亿美元，对应非GAAP</w:t>
            </w:r>
            <w:r>
              <w:rPr>
                <w:rFonts w:hint="default" w:ascii="Calibri" w:hAnsi="Calibri" w:eastAsia="楷体_GB2312" w:cs="Calibri"/>
                <w:kern w:val="28"/>
                <w:sz w:val="20"/>
                <w:szCs w:val="20"/>
                <w:lang w:val="en-US" w:eastAsia="zh-CN"/>
              </w:rPr>
              <w:t xml:space="preserve"> </w:t>
            </w:r>
            <w:r>
              <w:rPr>
                <w:rFonts w:hint="default" w:ascii="Calibri" w:hAnsi="Calibri" w:eastAsia="楷体_GB2312" w:cs="Calibri"/>
                <w:kern w:val="28"/>
                <w:sz w:val="20"/>
                <w:szCs w:val="20"/>
                <w:lang w:eastAsia="zh-CN"/>
              </w:rPr>
              <w:t>EBITDA分别为5.44/17.61/19.53亿美元。我们给予公司12个月目标价170.4美元，对应2028财年预期非GAAP</w:t>
            </w:r>
            <w:r>
              <w:rPr>
                <w:rFonts w:hint="default" w:ascii="Calibri" w:hAnsi="Calibri" w:eastAsia="楷体_GB2312" w:cs="Calibri"/>
                <w:kern w:val="28"/>
                <w:sz w:val="20"/>
                <w:szCs w:val="20"/>
                <w:lang w:val="en-US" w:eastAsia="zh-CN"/>
              </w:rPr>
              <w:t xml:space="preserve"> </w:t>
            </w:r>
            <w:r>
              <w:rPr>
                <w:rFonts w:hint="default" w:ascii="Calibri" w:hAnsi="Calibri" w:eastAsia="楷体_GB2312" w:cs="Calibri"/>
                <w:kern w:val="28"/>
                <w:sz w:val="20"/>
                <w:szCs w:val="20"/>
                <w:lang w:eastAsia="zh-CN"/>
              </w:rPr>
              <w:t>EBITDA的26倍EV/EBITDA估值，并维持“</w:t>
            </w:r>
            <w:r>
              <w:rPr>
                <w:rFonts w:hint="default" w:ascii="Calibri" w:hAnsi="Calibri" w:eastAsia="楷体_GB2312" w:cs="Calibri"/>
                <w:kern w:val="28"/>
                <w:sz w:val="20"/>
                <w:szCs w:val="20"/>
                <w:lang w:val="en-US" w:eastAsia="zh-CN"/>
              </w:rPr>
              <w:t>优于大市</w:t>
            </w:r>
            <w:r>
              <w:rPr>
                <w:rFonts w:hint="default" w:ascii="Calibri" w:hAnsi="Calibri" w:eastAsia="楷体_GB2312" w:cs="Calibri"/>
                <w:kern w:val="28"/>
                <w:sz w:val="20"/>
                <w:szCs w:val="20"/>
                <w:lang w:eastAsia="zh-CN"/>
              </w:rPr>
              <w:t>（OUTPERFORM）”评级。</w:t>
            </w:r>
          </w:p>
          <w:p w14:paraId="1EA122CF">
            <w:pPr>
              <w:pStyle w:val="87"/>
              <w:spacing w:after="0"/>
              <w:jc w:val="both"/>
              <w:rPr>
                <w:rFonts w:hint="default" w:ascii="Calibri" w:hAnsi="Calibri" w:eastAsia="楷体_GB2312" w:cs="Calibri"/>
                <w:bCs/>
                <w:kern w:val="28"/>
                <w:lang w:eastAsia="zh-CN"/>
              </w:rPr>
            </w:pPr>
            <w:r>
              <w:rPr>
                <w:rFonts w:hint="default" w:ascii="Calibri" w:hAnsi="Calibri" w:eastAsia="楷体_GB2312" w:cs="Calibri"/>
                <w:b/>
                <w:bCs/>
                <w:color w:val="23558C"/>
                <w:kern w:val="28"/>
                <w:sz w:val="20"/>
                <w:szCs w:val="20"/>
                <w:lang w:eastAsia="zh-CN"/>
              </w:rPr>
              <w:t>风险</w:t>
            </w:r>
            <w:r>
              <w:rPr>
                <w:rFonts w:hint="default" w:ascii="Calibri" w:hAnsi="Calibri" w:eastAsia="楷体_GB2312" w:cs="Calibri"/>
                <w:b/>
                <w:bCs/>
                <w:color w:val="23558C"/>
                <w:kern w:val="28"/>
                <w:sz w:val="20"/>
                <w:szCs w:val="20"/>
              </w:rPr>
              <w:t>:</w:t>
            </w:r>
            <w:r>
              <w:rPr>
                <w:rFonts w:hint="default" w:ascii="Calibri" w:hAnsi="Calibri" w:eastAsia="楷体_GB2312" w:cs="Calibri"/>
                <w:kern w:val="28"/>
                <w:sz w:val="20"/>
                <w:szCs w:val="20"/>
                <w:lang w:eastAsia="zh-CN"/>
              </w:rPr>
              <w:t>基荷电力供应瓶颈状态变化；监管限制；对未来成本节约能力的担忧。</w:t>
            </w:r>
          </w:p>
        </w:tc>
      </w:tr>
      <w:tr w14:paraId="27D8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137C64E7">
            <w:pPr>
              <w:pStyle w:val="87"/>
              <w:spacing w:after="0"/>
              <w:jc w:val="both"/>
              <w:rPr>
                <w:rFonts w:hint="default" w:ascii="Calibri" w:hAnsi="Calibri" w:eastAsia="楷体_GB2312" w:cs="Calibri"/>
                <w:bCs/>
                <w:kern w:val="28"/>
                <w:lang w:eastAsia="zh-CN"/>
              </w:rPr>
            </w:pPr>
          </w:p>
          <w:tbl>
            <w:tblPr>
              <w:tblStyle w:val="11"/>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613FC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40CA15D3">
                  <w:pPr>
                    <w:pStyle w:val="50"/>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551" w:type="dxa"/>
                </w:tcPr>
                <w:p w14:paraId="32473C3E">
                  <w:pPr>
                    <w:pStyle w:val="50"/>
                    <w:rPr>
                      <w:rFonts w:hint="default" w:ascii="Calibri" w:hAnsi="Calibri" w:eastAsia="楷体_GB2312" w:cs="Calibri"/>
                      <w:color w:val="FFFFFF" w:themeColor="background1"/>
                      <w14:textFill>
                        <w14:solidFill>
                          <w14:schemeClr w14:val="bg1"/>
                        </w14:solidFill>
                      </w14:textFill>
                    </w:rPr>
                  </w:pPr>
                </w:p>
              </w:tc>
              <w:tc>
                <w:tcPr>
                  <w:tcW w:w="2693" w:type="dxa"/>
                </w:tcPr>
                <w:p w14:paraId="4A9BC403">
                  <w:pPr>
                    <w:pStyle w:val="50"/>
                    <w:rPr>
                      <w:rFonts w:hint="default" w:ascii="Calibri" w:hAnsi="Calibri" w:eastAsia="楷体_GB2312" w:cs="Calibri"/>
                      <w:color w:val="FFFFFF" w:themeColor="background1"/>
                      <w14:textFill>
                        <w14:solidFill>
                          <w14:schemeClr w14:val="bg1"/>
                        </w14:solidFill>
                      </w14:textFill>
                    </w:rPr>
                  </w:pPr>
                </w:p>
              </w:tc>
              <w:tc>
                <w:tcPr>
                  <w:tcW w:w="2694" w:type="dxa"/>
                </w:tcPr>
                <w:p w14:paraId="5F58718F">
                  <w:pPr>
                    <w:pStyle w:val="50"/>
                    <w:rPr>
                      <w:rFonts w:hint="default" w:ascii="Calibri" w:hAnsi="Calibri" w:eastAsia="楷体_GB2312" w:cs="Calibri"/>
                      <w:color w:val="FFFFFF" w:themeColor="background1"/>
                      <w14:textFill>
                        <w14:solidFill>
                          <w14:schemeClr w14:val="bg1"/>
                        </w14:solidFill>
                      </w14:textFill>
                    </w:rPr>
                  </w:pPr>
                </w:p>
              </w:tc>
            </w:tr>
            <w:tr w14:paraId="28EA3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3" w:hRule="atLeast"/>
              </w:trPr>
              <w:tc>
                <w:tcPr>
                  <w:tcW w:w="2694" w:type="dxa"/>
                  <w:vAlign w:val="top"/>
                </w:tcPr>
                <w:p w14:paraId="6B8FE60B">
                  <w:pPr>
                    <w:pStyle w:val="49"/>
                    <w:rPr>
                      <w:rFonts w:hint="default" w:ascii="Calibri" w:hAnsi="Calibri" w:eastAsia="楷体_GB2312" w:cs="Calibri"/>
                    </w:rPr>
                  </w:pPr>
                  <w:r>
                    <w:rPr>
                      <w:rFonts w:hint="default" w:ascii="Calibri" w:hAnsi="Calibri" w:eastAsia="楷体_GB2312" w:cs="Calibri"/>
                      <w:b/>
                      <w:bCs w:val="0"/>
                      <w:i w:val="0"/>
                      <w:iCs w:val="0"/>
                      <w:caps w:val="0"/>
                      <w:color w:val="333333"/>
                      <w:spacing w:val="0"/>
                      <w:sz w:val="16"/>
                      <w:szCs w:val="16"/>
                      <w:shd w:val="clear" w:fill="FFFFFF"/>
                    </w:rPr>
                    <w:t>杨斌</w:t>
                  </w:r>
                  <w:r>
                    <w:rPr>
                      <w:rFonts w:hint="default" w:ascii="Calibri" w:hAnsi="Calibri" w:eastAsia="楷体_GB2312" w:cs="Calibri"/>
                      <w:b/>
                      <w:i w:val="0"/>
                      <w:color w:val="000000"/>
                      <w:sz w:val="16"/>
                    </w:rPr>
                    <w:t>Bin Yang, SFC:BSQ313</w:t>
                  </w:r>
                </w:p>
              </w:tc>
              <w:tc>
                <w:tcPr>
                  <w:tcW w:w="2551" w:type="dxa"/>
                </w:tcPr>
                <w:p w14:paraId="78AC1986">
                  <w:pPr>
                    <w:pStyle w:val="49"/>
                    <w:rPr>
                      <w:rFonts w:hint="default" w:ascii="Calibri" w:hAnsi="Calibri" w:eastAsia="楷体_GB2312" w:cs="Calibri"/>
                    </w:rPr>
                  </w:pPr>
                </w:p>
              </w:tc>
              <w:tc>
                <w:tcPr>
                  <w:tcW w:w="2693" w:type="dxa"/>
                </w:tcPr>
                <w:p w14:paraId="1567CBF1">
                  <w:pPr>
                    <w:pStyle w:val="49"/>
                    <w:rPr>
                      <w:rFonts w:hint="default" w:ascii="Calibri" w:hAnsi="Calibri" w:eastAsia="楷体_GB2312" w:cs="Calibri"/>
                    </w:rPr>
                  </w:pPr>
                </w:p>
              </w:tc>
              <w:tc>
                <w:tcPr>
                  <w:tcW w:w="2694" w:type="dxa"/>
                </w:tcPr>
                <w:p w14:paraId="0295A930">
                  <w:pPr>
                    <w:pStyle w:val="49"/>
                    <w:rPr>
                      <w:rFonts w:hint="default" w:ascii="Calibri" w:hAnsi="Calibri" w:eastAsia="楷体_GB2312" w:cs="Calibri"/>
                    </w:rPr>
                  </w:pPr>
                </w:p>
              </w:tc>
            </w:tr>
            <w:tr w14:paraId="62DB9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vAlign w:val="top"/>
                </w:tcPr>
                <w:p w14:paraId="69360413">
                  <w:pPr>
                    <w:pStyle w:val="49"/>
                    <w:rPr>
                      <w:rFonts w:hint="default" w:ascii="Calibri" w:hAnsi="Calibri" w:eastAsia="楷体_GB2312" w:cs="Calibri"/>
                      <w:b w:val="0"/>
                    </w:rPr>
                  </w:pPr>
                  <w:r>
                    <w:rPr>
                      <w:rFonts w:hint="default" w:ascii="Calibri" w:hAnsi="Calibri" w:eastAsia="楷体_GB2312" w:cs="Calibri"/>
                      <w:b w:val="0"/>
                      <w:i w:val="0"/>
                      <w:color w:val="000000"/>
                      <w:sz w:val="16"/>
                    </w:rPr>
                    <w:t>harryyang@hfisec.com.hk</w:t>
                  </w:r>
                </w:p>
              </w:tc>
              <w:tc>
                <w:tcPr>
                  <w:tcW w:w="2551" w:type="dxa"/>
                </w:tcPr>
                <w:p w14:paraId="0DAF3098">
                  <w:pPr>
                    <w:pStyle w:val="49"/>
                    <w:rPr>
                      <w:rFonts w:hint="default" w:ascii="Calibri" w:hAnsi="Calibri" w:eastAsia="楷体_GB2312" w:cs="Calibri"/>
                      <w:b w:val="0"/>
                    </w:rPr>
                  </w:pPr>
                </w:p>
              </w:tc>
              <w:tc>
                <w:tcPr>
                  <w:tcW w:w="2693" w:type="dxa"/>
                </w:tcPr>
                <w:p w14:paraId="6CFDDDA2">
                  <w:pPr>
                    <w:pStyle w:val="49"/>
                    <w:rPr>
                      <w:rFonts w:hint="default" w:ascii="Calibri" w:hAnsi="Calibri" w:eastAsia="楷体_GB2312" w:cs="Calibri"/>
                      <w:b w:val="0"/>
                    </w:rPr>
                  </w:pPr>
                </w:p>
              </w:tc>
              <w:tc>
                <w:tcPr>
                  <w:tcW w:w="2694" w:type="dxa"/>
                </w:tcPr>
                <w:p w14:paraId="22FB8045">
                  <w:pPr>
                    <w:pStyle w:val="49"/>
                    <w:rPr>
                      <w:rFonts w:hint="default" w:ascii="Calibri" w:hAnsi="Calibri" w:eastAsia="楷体_GB2312" w:cs="Calibri"/>
                      <w:b w:val="0"/>
                    </w:rPr>
                  </w:pPr>
                </w:p>
              </w:tc>
            </w:tr>
            <w:tr w14:paraId="542DC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7E73C64">
                  <w:pPr>
                    <w:pStyle w:val="49"/>
                    <w:rPr>
                      <w:rFonts w:hint="default" w:ascii="Calibri" w:hAnsi="Calibri" w:eastAsia="楷体_GB2312" w:cs="Calibri"/>
                      <w:b w:val="0"/>
                    </w:rPr>
                  </w:pPr>
                </w:p>
              </w:tc>
              <w:tc>
                <w:tcPr>
                  <w:tcW w:w="2551" w:type="dxa"/>
                </w:tcPr>
                <w:p w14:paraId="4C4B213E">
                  <w:pPr>
                    <w:pStyle w:val="49"/>
                    <w:rPr>
                      <w:rFonts w:hint="default" w:ascii="Calibri" w:hAnsi="Calibri" w:eastAsia="楷体_GB2312" w:cs="Calibri"/>
                      <w:b w:val="0"/>
                    </w:rPr>
                  </w:pPr>
                </w:p>
              </w:tc>
              <w:tc>
                <w:tcPr>
                  <w:tcW w:w="2693" w:type="dxa"/>
                </w:tcPr>
                <w:p w14:paraId="397CB5DE">
                  <w:pPr>
                    <w:pStyle w:val="49"/>
                    <w:rPr>
                      <w:rFonts w:hint="default" w:ascii="Calibri" w:hAnsi="Calibri" w:eastAsia="楷体_GB2312" w:cs="Calibri"/>
                      <w:b w:val="0"/>
                      <w:lang w:val="en-US" w:eastAsia="zh-CN"/>
                    </w:rPr>
                  </w:pPr>
                </w:p>
              </w:tc>
              <w:tc>
                <w:tcPr>
                  <w:tcW w:w="2694" w:type="dxa"/>
                </w:tcPr>
                <w:p w14:paraId="36C42F75">
                  <w:pPr>
                    <w:pStyle w:val="49"/>
                    <w:rPr>
                      <w:rFonts w:hint="default" w:ascii="Calibri" w:hAnsi="Calibri" w:eastAsia="楷体_GB2312" w:cs="Calibri"/>
                      <w:b w:val="0"/>
                    </w:rPr>
                  </w:pPr>
                </w:p>
              </w:tc>
            </w:tr>
            <w:tr w14:paraId="0A945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4AF4C67">
                  <w:pPr>
                    <w:pStyle w:val="49"/>
                    <w:rPr>
                      <w:rFonts w:hint="default" w:ascii="Calibri" w:hAnsi="Calibri" w:eastAsia="楷体_GB2312" w:cs="Calibri"/>
                      <w:b w:val="0"/>
                    </w:rPr>
                  </w:pPr>
                </w:p>
              </w:tc>
              <w:tc>
                <w:tcPr>
                  <w:tcW w:w="2551" w:type="dxa"/>
                </w:tcPr>
                <w:p w14:paraId="2EDC3BA5">
                  <w:pPr>
                    <w:pStyle w:val="49"/>
                    <w:rPr>
                      <w:rFonts w:hint="default" w:ascii="Calibri" w:hAnsi="Calibri" w:eastAsia="楷体_GB2312" w:cs="Calibri"/>
                      <w:b w:val="0"/>
                    </w:rPr>
                  </w:pPr>
                </w:p>
              </w:tc>
              <w:tc>
                <w:tcPr>
                  <w:tcW w:w="2693" w:type="dxa"/>
                </w:tcPr>
                <w:p w14:paraId="3F4D04F4">
                  <w:pPr>
                    <w:pStyle w:val="49"/>
                    <w:rPr>
                      <w:rFonts w:hint="default" w:ascii="Calibri" w:hAnsi="Calibri" w:eastAsia="楷体_GB2312" w:cs="Calibri"/>
                      <w:b w:val="0"/>
                    </w:rPr>
                  </w:pPr>
                </w:p>
              </w:tc>
              <w:tc>
                <w:tcPr>
                  <w:tcW w:w="2694" w:type="dxa"/>
                </w:tcPr>
                <w:p w14:paraId="50B1E3CC">
                  <w:pPr>
                    <w:pStyle w:val="49"/>
                    <w:rPr>
                      <w:rFonts w:hint="default" w:ascii="Calibri" w:hAnsi="Calibri" w:eastAsia="楷体_GB2312" w:cs="Calibri"/>
                      <w:b w:val="0"/>
                    </w:rPr>
                  </w:pPr>
                </w:p>
              </w:tc>
            </w:tr>
          </w:tbl>
          <w:p w14:paraId="5ED7A985">
            <w:pPr>
              <w:pStyle w:val="87"/>
              <w:spacing w:after="0"/>
              <w:jc w:val="both"/>
              <w:rPr>
                <w:rFonts w:hint="default" w:ascii="Calibri" w:hAnsi="Calibri" w:eastAsia="楷体_GB2312" w:cs="Calibri"/>
                <w:bCs/>
                <w:kern w:val="28"/>
                <w:lang w:eastAsia="zh-CN"/>
              </w:rPr>
            </w:pPr>
          </w:p>
        </w:tc>
      </w:tr>
    </w:tbl>
    <w:p w14:paraId="38E2107E">
      <w:pPr>
        <w:pStyle w:val="70"/>
        <w:rPr>
          <w:rFonts w:hint="default" w:ascii="Calibri" w:hAnsi="Calibri" w:eastAsia="楷体_GB2312" w:cs="Calibri"/>
        </w:rPr>
      </w:pPr>
    </w:p>
    <w:p w14:paraId="297FA5EF">
      <w:pPr>
        <w:rPr>
          <w:rFonts w:hint="default" w:ascii="Calibri" w:hAnsi="Calibri" w:eastAsia="楷体_GB2312" w:cs="Calibri"/>
          <w:lang w:eastAsia="zh-CN"/>
        </w:rPr>
      </w:pPr>
    </w:p>
    <w:p w14:paraId="210D942C">
      <w:pPr>
        <w:rPr>
          <w:rFonts w:hint="default" w:ascii="Calibri" w:hAnsi="Calibri" w:eastAsia="楷体_GB2312" w:cs="Calibri"/>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tbl>
      <w:tblPr>
        <w:tblStyle w:val="11"/>
        <w:tblW w:w="10434"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10434"/>
      </w:tblGrid>
      <w:tr w14:paraId="37C4EA4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10434" w:type="dxa"/>
          </w:tcPr>
          <w:p w14:paraId="20FA275D">
            <w:pPr>
              <w:rPr>
                <w:rFonts w:hint="default" w:ascii="Calibri" w:hAnsi="Calibri" w:eastAsia="楷体_GB2312" w:cs="Calibri"/>
                <w:b/>
                <w:sz w:val="17"/>
                <w:lang w:val="en-US" w:eastAsia="zh-CN"/>
              </w:rPr>
            </w:pPr>
            <w:r>
              <w:rPr>
                <w:rFonts w:hint="default" w:ascii="Calibri" w:hAnsi="Calibri" w:eastAsia="楷体_GB2312" w:cs="Calibri"/>
                <w:b/>
                <w:sz w:val="17"/>
                <w:lang w:val="en-US" w:eastAsia="zh-CN"/>
              </w:rPr>
              <w:t>表1：估值模型</w:t>
            </w:r>
          </w:p>
        </w:tc>
      </w:tr>
      <w:tr w14:paraId="397DA99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10434" w:type="dxa"/>
          </w:tcPr>
          <w:p w14:paraId="185CC1A6">
            <w:pPr>
              <w:rPr>
                <w:rFonts w:hint="default" w:ascii="Calibri" w:hAnsi="Calibri" w:eastAsia="楷体_GB2312" w:cs="Calibri"/>
                <w:sz w:val="20"/>
                <w:szCs w:val="20"/>
                <w:lang w:eastAsia="zh-CN"/>
              </w:rPr>
            </w:pPr>
            <w:r>
              <w:rPr>
                <w:rFonts w:hint="default" w:ascii="Calibri" w:hAnsi="Calibri" w:eastAsia="楷体_GB2312" w:cs="Calibri"/>
                <w:sz w:val="20"/>
                <w:szCs w:val="20"/>
                <w:lang w:eastAsia="zh-CN"/>
              </w:rPr>
              <w:drawing>
                <wp:inline distT="0" distB="0" distL="0" distR="0">
                  <wp:extent cx="3147060" cy="2243455"/>
                  <wp:effectExtent l="0" t="0" r="0" b="4445"/>
                  <wp:docPr id="326756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6975"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47060" cy="2243455"/>
                          </a:xfrm>
                          <a:prstGeom prst="rect">
                            <a:avLst/>
                          </a:prstGeom>
                          <a:noFill/>
                          <a:ln>
                            <a:noFill/>
                          </a:ln>
                        </pic:spPr>
                      </pic:pic>
                    </a:graphicData>
                  </a:graphic>
                </wp:inline>
              </w:drawing>
            </w:r>
          </w:p>
        </w:tc>
      </w:tr>
      <w:tr w14:paraId="37D84C6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10434" w:type="dxa"/>
          </w:tcPr>
          <w:p w14:paraId="24DFC6BF">
            <w:pPr>
              <w:rPr>
                <w:rFonts w:hint="default" w:ascii="Calibri" w:hAnsi="Calibri" w:eastAsia="楷体_GB2312" w:cs="Calibri"/>
                <w:sz w:val="12"/>
              </w:rPr>
            </w:pPr>
            <w:r>
              <w:rPr>
                <w:rFonts w:hint="default" w:ascii="Calibri" w:hAnsi="Calibri" w:eastAsia="楷体_GB2312" w:cs="Calibri"/>
                <w:sz w:val="15"/>
                <w:szCs w:val="15"/>
                <w:lang w:eastAsia="zh-CN"/>
              </w:rPr>
              <w:t>Source: HFI</w:t>
            </w:r>
          </w:p>
        </w:tc>
      </w:tr>
    </w:tbl>
    <w:p w14:paraId="7FF7DC0A">
      <w:pPr>
        <w:pStyle w:val="18"/>
        <w:overflowPunct w:val="0"/>
        <w:ind w:left="3200" w:leftChars="2000"/>
        <w:jc w:val="both"/>
        <w:rPr>
          <w:rFonts w:hint="default" w:ascii="Calibri" w:hAnsi="Calibri" w:eastAsia="楷体_GB2312" w:cs="Calibri"/>
          <w:lang w:eastAsia="zh-CN"/>
        </w:rPr>
      </w:pPr>
    </w:p>
    <w:p w14:paraId="62C1568E">
      <w:pPr>
        <w:pStyle w:val="18"/>
        <w:overflowPunct w:val="0"/>
        <w:ind w:left="3200" w:leftChars="2000"/>
        <w:jc w:val="both"/>
        <w:rPr>
          <w:rFonts w:hint="default" w:ascii="Calibri" w:hAnsi="Calibri" w:eastAsia="楷体_GB2312" w:cs="Calibri"/>
          <w:lang w:eastAsia="zh-CN"/>
        </w:rPr>
      </w:pPr>
    </w:p>
    <w:p w14:paraId="2E226738">
      <w:pPr>
        <w:pStyle w:val="18"/>
        <w:overflowPunct w:val="0"/>
        <w:ind w:left="3200" w:leftChars="2000"/>
        <w:jc w:val="both"/>
        <w:rPr>
          <w:rFonts w:hint="default" w:ascii="Calibri" w:hAnsi="Calibri" w:eastAsia="楷体_GB2312" w:cs="Calibri"/>
          <w:lang w:eastAsia="zh-CN"/>
        </w:rPr>
      </w:pPr>
    </w:p>
    <w:p w14:paraId="78DE9CD1">
      <w:pPr>
        <w:rPr>
          <w:rFonts w:hint="default" w:ascii="Calibri" w:hAnsi="Calibri" w:eastAsia="楷体_GB2312" w:cs="Calibri"/>
          <w:lang w:eastAsia="zh-CN"/>
        </w:rPr>
      </w:pPr>
      <w:r>
        <w:rPr>
          <w:rFonts w:hint="default" w:ascii="Calibri" w:hAnsi="Calibri" w:eastAsia="楷体_GB2312" w:cs="Calibri"/>
          <w:lang w:eastAsia="zh-CN"/>
        </w:rPr>
        <w:br w:type="page"/>
      </w:r>
    </w:p>
    <w:p w14:paraId="0F32F717">
      <w:pPr>
        <w:pStyle w:val="18"/>
        <w:overflowPunct w:val="0"/>
        <w:jc w:val="both"/>
        <w:rPr>
          <w:rFonts w:hint="default" w:ascii="Calibri" w:hAnsi="Calibri" w:eastAsia="楷体_GB2312" w:cs="Calibri"/>
          <w:lang w:val="en-US" w:eastAsia="zh-CN"/>
        </w:rPr>
      </w:pPr>
      <w:r>
        <w:rPr>
          <w:rFonts w:hint="default" w:ascii="Calibri" w:hAnsi="Calibri" w:eastAsia="楷体_GB2312" w:cs="Calibri"/>
          <w:b/>
          <w:bCs/>
          <w:sz w:val="17"/>
          <w:lang w:val="en-US" w:eastAsia="zh-CN"/>
        </w:rPr>
        <w:t>表2：财务摘要</w:t>
      </w:r>
    </w:p>
    <w:p w14:paraId="313DD5E5">
      <w:pPr>
        <w:pStyle w:val="18"/>
        <w:overflowPunct w:val="0"/>
        <w:jc w:val="both"/>
        <w:rPr>
          <w:rFonts w:hint="default" w:ascii="Calibri" w:hAnsi="Calibri" w:eastAsia="楷体_GB2312" w:cs="Calibri"/>
          <w:bCs/>
          <w:lang w:eastAsia="zh-CN"/>
        </w:rPr>
      </w:pPr>
      <w:r>
        <w:rPr>
          <w:rFonts w:hint="default" w:ascii="Calibri" w:hAnsi="Calibri" w:eastAsia="楷体_GB2312" w:cs="Calibri"/>
          <w:bCs/>
          <w:lang w:eastAsia="zh-CN"/>
        </w:rPr>
        <w:drawing>
          <wp:inline distT="0" distB="0" distL="0" distR="0">
            <wp:extent cx="6661785" cy="4285615"/>
            <wp:effectExtent l="0" t="0" r="5715" b="635"/>
            <wp:docPr id="1228030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090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661785" cy="4285615"/>
                    </a:xfrm>
                    <a:prstGeom prst="rect">
                      <a:avLst/>
                    </a:prstGeom>
                    <a:noFill/>
                    <a:ln>
                      <a:noFill/>
                    </a:ln>
                  </pic:spPr>
                </pic:pic>
              </a:graphicData>
            </a:graphic>
          </wp:inline>
        </w:drawing>
      </w:r>
    </w:p>
    <w:p w14:paraId="2C436FEF">
      <w:pPr>
        <w:pStyle w:val="18"/>
        <w:overflowPunct w:val="0"/>
        <w:jc w:val="both"/>
        <w:rPr>
          <w:rFonts w:hint="default" w:ascii="Calibri" w:hAnsi="Calibri" w:eastAsia="楷体_GB2312" w:cs="Calibri"/>
          <w:sz w:val="15"/>
          <w:szCs w:val="15"/>
          <w:lang w:eastAsia="zh-CN"/>
        </w:rPr>
      </w:pPr>
      <w:r>
        <w:rPr>
          <w:rFonts w:hint="default" w:ascii="Calibri" w:hAnsi="Calibri" w:eastAsia="楷体_GB2312" w:cs="Calibri"/>
          <w:sz w:val="15"/>
          <w:szCs w:val="15"/>
          <w:lang w:eastAsia="zh-CN"/>
        </w:rPr>
        <w:t>Source: HFI</w:t>
      </w:r>
    </w:p>
    <w:p w14:paraId="3229F114">
      <w:pPr>
        <w:pStyle w:val="18"/>
        <w:overflowPunct w:val="0"/>
        <w:jc w:val="both"/>
        <w:rPr>
          <w:rFonts w:hint="default" w:ascii="Calibri" w:hAnsi="Calibri" w:eastAsia="楷体_GB2312" w:cs="Calibri"/>
          <w:sz w:val="15"/>
          <w:szCs w:val="15"/>
          <w:lang w:eastAsia="zh-CN"/>
        </w:rPr>
      </w:pPr>
    </w:p>
    <w:p w14:paraId="0E124A29">
      <w:pPr>
        <w:pStyle w:val="18"/>
        <w:rPr>
          <w:rFonts w:hint="default" w:ascii="Calibri" w:hAnsi="Calibri" w:eastAsia="楷体_GB2312" w:cs="Calibri"/>
          <w:sz w:val="4"/>
          <w:szCs w:val="4"/>
          <w:lang w:eastAsia="zh-CN"/>
        </w:rPr>
      </w:pPr>
    </w:p>
    <w:p w14:paraId="6EB3BBB7">
      <w:pPr>
        <w:pStyle w:val="5"/>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10" w:type="first"/>
          <w:footerReference r:id="rId12" w:type="first"/>
          <w:headerReference r:id="rId9" w:type="default"/>
          <w:footerReference r:id="rId11" w:type="default"/>
          <w:pgSz w:w="11909" w:h="16834"/>
          <w:pgMar w:top="1610" w:right="851" w:bottom="1707" w:left="567" w:header="720" w:footer="1520" w:gutter="0"/>
          <w:cols w:space="720" w:num="1"/>
          <w:docGrid w:linePitch="360" w:charSpace="0"/>
        </w:sectPr>
      </w:pPr>
    </w:p>
    <w:tbl>
      <w:tblPr>
        <w:tblStyle w:val="11"/>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9"/>
      </w:tblGrid>
      <w:tr w14:paraId="1A5E76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tcPr>
          <w:p w14:paraId="00355DDC">
            <w:pPr>
              <w:rPr>
                <w:rFonts w:hint="default" w:ascii="Calibri" w:hAnsi="Calibri" w:eastAsia="楷体_GB2312" w:cs="Calibri"/>
                <w:lang w:eastAsia="zh-CN"/>
              </w:rPr>
            </w:pPr>
            <w:r>
              <w:rPr>
                <w:rFonts w:hint="default" w:ascii="Calibri" w:hAnsi="Calibri" w:eastAsia="楷体_GB2312" w:cs="Calibri"/>
                <w:lang w:eastAsia="zh-CN"/>
              </w:rPr>
              <w:t>[</w:t>
            </w:r>
            <w:r>
              <w:rPr>
                <w:rFonts w:hint="default" w:ascii="Calibri" w:hAnsi="Calibri" w:eastAsia="楷体_GB2312" w:cs="Calibri"/>
                <w:lang w:eastAsia="zh-CN"/>
              </w:rPr>
              <w:t>Table_APPENDIX]</w:t>
            </w:r>
          </w:p>
        </w:tc>
      </w:tr>
      <w:tr w14:paraId="46201F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tbl>
            <w:tblPr>
              <w:tblStyle w:val="11"/>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6F21FC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66ABFD51">
                  <w:pPr>
                    <w:pStyle w:val="24"/>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20948A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05ECC974">
                  <w:pPr>
                    <w:pStyle w:val="24"/>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rPr>
                    <w:t>附录APPENDIX</w:t>
                  </w:r>
                </w:p>
                <w:p w14:paraId="67F90D6D">
                  <w:pPr>
                    <w:pStyle w:val="24"/>
                    <w:rPr>
                      <w:rFonts w:hint="default" w:ascii="Calibri" w:hAnsi="Calibri" w:eastAsia="楷体_GB2312" w:cs="Calibri"/>
                      <w:b/>
                      <w:w w:val="70"/>
                      <w:sz w:val="20"/>
                      <w:szCs w:val="20"/>
                    </w:rPr>
                  </w:pPr>
                  <w:r>
                    <w:rPr>
                      <w:rFonts w:hint="default" w:ascii="Calibri" w:hAnsi="Calibri" w:eastAsia="楷体_GB2312" w:cs="Calibri"/>
                      <w:b/>
                      <w:w w:val="70"/>
                      <w:sz w:val="20"/>
                      <w:szCs w:val="20"/>
                    </w:rPr>
                    <w:t>重要信息披露</w:t>
                  </w:r>
                </w:p>
                <w:p w14:paraId="588507D5">
                  <w:pPr>
                    <w:pStyle w:val="2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rPr>
                    <w:t>本研究报告由</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（香港）金融控股有限公司（下称华福国际）</w:t>
                  </w:r>
                  <w:r>
                    <w:rPr>
                      <w:rFonts w:hint="default" w:ascii="Calibri" w:hAnsi="Calibri" w:eastAsia="楷体_GB2312" w:cs="Calibri"/>
                      <w:w w:val="70"/>
                      <w:sz w:val="20"/>
                      <w:szCs w:val="20"/>
                    </w:rPr>
                    <w:t>分销</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rPr>
                    <w:t>在其许可的司法管辖区内从事证券活动。</w:t>
                  </w:r>
                </w:p>
                <w:p w14:paraId="028A4C2D">
                  <w:pPr>
                    <w:pStyle w:val="24"/>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0E990D01">
                  <w:pPr>
                    <w:pStyle w:val="24"/>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5A0B5E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7D9BB8BE">
                  <w:pPr>
                    <w:pStyle w:val="24"/>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17BE03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01403857">
                  <w:pPr>
                    <w:jc w:val="both"/>
                    <w:rPr>
                      <w:rFonts w:hint="default" w:ascii="Calibri" w:hAnsi="Calibri" w:eastAsia="楷体_GB2312" w:cs="Calibri"/>
                      <w:w w:val="70"/>
                      <w:sz w:val="20"/>
                      <w:szCs w:val="20"/>
                      <w:lang w:eastAsia="zh-CN"/>
                    </w:rPr>
                  </w:pPr>
                  <w:r>
                    <w:rPr>
                      <w:rFonts w:hint="default" w:ascii="Calibri" w:hAnsi="Calibri" w:eastAsia="楷体_GB2312" w:cs="Calibri"/>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53846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6F9DD66F">
                  <w:pPr>
                    <w:pStyle w:val="24"/>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25694C5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2AEF49F4">
                  <w:pPr>
                    <w:pStyle w:val="24"/>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rPr>
                      <w:rFonts w:hint="default" w:ascii="Calibri" w:hAnsi="Calibri" w:eastAsia="楷体_GB2312" w:cs="Calibri"/>
                      <w:w w:val="70"/>
                      <w:sz w:val="20"/>
                      <w:szCs w:val="20"/>
                    </w:rPr>
                    <w:fldChar w:fldCharType="begin"/>
                  </w:r>
                  <w:r>
                    <w:rPr>
                      <w:rFonts w:hint="default" w:ascii="Calibri" w:hAnsi="Calibri" w:eastAsia="楷体_GB2312" w:cs="Calibri"/>
                      <w:w w:val="70"/>
                      <w:sz w:val="20"/>
                      <w:szCs w:val="20"/>
                    </w:rPr>
                    <w:instrText xml:space="preserve"> HYPERLINK "mailto:请发邮件至lcd@hfisec.com.hk" </w:instrText>
                  </w:r>
                  <w:r>
                    <w:rPr>
                      <w:rFonts w:hint="default" w:ascii="Calibri" w:hAnsi="Calibri" w:eastAsia="楷体_GB2312" w:cs="Calibri"/>
                      <w:w w:val="70"/>
                      <w:sz w:val="20"/>
                      <w:szCs w:val="20"/>
                    </w:rPr>
                    <w:fldChar w:fldCharType="separate"/>
                  </w:r>
                  <w:r>
                    <w:rPr>
                      <w:rStyle w:val="14"/>
                      <w:rFonts w:hint="default" w:ascii="Calibri" w:hAnsi="Calibri" w:eastAsia="楷体_GB2312" w:cs="Calibri"/>
                      <w:w w:val="70"/>
                      <w:sz w:val="20"/>
                      <w:szCs w:val="20"/>
                    </w:rPr>
                    <w:t>请发邮件至lcd@hfisec.com.hk</w:t>
                  </w:r>
                  <w:r>
                    <w:rPr>
                      <w:rFonts w:hint="default" w:ascii="Calibri" w:hAnsi="Calibri" w:eastAsia="楷体_GB2312" w:cs="Calibri"/>
                      <w:w w:val="70"/>
                      <w:sz w:val="20"/>
                      <w:szCs w:val="20"/>
                    </w:rPr>
                    <w:fldChar w:fldCharType="end"/>
                  </w:r>
                  <w:r>
                    <w:rPr>
                      <w:rFonts w:hint="default" w:ascii="Calibri" w:hAnsi="Calibri" w:eastAsia="楷体_GB2312" w:cs="Calibri"/>
                      <w:w w:val="70"/>
                      <w:sz w:val="20"/>
                      <w:szCs w:val="20"/>
                    </w:rPr>
                    <w:t>）</w:t>
                  </w:r>
                </w:p>
                <w:p w14:paraId="38F4E105">
                  <w:pPr>
                    <w:pStyle w:val="24"/>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77E689D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3A18E8D">
                  <w:pPr>
                    <w:pStyle w:val="24"/>
                    <w:rPr>
                      <w:rFonts w:hint="default" w:ascii="Calibri" w:hAnsi="Calibri" w:eastAsia="楷体_GB2312" w:cs="Calibri"/>
                      <w:w w:val="70"/>
                      <w:sz w:val="20"/>
                      <w:szCs w:val="20"/>
                    </w:rPr>
                  </w:pPr>
                </w:p>
              </w:tc>
            </w:tr>
            <w:tr w14:paraId="5648D27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6243F0E6">
                  <w:pPr>
                    <w:pStyle w:val="24"/>
                    <w:rPr>
                      <w:rFonts w:hint="default" w:ascii="Calibri" w:hAnsi="Calibri" w:eastAsia="楷体_GB2312" w:cs="Calibri"/>
                      <w:b/>
                      <w:w w:val="70"/>
                      <w:sz w:val="20"/>
                      <w:szCs w:val="20"/>
                    </w:rPr>
                  </w:pPr>
                  <w:r>
                    <w:rPr>
                      <w:rFonts w:hint="default" w:ascii="Calibri" w:hAnsi="Calibri" w:eastAsia="楷体_GB2312" w:cs="Calibri"/>
                      <w:b/>
                      <w:w w:val="70"/>
                      <w:sz w:val="20"/>
                      <w:szCs w:val="20"/>
                    </w:rPr>
                    <w:t>评级定义</w:t>
                  </w:r>
                  <w:r>
                    <w:rPr>
                      <w:rFonts w:hint="default" w:ascii="Calibri" w:hAnsi="Calibri" w:eastAsia="楷体_GB2312" w:cs="Calibri"/>
                      <w:b/>
                      <w:w w:val="70"/>
                      <w:sz w:val="20"/>
                      <w:szCs w:val="20"/>
                      <w:lang w:eastAsia="zh-CN"/>
                    </w:rPr>
                    <w:t>（从2020年7月1日开始执行）</w:t>
                  </w:r>
                  <w:r>
                    <w:rPr>
                      <w:rFonts w:hint="default" w:ascii="Calibri" w:hAnsi="Calibri" w:eastAsia="楷体_GB2312" w:cs="Calibri"/>
                      <w:b/>
                      <w:w w:val="70"/>
                      <w:sz w:val="20"/>
                      <w:szCs w:val="20"/>
                    </w:rPr>
                    <w:t>：</w:t>
                  </w:r>
                </w:p>
                <w:p w14:paraId="637D8D15">
                  <w:pPr>
                    <w:pStyle w:val="24"/>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国际采用相对评级系统</w:t>
                  </w:r>
                  <w:r>
                    <w:rPr>
                      <w:rFonts w:hint="default" w:ascii="Calibri" w:hAnsi="Calibri" w:eastAsia="楷体_GB2312" w:cs="Calibri"/>
                      <w:w w:val="70"/>
                      <w:sz w:val="20"/>
                      <w:szCs w:val="20"/>
                      <w:lang w:eastAsia="zh-CN"/>
                    </w:rPr>
                    <w:t>来为投资者推荐我们覆盖的公司</w:t>
                  </w:r>
                  <w:r>
                    <w:rPr>
                      <w:rFonts w:hint="default" w:ascii="Calibri" w:hAnsi="Calibri" w:eastAsia="楷体_GB2312" w:cs="Calibri"/>
                      <w:w w:val="70"/>
                      <w:sz w:val="20"/>
                      <w:szCs w:val="20"/>
                    </w:rPr>
                    <w:t>：</w:t>
                  </w:r>
                  <w:r>
                    <w:rPr>
                      <w:rFonts w:hint="default" w:ascii="Calibri" w:hAnsi="Calibri" w:eastAsia="楷体_GB2312" w:cs="Calibri"/>
                      <w:w w:val="70"/>
                      <w:sz w:val="20"/>
                      <w:szCs w:val="20"/>
                      <w:lang w:eastAsia="zh-CN"/>
                    </w:rPr>
                    <w:t>优于大市</w:t>
                  </w:r>
                  <w:r>
                    <w:rPr>
                      <w:rFonts w:hint="default" w:ascii="Calibri" w:hAnsi="Calibri" w:eastAsia="楷体_GB2312" w:cs="Calibri"/>
                      <w:w w:val="70"/>
                      <w:sz w:val="20"/>
                      <w:szCs w:val="20"/>
                    </w:rPr>
                    <w:t>、中性</w:t>
                  </w:r>
                  <w:r>
                    <w:rPr>
                      <w:rFonts w:hint="default" w:ascii="Calibri" w:hAnsi="Calibri" w:eastAsia="楷体_GB2312" w:cs="Calibri"/>
                      <w:w w:val="70"/>
                      <w:sz w:val="20"/>
                      <w:szCs w:val="20"/>
                      <w:lang w:eastAsia="zh-CN"/>
                    </w:rPr>
                    <w:t>或弱于大市</w:t>
                  </w:r>
                  <w:r>
                    <w:rPr>
                      <w:rFonts w:hint="default" w:ascii="Calibri" w:hAnsi="Calibri" w:eastAsia="楷体_GB2312" w:cs="Calibri"/>
                      <w:w w:val="70"/>
                      <w:sz w:val="20"/>
                      <w:szCs w:val="20"/>
                    </w:rPr>
                    <w:t>。</w:t>
                  </w:r>
                  <w:r>
                    <w:rPr>
                      <w:rFonts w:hint="default" w:ascii="Calibri" w:hAnsi="Calibri" w:eastAsia="楷体_GB2312" w:cs="Calibri"/>
                      <w:w w:val="70"/>
                      <w:sz w:val="20"/>
                      <w:szCs w:val="20"/>
                      <w:lang w:eastAsia="zh-CN"/>
                    </w:rPr>
                    <w:t>投资者应仔细阅读华福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的评级定义。并且华福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29A3D30">
                  <w:pPr>
                    <w:pStyle w:val="2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522A3D1E">
                  <w:pPr>
                    <w:pStyle w:val="2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rPr>
                    <w:t>优于大市</w:t>
                  </w:r>
                  <w:r>
                    <w:rPr>
                      <w:rFonts w:hint="default" w:ascii="Calibri" w:hAnsi="Calibri" w:eastAsia="楷体_GB2312" w:cs="Calibri"/>
                      <w:w w:val="70"/>
                      <w:sz w:val="20"/>
                      <w:szCs w:val="20"/>
                    </w:rPr>
                    <w:t>，未来</w:t>
                  </w:r>
                  <w:r>
                    <w:rPr>
                      <w:rFonts w:hint="default" w:ascii="Calibri" w:hAnsi="Calibri" w:eastAsia="楷体_GB2312" w:cs="Calibri"/>
                      <w:w w:val="70"/>
                      <w:sz w:val="20"/>
                      <w:szCs w:val="20"/>
                      <w:lang w:eastAsia="zh-CN"/>
                    </w:rPr>
                    <w:t>12-18</w:t>
                  </w:r>
                  <w:r>
                    <w:rPr>
                      <w:rFonts w:hint="default" w:ascii="Calibri" w:hAnsi="Calibri" w:eastAsia="楷体_GB2312" w:cs="Calibri"/>
                      <w:w w:val="70"/>
                      <w:sz w:val="20"/>
                      <w:szCs w:val="20"/>
                    </w:rPr>
                    <w:t>个月内</w:t>
                  </w:r>
                  <w:r>
                    <w:rPr>
                      <w:rFonts w:hint="default" w:ascii="Calibri" w:hAnsi="Calibri" w:eastAsia="楷体_GB2312" w:cs="Calibri"/>
                      <w:w w:val="70"/>
                      <w:sz w:val="20"/>
                      <w:szCs w:val="20"/>
                      <w:lang w:eastAsia="zh-CN"/>
                    </w:rPr>
                    <w:t>预期相对基准指数涨幅在10%以上，基准定义如下</w:t>
                  </w:r>
                </w:p>
                <w:p w14:paraId="39778A35">
                  <w:pPr>
                    <w:pStyle w:val="2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rPr>
                    <w:t>中性</w:t>
                  </w:r>
                  <w:r>
                    <w:rPr>
                      <w:rFonts w:hint="default" w:ascii="Calibri" w:hAnsi="Calibri" w:eastAsia="楷体_GB2312" w:cs="Calibri"/>
                      <w:w w:val="70"/>
                      <w:sz w:val="20"/>
                      <w:szCs w:val="20"/>
                    </w:rPr>
                    <w:t>，未来</w:t>
                  </w:r>
                  <w:r>
                    <w:rPr>
                      <w:rFonts w:hint="default" w:ascii="Calibri" w:hAnsi="Calibri" w:eastAsia="楷体_GB2312" w:cs="Calibri"/>
                      <w:w w:val="70"/>
                      <w:sz w:val="20"/>
                      <w:szCs w:val="20"/>
                      <w:lang w:eastAsia="zh-CN"/>
                    </w:rPr>
                    <w:t>12-18</w:t>
                  </w:r>
                  <w:r>
                    <w:rPr>
                      <w:rFonts w:hint="default" w:ascii="Calibri" w:hAnsi="Calibri" w:eastAsia="楷体_GB2312" w:cs="Calibri"/>
                      <w:w w:val="70"/>
                      <w:sz w:val="20"/>
                      <w:szCs w:val="20"/>
                    </w:rPr>
                    <w:t>个月内</w:t>
                  </w:r>
                  <w:r>
                    <w:rPr>
                      <w:rFonts w:hint="default" w:ascii="Calibri" w:hAnsi="Calibri" w:eastAsia="楷体_GB2312" w:cs="Calibri"/>
                      <w:w w:val="70"/>
                      <w:sz w:val="20"/>
                      <w:szCs w:val="20"/>
                      <w:lang w:eastAsia="zh-CN"/>
                    </w:rPr>
                    <w:t>预期相对基准指数变化不大，基准定义如下</w:t>
                  </w:r>
                </w:p>
                <w:p w14:paraId="39FDD2B8">
                  <w:pPr>
                    <w:pStyle w:val="2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rPr>
                    <w:t>，未来</w:t>
                  </w:r>
                  <w:r>
                    <w:rPr>
                      <w:rFonts w:hint="default" w:ascii="Calibri" w:hAnsi="Calibri" w:eastAsia="楷体_GB2312" w:cs="Calibri"/>
                      <w:w w:val="70"/>
                      <w:sz w:val="20"/>
                      <w:szCs w:val="20"/>
                      <w:lang w:eastAsia="zh-CN"/>
                    </w:rPr>
                    <w:t>12-18</w:t>
                  </w:r>
                  <w:r>
                    <w:rPr>
                      <w:rFonts w:hint="default" w:ascii="Calibri" w:hAnsi="Calibri" w:eastAsia="楷体_GB2312" w:cs="Calibri"/>
                      <w:w w:val="70"/>
                      <w:sz w:val="20"/>
                      <w:szCs w:val="20"/>
                    </w:rPr>
                    <w:t>个月内</w:t>
                  </w:r>
                  <w:r>
                    <w:rPr>
                      <w:rFonts w:hint="default" w:ascii="Calibri" w:hAnsi="Calibri" w:eastAsia="楷体_GB2312" w:cs="Calibri"/>
                      <w:w w:val="70"/>
                      <w:sz w:val="20"/>
                      <w:szCs w:val="20"/>
                      <w:lang w:eastAsia="zh-CN"/>
                    </w:rPr>
                    <w:t>预期相对基准指数跌幅在10%以上，基准定义如下</w:t>
                  </w:r>
                </w:p>
                <w:p w14:paraId="5989B0E9">
                  <w:pPr>
                    <w:pStyle w:val="2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各地股票基准指数：日本 – TOPIX, 韩国 – KOSPI, 台湾 – TAIEX, 印度 – Nifty100, 美国 – SP500; 其他所有中国概念股 – MSCI China.</w:t>
                  </w:r>
                </w:p>
                <w:p w14:paraId="1254D335">
                  <w:pPr>
                    <w:pStyle w:val="24"/>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5B3755B2">
                  <w:pPr>
                    <w:pStyle w:val="24"/>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74DF6567">
                  <w:pPr>
                    <w:pStyle w:val="24"/>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39421528">
                  <w:pPr>
                    <w:pStyle w:val="24"/>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3732795F">
                  <w:pPr>
                    <w:pStyle w:val="24"/>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2667032F">
                  <w:pPr>
                    <w:pStyle w:val="24"/>
                    <w:rPr>
                      <w:rFonts w:hint="default" w:ascii="Calibri" w:hAnsi="Calibri" w:eastAsia="楷体_GB2312" w:cs="Calibri"/>
                      <w:b/>
                      <w:w w:val="79"/>
                      <w:sz w:val="20"/>
                      <w:szCs w:val="20"/>
                    </w:rPr>
                  </w:pPr>
                  <w:r>
                    <w:rPr>
                      <w:rFonts w:hint="default" w:ascii="Calibri" w:hAnsi="Calibri" w:eastAsia="楷体_GB2312" w:cs="Calibri"/>
                      <w:b/>
                      <w:w w:val="79"/>
                      <w:sz w:val="20"/>
                      <w:szCs w:val="20"/>
                    </w:rPr>
                    <w:t>Benchmarks for each stock’s listed region are as follows: Japan – TOPIX, Korea – KOSPI, Taiwan – TAIEX, India – Nifty100, US – SP500; for all other China-concept stocks – MSCI China.</w:t>
                  </w:r>
                </w:p>
                <w:p w14:paraId="58F1FB76">
                  <w:pPr>
                    <w:pStyle w:val="24"/>
                    <w:rPr>
                      <w:rFonts w:hint="default" w:ascii="Calibri" w:hAnsi="Calibri" w:eastAsia="楷体_GB2312" w:cs="Calibri"/>
                      <w:w w:val="70"/>
                      <w:sz w:val="20"/>
                      <w:szCs w:val="20"/>
                      <w:lang w:eastAsia="zh-CN"/>
                    </w:rPr>
                  </w:pPr>
                </w:p>
              </w:tc>
            </w:tr>
            <w:tr w14:paraId="54B9128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2BE9E42">
                  <w:pPr>
                    <w:pStyle w:val="24"/>
                    <w:spacing w:after="6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华福</w:t>
                  </w:r>
                  <w:r>
                    <w:rPr>
                      <w:rFonts w:hint="default" w:ascii="Calibri" w:hAnsi="Calibri" w:eastAsia="楷体_GB2312" w:cs="Calibri"/>
                      <w:b/>
                      <w:w w:val="70"/>
                      <w:sz w:val="20"/>
                      <w:szCs w:val="20"/>
                    </w:rPr>
                    <w:t>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rPr>
                    <w:t>国际发布</w:t>
                  </w:r>
                  <w:r>
                    <w:rPr>
                      <w:rFonts w:hint="default" w:ascii="Calibri" w:hAnsi="Calibri" w:eastAsia="楷体_GB2312" w:cs="Calibri"/>
                      <w:w w:val="70"/>
                      <w:sz w:val="20"/>
                      <w:szCs w:val="20"/>
                      <w:lang w:eastAsia="zh-CN"/>
                    </w:rPr>
                    <w:t>计</w:t>
                  </w:r>
                  <w:r>
                    <w:rPr>
                      <w:rFonts w:hint="default" w:ascii="Calibri" w:hAnsi="Calibri"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25CA15F5">
                  <w:pPr>
                    <w:pStyle w:val="2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F2900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B087333">
                  <w:pPr>
                    <w:pStyle w:val="2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w:t>
                  </w:r>
                  <w:r>
                    <w:rPr>
                      <w:rFonts w:hint="default" w:ascii="Calibri" w:hAnsi="Calibri" w:eastAsia="楷体_GB2312" w:cs="Calibri"/>
                      <w:b/>
                      <w:w w:val="70"/>
                      <w:sz w:val="20"/>
                      <w:szCs w:val="20"/>
                    </w:rPr>
                    <w:t>国际</w:t>
                  </w:r>
                  <w:r>
                    <w:rPr>
                      <w:rFonts w:hint="default" w:ascii="Calibri" w:hAnsi="Calibri" w:eastAsia="楷体_GB2312" w:cs="Calibri"/>
                      <w:b/>
                      <w:w w:val="70"/>
                      <w:sz w:val="20"/>
                      <w:szCs w:val="20"/>
                      <w:lang w:eastAsia="zh-CN"/>
                    </w:rPr>
                    <w:t>A股覆盖</w:t>
                  </w:r>
                  <w:r>
                    <w:rPr>
                      <w:rFonts w:hint="default" w:ascii="Calibri" w:hAnsi="Calibri" w:eastAsia="楷体_GB2312" w:cs="Calibri"/>
                      <w:b/>
                      <w:w w:val="70"/>
                      <w:sz w:val="20"/>
                      <w:szCs w:val="20"/>
                    </w:rPr>
                    <w:t>：</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可能会就中国A股进行覆盖及评级。华福证券，华福国际于福州的母公司，也会于中国发布中国A股的研究报告。但是，华福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使用与华福证券不同的评级系统，且可能有完全独立的不同研究覆盖团队，所以华福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与华福证券的中国A股评级、目标价乃至分析逻辑可能有所不同。</w:t>
                  </w:r>
                </w:p>
                <w:p w14:paraId="6E38412B">
                  <w:pPr>
                    <w:pStyle w:val="2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4F463A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2F43FF3">
                  <w:pPr>
                    <w:pStyle w:val="24"/>
                    <w:rPr>
                      <w:rFonts w:hint="default" w:ascii="Calibri" w:hAnsi="Calibri" w:eastAsia="楷体_GB2312" w:cs="Calibri"/>
                      <w:w w:val="70"/>
                      <w:sz w:val="20"/>
                      <w:szCs w:val="20"/>
                    </w:rPr>
                  </w:pPr>
                </w:p>
              </w:tc>
            </w:tr>
            <w:tr w14:paraId="3516E0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44E596D">
                  <w:pPr>
                    <w:pStyle w:val="24"/>
                    <w:spacing w:after="60"/>
                    <w:rPr>
                      <w:rFonts w:hint="default" w:ascii="Calibri" w:hAnsi="Calibri" w:eastAsia="楷体_GB2312" w:cs="Calibri"/>
                      <w:b/>
                      <w:w w:val="70"/>
                      <w:sz w:val="20"/>
                      <w:szCs w:val="20"/>
                    </w:rPr>
                  </w:pPr>
                  <w:r>
                    <w:rPr>
                      <w:rFonts w:hint="default" w:ascii="Calibri" w:hAnsi="Calibri" w:eastAsia="楷体_GB2312" w:cs="Calibri"/>
                      <w:b/>
                      <w:w w:val="70"/>
                      <w:sz w:val="20"/>
                      <w:szCs w:val="20"/>
                    </w:rPr>
                    <w:t>重要免责声明：</w:t>
                  </w:r>
                </w:p>
                <w:p w14:paraId="5CC99C90">
                  <w:pPr>
                    <w:pStyle w:val="24"/>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本报告由</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国际发行，该公司</w:t>
                  </w:r>
                  <w:r>
                    <w:rPr>
                      <w:rFonts w:hint="default" w:ascii="Calibri" w:hAnsi="Calibri" w:eastAsia="楷体_GB2312" w:cs="Calibri"/>
                      <w:w w:val="70"/>
                      <w:sz w:val="20"/>
                      <w:szCs w:val="20"/>
                      <w:lang w:eastAsia="zh-CN"/>
                    </w:rPr>
                    <w:t>是根据</w:t>
                  </w:r>
                  <w:r>
                    <w:rPr>
                      <w:rFonts w:hint="default" w:ascii="Calibri" w:hAnsi="Calibri" w:eastAsia="楷体_GB2312" w:cs="Calibri"/>
                      <w:w w:val="70"/>
                      <w:sz w:val="20"/>
                      <w:szCs w:val="20"/>
                    </w:rPr>
                    <w:t>香港证券及期货条例（第</w:t>
                  </w:r>
                  <w:r>
                    <w:rPr>
                      <w:rFonts w:hint="default" w:ascii="Calibri" w:hAnsi="Calibri" w:eastAsia="楷体_GB2312" w:cs="Calibri"/>
                      <w:w w:val="70"/>
                      <w:sz w:val="20"/>
                      <w:szCs w:val="20"/>
                      <w:lang w:eastAsia="zh-CN"/>
                    </w:rPr>
                    <w:t>571</w:t>
                  </w:r>
                  <w:r>
                    <w:rPr>
                      <w:rFonts w:hint="default" w:ascii="Calibri" w:hAnsi="Calibri" w:eastAsia="楷体_GB2312" w:cs="Calibri"/>
                      <w:w w:val="70"/>
                      <w:sz w:val="20"/>
                      <w:szCs w:val="20"/>
                    </w:rPr>
                    <w:t>章）</w:t>
                  </w:r>
                  <w:r>
                    <w:rPr>
                      <w:rFonts w:hint="default" w:ascii="Calibri" w:hAnsi="Calibri" w:eastAsia="楷体_GB2312" w:cs="Calibri"/>
                      <w:w w:val="70"/>
                      <w:sz w:val="20"/>
                      <w:szCs w:val="20"/>
                      <w:lang w:eastAsia="zh-CN"/>
                    </w:rPr>
                    <w:t>持有</w:t>
                  </w:r>
                  <w:r>
                    <w:rPr>
                      <w:rFonts w:hint="default" w:ascii="Calibri" w:hAnsi="Calibri" w:eastAsia="楷体_GB2312" w:cs="Calibri"/>
                      <w:w w:val="70"/>
                      <w:sz w:val="20"/>
                      <w:szCs w:val="20"/>
                    </w:rPr>
                    <w:t>第</w:t>
                  </w:r>
                  <w:r>
                    <w:rPr>
                      <w:rFonts w:hint="default" w:ascii="Calibri" w:hAnsi="Calibri" w:eastAsia="楷体_GB2312" w:cs="Calibri"/>
                      <w:w w:val="70"/>
                      <w:sz w:val="20"/>
                      <w:szCs w:val="20"/>
                      <w:lang w:eastAsia="zh-CN"/>
                    </w:rPr>
                    <w:t>4</w:t>
                  </w:r>
                  <w:r>
                    <w:rPr>
                      <w:rFonts w:hint="default" w:ascii="Calibri" w:hAnsi="Calibri" w:eastAsia="楷体_GB2312" w:cs="Calibri"/>
                      <w:w w:val="70"/>
                      <w:sz w:val="20"/>
                      <w:szCs w:val="20"/>
                    </w:rPr>
                    <w:t>类受规管活动（就证券提供意见）的持牌法团。</w:t>
                  </w:r>
                </w:p>
                <w:p w14:paraId="3D8824B8">
                  <w:pPr>
                    <w:pStyle w:val="24"/>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本文件所载信息和观点已被编译或源自可靠来源，但</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或任何其他属于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 xml:space="preserve">及其董事、雇员或代理人对此均不承担任何责任。 </w:t>
                  </w:r>
                </w:p>
                <w:p w14:paraId="2AF5699B">
                  <w:pPr>
                    <w:pStyle w:val="24"/>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除对本文内容承担责任的分析师除外，</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及我们的关联公司、高级管理人员、董事和雇员，均可不时作为</w:t>
                  </w:r>
                  <w:r>
                    <w:rPr>
                      <w:rFonts w:hint="default" w:ascii="Calibri" w:hAnsi="Calibri" w:eastAsia="楷体_GB2312" w:cs="Calibri"/>
                      <w:w w:val="70"/>
                      <w:sz w:val="20"/>
                      <w:szCs w:val="20"/>
                      <w:lang w:eastAsia="zh-CN"/>
                    </w:rPr>
                    <w:t>主事人</w:t>
                  </w:r>
                  <w:r>
                    <w:rPr>
                      <w:rFonts w:hint="default" w:ascii="Calibri" w:hAnsi="Calibri" w:eastAsia="楷体_GB2312" w:cs="Calibri"/>
                      <w:w w:val="70"/>
                      <w:sz w:val="20"/>
                      <w:szCs w:val="20"/>
                    </w:rPr>
                    <w:t>就本文件所述的任何证券或衍生品持有长仓或短仓以及进行买卖。</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的销售员、交易员和其他专业人士均可向</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的相关客户和公司提供与本文件所述意见相反的口头或书面市场评论意见或交易策略</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可做出与本文件所述建议或意见不一致的投资决策。但</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没有义务来确保本文件的收件人了解到该等交易</w:t>
                  </w:r>
                  <w:r>
                    <w:rPr>
                      <w:rFonts w:hint="default" w:ascii="Calibri" w:hAnsi="Calibri" w:eastAsia="楷体_GB2312" w:cs="Calibri"/>
                      <w:w w:val="70"/>
                      <w:sz w:val="20"/>
                      <w:szCs w:val="20"/>
                      <w:lang w:eastAsia="zh-CN"/>
                    </w:rPr>
                    <w:t>决定、</w:t>
                  </w:r>
                  <w:r>
                    <w:rPr>
                      <w:rFonts w:hint="default" w:ascii="Calibri" w:hAnsi="Calibri" w:eastAsia="楷体_GB2312" w:cs="Calibri"/>
                      <w:w w:val="70"/>
                      <w:sz w:val="20"/>
                      <w:szCs w:val="20"/>
                    </w:rPr>
                    <w:t>思路或建议。</w:t>
                  </w:r>
                </w:p>
                <w:p w14:paraId="23E13315">
                  <w:pPr>
                    <w:pStyle w:val="24"/>
                    <w:spacing w:after="60"/>
                    <w:rPr>
                      <w:rFonts w:hint="default" w:ascii="Calibri" w:hAnsi="Calibri" w:eastAsia="楷体_GB2312" w:cs="Calibri"/>
                      <w:snapToGrid/>
                      <w:w w:val="70"/>
                      <w:sz w:val="20"/>
                      <w:szCs w:val="20"/>
                    </w:rPr>
                  </w:pPr>
                  <w:r>
                    <w:rPr>
                      <w:rFonts w:hint="default" w:ascii="Calibri" w:hAnsi="Calibri" w:eastAsia="楷体_GB2312" w:cs="Calibri"/>
                      <w:snapToGrid/>
                      <w:w w:val="70"/>
                      <w:sz w:val="20"/>
                      <w:szCs w:val="20"/>
                    </w:rPr>
                    <w:t>请访问</w:t>
                  </w:r>
                  <w:r>
                    <w:rPr>
                      <w:rFonts w:hint="default" w:ascii="Calibri" w:hAnsi="Calibri" w:eastAsia="楷体_GB2312" w:cs="Calibri"/>
                      <w:snapToGrid/>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snapToGrid/>
                      <w:w w:val="70"/>
                      <w:sz w:val="20"/>
                      <w:szCs w:val="20"/>
                    </w:rPr>
                    <w:t>网站</w:t>
                  </w:r>
                  <w:r>
                    <w:rPr>
                      <w:rFonts w:hint="default" w:ascii="Calibri" w:hAnsi="Calibri" w:eastAsia="楷体_GB2312" w:cs="Calibri"/>
                      <w:snapToGrid/>
                      <w:w w:val="70"/>
                      <w:sz w:val="20"/>
                      <w:szCs w:val="20"/>
                      <w:lang w:eastAsia="zh-CN"/>
                    </w:rPr>
                    <w:t xml:space="preserve"> </w:t>
                  </w:r>
                  <w:r>
                    <w:rPr>
                      <w:rFonts w:hint="default" w:ascii="Calibri" w:hAnsi="Calibri" w:eastAsia="楷体_GB2312" w:cs="Calibri"/>
                      <w:snapToGrid/>
                      <w:w w:val="70"/>
                      <w:sz w:val="20"/>
                      <w:szCs w:val="20"/>
                      <w:lang w:eastAsia="zh-CN"/>
                    </w:rPr>
                    <w:fldChar w:fldCharType="begin"/>
                  </w:r>
                  <w:r>
                    <w:rPr>
                      <w:rFonts w:hint="default" w:ascii="Calibri" w:hAnsi="Calibri" w:eastAsia="楷体_GB2312" w:cs="Calibri"/>
                      <w:snapToGrid/>
                      <w:w w:val="70"/>
                      <w:sz w:val="20"/>
                      <w:szCs w:val="20"/>
                      <w:lang w:eastAsia="zh-CN"/>
                    </w:rPr>
                    <w:instrText xml:space="preserve"> HYPERLINK "http://www.hfisec.com.hk" </w:instrText>
                  </w:r>
                  <w:r>
                    <w:rPr>
                      <w:rFonts w:hint="default" w:ascii="Calibri" w:hAnsi="Calibri" w:eastAsia="楷体_GB2312" w:cs="Calibri"/>
                      <w:snapToGrid/>
                      <w:w w:val="70"/>
                      <w:sz w:val="20"/>
                      <w:szCs w:val="20"/>
                      <w:lang w:eastAsia="zh-CN"/>
                    </w:rPr>
                    <w:fldChar w:fldCharType="separate"/>
                  </w:r>
                  <w:r>
                    <w:rPr>
                      <w:rStyle w:val="14"/>
                      <w:rFonts w:hint="default" w:ascii="Calibri" w:hAnsi="Calibri" w:eastAsia="楷体_GB2312" w:cs="Calibri"/>
                      <w:snapToGrid/>
                      <w:w w:val="70"/>
                      <w:sz w:val="20"/>
                      <w:szCs w:val="20"/>
                      <w:lang w:eastAsia="zh-CN"/>
                    </w:rPr>
                    <w:t>www.hfisec.com.hk</w:t>
                  </w:r>
                  <w:r>
                    <w:rPr>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w:t>
                  </w:r>
                  <w:r>
                    <w:rPr>
                      <w:rFonts w:hint="default" w:ascii="Calibri" w:hAnsi="Calibri" w:eastAsia="楷体_GB2312" w:cs="Calibri"/>
                      <w:snapToGrid/>
                      <w:w w:val="70"/>
                      <w:sz w:val="20"/>
                      <w:szCs w:val="20"/>
                    </w:rPr>
                    <w:t>，查阅更多有关</w:t>
                  </w:r>
                  <w:r>
                    <w:rPr>
                      <w:rFonts w:hint="default" w:ascii="Calibri" w:hAnsi="Calibri" w:eastAsia="楷体_GB2312" w:cs="Calibri"/>
                      <w:snapToGrid/>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snapToGrid/>
                      <w:w w:val="70"/>
                      <w:sz w:val="20"/>
                      <w:szCs w:val="20"/>
                    </w:rPr>
                    <w:t>为预防和避免利益冲突设立的组织和行政安排的内容信息。</w:t>
                  </w:r>
                </w:p>
                <w:p w14:paraId="117162F5">
                  <w:pPr>
                    <w:pStyle w:val="2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45EDF891">
                  <w:pPr>
                    <w:pStyle w:val="2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5565A8EB">
                  <w:pPr>
                    <w:pStyle w:val="2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80E1BD5">
                  <w:pPr>
                    <w:pStyle w:val="24"/>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104E99C4">
                  <w:pPr>
                    <w:pStyle w:val="24"/>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HuaFu International’s</w:t>
                  </w:r>
                  <w:r>
                    <w:rPr>
                      <w:rFonts w:hint="default" w:ascii="Calibri" w:hAnsi="Calibri" w:eastAsia="楷体_GB2312" w:cs="Calibri"/>
                      <w:bCs/>
                      <w:w w:val="70"/>
                      <w:sz w:val="20"/>
                      <w:szCs w:val="20"/>
                    </w:rPr>
                    <w:t xml:space="preserve"> website </w:t>
                  </w:r>
                  <w:r>
                    <w:rPr>
                      <w:rFonts w:hint="default" w:ascii="Calibri" w:hAnsi="Calibri" w:eastAsia="楷体_GB2312" w:cs="Calibri"/>
                      <w:bCs/>
                      <w:w w:val="70"/>
                      <w:sz w:val="20"/>
                      <w:szCs w:val="20"/>
                    </w:rPr>
                    <w:fldChar w:fldCharType="begin"/>
                  </w:r>
                  <w:r>
                    <w:rPr>
                      <w:rFonts w:hint="default" w:ascii="Calibri" w:hAnsi="Calibri" w:eastAsia="楷体_GB2312" w:cs="Calibri"/>
                      <w:bCs/>
                      <w:w w:val="70"/>
                      <w:sz w:val="20"/>
                      <w:szCs w:val="20"/>
                    </w:rPr>
                    <w:instrText xml:space="preserve"> HYPERLINK "http://www.hfisec.com.hk" </w:instrText>
                  </w:r>
                  <w:r>
                    <w:rPr>
                      <w:rFonts w:hint="default" w:ascii="Calibri" w:hAnsi="Calibri" w:eastAsia="楷体_GB2312" w:cs="Calibri"/>
                      <w:bCs/>
                      <w:w w:val="70"/>
                      <w:sz w:val="20"/>
                      <w:szCs w:val="20"/>
                    </w:rPr>
                    <w:fldChar w:fldCharType="separate"/>
                  </w:r>
                  <w:r>
                    <w:rPr>
                      <w:rStyle w:val="14"/>
                      <w:rFonts w:hint="default" w:ascii="Calibri" w:hAnsi="Calibri" w:eastAsia="楷体_GB2312" w:cs="Calibri"/>
                      <w:bCs/>
                      <w:w w:val="70"/>
                      <w:sz w:val="20"/>
                      <w:szCs w:val="20"/>
                    </w:rPr>
                    <w:t xml:space="preserve">www.hfisec.com.hk </w:t>
                  </w:r>
                  <w:r>
                    <w:rPr>
                      <w:rFonts w:hint="default" w:ascii="Calibri" w:hAnsi="Calibri" w:eastAsia="楷体_GB2312" w:cs="Calibri"/>
                      <w:bCs/>
                      <w:w w:val="70"/>
                      <w:sz w:val="20"/>
                      <w:szCs w:val="20"/>
                    </w:rPr>
                    <w:fldChar w:fldCharType="end"/>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326DB072">
                  <w:pPr>
                    <w:pStyle w:val="24"/>
                    <w:spacing w:after="60"/>
                    <w:rPr>
                      <w:rFonts w:hint="default" w:ascii="Calibri" w:hAnsi="Calibri" w:eastAsia="楷体_GB2312" w:cs="Calibri"/>
                      <w:b/>
                      <w:w w:val="70"/>
                      <w:sz w:val="20"/>
                      <w:szCs w:val="20"/>
                    </w:rPr>
                  </w:pPr>
                </w:p>
              </w:tc>
            </w:tr>
            <w:tr w14:paraId="01A6F8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9B90FB3">
                  <w:pPr>
                    <w:pStyle w:val="24"/>
                    <w:spacing w:after="60"/>
                    <w:rPr>
                      <w:rFonts w:hint="default" w:ascii="Calibri" w:hAnsi="Calibri" w:eastAsia="楷体_GB2312" w:cs="Calibri"/>
                      <w:b/>
                      <w:snapToGrid/>
                      <w:w w:val="70"/>
                      <w:sz w:val="20"/>
                      <w:szCs w:val="20"/>
                    </w:rPr>
                  </w:pPr>
                  <w:r>
                    <w:rPr>
                      <w:rFonts w:hint="default" w:ascii="Calibri" w:hAnsi="Calibri" w:eastAsia="楷体_GB2312" w:cs="Calibri"/>
                      <w:b/>
                      <w:snapToGrid/>
                      <w:w w:val="70"/>
                      <w:sz w:val="20"/>
                      <w:szCs w:val="20"/>
                    </w:rPr>
                    <w:t>分发和地区通知：</w:t>
                  </w:r>
                </w:p>
                <w:p w14:paraId="5B9C19B9">
                  <w:pPr>
                    <w:pStyle w:val="24"/>
                    <w:spacing w:after="60"/>
                    <w:rPr>
                      <w:rFonts w:hint="default" w:ascii="Calibri" w:hAnsi="Calibri" w:eastAsia="楷体_GB2312" w:cs="Calibri"/>
                      <w:snapToGrid/>
                      <w:w w:val="70"/>
                      <w:sz w:val="20"/>
                      <w:szCs w:val="20"/>
                    </w:rPr>
                  </w:pPr>
                  <w:r>
                    <w:rPr>
                      <w:rFonts w:hint="default" w:ascii="Calibri" w:hAnsi="Calibri"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default" w:ascii="Calibri" w:hAnsi="Calibri" w:eastAsia="楷体_GB2312" w:cs="Calibri"/>
                      <w:snapToGrid/>
                      <w:w w:val="70"/>
                      <w:sz w:val="20"/>
                      <w:szCs w:val="20"/>
                      <w:lang w:eastAsia="zh-CN"/>
                    </w:rPr>
                    <w:t>华福</w:t>
                  </w:r>
                  <w:r>
                    <w:rPr>
                      <w:rFonts w:hint="default" w:ascii="Calibri" w:hAnsi="Calibri" w:eastAsia="楷体_GB2312" w:cs="Calibri"/>
                      <w:snapToGrid/>
                      <w:w w:val="70"/>
                      <w:sz w:val="20"/>
                      <w:szCs w:val="20"/>
                    </w:rPr>
                    <w:t xml:space="preserve">国际销售人员。  </w:t>
                  </w:r>
                </w:p>
                <w:p w14:paraId="0E93A3EE">
                  <w:pPr>
                    <w:pStyle w:val="24"/>
                    <w:spacing w:after="60"/>
                    <w:rPr>
                      <w:rFonts w:hint="default" w:ascii="Calibri" w:hAnsi="Calibri" w:eastAsia="楷体_GB2312" w:cs="Calibri"/>
                      <w:snapToGrid/>
                      <w:w w:val="70"/>
                      <w:sz w:val="20"/>
                      <w:szCs w:val="20"/>
                    </w:rPr>
                  </w:pPr>
                  <w:r>
                    <w:rPr>
                      <w:rFonts w:hint="default" w:ascii="Calibri" w:hAnsi="Calibri" w:eastAsia="楷体_GB2312" w:cs="Calibri"/>
                      <w:b/>
                      <w:snapToGrid/>
                      <w:w w:val="70"/>
                      <w:sz w:val="20"/>
                      <w:szCs w:val="20"/>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rPr>
                    <w:t>国际负责分发该研究报告，</w:t>
                  </w:r>
                  <w:r>
                    <w:rPr>
                      <w:rFonts w:hint="default" w:ascii="Calibri" w:hAnsi="Calibri" w:eastAsia="楷体_GB2312" w:cs="Calibri"/>
                      <w:snapToGrid/>
                      <w:w w:val="70"/>
                      <w:sz w:val="20"/>
                      <w:szCs w:val="20"/>
                      <w:lang w:eastAsia="zh-CN"/>
                    </w:rPr>
                    <w:t>华福国际是</w:t>
                  </w:r>
                  <w:r>
                    <w:rPr>
                      <w:rFonts w:hint="default" w:ascii="Calibri" w:hAnsi="Calibri" w:eastAsia="楷体_GB2312" w:cs="Calibri"/>
                      <w:snapToGrid/>
                      <w:w w:val="70"/>
                      <w:sz w:val="20"/>
                      <w:szCs w:val="20"/>
                    </w:rPr>
                    <w:t>在香港有权实施第</w:t>
                  </w:r>
                  <w:r>
                    <w:rPr>
                      <w:rFonts w:hint="default" w:ascii="Calibri" w:hAnsi="Calibri" w:eastAsia="楷体_GB2312" w:cs="Calibri"/>
                      <w:snapToGrid/>
                      <w:w w:val="70"/>
                      <w:sz w:val="20"/>
                      <w:szCs w:val="20"/>
                      <w:lang w:eastAsia="zh-CN"/>
                    </w:rPr>
                    <w:t>1</w:t>
                  </w:r>
                  <w:r>
                    <w:rPr>
                      <w:rFonts w:hint="default" w:ascii="Calibri" w:hAnsi="Calibri" w:eastAsia="楷体_GB2312" w:cs="Calibri"/>
                      <w:snapToGrid/>
                      <w:w w:val="70"/>
                      <w:sz w:val="20"/>
                      <w:szCs w:val="20"/>
                    </w:rPr>
                    <w:t>类受规管活动（从事证券交易）的持牌公司。该研究报告并不构成《证券及期货条例》</w:t>
                  </w:r>
                  <w:r>
                    <w:rPr>
                      <w:rFonts w:hint="default" w:ascii="Calibri" w:hAnsi="Calibri" w:eastAsia="楷体_GB2312" w:cs="Calibri"/>
                      <w:w w:val="70"/>
                      <w:sz w:val="20"/>
                      <w:szCs w:val="20"/>
                    </w:rPr>
                    <w:t>（</w:t>
                  </w:r>
                  <w:r>
                    <w:rPr>
                      <w:rFonts w:hint="default" w:ascii="Calibri" w:hAnsi="Calibri" w:eastAsia="楷体_GB2312" w:cs="Calibri"/>
                      <w:snapToGrid/>
                      <w:w w:val="70"/>
                      <w:sz w:val="20"/>
                      <w:szCs w:val="20"/>
                    </w:rPr>
                    <w:t>香港法例第</w:t>
                  </w:r>
                  <w:r>
                    <w:rPr>
                      <w:rFonts w:hint="default" w:ascii="Calibri" w:hAnsi="Calibri" w:eastAsia="楷体_GB2312" w:cs="Calibri"/>
                      <w:snapToGrid/>
                      <w:w w:val="70"/>
                      <w:sz w:val="20"/>
                      <w:szCs w:val="20"/>
                      <w:lang w:eastAsia="zh-CN"/>
                    </w:rPr>
                    <w:t>571</w:t>
                  </w:r>
                  <w:r>
                    <w:rPr>
                      <w:rFonts w:hint="default" w:ascii="Calibri" w:hAnsi="Calibri" w:eastAsia="楷体_GB2312" w:cs="Calibri"/>
                      <w:snapToGrid/>
                      <w:w w:val="70"/>
                      <w:sz w:val="20"/>
                      <w:szCs w:val="20"/>
                    </w:rPr>
                    <w:t>章</w:t>
                  </w:r>
                  <w:r>
                    <w:rPr>
                      <w:rFonts w:hint="default" w:ascii="Calibri" w:hAnsi="Calibri" w:eastAsia="楷体_GB2312" w:cs="Calibri"/>
                      <w:w w:val="70"/>
                      <w:sz w:val="20"/>
                      <w:szCs w:val="20"/>
                    </w:rPr>
                    <w:t>）（</w:t>
                  </w:r>
                  <w:r>
                    <w:rPr>
                      <w:rFonts w:hint="default" w:ascii="Calibri" w:hAnsi="Calibri" w:eastAsia="楷体_GB2312" w:cs="Calibri"/>
                      <w:snapToGrid/>
                      <w:w w:val="70"/>
                      <w:sz w:val="20"/>
                      <w:szCs w:val="20"/>
                    </w:rPr>
                    <w:t>以下简称“</w:t>
                  </w:r>
                  <w:r>
                    <w:rPr>
                      <w:rFonts w:hint="default" w:ascii="Calibri" w:hAnsi="Calibri" w:eastAsia="楷体_GB2312" w:cs="Calibri"/>
                      <w:snapToGrid/>
                      <w:w w:val="70"/>
                      <w:sz w:val="20"/>
                      <w:szCs w:val="20"/>
                      <w:lang w:eastAsia="zh-CN"/>
                    </w:rPr>
                    <w:t>SFO”</w:t>
                  </w:r>
                  <w:r>
                    <w:rPr>
                      <w:rFonts w:hint="default" w:ascii="Calibri" w:hAnsi="Calibri" w:eastAsia="楷体_GB2312" w:cs="Calibri"/>
                      <w:w w:val="70"/>
                      <w:sz w:val="20"/>
                      <w:szCs w:val="20"/>
                    </w:rPr>
                    <w:t>）</w:t>
                  </w:r>
                  <w:r>
                    <w:rPr>
                      <w:rFonts w:hint="default" w:ascii="Calibri" w:hAnsi="Calibri" w:eastAsia="楷体_GB2312" w:cs="Calibri"/>
                      <w:snapToGrid/>
                      <w:w w:val="70"/>
                      <w:sz w:val="20"/>
                      <w:szCs w:val="20"/>
                    </w:rPr>
                    <w:t>所界定的要约邀请，证券要约或公众要约。本研究报告仅提供给</w:t>
                  </w:r>
                  <w:r>
                    <w:rPr>
                      <w:rFonts w:hint="default" w:ascii="Calibri" w:hAnsi="Calibri" w:eastAsia="楷体_GB2312" w:cs="Calibri"/>
                      <w:snapToGrid/>
                      <w:w w:val="70"/>
                      <w:sz w:val="20"/>
                      <w:szCs w:val="20"/>
                      <w:lang w:eastAsia="zh-CN"/>
                    </w:rPr>
                    <w:t>SFO</w:t>
                  </w:r>
                  <w:r>
                    <w:rPr>
                      <w:rFonts w:hint="default" w:ascii="Calibri" w:hAnsi="Calibri"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default" w:ascii="Calibri" w:hAnsi="Calibri" w:eastAsia="楷体_GB2312" w:cs="Calibri"/>
                      <w:snapToGrid/>
                      <w:w w:val="70"/>
                      <w:sz w:val="20"/>
                      <w:szCs w:val="20"/>
                      <w:lang w:eastAsia="zh-CN"/>
                    </w:rPr>
                    <w:t>华福国际</w:t>
                  </w:r>
                  <w:r>
                    <w:rPr>
                      <w:rFonts w:hint="default" w:ascii="Calibri" w:hAnsi="Calibri" w:eastAsia="楷体_GB2312" w:cs="Calibri"/>
                      <w:snapToGrid/>
                      <w:w w:val="70"/>
                      <w:sz w:val="20"/>
                      <w:szCs w:val="20"/>
                    </w:rPr>
                    <w:t>销售人员。</w:t>
                  </w:r>
                </w:p>
                <w:p w14:paraId="51048D25">
                  <w:pPr>
                    <w:pStyle w:val="2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36A79A4F">
                  <w:pPr>
                    <w:pStyle w:val="2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56D7A8AE">
                  <w:pPr>
                    <w:pStyle w:val="24"/>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2A6F0F34">
                  <w:pPr>
                    <w:pStyle w:val="24"/>
                    <w:spacing w:after="60"/>
                    <w:rPr>
                      <w:rFonts w:hint="default" w:ascii="Calibri" w:hAnsi="Calibri" w:eastAsia="楷体_GB2312" w:cs="Calibri"/>
                      <w:b/>
                      <w:w w:val="70"/>
                      <w:sz w:val="20"/>
                      <w:szCs w:val="20"/>
                    </w:rPr>
                  </w:pPr>
                </w:p>
              </w:tc>
            </w:tr>
            <w:tr w14:paraId="3E6ED77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D8EE8EB">
                  <w:pPr>
                    <w:pStyle w:val="24"/>
                    <w:spacing w:after="60"/>
                    <w:rPr>
                      <w:rFonts w:hint="default" w:ascii="Calibri" w:hAnsi="Calibri" w:eastAsia="楷体_GB2312" w:cs="Calibri"/>
                      <w:w w:val="70"/>
                      <w:sz w:val="20"/>
                      <w:szCs w:val="20"/>
                    </w:rPr>
                  </w:pPr>
                  <w:r>
                    <w:rPr>
                      <w:rFonts w:hint="default" w:ascii="Calibri" w:hAnsi="Calibri" w:eastAsia="楷体_GB2312" w:cs="Calibri"/>
                      <w:b/>
                      <w:w w:val="70"/>
                      <w:sz w:val="20"/>
                      <w:szCs w:val="20"/>
                    </w:rPr>
                    <w:t>中华人民共和国的通知事项：</w:t>
                  </w:r>
                  <w:r>
                    <w:rPr>
                      <w:rFonts w:hint="default" w:ascii="Calibri" w:hAnsi="Calibri" w:eastAsia="楷体_GB2312" w:cs="Calibri"/>
                      <w:w w:val="70"/>
                      <w:sz w:val="20"/>
                      <w:szCs w:val="20"/>
                    </w:rPr>
                    <w:t>在中华人民共和国</w:t>
                  </w:r>
                  <w:r>
                    <w:rPr>
                      <w:rFonts w:hint="default" w:ascii="Calibri" w:hAnsi="Calibri" w:eastAsia="楷体_GB2312" w:cs="Calibri"/>
                      <w:snapToGrid/>
                      <w:w w:val="70"/>
                      <w:sz w:val="20"/>
                      <w:szCs w:val="20"/>
                    </w:rPr>
                    <w:t>（</w:t>
                  </w:r>
                  <w:r>
                    <w:rPr>
                      <w:rFonts w:hint="default" w:ascii="Calibri" w:hAnsi="Calibri"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E8A839E">
                  <w:pPr>
                    <w:pStyle w:val="24"/>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本项研究仅供收件人使用，未经</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国际的书面同意不得予以复制和再次分发。</w:t>
                  </w:r>
                </w:p>
                <w:p w14:paraId="52E840B4">
                  <w:pPr>
                    <w:pStyle w:val="24"/>
                    <w:rPr>
                      <w:rFonts w:hint="default" w:ascii="Calibri" w:hAnsi="Calibri" w:eastAsia="楷体_GB2312" w:cs="Calibri"/>
                      <w:w w:val="70"/>
                      <w:sz w:val="20"/>
                      <w:szCs w:val="20"/>
                    </w:rPr>
                  </w:pPr>
                  <w:r>
                    <w:rPr>
                      <w:rFonts w:hint="default" w:ascii="Calibri" w:hAnsi="Calibri" w:eastAsia="楷体_GB2312" w:cs="Calibri"/>
                      <w:w w:val="70"/>
                      <w:sz w:val="20"/>
                      <w:szCs w:val="20"/>
                    </w:rPr>
                    <w:t>版权所有：</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年。保留所有权利。</w:t>
                  </w:r>
                </w:p>
                <w:p w14:paraId="3307206B">
                  <w:pPr>
                    <w:pStyle w:val="24"/>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rPr>
                    <w:t>People’s Republic of China (PRC):</w:t>
                  </w:r>
                  <w:r>
                    <w:rPr>
                      <w:rFonts w:hint="default" w:ascii="Calibri" w:hAnsi="Calibri"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3737958">
                  <w:pPr>
                    <w:pStyle w:val="24"/>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700301F4">
                  <w:pPr>
                    <w:pStyle w:val="24"/>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207016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D4BCFCF">
                  <w:pPr>
                    <w:pStyle w:val="24"/>
                    <w:spacing w:after="60"/>
                    <w:rPr>
                      <w:rFonts w:hint="default" w:ascii="Calibri" w:hAnsi="Calibri" w:eastAsia="楷体_GB2312" w:cs="Calibri"/>
                      <w:b/>
                      <w:w w:val="70"/>
                      <w:sz w:val="20"/>
                      <w:szCs w:val="20"/>
                    </w:rPr>
                  </w:pPr>
                </w:p>
              </w:tc>
            </w:tr>
            <w:tr w14:paraId="63BAD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070EF432">
                  <w:pPr>
                    <w:pStyle w:val="24"/>
                    <w:spacing w:after="60"/>
                    <w:rPr>
                      <w:rFonts w:hint="default" w:ascii="Calibri" w:hAnsi="Calibri" w:eastAsia="楷体_GB2312" w:cs="Calibri"/>
                      <w:b/>
                      <w:w w:val="70"/>
                      <w:sz w:val="20"/>
                      <w:szCs w:val="20"/>
                      <w:lang w:eastAsia="zh-CN"/>
                    </w:rPr>
                  </w:pPr>
                </w:p>
              </w:tc>
            </w:tr>
          </w:tbl>
          <w:p w14:paraId="28502403">
            <w:pPr>
              <w:pStyle w:val="70"/>
              <w:rPr>
                <w:rFonts w:hint="default" w:ascii="Calibri" w:hAnsi="Calibri" w:eastAsia="楷体_GB2312" w:cs="Calibri"/>
                <w:sz w:val="16"/>
              </w:rPr>
            </w:pPr>
          </w:p>
          <w:p w14:paraId="07B50226">
            <w:pPr>
              <w:rPr>
                <w:rFonts w:hint="default" w:ascii="Calibri" w:hAnsi="Calibri" w:eastAsia="楷体_GB2312" w:cs="Calibri"/>
                <w:sz w:val="20"/>
                <w:szCs w:val="20"/>
              </w:rPr>
            </w:pPr>
          </w:p>
        </w:tc>
      </w:tr>
      <w:tr w14:paraId="3AA8E6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5409" w:hRule="atLeast"/>
        </w:trPr>
        <w:tc>
          <w:tcPr>
            <w:tcW w:w="11199" w:type="dxa"/>
          </w:tcPr>
          <w:p w14:paraId="5970FDEC">
            <w:pPr>
              <w:pStyle w:val="24"/>
              <w:rPr>
                <w:rFonts w:hint="default" w:ascii="Calibri" w:hAnsi="Calibri" w:eastAsia="楷体_GB2312" w:cs="Calibri"/>
                <w:b/>
                <w:w w:val="70"/>
                <w:sz w:val="20"/>
                <w:szCs w:val="20"/>
              </w:rPr>
            </w:pPr>
            <w:r>
              <w:rPr>
                <w:rFonts w:hint="default" w:ascii="Calibri" w:hAnsi="Calibri" w:eastAsia="楷体_GB2312" w:cs="Calibri"/>
                <w:b/>
                <w:w w:val="70"/>
                <w:sz w:val="20"/>
                <w:szCs w:val="20"/>
              </w:rPr>
              <w:t>Recommendation Chart</w:t>
            </w:r>
          </w:p>
          <w:tbl>
            <w:tblPr>
              <w:tblStyle w:val="11"/>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9"/>
            </w:tblGrid>
            <w:tr w14:paraId="0CAC496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14:paraId="5ECA29A3">
                  <w:pPr>
                    <w:pStyle w:val="2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w:t>
                  </w:r>
                  <w:r>
                    <w:rPr>
                      <w:rFonts w:hint="default" w:ascii="Calibri" w:hAnsi="Calibri" w:eastAsia="楷体_GB2312" w:cs="Calibri"/>
                      <w:b/>
                      <w:w w:val="70"/>
                      <w:sz w:val="20"/>
                      <w:szCs w:val="20"/>
                      <w:lang w:eastAsia="zh-CN"/>
                    </w:rPr>
                    <w:t>Table_RecommendationChart]</w:t>
                  </w:r>
                </w:p>
              </w:tc>
            </w:tr>
            <w:tr w14:paraId="65CD9F0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4889B410">
                  <w:pPr>
                    <w:pStyle w:val="24"/>
                    <w:rPr>
                      <w:rFonts w:hint="default" w:ascii="Calibri" w:hAnsi="Calibri" w:eastAsia="楷体_GB2312" w:cs="Calibri"/>
                      <w:b/>
                      <w:w w:val="70"/>
                      <w:sz w:val="20"/>
                      <w:szCs w:val="20"/>
                      <w:lang w:eastAsia="zh-CN"/>
                    </w:rPr>
                  </w:pPr>
                  <w:r>
                    <w:rPr>
                      <w:rFonts w:hint="default" w:ascii="Calibri" w:hAnsi="Calibri" w:eastAsia="楷体_GB2312" w:cs="Calibri"/>
                    </w:rPr>
                    <w:drawing>
                      <wp:inline distT="0" distB="0" distL="0" distR="0">
                        <wp:extent cx="6350000" cy="3810000"/>
                        <wp:effectExtent l="0" t="0" r="5080" b="0"/>
                        <wp:docPr id="6" name="Drawing 6" descr="/data/deploy/attachments/file/temp/202602/1770416211959_jnkD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data/deploy/attachments/file/temp/202602/1770416211959_jnkDz.png"/>
                                <pic:cNvPicPr>
                                  <a:picLocks noChangeAspect="1"/>
                                </pic:cNvPicPr>
                              </pic:nvPicPr>
                              <pic:blipFill>
                                <a:blip r:embed="rId22"/>
                                <a:stretch>
                                  <a:fillRect/>
                                </a:stretch>
                              </pic:blipFill>
                              <pic:spPr>
                                <a:xfrm>
                                  <a:off x="0" y="0"/>
                                  <a:ext cx="6350000" cy="3810000"/>
                                </a:xfrm>
                                <a:prstGeom prst="rect">
                                  <a:avLst/>
                                </a:prstGeom>
                              </pic:spPr>
                            </pic:pic>
                          </a:graphicData>
                        </a:graphic>
                      </wp:inline>
                    </w:drawing>
                  </w:r>
                </w:p>
              </w:tc>
            </w:tr>
            <w:tr w14:paraId="3DA7B0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C59D75C">
                  <w:pPr>
                    <w:pStyle w:val="24"/>
                    <w:rPr>
                      <w:rFonts w:hint="default" w:ascii="Calibri" w:hAnsi="Calibri" w:eastAsia="楷体_GB2312" w:cs="Calibri"/>
                      <w:b/>
                      <w:w w:val="70"/>
                      <w:sz w:val="20"/>
                      <w:szCs w:val="20"/>
                    </w:rPr>
                  </w:pPr>
                  <w:r>
                    <w:rPr>
                      <w:rFonts w:hint="default" w:ascii="Calibri" w:hAnsi="Calibri" w:eastAsia="楷体_GB2312" w:cs="Calibri"/>
                      <w:i/>
                      <w:color w:val="000000"/>
                      <w:sz w:val="12"/>
                    </w:rPr>
                    <w:t>Source: Company data Bloomberg, HFI estimates</w:t>
                  </w:r>
                </w:p>
              </w:tc>
            </w:tr>
          </w:tbl>
          <w:p w14:paraId="6535794A">
            <w:pPr>
              <w:pStyle w:val="70"/>
              <w:rPr>
                <w:rFonts w:hint="default" w:ascii="Calibri" w:hAnsi="Calibri" w:eastAsia="楷体_GB2312" w:cs="Calibri"/>
                <w:w w:val="70"/>
                <w:sz w:val="20"/>
                <w:szCs w:val="20"/>
              </w:rPr>
            </w:pPr>
          </w:p>
          <w:p w14:paraId="4F7AF229">
            <w:pPr>
              <w:pStyle w:val="70"/>
              <w:rPr>
                <w:rFonts w:hint="default" w:ascii="Calibri" w:hAnsi="Calibri" w:eastAsia="楷体_GB2312" w:cs="Calibri"/>
              </w:rPr>
            </w:pPr>
          </w:p>
        </w:tc>
      </w:tr>
    </w:tbl>
    <w:p w14:paraId="7C9C29F9">
      <w:pPr>
        <w:pStyle w:val="70"/>
        <w:rPr>
          <w:rFonts w:hint="default" w:ascii="Calibri" w:hAnsi="Calibri" w:eastAsia="楷体_GB2312" w:cs="Calibri"/>
          <w:sz w:val="20"/>
          <w:szCs w:val="20"/>
        </w:rPr>
      </w:pPr>
    </w:p>
    <w:sectPr>
      <w:headerReference r:id="rId14" w:type="first"/>
      <w:footerReference r:id="rId16" w:type="first"/>
      <w:headerReference r:id="rId13" w:type="default"/>
      <w:footerReference r:id="rId15"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楷体_GB2312">
    <w:panose1 w:val="02010609030101010101"/>
    <w:charset w:val="86"/>
    <w:family w:val="modern"/>
    <w:pitch w:val="default"/>
    <w:sig w:usb0="00000001" w:usb1="080E0000" w:usb2="00000000" w:usb3="00000000" w:csb0="00040000" w:csb1="00000000"/>
  </w:font>
  <w:font w:name="PMingLiU">
    <w:altName w:val="Segoe Print"/>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4A59F">
    <w:pPr>
      <w:pStyle w:val="20"/>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4A7B9EC">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44A7B9EC">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1"/>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1A0ED4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D5BF0A">
                                <w:pPr>
                                  <w:pStyle w:val="141"/>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6BD925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45ED96C3">
                                <w:pPr>
                                  <w:pStyle w:val="141"/>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71A37209">
                          <w:pPr>
                            <w:pStyle w:val="141"/>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1"/>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1A0ED4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D5BF0A">
                          <w:pPr>
                            <w:pStyle w:val="141"/>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6BD925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45ED96C3">
                          <w:pPr>
                            <w:pStyle w:val="141"/>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71A37209">
                    <w:pPr>
                      <w:pStyle w:val="141"/>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2A14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1DAC8">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958"/>
    </w:tblGrid>
    <w:tr w14:paraId="22F0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958" w:type="dxa"/>
          <w:tcBorders>
            <w:top w:val="nil"/>
            <w:left w:val="nil"/>
            <w:bottom w:val="nil"/>
            <w:right w:val="nil"/>
          </w:tcBorders>
          <w:vAlign w:val="center"/>
        </w:tcPr>
        <w:p w14:paraId="7D64E6A3">
          <w:pPr>
            <w:pStyle w:val="29"/>
            <w:framePr w:wrap="auto" w:vAnchor="margin" w:hAnchor="text" w:xAlign="left" w:yAlign="inline"/>
          </w:pPr>
          <w:r>
            <w:fldChar w:fldCharType="begin"/>
          </w:r>
          <w:r>
            <w:instrText xml:space="preserve"> DATE  \@ "d MMM yyyy"  \* MERGEFORMAT </w:instrText>
          </w:r>
          <w:r>
            <w:fldChar w:fldCharType="separate"/>
          </w:r>
          <w:r>
            <w:t>9 Feb 2026</w:t>
          </w:r>
          <w:r>
            <w:fldChar w:fldCharType="end"/>
          </w:r>
          <w:r>
            <w:tab/>
          </w:r>
          <w:r>
            <w:fldChar w:fldCharType="begin"/>
          </w:r>
          <w:r>
            <w:instrText xml:space="preserve"> PAGE </w:instrText>
          </w:r>
          <w:r>
            <w:fldChar w:fldCharType="separate"/>
          </w:r>
          <w:r>
            <w:t>3</w:t>
          </w:r>
          <w:r>
            <w:fldChar w:fldCharType="end"/>
          </w:r>
        </w:p>
      </w:tc>
    </w:tr>
  </w:tbl>
  <w:p w14:paraId="11FB48D8">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A93BD">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0889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4F5B9C55">
          <w:pPr>
            <w:pStyle w:val="29"/>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12E2F4C3">
    <w:pPr>
      <w:pStyle w:val="2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8E57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2A343">
    <w:pPr>
      <w:pStyle w:val="20"/>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1"/>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75E8622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3312" w:type="dxa"/>
                              </w:tcPr>
                              <w:p w14:paraId="103254B5">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11D4FD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6F0AF139">
                                <w:pPr>
                                  <w:rPr>
                                    <w:color w:val="23558C"/>
                                    <w:sz w:val="20"/>
                                    <w:szCs w:val="20"/>
                                  </w:rPr>
                                </w:pPr>
                                <w:r>
                                  <w:rPr>
                                    <w:rFonts w:hint="eastAsia" w:eastAsia="楷体_GB2312"/>
                                    <w:color w:val="23558C"/>
                                    <w:sz w:val="20"/>
                                    <w:szCs w:val="20"/>
                                    <w:lang w:eastAsia="zh-CN"/>
                                  </w:rPr>
                                  <w:t>Investment Focus</w:t>
                                </w:r>
                              </w:p>
                            </w:tc>
                          </w:tr>
                        </w:tbl>
                        <w:p w14:paraId="3303C56F">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1"/>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75E8622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103254B5">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11D4FD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6F0AF139">
                          <w:pPr>
                            <w:rPr>
                              <w:color w:val="23558C"/>
                              <w:sz w:val="20"/>
                              <w:szCs w:val="20"/>
                            </w:rPr>
                          </w:pPr>
                          <w:r>
                            <w:rPr>
                              <w:rFonts w:hint="eastAsia" w:eastAsia="楷体_GB2312"/>
                              <w:color w:val="23558C"/>
                              <w:sz w:val="20"/>
                              <w:szCs w:val="20"/>
                              <w:lang w:eastAsia="zh-CN"/>
                            </w:rPr>
                            <w:t>Investment Focus</w:t>
                          </w:r>
                        </w:p>
                      </w:tc>
                    </w:tr>
                  </w:tbl>
                  <w:p w14:paraId="3303C56F">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23369CDC">
                          <w:pPr>
                            <w:pStyle w:val="20"/>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12C63C4"/>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23369CDC">
                    <w:pPr>
                      <w:pStyle w:val="20"/>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12C63C4"/>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3A68B">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1E4E9">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10632" w:type="dxa"/>
      <w:tblCaption w:val="[Table_header2]"/>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182"/>
      <w:gridCol w:w="4450"/>
    </w:tblGrid>
    <w:tr w14:paraId="1588794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182" w:type="dxa"/>
          <w:tcBorders>
            <w:top w:val="nil"/>
            <w:bottom w:val="nil"/>
          </w:tcBorders>
          <w:vAlign w:val="center"/>
        </w:tcPr>
        <w:p w14:paraId="7F081A05">
          <w:pPr>
            <w:pStyle w:val="20"/>
            <w:rPr>
              <w:rFonts w:eastAsia="楷体_GB2312"/>
              <w:sz w:val="24"/>
              <w:szCs w:val="24"/>
            </w:rPr>
          </w:pPr>
          <w:r>
            <w:rPr>
              <w:rFonts w:eastAsia="楷体_GB2312"/>
              <w:color w:val="FFFFFF" w:themeColor="background1"/>
              <w:sz w:val="24"/>
              <w:szCs w:val="24"/>
              <w14:textFill>
                <w14:solidFill>
                  <w14:schemeClr w14:val="bg1"/>
                </w14:solidFill>
              </w14:textFill>
            </w:rPr>
            <w:t>[Table_header2]</w:t>
          </w:r>
        </w:p>
      </w:tc>
      <w:tc>
        <w:tcPr>
          <w:tcW w:w="4450" w:type="dxa"/>
          <w:tcBorders>
            <w:top w:val="nil"/>
            <w:bottom w:val="nil"/>
          </w:tcBorders>
          <w:vAlign w:val="center"/>
        </w:tcPr>
        <w:p w14:paraId="74DB20DB">
          <w:pPr>
            <w:pStyle w:val="20"/>
            <w:jc w:val="right"/>
            <w:rPr>
              <w:rStyle w:val="62"/>
              <w:rFonts w:eastAsia="楷体_GB2312"/>
              <w:sz w:val="24"/>
              <w:lang w:eastAsia="zh-CN"/>
            </w:rPr>
          </w:pPr>
        </w:p>
      </w:tc>
    </w:tr>
    <w:tr w14:paraId="7A868A9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182" w:type="dxa"/>
          <w:tcBorders>
            <w:top w:val="nil"/>
          </w:tcBorders>
          <w:vAlign w:val="center"/>
        </w:tcPr>
        <w:p w14:paraId="2FA08AA8">
          <w:pPr>
            <w:pStyle w:val="20"/>
            <w:rPr>
              <w:rFonts w:eastAsia="楷体_GB2312" w:cs="Calibri"/>
              <w:color w:val="005BAC"/>
              <w:sz w:val="24"/>
              <w:szCs w:val="24"/>
              <w:lang w:eastAsia="zh-CN"/>
            </w:rPr>
          </w:pPr>
          <w:r>
            <w:rPr>
              <w:rFonts w:eastAsia="楷体_GB2312"/>
              <w:b/>
              <w:color w:val="215E99"/>
              <w:sz w:val="24"/>
            </w:rPr>
            <w:t>Bloom Energy Corporation(BE US)</w:t>
          </w:r>
        </w:p>
      </w:tc>
      <w:tc>
        <w:tcPr>
          <w:tcW w:w="4450" w:type="dxa"/>
          <w:tcBorders>
            <w:top w:val="nil"/>
          </w:tcBorders>
          <w:vAlign w:val="center"/>
        </w:tcPr>
        <w:p w14:paraId="3CF412EB">
          <w:pPr>
            <w:pStyle w:val="20"/>
            <w:wordWrap w:val="0"/>
            <w:jc w:val="right"/>
            <w:rPr>
              <w:rStyle w:val="62"/>
              <w:rFonts w:hint="default" w:eastAsia="楷体_GB2312" w:cs="Calibri"/>
              <w:color w:val="005BAC"/>
              <w:sz w:val="24"/>
              <w:lang w:val="en-US" w:eastAsia="zh-CN"/>
            </w:rPr>
          </w:pPr>
          <w:r>
            <w:rPr>
              <w:rFonts w:hint="eastAsia" w:eastAsia="楷体_GB2312"/>
              <w:b/>
              <w:color w:val="215E99"/>
              <w:sz w:val="24"/>
              <w:lang w:val="en-US" w:eastAsia="zh-CN"/>
            </w:rPr>
            <w:t>维持优于大市</w:t>
          </w:r>
        </w:p>
      </w:tc>
    </w:tr>
  </w:tbl>
  <w:p w14:paraId="167F1501">
    <w:pPr>
      <w:pStyle w:val="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07CD">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FAFE6">
    <w:pPr>
      <w:pStyle w:val="20"/>
      <w:spacing w:line="360" w:lineRule="auto"/>
    </w:pPr>
  </w:p>
  <w:p w14:paraId="595BC572">
    <w:pPr>
      <w:pStyle w:val="2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D665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31A2D25"/>
    <w:multiLevelType w:val="multilevel"/>
    <w:tmpl w:val="331A2D25"/>
    <w:lvl w:ilvl="0" w:tentative="0">
      <w:start w:val="1"/>
      <w:numFmt w:val="bullet"/>
      <w:pStyle w:val="55"/>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BF48C1"/>
    <w:multiLevelType w:val="multilevel"/>
    <w:tmpl w:val="3BBF48C1"/>
    <w:lvl w:ilvl="0" w:tentative="0">
      <w:start w:val="1"/>
      <w:numFmt w:val="bullet"/>
      <w:pStyle w:val="101"/>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41772804"/>
    <w:multiLevelType w:val="multilevel"/>
    <w:tmpl w:val="41772804"/>
    <w:lvl w:ilvl="0" w:tentative="0">
      <w:start w:val="1"/>
      <w:numFmt w:val="bullet"/>
      <w:pStyle w:val="54"/>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9321DC"/>
    <w:multiLevelType w:val="multilevel"/>
    <w:tmpl w:val="479321DC"/>
    <w:lvl w:ilvl="0" w:tentative="0">
      <w:start w:val="1"/>
      <w:numFmt w:val="bullet"/>
      <w:pStyle w:val="17"/>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62B5102"/>
    <w:multiLevelType w:val="multilevel"/>
    <w:tmpl w:val="662B5102"/>
    <w:lvl w:ilvl="0" w:tentative="0">
      <w:start w:val="1"/>
      <w:numFmt w:val="bullet"/>
      <w:pStyle w:val="86"/>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6C4E34EC"/>
    <w:multiLevelType w:val="multilevel"/>
    <w:tmpl w:val="6C4E34EC"/>
    <w:lvl w:ilvl="0" w:tentative="0">
      <w:start w:val="1"/>
      <w:numFmt w:val="bullet"/>
      <w:pStyle w:val="53"/>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6"/>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dit="readOnly" w:enforcement="0"/>
  <w:defaultTabStop w:val="403"/>
  <w:drawingGridHorizontalSpacing w:val="8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E6A5E"/>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3497"/>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54EA"/>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E6D04"/>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2E44"/>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1D5C"/>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4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52E9"/>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24F"/>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0318"/>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16CF"/>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28F475A"/>
    <w:rsid w:val="039E575F"/>
    <w:rsid w:val="0543449F"/>
    <w:rsid w:val="07CA6305"/>
    <w:rsid w:val="08BF02B5"/>
    <w:rsid w:val="0DF40F26"/>
    <w:rsid w:val="18E9167E"/>
    <w:rsid w:val="1A467597"/>
    <w:rsid w:val="1A8A02FF"/>
    <w:rsid w:val="1D741DF8"/>
    <w:rsid w:val="208D3E84"/>
    <w:rsid w:val="29091C93"/>
    <w:rsid w:val="3BD30C12"/>
    <w:rsid w:val="3C6B3628"/>
    <w:rsid w:val="46297B65"/>
    <w:rsid w:val="4AEC698D"/>
    <w:rsid w:val="50716F03"/>
    <w:rsid w:val="61DE16C3"/>
    <w:rsid w:val="62FE79D4"/>
    <w:rsid w:val="6464192A"/>
    <w:rsid w:val="64821589"/>
    <w:rsid w:val="6C2C0569"/>
    <w:rsid w:val="75F01CC8"/>
    <w:rsid w:val="76683644"/>
    <w:rsid w:val="7CCC108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5"/>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qFormat/>
    <w:uiPriority w:val="99"/>
    <w:rPr>
      <w:color w:val="0000FF"/>
      <w:u w:val="single"/>
    </w:rPr>
  </w:style>
  <w:style w:type="character" w:customStyle="1" w:styleId="15">
    <w:name w:val="Balloon Text Char"/>
    <w:basedOn w:val="12"/>
    <w:link w:val="6"/>
    <w:qFormat/>
    <w:uiPriority w:val="0"/>
    <w:rPr>
      <w:rFonts w:ascii="Tahoma" w:hAnsi="Tahoma" w:cs="Tahoma"/>
      <w:lang w:eastAsia="ja-JP"/>
    </w:rPr>
  </w:style>
  <w:style w:type="paragraph" w:customStyle="1" w:styleId="16">
    <w:name w:val="EFAFPReportType"/>
    <w:link w:val="80"/>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7">
    <w:name w:val="EFABullet"/>
    <w:basedOn w:val="18"/>
    <w:qFormat/>
    <w:uiPriority w:val="99"/>
    <w:pPr>
      <w:numPr>
        <w:ilvl w:val="0"/>
        <w:numId w:val="1"/>
      </w:numPr>
      <w:tabs>
        <w:tab w:val="left" w:pos="480"/>
      </w:tabs>
      <w:ind w:left="192" w:firstLine="0"/>
    </w:pPr>
    <w:rPr>
      <w:szCs w:val="22"/>
    </w:rPr>
  </w:style>
  <w:style w:type="paragraph" w:customStyle="1" w:styleId="18">
    <w:name w:val="EFABodyText"/>
    <w:link w:val="3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19">
    <w:name w:val="EFAButton"/>
    <w:basedOn w:val="20"/>
    <w:qFormat/>
    <w:uiPriority w:val="0"/>
    <w:rPr>
      <w:b/>
    </w:rPr>
  </w:style>
  <w:style w:type="paragraph" w:customStyle="1" w:styleId="20">
    <w:name w:val="EFANormal"/>
    <w:link w:val="3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1">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2">
    <w:name w:val="EFAFPFrameText_11.5pt_Right"/>
    <w:basedOn w:val="23"/>
    <w:link w:val="111"/>
    <w:qFormat/>
    <w:uiPriority w:val="0"/>
    <w:pPr>
      <w:framePr w:wrap="around" w:xAlign="right" w:y="1"/>
      <w:suppressOverlap/>
      <w:jc w:val="right"/>
    </w:pPr>
    <w:rPr>
      <w:bCs/>
      <w:szCs w:val="32"/>
    </w:rPr>
  </w:style>
  <w:style w:type="paragraph" w:customStyle="1" w:styleId="23">
    <w:name w:val="EFAFPFrameText_11.5pt"/>
    <w:link w:val="109"/>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4">
    <w:name w:val="EFADisclaimerText"/>
    <w:basedOn w:val="20"/>
    <w:link w:val="139"/>
    <w:qFormat/>
    <w:uiPriority w:val="99"/>
    <w:pPr>
      <w:jc w:val="both"/>
    </w:pPr>
  </w:style>
  <w:style w:type="paragraph" w:styleId="25">
    <w:name w:val="List Paragraph"/>
    <w:basedOn w:val="1"/>
    <w:qFormat/>
    <w:uiPriority w:val="34"/>
    <w:pPr>
      <w:ind w:left="720"/>
      <w:contextualSpacing/>
    </w:pPr>
  </w:style>
  <w:style w:type="paragraph" w:customStyle="1" w:styleId="26">
    <w:name w:val="EFABullet_Red"/>
    <w:basedOn w:val="27"/>
    <w:qFormat/>
    <w:uiPriority w:val="99"/>
    <w:pPr>
      <w:numPr>
        <w:ilvl w:val="0"/>
        <w:numId w:val="2"/>
      </w:numPr>
      <w:tabs>
        <w:tab w:val="left" w:pos="481"/>
      </w:tabs>
      <w:ind w:left="0" w:firstLine="0"/>
    </w:pPr>
  </w:style>
  <w:style w:type="paragraph" w:customStyle="1" w:styleId="27">
    <w:name w:val="EFAFP_BodyText"/>
    <w:link w:val="3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8">
    <w:name w:val="EFA2ndPageHeader"/>
    <w:basedOn w:val="20"/>
    <w:qFormat/>
    <w:uiPriority w:val="0"/>
    <w:pPr>
      <w:spacing w:before="40" w:after="40"/>
      <w:jc w:val="right"/>
    </w:pPr>
    <w:rPr>
      <w:color w:val="FF0000"/>
      <w:sz w:val="24"/>
    </w:rPr>
  </w:style>
  <w:style w:type="paragraph" w:customStyle="1" w:styleId="29">
    <w:name w:val="EFAPageFooter"/>
    <w:basedOn w:val="20"/>
    <w:qFormat/>
    <w:uiPriority w:val="0"/>
    <w:pPr>
      <w:framePr w:wrap="around" w:vAnchor="page" w:hAnchor="page" w:x="347" w:y="15481"/>
      <w:suppressOverlap/>
      <w:tabs>
        <w:tab w:val="center" w:pos="5165"/>
      </w:tabs>
    </w:pPr>
    <w:rPr>
      <w:b/>
      <w:sz w:val="20"/>
      <w:szCs w:val="20"/>
    </w:rPr>
  </w:style>
  <w:style w:type="paragraph" w:customStyle="1" w:styleId="30">
    <w:name w:val="EFAPageHeader"/>
    <w:basedOn w:val="20"/>
    <w:qFormat/>
    <w:uiPriority w:val="0"/>
    <w:pPr>
      <w:tabs>
        <w:tab w:val="right" w:pos="10692"/>
      </w:tabs>
      <w:spacing w:before="40" w:after="40"/>
    </w:pPr>
    <w:rPr>
      <w:color w:val="005BAC"/>
      <w:sz w:val="24"/>
    </w:rPr>
  </w:style>
  <w:style w:type="paragraph" w:customStyle="1" w:styleId="31">
    <w:name w:val="EFAHiddenBookmark"/>
    <w:basedOn w:val="1"/>
    <w:link w:val="32"/>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2">
    <w:name w:val="EFAHiddenBookmark Char"/>
    <w:link w:val="31"/>
    <w:qFormat/>
    <w:uiPriority w:val="99"/>
    <w:rPr>
      <w:rFonts w:ascii="Arial" w:hAnsi="Arial" w:eastAsia="Times New Roman"/>
      <w:vanish/>
      <w:kern w:val="2"/>
      <w:sz w:val="14"/>
      <w:szCs w:val="19"/>
      <w:lang w:val="en-GB" w:eastAsia="en-US"/>
    </w:rPr>
  </w:style>
  <w:style w:type="paragraph" w:customStyle="1" w:styleId="33">
    <w:name w:val="EFAPoweredByEFA"/>
    <w:link w:val="3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4">
    <w:name w:val="EFAPoweredByEFA Char"/>
    <w:link w:val="33"/>
    <w:qFormat/>
    <w:uiPriority w:val="0"/>
    <w:rPr>
      <w:rFonts w:ascii="Arial" w:hAnsi="Arial" w:eastAsia="PMingLiU"/>
      <w:color w:val="5A5A5A"/>
      <w:sz w:val="9"/>
      <w:szCs w:val="9"/>
      <w:lang w:eastAsia="zh-TW"/>
    </w:rPr>
  </w:style>
  <w:style w:type="character" w:customStyle="1" w:styleId="35">
    <w:name w:val="EFANormal Char"/>
    <w:basedOn w:val="12"/>
    <w:link w:val="20"/>
    <w:qFormat/>
    <w:uiPriority w:val="0"/>
    <w:rPr>
      <w:lang w:eastAsia="ja-JP"/>
    </w:rPr>
  </w:style>
  <w:style w:type="character" w:customStyle="1" w:styleId="36">
    <w:name w:val="EFABodyText Char"/>
    <w:basedOn w:val="12"/>
    <w:link w:val="18"/>
    <w:qFormat/>
    <w:uiPriority w:val="0"/>
    <w:rPr>
      <w:sz w:val="20"/>
      <w:lang w:eastAsia="ja-JP"/>
    </w:rPr>
  </w:style>
  <w:style w:type="character" w:customStyle="1" w:styleId="37">
    <w:name w:val="EFAFP_BodyText Char"/>
    <w:basedOn w:val="12"/>
    <w:link w:val="27"/>
    <w:qFormat/>
    <w:uiPriority w:val="0"/>
    <w:rPr>
      <w:sz w:val="20"/>
      <w:lang w:eastAsia="ja-JP"/>
    </w:rPr>
  </w:style>
  <w:style w:type="paragraph" w:customStyle="1" w:styleId="38">
    <w:name w:val="EFAFPTag"/>
    <w:basedOn w:val="20"/>
    <w:qFormat/>
    <w:uiPriority w:val="0"/>
    <w:pPr>
      <w:jc w:val="center"/>
    </w:pPr>
    <w:rPr>
      <w:b/>
    </w:rPr>
  </w:style>
  <w:style w:type="paragraph" w:customStyle="1" w:styleId="39">
    <w:name w:val="EFAFPFooter2"/>
    <w:link w:val="125"/>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0">
    <w:name w:val="EFACharGrey"/>
    <w:qFormat/>
    <w:uiPriority w:val="1"/>
    <w:rPr>
      <w:color w:val="808080"/>
    </w:rPr>
  </w:style>
  <w:style w:type="paragraph" w:customStyle="1" w:styleId="41">
    <w:name w:val="EFAFPTitle"/>
    <w:link w:val="110"/>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2">
    <w:name w:val="EFAFPColFrameText"/>
    <w:link w:val="44"/>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3">
    <w:name w:val="EFAFPColFrameText_Right"/>
    <w:basedOn w:val="42"/>
    <w:qFormat/>
    <w:uiPriority w:val="0"/>
    <w:pPr>
      <w:framePr w:wrap="around"/>
      <w:jc w:val="right"/>
    </w:pPr>
  </w:style>
  <w:style w:type="character" w:customStyle="1" w:styleId="44">
    <w:name w:val="EFAFPColFrameText Char"/>
    <w:basedOn w:val="12"/>
    <w:link w:val="42"/>
    <w:qFormat/>
    <w:uiPriority w:val="0"/>
    <w:rPr>
      <w:sz w:val="14"/>
      <w:szCs w:val="14"/>
    </w:rPr>
  </w:style>
  <w:style w:type="paragraph" w:customStyle="1" w:styleId="45">
    <w:name w:val="EFAFPColFrameHeading"/>
    <w:basedOn w:val="42"/>
    <w:qFormat/>
    <w:uiPriority w:val="0"/>
    <w:pPr>
      <w:framePr w:wrap="around"/>
    </w:pPr>
    <w:rPr>
      <w:b/>
      <w:color w:val="23558C"/>
      <w:sz w:val="16"/>
    </w:rPr>
  </w:style>
  <w:style w:type="paragraph" w:customStyle="1" w:styleId="46">
    <w:name w:val="EFAFPColFrameText_Left"/>
    <w:basedOn w:val="42"/>
    <w:link w:val="68"/>
    <w:qFormat/>
    <w:uiPriority w:val="0"/>
    <w:pPr>
      <w:framePr w:wrap="around"/>
    </w:pPr>
  </w:style>
  <w:style w:type="paragraph" w:customStyle="1" w:styleId="47">
    <w:name w:val="EFAFPColFrame_Source"/>
    <w:basedOn w:val="46"/>
    <w:qFormat/>
    <w:uiPriority w:val="0"/>
    <w:pPr>
      <w:framePr w:wrap="around"/>
    </w:pPr>
    <w:rPr>
      <w:sz w:val="12"/>
      <w:szCs w:val="12"/>
    </w:rPr>
  </w:style>
  <w:style w:type="character" w:customStyle="1" w:styleId="48">
    <w:name w:val="EFACharBold"/>
    <w:basedOn w:val="12"/>
    <w:qFormat/>
    <w:uiPriority w:val="1"/>
    <w:rPr>
      <w:b/>
    </w:rPr>
  </w:style>
  <w:style w:type="paragraph" w:customStyle="1" w:styleId="49">
    <w:name w:val="EFAFPColFrame_AnalystName"/>
    <w:basedOn w:val="46"/>
    <w:qFormat/>
    <w:uiPriority w:val="0"/>
    <w:pPr>
      <w:framePr w:wrap="around"/>
    </w:pPr>
    <w:rPr>
      <w:b/>
      <w:sz w:val="16"/>
    </w:rPr>
  </w:style>
  <w:style w:type="paragraph" w:customStyle="1" w:styleId="50">
    <w:name w:val="EFAFPColFrameText_8pt"/>
    <w:basedOn w:val="46"/>
    <w:qFormat/>
    <w:uiPriority w:val="0"/>
    <w:pPr>
      <w:framePr w:wrap="around"/>
    </w:pPr>
    <w:rPr>
      <w:sz w:val="16"/>
    </w:rPr>
  </w:style>
  <w:style w:type="paragraph" w:customStyle="1" w:styleId="51">
    <w:name w:val="EFAFP_Source"/>
    <w:basedOn w:val="20"/>
    <w:qFormat/>
    <w:uiPriority w:val="0"/>
    <w:rPr>
      <w:sz w:val="12"/>
      <w:szCs w:val="12"/>
    </w:rPr>
  </w:style>
  <w:style w:type="paragraph" w:customStyle="1" w:styleId="52">
    <w:name w:val="EFAFP_Abstract"/>
    <w:qFormat/>
    <w:uiPriority w:val="0"/>
    <w:rPr>
      <w:rFonts w:ascii="Calibri" w:hAnsi="Calibri" w:eastAsia="MS Mincho" w:cs="Times New Roman"/>
      <w:snapToGrid w:val="0"/>
      <w:sz w:val="18"/>
      <w:szCs w:val="16"/>
      <w:lang w:val="en-US" w:eastAsia="ja-JP" w:bidi="ar-SA"/>
    </w:rPr>
  </w:style>
  <w:style w:type="paragraph" w:customStyle="1" w:styleId="53">
    <w:name w:val="EFABullet_Green"/>
    <w:basedOn w:val="27"/>
    <w:qFormat/>
    <w:uiPriority w:val="0"/>
    <w:pPr>
      <w:numPr>
        <w:ilvl w:val="0"/>
        <w:numId w:val="3"/>
      </w:numPr>
      <w:tabs>
        <w:tab w:val="left" w:pos="468"/>
      </w:tabs>
      <w:ind w:left="0" w:firstLine="0"/>
    </w:pPr>
  </w:style>
  <w:style w:type="paragraph" w:customStyle="1" w:styleId="54">
    <w:name w:val="EFABullet_Blue"/>
    <w:basedOn w:val="27"/>
    <w:qFormat/>
    <w:uiPriority w:val="0"/>
    <w:pPr>
      <w:numPr>
        <w:ilvl w:val="0"/>
        <w:numId w:val="4"/>
      </w:numPr>
      <w:tabs>
        <w:tab w:val="left" w:pos="468"/>
      </w:tabs>
      <w:ind w:left="0" w:firstLine="0"/>
    </w:pPr>
  </w:style>
  <w:style w:type="paragraph" w:customStyle="1" w:styleId="55">
    <w:name w:val="EFABullet_Yellow"/>
    <w:basedOn w:val="27"/>
    <w:qFormat/>
    <w:uiPriority w:val="0"/>
    <w:pPr>
      <w:numPr>
        <w:ilvl w:val="0"/>
        <w:numId w:val="5"/>
      </w:numPr>
      <w:tabs>
        <w:tab w:val="left" w:pos="468"/>
      </w:tabs>
      <w:ind w:left="0" w:firstLine="0"/>
    </w:pPr>
  </w:style>
  <w:style w:type="paragraph" w:customStyle="1" w:styleId="56">
    <w:name w:val="EFASource"/>
    <w:basedOn w:val="18"/>
    <w:qFormat/>
    <w:uiPriority w:val="0"/>
    <w:rPr>
      <w:sz w:val="12"/>
      <w:szCs w:val="14"/>
    </w:rPr>
  </w:style>
  <w:style w:type="paragraph" w:customStyle="1" w:styleId="57">
    <w:name w:val="EFASubHeader"/>
    <w:basedOn w:val="18"/>
    <w:next w:val="18"/>
    <w:link w:val="108"/>
    <w:qFormat/>
    <w:uiPriority w:val="0"/>
    <w:rPr>
      <w:b/>
      <w:bCs/>
    </w:rPr>
  </w:style>
  <w:style w:type="paragraph" w:customStyle="1" w:styleId="58">
    <w:name w:val="EFADisclaimerHeading"/>
    <w:basedOn w:val="24"/>
    <w:next w:val="24"/>
    <w:qFormat/>
    <w:uiPriority w:val="99"/>
    <w:rPr>
      <w:b/>
    </w:rPr>
  </w:style>
  <w:style w:type="paragraph" w:customStyle="1" w:styleId="59">
    <w:name w:val="EFADisclaimerHeading2"/>
    <w:basedOn w:val="24"/>
    <w:next w:val="24"/>
    <w:qFormat/>
    <w:uiPriority w:val="0"/>
    <w:rPr>
      <w:b/>
      <w:sz w:val="20"/>
      <w:szCs w:val="20"/>
    </w:rPr>
  </w:style>
  <w:style w:type="paragraph" w:customStyle="1" w:styleId="60">
    <w:name w:val="EFADisclaimerHeading3"/>
    <w:basedOn w:val="24"/>
    <w:qFormat/>
    <w:uiPriority w:val="0"/>
    <w:rPr>
      <w:b/>
      <w:sz w:val="18"/>
      <w:szCs w:val="18"/>
    </w:rPr>
  </w:style>
  <w:style w:type="paragraph" w:customStyle="1" w:styleId="61">
    <w:name w:val="EFASideComment"/>
    <w:basedOn w:val="18"/>
    <w:qFormat/>
    <w:uiPriority w:val="0"/>
    <w:pPr>
      <w:framePr w:w="2980" w:hSpace="180" w:wrap="around" w:vAnchor="text" w:hAnchor="text" w:x="-3250" w:y="160"/>
    </w:pPr>
  </w:style>
  <w:style w:type="character" w:customStyle="1" w:styleId="62">
    <w:name w:val="EFACharBold_and_AllCap"/>
    <w:qFormat/>
    <w:uiPriority w:val="1"/>
    <w:rPr>
      <w:b/>
      <w:caps/>
    </w:rPr>
  </w:style>
  <w:style w:type="paragraph" w:customStyle="1" w:styleId="63">
    <w:name w:val="__Table_Normal"/>
    <w:basedOn w:val="1"/>
    <w:link w:val="64"/>
    <w:qFormat/>
    <w:uiPriority w:val="0"/>
    <w:rPr>
      <w:snapToGrid/>
      <w:color w:val="000000"/>
      <w:kern w:val="28"/>
    </w:rPr>
  </w:style>
  <w:style w:type="character" w:customStyle="1" w:styleId="64">
    <w:name w:val="__Table_Normal Char"/>
    <w:basedOn w:val="12"/>
    <w:link w:val="63"/>
    <w:qFormat/>
    <w:uiPriority w:val="0"/>
    <w:rPr>
      <w:snapToGrid/>
      <w:color w:val="000000"/>
      <w:kern w:val="28"/>
      <w:lang w:eastAsia="ja-JP"/>
    </w:rPr>
  </w:style>
  <w:style w:type="paragraph" w:customStyle="1" w:styleId="65">
    <w:name w:val="Front pg Tbl left just 7 pt"/>
    <w:basedOn w:val="1"/>
    <w:link w:val="66"/>
    <w:qFormat/>
    <w:uiPriority w:val="0"/>
    <w:rPr>
      <w:snapToGrid/>
      <w:sz w:val="14"/>
      <w:szCs w:val="24"/>
    </w:rPr>
  </w:style>
  <w:style w:type="character" w:customStyle="1" w:styleId="66">
    <w:name w:val="Front pg Tbl left just 7 pt Char Char"/>
    <w:basedOn w:val="12"/>
    <w:link w:val="65"/>
    <w:qFormat/>
    <w:uiPriority w:val="0"/>
    <w:rPr>
      <w:snapToGrid/>
      <w:sz w:val="14"/>
      <w:szCs w:val="24"/>
      <w:lang w:eastAsia="ja-JP"/>
    </w:rPr>
  </w:style>
  <w:style w:type="paragraph" w:customStyle="1" w:styleId="67">
    <w:name w:val="EFAFPColFrameText_Center"/>
    <w:basedOn w:val="46"/>
    <w:link w:val="69"/>
    <w:qFormat/>
    <w:uiPriority w:val="0"/>
    <w:pPr>
      <w:framePr w:wrap="around"/>
    </w:pPr>
  </w:style>
  <w:style w:type="character" w:customStyle="1" w:styleId="68">
    <w:name w:val="EFAFPColFrameText_Left Char"/>
    <w:basedOn w:val="44"/>
    <w:link w:val="46"/>
    <w:qFormat/>
    <w:uiPriority w:val="0"/>
    <w:rPr>
      <w:sz w:val="14"/>
      <w:szCs w:val="14"/>
    </w:rPr>
  </w:style>
  <w:style w:type="character" w:customStyle="1" w:styleId="69">
    <w:name w:val="EFAFPColFrameText_Center Char"/>
    <w:basedOn w:val="68"/>
    <w:link w:val="67"/>
    <w:qFormat/>
    <w:uiPriority w:val="0"/>
    <w:rPr>
      <w:sz w:val="14"/>
      <w:szCs w:val="14"/>
    </w:rPr>
  </w:style>
  <w:style w:type="paragraph" w:customStyle="1" w:styleId="70">
    <w:name w:val="EFAAnchor"/>
    <w:basedOn w:val="20"/>
    <w:qFormat/>
    <w:uiPriority w:val="0"/>
    <w:rPr>
      <w:sz w:val="4"/>
      <w:lang w:eastAsia="zh-CN"/>
    </w:rPr>
  </w:style>
  <w:style w:type="paragraph" w:customStyle="1" w:styleId="71">
    <w:name w:val="EFAFPColFrameAnchor"/>
    <w:basedOn w:val="42"/>
    <w:qFormat/>
    <w:uiPriority w:val="0"/>
    <w:pPr>
      <w:framePr w:wrap="around"/>
    </w:pPr>
    <w:rPr>
      <w:sz w:val="4"/>
      <w:szCs w:val="4"/>
    </w:rPr>
  </w:style>
  <w:style w:type="paragraph" w:customStyle="1" w:styleId="72">
    <w:name w:val="EFAFigureTitle_SC"/>
    <w:basedOn w:val="18"/>
    <w:next w:val="18"/>
    <w:link w:val="74"/>
    <w:qFormat/>
    <w:uiPriority w:val="0"/>
    <w:pPr>
      <w:spacing w:before="40" w:after="40"/>
    </w:pPr>
    <w:rPr>
      <w:rFonts w:cs="Calibri"/>
      <w:b/>
      <w:sz w:val="17"/>
    </w:rPr>
  </w:style>
  <w:style w:type="paragraph" w:customStyle="1" w:styleId="73">
    <w:name w:val="EFASource_SC"/>
    <w:basedOn w:val="18"/>
    <w:next w:val="18"/>
    <w:qFormat/>
    <w:uiPriority w:val="0"/>
    <w:rPr>
      <w:sz w:val="12"/>
    </w:rPr>
  </w:style>
  <w:style w:type="character" w:customStyle="1" w:styleId="74">
    <w:name w:val="EFAFigureTitle_SC Char"/>
    <w:basedOn w:val="36"/>
    <w:link w:val="72"/>
    <w:qFormat/>
    <w:uiPriority w:val="0"/>
    <w:rPr>
      <w:rFonts w:cs="Calibri"/>
      <w:b/>
      <w:sz w:val="17"/>
      <w:lang w:eastAsia="ja-JP"/>
    </w:rPr>
  </w:style>
  <w:style w:type="paragraph" w:customStyle="1" w:styleId="75">
    <w:name w:val="EFAFPCol_Hdr2"/>
    <w:basedOn w:val="42"/>
    <w:link w:val="77"/>
    <w:qFormat/>
    <w:uiPriority w:val="0"/>
    <w:pPr>
      <w:framePr w:wrap="around"/>
      <w:jc w:val="both"/>
    </w:pPr>
    <w:rPr>
      <w:b/>
      <w:color w:val="808080"/>
      <w:sz w:val="24"/>
      <w:szCs w:val="24"/>
    </w:rPr>
  </w:style>
  <w:style w:type="paragraph" w:customStyle="1" w:styleId="76">
    <w:name w:val="EFAFP_CustomRec"/>
    <w:link w:val="79"/>
    <w:qFormat/>
    <w:uiPriority w:val="0"/>
    <w:rPr>
      <w:rFonts w:ascii="Calibri" w:hAnsi="Calibri" w:eastAsia="MS Mincho" w:cs="Times New Roman"/>
      <w:b/>
      <w:bCs/>
      <w:snapToGrid w:val="0"/>
      <w:color w:val="23558C"/>
      <w:sz w:val="40"/>
      <w:szCs w:val="24"/>
      <w:lang w:val="en-US" w:eastAsia="zh-CN" w:bidi="ar-SA"/>
    </w:rPr>
  </w:style>
  <w:style w:type="character" w:customStyle="1" w:styleId="77">
    <w:name w:val="EFAFPCol_Hdr2 Char"/>
    <w:basedOn w:val="44"/>
    <w:link w:val="75"/>
    <w:qFormat/>
    <w:uiPriority w:val="0"/>
    <w:rPr>
      <w:b/>
      <w:color w:val="808080"/>
      <w:sz w:val="24"/>
      <w:szCs w:val="24"/>
    </w:rPr>
  </w:style>
  <w:style w:type="paragraph" w:customStyle="1" w:styleId="78">
    <w:name w:val="EFAFP_Rec"/>
    <w:basedOn w:val="42"/>
    <w:link w:val="81"/>
    <w:qFormat/>
    <w:uiPriority w:val="0"/>
    <w:pPr>
      <w:framePr w:wrap="around"/>
    </w:pPr>
    <w:rPr>
      <w:b/>
      <w:bCs/>
      <w:color w:val="23558C"/>
      <w:sz w:val="36"/>
    </w:rPr>
  </w:style>
  <w:style w:type="character" w:customStyle="1" w:styleId="79">
    <w:name w:val="EFAFP_CustomRec Char"/>
    <w:basedOn w:val="12"/>
    <w:link w:val="76"/>
    <w:qFormat/>
    <w:uiPriority w:val="0"/>
    <w:rPr>
      <w:b/>
      <w:bCs/>
      <w:color w:val="23558C"/>
      <w:sz w:val="40"/>
      <w:szCs w:val="24"/>
    </w:rPr>
  </w:style>
  <w:style w:type="character" w:customStyle="1" w:styleId="80">
    <w:name w:val="EFAFPReportType Char"/>
    <w:basedOn w:val="12"/>
    <w:link w:val="16"/>
    <w:qFormat/>
    <w:uiPriority w:val="0"/>
    <w:rPr>
      <w:color w:val="23558C"/>
      <w:sz w:val="44"/>
      <w:szCs w:val="44"/>
      <w:lang w:eastAsia="ja-JP"/>
    </w:rPr>
  </w:style>
  <w:style w:type="character" w:customStyle="1" w:styleId="81">
    <w:name w:val="EFAFP_Rec Char"/>
    <w:basedOn w:val="77"/>
    <w:link w:val="78"/>
    <w:qFormat/>
    <w:uiPriority w:val="0"/>
    <w:rPr>
      <w:bCs/>
      <w:color w:val="23558C"/>
      <w:sz w:val="36"/>
      <w:szCs w:val="14"/>
    </w:rPr>
  </w:style>
  <w:style w:type="paragraph" w:customStyle="1" w:styleId="82">
    <w:name w:val="EFAFPHdrInfo"/>
    <w:link w:val="83"/>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3">
    <w:name w:val="EFAFPHdrInfo Char"/>
    <w:basedOn w:val="80"/>
    <w:link w:val="82"/>
    <w:qFormat/>
    <w:uiPriority w:val="0"/>
    <w:rPr>
      <w:b/>
      <w:bCs/>
      <w:color w:val="000000"/>
      <w:sz w:val="32"/>
      <w:szCs w:val="32"/>
      <w:lang w:eastAsia="ja-JP"/>
    </w:rPr>
  </w:style>
  <w:style w:type="paragraph" w:customStyle="1" w:styleId="84">
    <w:name w:val="Style EFAFP_BodyText + After:  6 pt"/>
    <w:basedOn w:val="27"/>
    <w:qFormat/>
    <w:uiPriority w:val="0"/>
    <w:pPr>
      <w:spacing w:after="120"/>
    </w:pPr>
    <w:rPr>
      <w:rFonts w:eastAsia="Times New Roman"/>
      <w:snapToGrid/>
      <w:sz w:val="22"/>
      <w:szCs w:val="20"/>
    </w:rPr>
  </w:style>
  <w:style w:type="paragraph" w:customStyle="1" w:styleId="85">
    <w:name w:val="Style EFAFP_BodyText + 12 pt Bold Black After:  6 pt Kern at 14..."/>
    <w:basedOn w:val="27"/>
    <w:qFormat/>
    <w:uiPriority w:val="0"/>
    <w:pPr>
      <w:spacing w:after="120"/>
    </w:pPr>
    <w:rPr>
      <w:rFonts w:eastAsia="Times New Roman"/>
      <w:b/>
      <w:bCs/>
      <w:snapToGrid/>
      <w:color w:val="000000"/>
      <w:kern w:val="28"/>
      <w:sz w:val="26"/>
      <w:szCs w:val="20"/>
    </w:rPr>
  </w:style>
  <w:style w:type="paragraph" w:customStyle="1" w:styleId="86">
    <w:name w:val="EFAFP_Headline"/>
    <w:next w:val="87"/>
    <w:link w:val="88"/>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7">
    <w:name w:val="EFAFP_BodyText2"/>
    <w:link w:val="90"/>
    <w:qFormat/>
    <w:uiPriority w:val="0"/>
    <w:pPr>
      <w:adjustRightInd w:val="0"/>
      <w:snapToGrid w:val="0"/>
      <w:spacing w:after="120"/>
    </w:pPr>
    <w:rPr>
      <w:rFonts w:ascii="Calibri" w:hAnsi="Calibri" w:eastAsia="Times New Roman" w:cs="PMingLiU"/>
      <w:lang w:val="en-US" w:eastAsia="ja-JP" w:bidi="ar-SA"/>
    </w:rPr>
  </w:style>
  <w:style w:type="character" w:customStyle="1" w:styleId="88">
    <w:name w:val="EFAFP_Headline Char"/>
    <w:basedOn w:val="12"/>
    <w:link w:val="86"/>
    <w:qFormat/>
    <w:uiPriority w:val="0"/>
    <w:rPr>
      <w:rFonts w:eastAsia="Times New Roman"/>
      <w:b/>
      <w:bCs/>
      <w:snapToGrid/>
      <w:color w:val="23558C"/>
      <w:kern w:val="28"/>
      <w:sz w:val="28"/>
      <w:szCs w:val="20"/>
      <w:lang w:eastAsia="ja-JP"/>
    </w:rPr>
  </w:style>
  <w:style w:type="character" w:customStyle="1" w:styleId="89">
    <w:name w:val="EFABlueChar"/>
    <w:qFormat/>
    <w:uiPriority w:val="1"/>
    <w:rPr>
      <w:b/>
      <w:color w:val="23508C"/>
    </w:rPr>
  </w:style>
  <w:style w:type="character" w:customStyle="1" w:styleId="90">
    <w:name w:val="EFAFP_BodyText2 Char"/>
    <w:basedOn w:val="12"/>
    <w:link w:val="87"/>
    <w:qFormat/>
    <w:uiPriority w:val="0"/>
    <w:rPr>
      <w:rFonts w:eastAsia="Times New Roman" w:cs="PMingLiU"/>
      <w:snapToGrid/>
      <w:sz w:val="20"/>
      <w:szCs w:val="20"/>
      <w:lang w:eastAsia="ja-JP"/>
    </w:rPr>
  </w:style>
  <w:style w:type="paragraph" w:customStyle="1" w:styleId="91">
    <w:name w:val="EFAHeading2"/>
    <w:basedOn w:val="1"/>
    <w:link w:val="93"/>
    <w:qFormat/>
    <w:uiPriority w:val="0"/>
    <w:pPr>
      <w:widowControl w:val="0"/>
      <w:adjustRightInd w:val="0"/>
      <w:snapToGrid w:val="0"/>
      <w:spacing w:before="160"/>
    </w:pPr>
    <w:rPr>
      <w:color w:val="23558C"/>
      <w:kern w:val="28"/>
      <w:sz w:val="28"/>
    </w:rPr>
  </w:style>
  <w:style w:type="paragraph" w:customStyle="1" w:styleId="92">
    <w:name w:val="EFABodyText2"/>
    <w:basedOn w:val="18"/>
    <w:link w:val="95"/>
    <w:qFormat/>
    <w:uiPriority w:val="0"/>
    <w:rPr>
      <w:szCs w:val="22"/>
    </w:rPr>
  </w:style>
  <w:style w:type="character" w:customStyle="1" w:styleId="93">
    <w:name w:val="EFAHeading2 Char"/>
    <w:basedOn w:val="12"/>
    <w:link w:val="91"/>
    <w:qFormat/>
    <w:uiPriority w:val="0"/>
    <w:rPr>
      <w:color w:val="23558C"/>
      <w:kern w:val="28"/>
      <w:sz w:val="28"/>
      <w:lang w:eastAsia="ja-JP"/>
    </w:rPr>
  </w:style>
  <w:style w:type="paragraph" w:customStyle="1" w:styleId="94">
    <w:name w:val="EFAHeading_with_bullet"/>
    <w:basedOn w:val="1"/>
    <w:next w:val="92"/>
    <w:link w:val="96"/>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5">
    <w:name w:val="EFABodyText2 Char"/>
    <w:basedOn w:val="36"/>
    <w:link w:val="92"/>
    <w:qFormat/>
    <w:uiPriority w:val="0"/>
    <w:rPr>
      <w:sz w:val="20"/>
      <w:szCs w:val="22"/>
      <w:lang w:eastAsia="ja-JP"/>
    </w:rPr>
  </w:style>
  <w:style w:type="character" w:customStyle="1" w:styleId="96">
    <w:name w:val="EFAHeading_with_bullet Char"/>
    <w:basedOn w:val="12"/>
    <w:link w:val="94"/>
    <w:qFormat/>
    <w:uiPriority w:val="0"/>
    <w:rPr>
      <w:b/>
      <w:color w:val="23558C"/>
      <w:kern w:val="28"/>
      <w:sz w:val="28"/>
      <w:lang w:eastAsia="ja-JP"/>
    </w:rPr>
  </w:style>
  <w:style w:type="paragraph" w:customStyle="1" w:styleId="97">
    <w:name w:val="EFARiskText"/>
    <w:link w:val="99"/>
    <w:qFormat/>
    <w:uiPriority w:val="0"/>
    <w:pPr>
      <w:jc w:val="center"/>
    </w:pPr>
    <w:rPr>
      <w:rFonts w:ascii="Calibri" w:hAnsi="Calibri" w:eastAsia="MS Mincho" w:cs="Times New Roman"/>
      <w:color w:val="23508C"/>
      <w:sz w:val="16"/>
      <w:szCs w:val="16"/>
      <w:lang w:val="en-US" w:eastAsia="ja-JP" w:bidi="ar-SA"/>
    </w:rPr>
  </w:style>
  <w:style w:type="paragraph" w:customStyle="1" w:styleId="98">
    <w:name w:val="EFARiskText_Inv"/>
    <w:basedOn w:val="97"/>
    <w:link w:val="100"/>
    <w:qFormat/>
    <w:uiPriority w:val="0"/>
    <w:rPr>
      <w:b/>
      <w:color w:val="FFFFFF"/>
    </w:rPr>
  </w:style>
  <w:style w:type="character" w:customStyle="1" w:styleId="99">
    <w:name w:val="EFARiskText Char"/>
    <w:basedOn w:val="12"/>
    <w:link w:val="97"/>
    <w:qFormat/>
    <w:uiPriority w:val="0"/>
    <w:rPr>
      <w:snapToGrid/>
      <w:color w:val="23508C"/>
      <w:lang w:eastAsia="ja-JP"/>
    </w:rPr>
  </w:style>
  <w:style w:type="character" w:customStyle="1" w:styleId="100">
    <w:name w:val="EFARiskText_Inv Char"/>
    <w:basedOn w:val="99"/>
    <w:link w:val="98"/>
    <w:qFormat/>
    <w:uiPriority w:val="0"/>
    <w:rPr>
      <w:b/>
      <w:snapToGrid/>
      <w:color w:val="FFFFFF"/>
      <w:lang w:eastAsia="ja-JP"/>
    </w:rPr>
  </w:style>
  <w:style w:type="paragraph" w:customStyle="1" w:styleId="101">
    <w:name w:val="EFAHeading3"/>
    <w:basedOn w:val="1"/>
    <w:link w:val="106"/>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2">
    <w:name w:val="EFATextInBullet"/>
    <w:link w:val="104"/>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3">
    <w:name w:val="EFATextInBullet_Inv"/>
    <w:basedOn w:val="102"/>
    <w:qFormat/>
    <w:uiPriority w:val="0"/>
    <w:rPr>
      <w:color w:val="FFFFFF" w:themeColor="background1"/>
      <w14:textFill>
        <w14:solidFill>
          <w14:schemeClr w14:val="bg1"/>
        </w14:solidFill>
      </w14:textFill>
    </w:rPr>
  </w:style>
  <w:style w:type="character" w:customStyle="1" w:styleId="104">
    <w:name w:val="EFATextInBullet Char"/>
    <w:basedOn w:val="12"/>
    <w:link w:val="102"/>
    <w:qFormat/>
    <w:uiPriority w:val="0"/>
    <w:rPr>
      <w:b/>
      <w:bCs/>
      <w:lang w:eastAsia="ja-JP"/>
    </w:rPr>
  </w:style>
  <w:style w:type="paragraph" w:customStyle="1" w:styleId="105">
    <w:name w:val="EFAHeading"/>
    <w:link w:val="107"/>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6">
    <w:name w:val="EFAHeading3 Char"/>
    <w:basedOn w:val="12"/>
    <w:link w:val="101"/>
    <w:qFormat/>
    <w:uiPriority w:val="0"/>
    <w:rPr>
      <w:b/>
      <w:color w:val="23558C"/>
      <w:kern w:val="28"/>
      <w:sz w:val="28"/>
      <w:lang w:eastAsia="ja-JP"/>
    </w:rPr>
  </w:style>
  <w:style w:type="character" w:customStyle="1" w:styleId="107">
    <w:name w:val="EFAHeading Char"/>
    <w:basedOn w:val="12"/>
    <w:link w:val="105"/>
    <w:qFormat/>
    <w:uiPriority w:val="0"/>
    <w:rPr>
      <w:b/>
      <w:color w:val="000000"/>
      <w:kern w:val="28"/>
      <w:sz w:val="24"/>
      <w:szCs w:val="14"/>
      <w:lang w:eastAsia="ja-JP"/>
    </w:rPr>
  </w:style>
  <w:style w:type="character" w:customStyle="1" w:styleId="108">
    <w:name w:val="EFASubHeader Char"/>
    <w:basedOn w:val="36"/>
    <w:link w:val="57"/>
    <w:qFormat/>
    <w:uiPriority w:val="0"/>
    <w:rPr>
      <w:b/>
      <w:bCs/>
      <w:sz w:val="20"/>
      <w:lang w:eastAsia="ja-JP"/>
    </w:rPr>
  </w:style>
  <w:style w:type="character" w:customStyle="1" w:styleId="109">
    <w:name w:val="EFAFPFrameText_11.5pt Char"/>
    <w:basedOn w:val="12"/>
    <w:link w:val="23"/>
    <w:qFormat/>
    <w:uiPriority w:val="0"/>
    <w:rPr>
      <w:b/>
      <w:color w:val="23558C"/>
      <w:sz w:val="24"/>
      <w:lang w:eastAsia="ja-JP"/>
    </w:rPr>
  </w:style>
  <w:style w:type="character" w:customStyle="1" w:styleId="110">
    <w:name w:val="EFAFPTitle Char"/>
    <w:basedOn w:val="12"/>
    <w:link w:val="41"/>
    <w:qFormat/>
    <w:uiPriority w:val="0"/>
    <w:rPr>
      <w:b/>
      <w:color w:val="FFFFFF"/>
      <w:sz w:val="32"/>
      <w:szCs w:val="32"/>
      <w:lang w:eastAsia="ja-JP"/>
    </w:rPr>
  </w:style>
  <w:style w:type="character" w:customStyle="1" w:styleId="111">
    <w:name w:val="EFAFPFrameText_11.5pt_Right Char"/>
    <w:basedOn w:val="109"/>
    <w:link w:val="22"/>
    <w:qFormat/>
    <w:uiPriority w:val="0"/>
    <w:rPr>
      <w:bCs/>
      <w:color w:val="23558C"/>
      <w:sz w:val="24"/>
      <w:szCs w:val="32"/>
      <w:lang w:eastAsia="ja-JP"/>
    </w:rPr>
  </w:style>
  <w:style w:type="paragraph" w:customStyle="1" w:styleId="112">
    <w:name w:val="EFADisclaimerHiddenText"/>
    <w:link w:val="113"/>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3">
    <w:name w:val="EFADisclaimerHiddenText Char"/>
    <w:basedOn w:val="12"/>
    <w:link w:val="112"/>
    <w:qFormat/>
    <w:uiPriority w:val="0"/>
    <w:rPr>
      <w:vanish/>
      <w:color w:val="FFFFFF"/>
      <w:sz w:val="2"/>
      <w:lang w:eastAsia="ja-JP"/>
    </w:rPr>
  </w:style>
  <w:style w:type="paragraph" w:customStyle="1" w:styleId="114">
    <w:name w:val="EFATagging"/>
    <w:link w:val="115"/>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5">
    <w:name w:val="EFATagging Char"/>
    <w:basedOn w:val="12"/>
    <w:link w:val="114"/>
    <w:qFormat/>
    <w:uiPriority w:val="0"/>
    <w:rPr>
      <w:bCs/>
      <w:color w:val="0066CC" w:themeColor="accent1" w:themeShade="80"/>
      <w:lang w:eastAsia="ja-JP"/>
    </w:rPr>
  </w:style>
  <w:style w:type="paragraph" w:customStyle="1" w:styleId="116">
    <w:name w:val="EFAFP_Tagging"/>
    <w:link w:val="117"/>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7">
    <w:name w:val="EFAFP_Tagging Char"/>
    <w:basedOn w:val="12"/>
    <w:link w:val="116"/>
    <w:qFormat/>
    <w:uiPriority w:val="0"/>
    <w:rPr>
      <w:color w:val="0066CC" w:themeColor="accent1" w:themeShade="80"/>
      <w:szCs w:val="20"/>
      <w:lang w:eastAsia="ja-JP"/>
    </w:rPr>
  </w:style>
  <w:style w:type="paragraph" w:customStyle="1" w:styleId="118">
    <w:name w:val="EFAFPHdrInfo3"/>
    <w:link w:val="119"/>
    <w:qFormat/>
    <w:uiPriority w:val="0"/>
    <w:rPr>
      <w:rFonts w:ascii="Calibri" w:hAnsi="Calibri" w:eastAsia="MS Mincho" w:cs="Times New Roman"/>
      <w:b/>
      <w:bCs/>
      <w:snapToGrid w:val="0"/>
      <w:color w:val="000000"/>
      <w:sz w:val="32"/>
      <w:lang w:val="en-US" w:eastAsia="ja-JP" w:bidi="ar-SA"/>
    </w:rPr>
  </w:style>
  <w:style w:type="character" w:customStyle="1" w:styleId="119">
    <w:name w:val="EFAFPHdrInfo3 Char"/>
    <w:basedOn w:val="12"/>
    <w:link w:val="118"/>
    <w:qFormat/>
    <w:uiPriority w:val="0"/>
    <w:rPr>
      <w:b/>
      <w:bCs/>
      <w:color w:val="000000"/>
      <w:sz w:val="32"/>
      <w:szCs w:val="20"/>
      <w:lang w:eastAsia="ja-JP"/>
    </w:rPr>
  </w:style>
  <w:style w:type="paragraph" w:customStyle="1" w:styleId="120">
    <w:name w:val="EFAFP_HTI_Link"/>
    <w:basedOn w:val="42"/>
    <w:qFormat/>
    <w:uiPriority w:val="0"/>
    <w:pPr>
      <w:framePr w:wrap="around"/>
      <w:jc w:val="center"/>
    </w:pPr>
    <w:rPr>
      <w:sz w:val="20"/>
      <w:szCs w:val="20"/>
    </w:rPr>
  </w:style>
  <w:style w:type="paragraph" w:customStyle="1" w:styleId="121">
    <w:name w:val="EFAFPTitle6"/>
    <w:link w:val="122"/>
    <w:qFormat/>
    <w:uiPriority w:val="0"/>
    <w:rPr>
      <w:rFonts w:ascii="Calibri" w:hAnsi="Calibri" w:eastAsia="MS Mincho" w:cs="Times New Roman"/>
      <w:b/>
      <w:bCs/>
      <w:snapToGrid w:val="0"/>
      <w:color w:val="FFFFFF"/>
      <w:sz w:val="32"/>
      <w:lang w:val="en-US" w:eastAsia="ja-JP" w:bidi="ar-SA"/>
    </w:rPr>
  </w:style>
  <w:style w:type="character" w:customStyle="1" w:styleId="122">
    <w:name w:val="EFAFPTitle6 Char"/>
    <w:basedOn w:val="12"/>
    <w:link w:val="121"/>
    <w:qFormat/>
    <w:uiPriority w:val="0"/>
    <w:rPr>
      <w:b/>
      <w:bCs/>
      <w:color w:val="FFFFFF"/>
      <w:sz w:val="32"/>
      <w:szCs w:val="20"/>
      <w:lang w:eastAsia="ja-JP"/>
    </w:rPr>
  </w:style>
  <w:style w:type="paragraph" w:customStyle="1" w:styleId="123">
    <w:name w:val="EFAHiddenText"/>
    <w:link w:val="124"/>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4">
    <w:name w:val="EFAHiddenText Char"/>
    <w:basedOn w:val="12"/>
    <w:link w:val="123"/>
    <w:qFormat/>
    <w:uiPriority w:val="0"/>
    <w:rPr>
      <w:vanish/>
      <w:sz w:val="2"/>
      <w:lang w:eastAsia="ja-JP"/>
    </w:rPr>
  </w:style>
  <w:style w:type="character" w:customStyle="1" w:styleId="125">
    <w:name w:val="EFAFPFooter2 Char"/>
    <w:basedOn w:val="12"/>
    <w:link w:val="39"/>
    <w:qFormat/>
    <w:uiPriority w:val="0"/>
    <w:rPr>
      <w:rFonts w:cs="Arial"/>
      <w:sz w:val="21"/>
      <w:lang w:eastAsia="ja-JP"/>
    </w:rPr>
  </w:style>
  <w:style w:type="table" w:customStyle="1" w:styleId="126">
    <w:name w:val="Table Grid1"/>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EFAFP_HTI_Link2"/>
    <w:link w:val="128"/>
    <w:qFormat/>
    <w:uiPriority w:val="0"/>
    <w:rPr>
      <w:rFonts w:ascii="Calibri" w:hAnsi="Calibri" w:eastAsia="MS Mincho" w:cs="Times New Roman"/>
      <w:snapToGrid w:val="0"/>
      <w:sz w:val="16"/>
      <w:szCs w:val="16"/>
      <w:lang w:val="en-US" w:eastAsia="zh-CN" w:bidi="ar-SA"/>
    </w:rPr>
  </w:style>
  <w:style w:type="character" w:customStyle="1" w:styleId="128">
    <w:name w:val="EFAFP_HTI_Link2 Char"/>
    <w:basedOn w:val="12"/>
    <w:link w:val="127"/>
    <w:qFormat/>
    <w:uiPriority w:val="0"/>
  </w:style>
  <w:style w:type="paragraph" w:customStyle="1" w:styleId="129">
    <w:name w:val="EFAFP_HeadLine_SE"/>
    <w:link w:val="131"/>
    <w:qFormat/>
    <w:uiPriority w:val="0"/>
    <w:rPr>
      <w:rFonts w:ascii="Calibri" w:hAnsi="Calibri" w:eastAsia="Times New Roman" w:cs="Times New Roman"/>
      <w:b/>
      <w:bCs/>
      <w:color w:val="23558C"/>
      <w:kern w:val="28"/>
      <w:sz w:val="22"/>
      <w:lang w:val="en-US" w:eastAsia="ja-JP" w:bidi="ar-SA"/>
    </w:rPr>
  </w:style>
  <w:style w:type="paragraph" w:customStyle="1" w:styleId="130">
    <w:name w:val="EFAFPBodyText_SE"/>
    <w:link w:val="132"/>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1">
    <w:name w:val="EFAFP_HeadLine_SE Char"/>
    <w:basedOn w:val="12"/>
    <w:link w:val="129"/>
    <w:qFormat/>
    <w:uiPriority w:val="0"/>
    <w:rPr>
      <w:rFonts w:eastAsia="Times New Roman"/>
      <w:b/>
      <w:bCs/>
      <w:snapToGrid/>
      <w:color w:val="23558C"/>
      <w:kern w:val="28"/>
      <w:sz w:val="22"/>
      <w:szCs w:val="20"/>
      <w:lang w:eastAsia="ja-JP"/>
    </w:rPr>
  </w:style>
  <w:style w:type="character" w:customStyle="1" w:styleId="132">
    <w:name w:val="EFAFPBodyText_SE Char"/>
    <w:basedOn w:val="12"/>
    <w:link w:val="130"/>
    <w:qFormat/>
    <w:uiPriority w:val="0"/>
    <w:rPr>
      <w:rFonts w:eastAsia="Times New Roman" w:cs="PMingLiU"/>
      <w:snapToGrid/>
      <w:sz w:val="20"/>
      <w:szCs w:val="20"/>
      <w:lang w:eastAsia="ja-JP"/>
    </w:rPr>
  </w:style>
  <w:style w:type="paragraph" w:customStyle="1" w:styleId="133">
    <w:name w:val="EFAHeader_SE"/>
    <w:link w:val="135"/>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4">
    <w:name w:val="EFABodyText_SE"/>
    <w:link w:val="137"/>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5">
    <w:name w:val="EFAHeader_SE Char"/>
    <w:basedOn w:val="12"/>
    <w:link w:val="133"/>
    <w:qFormat/>
    <w:uiPriority w:val="0"/>
    <w:rPr>
      <w:b/>
      <w:bCs/>
      <w:snapToGrid/>
      <w:color w:val="23558C"/>
      <w:kern w:val="28"/>
      <w:sz w:val="22"/>
      <w:lang w:eastAsia="ja-JP"/>
    </w:rPr>
  </w:style>
  <w:style w:type="paragraph" w:customStyle="1" w:styleId="136">
    <w:name w:val="EFABodyText_SE2"/>
    <w:link w:val="138"/>
    <w:qFormat/>
    <w:uiPriority w:val="0"/>
    <w:rPr>
      <w:rFonts w:ascii="Calibri" w:hAnsi="Calibri" w:eastAsia="Times New Roman" w:cs="PMingLiU"/>
      <w:lang w:val="en-US" w:eastAsia="ja-JP" w:bidi="ar-SA"/>
    </w:rPr>
  </w:style>
  <w:style w:type="character" w:customStyle="1" w:styleId="137">
    <w:name w:val="EFABodyText_SE Char"/>
    <w:basedOn w:val="12"/>
    <w:link w:val="134"/>
    <w:qFormat/>
    <w:uiPriority w:val="0"/>
    <w:rPr>
      <w:rFonts w:eastAsia="Times New Roman" w:cs="PMingLiU"/>
      <w:snapToGrid/>
      <w:sz w:val="20"/>
      <w:szCs w:val="20"/>
      <w:lang w:eastAsia="ja-JP"/>
    </w:rPr>
  </w:style>
  <w:style w:type="character" w:customStyle="1" w:styleId="138">
    <w:name w:val="EFABodyText_SE2 Char"/>
    <w:basedOn w:val="12"/>
    <w:link w:val="136"/>
    <w:qFormat/>
    <w:uiPriority w:val="0"/>
    <w:rPr>
      <w:rFonts w:eastAsia="Times New Roman" w:cs="PMingLiU"/>
      <w:snapToGrid/>
      <w:sz w:val="20"/>
      <w:szCs w:val="20"/>
      <w:lang w:eastAsia="ja-JP"/>
    </w:rPr>
  </w:style>
  <w:style w:type="character" w:customStyle="1" w:styleId="139">
    <w:name w:val="EFADisclaimerText Char"/>
    <w:basedOn w:val="12"/>
    <w:link w:val="24"/>
    <w:qFormat/>
    <w:locked/>
    <w:uiPriority w:val="99"/>
    <w:rPr>
      <w:lang w:eastAsia="ja-JP"/>
    </w:rPr>
  </w:style>
  <w:style w:type="paragraph" w:customStyle="1" w:styleId="140">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1">
    <w:name w:val="EFAFPFooter"/>
    <w:basedOn w:val="20"/>
    <w:qFormat/>
    <w:uiPriority w:val="0"/>
    <w:pPr>
      <w:tabs>
        <w:tab w:val="right" w:pos="10679"/>
      </w:tabs>
      <w:autoSpaceDE w:val="0"/>
      <w:autoSpaceDN w:val="0"/>
      <w:jc w:val="both"/>
    </w:pPr>
    <w:rPr>
      <w:rFonts w:eastAsia="宋体" w:cs="Arial"/>
      <w:b/>
    </w:rPr>
  </w:style>
  <w:style w:type="paragraph" w:customStyle="1" w:styleId="142">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3">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4">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5">
    <w:name w:val="Common"/>
    <w:basedOn w:val="11"/>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6</Pages>
  <Words>4765</Words>
  <Characters>11894</Characters>
  <Lines>240</Lines>
  <Paragraphs>130</Paragraphs>
  <TotalTime>2</TotalTime>
  <ScaleCrop>false</ScaleCrop>
  <LinksUpToDate>false</LinksUpToDate>
  <CharactersWithSpaces>13325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2026-02-09T03:25:00Z</dcterms:created>
  <dc:creator>HaiTong-IT</dc:creator>
  <cp:lastModifiedBy>微信用户</cp:lastModifiedBy>
  <cp:lastPrinted>2020-02-08T07:07:00Z</cp:lastPrinted>
  <dcterms:modified xsi:type="dcterms:W3CDTF">2026-02-09T05:09:26Z</dcterms:modified>
  <dc:title>Corp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E0CC555EDD17482C8AF8A919B1F6CA5D_13</vt:lpwstr>
  </property>
</Properties>
</file>