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8"/>
        <w:tblpPr w:bottomFromText="360" w:tblpXSpec="right" w:tblpY="-239"/>
        <w:tblOverlap w:val="never"/>
        <w:tblW w:w="10376"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33"/>
      </w:tblGrid>
      <w:tr w14:paraId="62666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76" w:type="dxa"/>
            <w:gridSpan w:val="2"/>
          </w:tcPr>
          <w:p w14:paraId="3AFEF76A">
            <w:pPr>
              <w:pStyle w:val="38"/>
              <w:framePr w:hRule="auto" w:wrap="auto" w:vAnchor="margin" w:hAnchor="text" w:xAlign="left" w:yAlign="inline"/>
            </w:pPr>
            <w:r>
              <w:rPr>
                <w:rFonts w:hint="eastAsia" w:eastAsia="宋体"/>
                <w:b w:val="0"/>
                <w:color w:val="FFFFFF" w:themeColor="background1"/>
                <w:sz w:val="16"/>
                <w:lang w:eastAsia="zh-CN"/>
                <w14:textFill>
                  <w14:solidFill>
                    <w14:schemeClr w14:val="bg1"/>
                  </w14:solidFill>
                </w14:textFill>
              </w:rPr>
              <w:t>[</w:t>
            </w:r>
            <w:r>
              <w:rPr>
                <w:rFonts w:eastAsia="宋体"/>
                <w:b w:val="0"/>
                <w:color w:val="FFFFFF" w:themeColor="background1"/>
                <w:sz w:val="16"/>
                <w:lang w:eastAsia="zh-CN"/>
                <w14:textFill>
                  <w14:solidFill>
                    <w14:schemeClr w14:val="bg1"/>
                  </w14:solidFill>
                </w14:textFill>
              </w:rPr>
              <w:t>Table_Title]</w:t>
            </w:r>
          </w:p>
        </w:tc>
      </w:tr>
      <w:tr w14:paraId="266CB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0E81F414">
            <w:pPr>
              <w:pStyle w:val="38"/>
              <w:framePr w:hRule="auto" w:wrap="auto" w:vAnchor="margin" w:hAnchor="text" w:xAlign="left" w:yAlign="inline"/>
              <w:rPr>
                <w:rFonts w:eastAsia="楷体_GB2312"/>
                <w:b w:val="0"/>
                <w:sz w:val="16"/>
                <w:lang w:eastAsia="zh-CN"/>
              </w:rPr>
            </w:pPr>
            <w:r>
              <w:rPr>
                <w:rFonts w:hint="eastAsia" w:eastAsia="楷体_GB2312"/>
                <w:b w:val="0"/>
                <w:sz w:val="16"/>
                <w:lang w:eastAsia="zh-CN"/>
              </w:rPr>
              <w:t>研究报告Research Report</w:t>
            </w:r>
          </w:p>
        </w:tc>
        <w:tc>
          <w:tcPr>
            <w:tcW w:w="2733" w:type="dxa"/>
            <w:vAlign w:val="center"/>
          </w:tcPr>
          <w:p w14:paraId="2A7D5D30">
            <w:pPr>
              <w:pStyle w:val="38"/>
              <w:framePr w:hRule="auto" w:wrap="auto" w:vAnchor="margin" w:hAnchor="text" w:xAlign="left" w:yAlign="inline"/>
            </w:pPr>
          </w:p>
        </w:tc>
      </w:tr>
      <w:tr w14:paraId="7F56E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34B180A7">
            <w:pPr>
              <w:pStyle w:val="38"/>
              <w:framePr w:hRule="auto" w:wrap="auto" w:vAnchor="margin" w:hAnchor="text" w:xAlign="left" w:yAlign="inline"/>
              <w:rPr>
                <w:rFonts w:eastAsia="宋体"/>
                <w:b w:val="0"/>
                <w:sz w:val="20"/>
                <w:szCs w:val="20"/>
                <w:lang w:eastAsia="zh-CN"/>
              </w:rPr>
            </w:pPr>
            <w:r>
              <w:rPr>
                <w:rFonts w:ascii="Calibri" w:eastAsia="楷体_GB2312"/>
                <w:b w:val="0"/>
                <w:i w:val="0"/>
                <w:color w:val="215E99"/>
                <w:sz w:val="16"/>
              </w:rPr>
              <w:t>20 Feb 2026</w:t>
            </w:r>
          </w:p>
        </w:tc>
        <w:tc>
          <w:tcPr>
            <w:tcW w:w="2733" w:type="dxa"/>
            <w:vAlign w:val="center"/>
          </w:tcPr>
          <w:p w14:paraId="18A14EC0">
            <w:pPr>
              <w:pStyle w:val="38"/>
              <w:framePr w:hRule="auto" w:wrap="auto" w:vAnchor="margin" w:hAnchor="text" w:xAlign="left" w:yAlign="inline"/>
              <w:wordWrap w:val="0"/>
              <w:jc w:val="right"/>
              <w:rPr>
                <w:rFonts w:eastAsia="楷体_GB2312"/>
                <w:lang w:eastAsia="zh-CN"/>
              </w:rPr>
            </w:pPr>
          </w:p>
        </w:tc>
      </w:tr>
      <w:tr w14:paraId="08410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7" w:hRule="exact"/>
        </w:trPr>
        <w:tc>
          <w:tcPr>
            <w:tcW w:w="7643" w:type="dxa"/>
          </w:tcPr>
          <w:p w14:paraId="449744DB">
            <w:pPr>
              <w:pStyle w:val="105"/>
              <w:framePr w:w="0" w:hRule="auto" w:wrap="auto" w:vAnchor="margin" w:hAnchor="text" w:xAlign="left" w:yAlign="inline"/>
              <w:rPr>
                <w:rFonts w:eastAsia="宋体"/>
                <w:sz w:val="16"/>
                <w:szCs w:val="16"/>
                <w:lang w:val="en-GB" w:eastAsia="zh-CN"/>
              </w:rPr>
            </w:pPr>
          </w:p>
        </w:tc>
        <w:tc>
          <w:tcPr>
            <w:tcW w:w="2733" w:type="dxa"/>
            <w:vAlign w:val="center"/>
          </w:tcPr>
          <w:p w14:paraId="7A396E15">
            <w:pPr>
              <w:pStyle w:val="38"/>
              <w:framePr w:hRule="auto" w:wrap="auto" w:vAnchor="margin" w:hAnchor="text" w:xAlign="left" w:yAlign="inline"/>
              <w:jc w:val="right"/>
            </w:pPr>
          </w:p>
        </w:tc>
      </w:tr>
      <w:tr w14:paraId="7B58F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83" w:hRule="exact"/>
        </w:trPr>
        <w:tc>
          <w:tcPr>
            <w:tcW w:w="10376" w:type="dxa"/>
            <w:gridSpan w:val="2"/>
          </w:tcPr>
          <w:p w14:paraId="4151D4AE">
            <w:pPr>
              <w:pStyle w:val="38"/>
              <w:framePr w:hRule="auto" w:wrap="auto" w:vAnchor="margin" w:hAnchor="text" w:xAlign="left" w:yAlign="inline"/>
              <w:rPr>
                <w:rFonts w:eastAsia="楷体_GB2312" w:cs="Calibri"/>
                <w:sz w:val="30"/>
              </w:rPr>
            </w:pPr>
            <w:r>
              <w:rPr>
                <w:rFonts w:hint="eastAsia" w:ascii="Calibri" w:eastAsia="楷体_GB2312"/>
                <w:b w:val="0"/>
                <w:i w:val="0"/>
                <w:color w:val="215E99"/>
                <w:sz w:val="32"/>
                <w:lang w:eastAsia="zh-CN"/>
              </w:rPr>
              <w:t>全球</w:t>
            </w:r>
            <w:r>
              <w:rPr>
                <w:rFonts w:hint="eastAsia" w:ascii="Calibri" w:eastAsia="楷体_GB2312"/>
                <w:b w:val="0"/>
                <w:i w:val="0"/>
                <w:color w:val="215E99"/>
                <w:sz w:val="32"/>
              </w:rPr>
              <w:t>宏观</w:t>
            </w:r>
            <w:r>
              <w:rPr>
                <w:rFonts w:hint="eastAsia" w:ascii="Calibri" w:eastAsia="楷体_GB2312"/>
                <w:b w:val="0"/>
                <w:i w:val="0"/>
                <w:color w:val="215E99"/>
                <w:sz w:val="32"/>
                <w:lang w:eastAsia="zh-CN"/>
              </w:rPr>
              <w:t>World</w:t>
            </w:r>
            <w:r>
              <w:rPr>
                <w:rFonts w:ascii="Calibri" w:eastAsia="楷体_GB2312"/>
                <w:b w:val="0"/>
                <w:i w:val="0"/>
                <w:color w:val="215E99"/>
                <w:sz w:val="32"/>
              </w:rPr>
              <w:t xml:space="preserve"> Macro</w:t>
            </w:r>
          </w:p>
        </w:tc>
      </w:tr>
      <w:tr w14:paraId="5A15E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03" w:hRule="exact"/>
        </w:trPr>
        <w:tc>
          <w:tcPr>
            <w:tcW w:w="10376" w:type="dxa"/>
            <w:gridSpan w:val="2"/>
            <w:vAlign w:val="center"/>
          </w:tcPr>
          <w:p w14:paraId="58C00893">
            <w:pPr>
              <w:pStyle w:val="103"/>
              <w:keepNext w:val="0"/>
              <w:keepLines w:val="0"/>
              <w:pageBreakBefore w:val="0"/>
              <w:framePr w:wrap="auto" w:vAnchor="margin" w:hAnchor="text" w:xAlign="left" w:yAlign="inline"/>
              <w:widowControl/>
              <w:kinsoku/>
              <w:wordWrap/>
              <w:overflowPunct/>
              <w:topLinePunct w:val="0"/>
              <w:autoSpaceDE/>
              <w:autoSpaceDN/>
              <w:bidi w:val="0"/>
              <w:adjustRightInd/>
              <w:snapToGrid/>
              <w:spacing w:line="216" w:lineRule="auto"/>
              <w:ind w:left="0" w:right="0"/>
              <w:textAlignment w:val="auto"/>
              <w:rPr>
                <w:rFonts w:hint="eastAsia" w:eastAsia="楷体_GB2312"/>
                <w:b w:val="0"/>
                <w:color w:val="23558C"/>
                <w:sz w:val="22"/>
                <w:szCs w:val="22"/>
              </w:rPr>
            </w:pPr>
            <w:r>
              <w:rPr>
                <w:rFonts w:ascii="Calibri" w:eastAsia="楷体_GB2312"/>
                <w:b w:val="0"/>
                <w:i w:val="0"/>
                <w:color w:val="215E99"/>
                <w:sz w:val="28"/>
                <w:szCs w:val="28"/>
              </w:rPr>
              <w:t>从普惠共享到责任归位：SB 1168法案背后的“谁受益、谁付费”的原则确立与能源治理范式重构</w:t>
            </w:r>
          </w:p>
          <w:p w14:paraId="579AE89A">
            <w:pPr>
              <w:pStyle w:val="103"/>
              <w:keepNext w:val="0"/>
              <w:keepLines w:val="0"/>
              <w:pageBreakBefore w:val="0"/>
              <w:framePr w:wrap="auto" w:vAnchor="margin" w:hAnchor="text" w:xAlign="left" w:yAlign="inline"/>
              <w:widowControl/>
              <w:kinsoku/>
              <w:wordWrap/>
              <w:overflowPunct/>
              <w:topLinePunct w:val="0"/>
              <w:autoSpaceDE/>
              <w:autoSpaceDN/>
              <w:bidi w:val="0"/>
              <w:adjustRightInd/>
              <w:snapToGrid/>
              <w:spacing w:line="216" w:lineRule="auto"/>
              <w:ind w:left="0" w:right="0"/>
              <w:textAlignment w:val="auto"/>
              <w:rPr>
                <w:rFonts w:hint="eastAsia" w:eastAsia="楷体_GB2312"/>
                <w:b w:val="0"/>
                <w:color w:val="23558C"/>
                <w:sz w:val="24"/>
                <w:szCs w:val="24"/>
                <w:lang w:val="en-GB" w:eastAsia="zh-CN"/>
              </w:rPr>
            </w:pPr>
            <w:r>
              <w:rPr>
                <w:rFonts w:ascii="Calibri" w:eastAsia="楷体_GB2312"/>
                <w:b w:val="0"/>
                <w:i w:val="0"/>
                <w:color w:val="215E99"/>
                <w:sz w:val="28"/>
                <w:szCs w:val="28"/>
              </w:rPr>
              <w:t>From Public Resource to Private Responsibility: The "User-Pays" Principle of SB 1168 and the Paradigm Shift in Energy Governance</w:t>
            </w:r>
          </w:p>
        </w:tc>
      </w:tr>
      <w:tr w14:paraId="59A99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8" w:hRule="exact"/>
        </w:trPr>
        <w:tc>
          <w:tcPr>
            <w:tcW w:w="10376" w:type="dxa"/>
            <w:gridSpan w:val="2"/>
            <w:vAlign w:val="center"/>
          </w:tcPr>
          <w:p w14:paraId="1528CF68">
            <w:pPr>
              <w:pStyle w:val="154"/>
              <w:spacing w:line="360" w:lineRule="exact"/>
            </w:pPr>
          </w:p>
        </w:tc>
      </w:tr>
      <w:tr w14:paraId="47426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76" w:type="dxa"/>
            <w:gridSpan w:val="2"/>
          </w:tcPr>
          <w:tbl>
            <w:tblPr>
              <w:tblStyle w:val="28"/>
              <w:tblW w:w="5388"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694"/>
            </w:tblGrid>
            <w:tr w14:paraId="3AA9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59B137E0">
                  <w:pPr>
                    <w:pStyle w:val="116"/>
                    <w:framePr w:wrap="auto" w:vAnchor="margin" w:hAnchor="text" w:yAlign="inline"/>
                    <w:rPr>
                      <w:rFonts w:eastAsia="宋体"/>
                      <w:color w:val="FFFFFF" w:themeColor="background1"/>
                      <w14:textFill>
                        <w14:solidFill>
                          <w14:schemeClr w14:val="bg1"/>
                        </w14:solidFill>
                      </w14:textFill>
                    </w:rPr>
                  </w:pPr>
                  <w:r>
                    <w:rPr>
                      <w:rFonts w:hint="eastAsia" w:eastAsia="宋体"/>
                      <w:color w:val="FFFFFF" w:themeColor="background1"/>
                      <w14:textFill>
                        <w14:solidFill>
                          <w14:schemeClr w14:val="bg1"/>
                        </w14:solidFill>
                      </w14:textFill>
                    </w:rPr>
                    <w:t>[</w:t>
                  </w:r>
                  <w:r>
                    <w:rPr>
                      <w:rFonts w:eastAsia="宋体"/>
                      <w:color w:val="FFFFFF" w:themeColor="background1"/>
                      <w14:textFill>
                        <w14:solidFill>
                          <w14:schemeClr w14:val="bg1"/>
                        </w14:solidFill>
                      </w14:textFill>
                    </w:rPr>
                    <w:t>Table_Author]</w:t>
                  </w:r>
                </w:p>
              </w:tc>
              <w:tc>
                <w:tcPr>
                  <w:tcW w:w="2694" w:type="dxa"/>
                  <w:tcMar>
                    <w:right w:w="60" w:type="dxa"/>
                  </w:tcMar>
                </w:tcPr>
                <w:p w14:paraId="00B11170">
                  <w:pPr>
                    <w:pStyle w:val="116"/>
                    <w:framePr w:wrap="auto" w:vAnchor="margin" w:hAnchor="text" w:yAlign="inline"/>
                    <w:rPr>
                      <w:rFonts w:hint="eastAsia" w:eastAsia="宋体"/>
                      <w:color w:val="FFFFFF" w:themeColor="background1"/>
                      <w14:textFill>
                        <w14:solidFill>
                          <w14:schemeClr w14:val="bg1"/>
                        </w14:solidFill>
                      </w14:textFill>
                    </w:rPr>
                  </w:pPr>
                </w:p>
              </w:tc>
            </w:tr>
            <w:tr w14:paraId="19714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2B3F6A62">
                  <w:pPr>
                    <w:pStyle w:val="115"/>
                    <w:framePr w:wrap="auto" w:vAnchor="margin" w:hAnchor="text" w:yAlign="inline"/>
                    <w:rPr>
                      <w:rFonts w:eastAsia="楷体_GB2312"/>
                    </w:rPr>
                  </w:pPr>
                  <w:r>
                    <w:rPr>
                      <w:rFonts w:ascii="Calibri" w:eastAsia="楷体_GB2312"/>
                      <w:b/>
                      <w:i w:val="0"/>
                      <w:color w:val="000000"/>
                      <w:sz w:val="16"/>
                    </w:rPr>
                    <w:t>杨斌Bin Yang, SFC:BSQ313</w:t>
                  </w:r>
                </w:p>
              </w:tc>
              <w:tc>
                <w:tcPr>
                  <w:tcW w:w="2694" w:type="dxa"/>
                </w:tcPr>
                <w:p w14:paraId="489E8970">
                  <w:pPr>
                    <w:pStyle w:val="115"/>
                    <w:framePr w:wrap="auto" w:vAnchor="margin" w:hAnchor="text" w:yAlign="inline"/>
                    <w:rPr>
                      <w:rFonts w:hint="default" w:eastAsia="楷体_GB2312"/>
                      <w:lang w:val="en-US" w:eastAsia="zh-CN"/>
                    </w:rPr>
                  </w:pPr>
                  <w:r>
                    <w:rPr>
                      <w:rFonts w:ascii="Calibri" w:eastAsia="楷体_GB2312"/>
                      <w:b/>
                      <w:i w:val="0"/>
                      <w:color w:val="000000"/>
                      <w:sz w:val="16"/>
                    </w:rPr>
                    <w:t>邓轶达Yida Deng, SFC:BVF321</w:t>
                  </w:r>
                </w:p>
              </w:tc>
            </w:tr>
            <w:tr w14:paraId="2763A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6669C0C1">
                  <w:pPr>
                    <w:pStyle w:val="115"/>
                    <w:framePr w:wrap="auto" w:vAnchor="margin" w:hAnchor="text" w:yAlign="inline"/>
                    <w:rPr>
                      <w:rFonts w:eastAsia="楷体_GB2312"/>
                      <w:b w:val="0"/>
                    </w:rPr>
                  </w:pPr>
                  <w:r>
                    <w:rPr>
                      <w:rFonts w:ascii="Calibri" w:eastAsia="楷体_GB2312"/>
                      <w:b w:val="0"/>
                      <w:i w:val="0"/>
                      <w:color w:val="000000"/>
                      <w:sz w:val="16"/>
                    </w:rPr>
                    <w:t>harryyang@hfisec.com.hk</w:t>
                  </w:r>
                </w:p>
              </w:tc>
              <w:tc>
                <w:tcPr>
                  <w:tcW w:w="2694" w:type="dxa"/>
                </w:tcPr>
                <w:p w14:paraId="427499B9">
                  <w:pPr>
                    <w:pStyle w:val="115"/>
                    <w:framePr w:wrap="auto" w:vAnchor="margin" w:hAnchor="text" w:yAlign="inline"/>
                    <w:rPr>
                      <w:rFonts w:hint="default" w:eastAsia="宋体"/>
                      <w:lang w:val="en-US" w:eastAsia="zh-CN"/>
                    </w:rPr>
                  </w:pPr>
                  <w:r>
                    <w:rPr>
                      <w:rFonts w:ascii="Calibri" w:eastAsia="楷体_GB2312"/>
                      <w:b w:val="0"/>
                      <w:i w:val="0"/>
                      <w:color w:val="000000"/>
                      <w:sz w:val="16"/>
                    </w:rPr>
                    <w:t>dengyida@hfisec.com.hk</w:t>
                  </w:r>
                </w:p>
              </w:tc>
            </w:tr>
          </w:tbl>
          <w:p w14:paraId="6D433B2F">
            <w:pPr>
              <w:pStyle w:val="115"/>
              <w:framePr w:wrap="auto" w:vAnchor="margin" w:hAnchor="text" w:yAlign="inline"/>
              <w:rPr>
                <w:rFonts w:eastAsia="楷体_GB2312"/>
                <w:sz w:val="18"/>
                <w:szCs w:val="18"/>
                <w:lang w:val="en-GB"/>
              </w:rPr>
            </w:pPr>
          </w:p>
        </w:tc>
      </w:tr>
      <w:tr w14:paraId="6D9A6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76" w:type="dxa"/>
            <w:gridSpan w:val="2"/>
          </w:tcPr>
          <w:p w14:paraId="58B6885E">
            <w:pPr>
              <w:pStyle w:val="115"/>
              <w:framePr w:wrap="auto" w:vAnchor="margin" w:hAnchor="text" w:yAlign="inline"/>
              <w:rPr>
                <w:rFonts w:eastAsia="楷体_GB2312"/>
                <w:b w:val="0"/>
              </w:rPr>
            </w:pPr>
          </w:p>
        </w:tc>
      </w:tr>
    </w:tbl>
    <w:p w14:paraId="586191B9">
      <w:pPr>
        <w:pStyle w:val="95"/>
        <w:spacing w:after="0" w:line="20" w:lineRule="exact"/>
        <w:rPr>
          <w:rFonts w:eastAsia="楷体_GB2312"/>
          <w:sz w:val="20"/>
          <w:lang w:eastAsia="zh-CN"/>
        </w:rPr>
      </w:pPr>
      <w:bookmarkStart w:id="0" w:name="OLE_LINK1"/>
      <w:bookmarkStart w:id="1" w:name="OLE_LINK2"/>
    </w:p>
    <w:tbl>
      <w:tblPr>
        <w:tblStyle w:val="28"/>
        <w:tblW w:w="0" w:type="auto"/>
        <w:tblCaption w:val="[Table_summary]"/>
        <w:tblDescription w:val="表格隐藏唯一标识（请勿删除或修改）"/>
        <w:tblInd w:w="-142"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0349"/>
      </w:tblGrid>
      <w:tr w14:paraId="1C6DC53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349" w:type="dxa"/>
          </w:tcPr>
          <w:p w14:paraId="32204E6F">
            <w:pPr>
              <w:pStyle w:val="95"/>
              <w:spacing w:after="0"/>
              <w:rPr>
                <w:rFonts w:eastAsia="楷体_GB2312" w:cs="Times New Roman"/>
                <w:bCs/>
                <w:kern w:val="28"/>
                <w:sz w:val="20"/>
                <w:lang w:val="en-GB" w:eastAsia="zh-CN"/>
              </w:rPr>
            </w:pPr>
            <w:r>
              <w:rPr>
                <w:rFonts w:hint="eastAsia" w:eastAsia="楷体_GB2312" w:cs="Times New Roman"/>
                <w:bCs/>
                <w:color w:val="FFFFFF" w:themeColor="background1"/>
                <w:kern w:val="28"/>
                <w:sz w:val="20"/>
                <w:lang w:val="en-GB" w:eastAsia="zh-CN"/>
                <w14:textFill>
                  <w14:solidFill>
                    <w14:schemeClr w14:val="bg1"/>
                  </w14:solidFill>
                </w14:textFill>
              </w:rPr>
              <w:t>[</w:t>
            </w:r>
            <w:r>
              <w:rPr>
                <w:rFonts w:eastAsia="楷体_GB2312" w:cs="Times New Roman"/>
                <w:bCs/>
                <w:color w:val="FFFFFF" w:themeColor="background1"/>
                <w:kern w:val="28"/>
                <w:sz w:val="20"/>
                <w:lang w:val="en-GB" w:eastAsia="zh-CN"/>
                <w14:textFill>
                  <w14:solidFill>
                    <w14:schemeClr w14:val="bg1"/>
                  </w14:solidFill>
                </w14:textFill>
              </w:rPr>
              <w:t>Table_summary]</w:t>
            </w:r>
          </w:p>
        </w:tc>
      </w:tr>
      <w:tr w14:paraId="6AC3BCE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428" w:hRule="atLeast"/>
        </w:trPr>
        <w:tc>
          <w:tcPr>
            <w:tcW w:w="10349" w:type="dxa"/>
          </w:tcPr>
          <w:p w14:paraId="1DBA6EFE">
            <w:pPr>
              <w:pStyle w:val="95"/>
              <w:spacing w:after="240"/>
              <w:rPr>
                <w:rFonts w:eastAsia="楷体_GB2312" w:cs="Times New Roman"/>
                <w:b/>
                <w:bCs/>
                <w:kern w:val="28"/>
              </w:rPr>
            </w:pPr>
            <w:r>
              <w:rPr>
                <w:rFonts w:hint="default" w:ascii="Calibri" w:hAnsi="Calibri" w:eastAsia="楷体_GB2312" w:cs="Calibri"/>
                <w:bCs/>
                <w:kern w:val="28"/>
                <w:sz w:val="20"/>
                <w:lang w:eastAsia="zh-CN"/>
              </w:rPr>
              <w:t>(</w:t>
            </w:r>
            <w:r>
              <w:rPr>
                <w:rFonts w:hint="default" w:ascii="Calibri" w:hAnsi="Calibri" w:eastAsia="楷体_GB2312" w:cs="Calibri"/>
                <w:bCs/>
                <w:kern w:val="28"/>
                <w:sz w:val="20"/>
              </w:rPr>
              <w:t xml:space="preserve">Please see </w:t>
            </w:r>
            <w:r>
              <w:rPr>
                <w:rFonts w:hint="default" w:ascii="Calibri" w:hAnsi="Calibri" w:eastAsia="楷体_GB2312" w:cs="Calibri"/>
                <w:bCs/>
                <w:kern w:val="28"/>
                <w:sz w:val="20"/>
                <w:lang w:eastAsia="zh-CN"/>
              </w:rPr>
              <w:t>APPENDIX 1</w:t>
            </w:r>
            <w:r>
              <w:rPr>
                <w:rFonts w:hint="default" w:ascii="Calibri" w:hAnsi="Calibri" w:eastAsia="楷体_GB2312" w:cs="Calibri"/>
                <w:bCs/>
                <w:kern w:val="28"/>
                <w:sz w:val="20"/>
              </w:rPr>
              <w:t xml:space="preserve"> for English summary</w:t>
            </w:r>
            <w:r>
              <w:rPr>
                <w:rFonts w:hint="default" w:ascii="Calibri" w:hAnsi="Calibri" w:eastAsia="楷体_GB2312" w:cs="Calibri"/>
                <w:bCs/>
                <w:kern w:val="28"/>
                <w:sz w:val="20"/>
                <w:lang w:eastAsia="zh-CN"/>
              </w:rPr>
              <w:t>)</w:t>
            </w:r>
          </w:p>
          <w:p w14:paraId="551A3E26">
            <w:pPr>
              <w:pStyle w:val="95"/>
              <w:rPr>
                <w:rFonts w:hint="eastAsia" w:eastAsia="楷体_GB2312" w:cs="Times New Roman"/>
                <w:b/>
                <w:bCs/>
                <w:kern w:val="28"/>
                <w:lang w:val="en-US" w:eastAsia="zh-CN"/>
              </w:rPr>
            </w:pPr>
            <w:r>
              <w:rPr>
                <w:rFonts w:eastAsia="楷体_GB2312" w:cs="Times New Roman"/>
                <w:b/>
                <w:bCs/>
                <w:kern w:val="28"/>
              </w:rPr>
              <w:t>事件</w:t>
            </w:r>
          </w:p>
          <w:p w14:paraId="6ACF2712">
            <w:pPr>
              <w:jc w:val="both"/>
              <w:rPr>
                <w:rFonts w:hint="eastAsia" w:eastAsia="楷体_GB2312"/>
                <w:snapToGrid/>
                <w:sz w:val="21"/>
                <w:szCs w:val="21"/>
                <w:lang w:val="en-US" w:eastAsia="zh-CN"/>
              </w:rPr>
            </w:pPr>
            <w:r>
              <w:rPr>
                <w:rFonts w:hint="eastAsia" w:eastAsia="楷体_GB2312"/>
                <w:snapToGrid/>
                <w:sz w:val="21"/>
                <w:szCs w:val="21"/>
                <w:lang w:eastAsia="zh-CN"/>
              </w:rPr>
              <w:t>加州参议员Jerry McNerney</w:t>
            </w:r>
            <w:r>
              <w:rPr>
                <w:rFonts w:hint="eastAsia" w:eastAsia="楷体_GB2312"/>
                <w:snapToGrid/>
                <w:sz w:val="21"/>
                <w:szCs w:val="21"/>
                <w:lang w:val="en-US" w:eastAsia="zh-CN"/>
              </w:rPr>
              <w:t xml:space="preserve"> 2月18日周三</w:t>
            </w:r>
            <w:r>
              <w:rPr>
                <w:rFonts w:hint="eastAsia" w:eastAsia="楷体_GB2312"/>
                <w:snapToGrid/>
                <w:sz w:val="21"/>
                <w:szCs w:val="21"/>
                <w:lang w:eastAsia="zh-CN"/>
              </w:rPr>
              <w:t>提出</w:t>
            </w:r>
            <w:r>
              <w:rPr>
                <w:rFonts w:hint="eastAsia" w:eastAsia="楷体_GB2312"/>
                <w:snapToGrid/>
                <w:sz w:val="21"/>
                <w:szCs w:val="21"/>
                <w:lang w:val="en-US" w:eastAsia="zh-CN"/>
              </w:rPr>
              <w:t>名为</w:t>
            </w:r>
            <w:r>
              <w:rPr>
                <w:rFonts w:hint="eastAsia" w:eastAsia="楷体_GB2312"/>
                <w:snapToGrid/>
                <w:sz w:val="21"/>
                <w:szCs w:val="21"/>
                <w:lang w:eastAsia="zh-CN"/>
              </w:rPr>
              <w:t>SB 1168</w:t>
            </w:r>
            <w:r>
              <w:rPr>
                <w:rFonts w:hint="eastAsia" w:eastAsia="楷体_GB2312"/>
                <w:snapToGrid/>
                <w:sz w:val="21"/>
                <w:szCs w:val="21"/>
                <w:lang w:val="en-US" w:eastAsia="zh-CN"/>
              </w:rPr>
              <w:t>的</w:t>
            </w:r>
            <w:r>
              <w:rPr>
                <w:rFonts w:hint="eastAsia" w:eastAsia="楷体_GB2312"/>
                <w:snapToGrid/>
                <w:sz w:val="21"/>
                <w:szCs w:val="21"/>
                <w:lang w:eastAsia="zh-CN"/>
              </w:rPr>
              <w:t>法案，提议通过现有的</w:t>
            </w:r>
            <w:r>
              <w:rPr>
                <w:rFonts w:hint="eastAsia" w:eastAsia="楷体_GB2312"/>
                <w:snapToGrid/>
                <w:sz w:val="21"/>
                <w:szCs w:val="21"/>
                <w:lang w:val="en-US" w:eastAsia="zh-CN"/>
              </w:rPr>
              <w:t>电力</w:t>
            </w:r>
            <w:r>
              <w:rPr>
                <w:rFonts w:hint="eastAsia" w:eastAsia="楷体_GB2312"/>
                <w:snapToGrid/>
                <w:sz w:val="21"/>
                <w:szCs w:val="21"/>
                <w:lang w:eastAsia="zh-CN"/>
              </w:rPr>
              <w:t>附加费机制，增加大型数据中心缴纳的金额。该法案旨在通过财务手段抵消因数据中心扩张引发的电力基础设施建设成本及电价涨幅，确保加州居民及低收入家庭不因数据中心的所有者及其客户</w:t>
            </w:r>
            <w:r>
              <w:rPr>
                <w:rFonts w:hint="eastAsia" w:eastAsia="楷体_GB2312"/>
                <w:snapToGrid/>
                <w:sz w:val="21"/>
                <w:szCs w:val="21"/>
                <w:lang w:val="en-US" w:eastAsia="zh-CN"/>
              </w:rPr>
              <w:t>的天量</w:t>
            </w:r>
            <w:r>
              <w:rPr>
                <w:rFonts w:hint="eastAsia" w:eastAsia="楷体_GB2312"/>
                <w:snapToGrid/>
                <w:sz w:val="21"/>
                <w:szCs w:val="21"/>
                <w:lang w:eastAsia="zh-CN"/>
              </w:rPr>
              <w:t>电力</w:t>
            </w:r>
            <w:r>
              <w:rPr>
                <w:rFonts w:hint="eastAsia" w:eastAsia="楷体_GB2312"/>
                <w:snapToGrid/>
                <w:sz w:val="21"/>
                <w:szCs w:val="21"/>
                <w:lang w:val="en-US" w:eastAsia="zh-CN"/>
              </w:rPr>
              <w:t>需求</w:t>
            </w:r>
            <w:r>
              <w:rPr>
                <w:rFonts w:hint="eastAsia" w:eastAsia="楷体_GB2312"/>
                <w:snapToGrid/>
                <w:sz w:val="21"/>
                <w:szCs w:val="21"/>
                <w:lang w:eastAsia="zh-CN"/>
              </w:rPr>
              <w:t>而面临账单激增</w:t>
            </w:r>
            <w:r>
              <w:rPr>
                <w:rFonts w:eastAsia="楷体_GB2312"/>
                <w:snapToGrid/>
                <w:sz w:val="21"/>
                <w:szCs w:val="21"/>
                <w:lang w:eastAsia="zh-CN"/>
              </w:rPr>
              <w:t>。根据拟议法律的条款，附加费产生的额外资金将用于防止居民电价上涨</w:t>
            </w:r>
            <w:r>
              <w:rPr>
                <w:rFonts w:hint="eastAsia" w:eastAsia="楷体_GB2312"/>
                <w:snapToGrid/>
                <w:sz w:val="21"/>
                <w:szCs w:val="21"/>
                <w:lang w:val="en-US" w:eastAsia="zh-CN"/>
              </w:rPr>
              <w:t>和补贴弱势群体。</w:t>
            </w:r>
          </w:p>
          <w:p w14:paraId="0A4BB4F1">
            <w:pPr>
              <w:jc w:val="both"/>
              <w:rPr>
                <w:rFonts w:eastAsia="楷体_GB2312"/>
                <w:snapToGrid/>
                <w:sz w:val="21"/>
                <w:szCs w:val="21"/>
                <w:lang w:eastAsia="zh-CN"/>
              </w:rPr>
            </w:pPr>
          </w:p>
          <w:p w14:paraId="15693601">
            <w:pPr>
              <w:pStyle w:val="95"/>
              <w:rPr>
                <w:rFonts w:eastAsia="楷体_GB2312" w:cs="Times New Roman"/>
                <w:b/>
                <w:bCs/>
                <w:kern w:val="28"/>
                <w:lang w:eastAsia="zh-CN"/>
              </w:rPr>
            </w:pPr>
            <w:r>
              <w:rPr>
                <w:rFonts w:eastAsia="楷体_GB2312" w:cs="Times New Roman"/>
                <w:b/>
                <w:bCs/>
                <w:kern w:val="28"/>
              </w:rPr>
              <w:t>点评</w:t>
            </w:r>
          </w:p>
          <w:p w14:paraId="4959E171">
            <w:pPr>
              <w:pStyle w:val="41"/>
              <w:jc w:val="both"/>
              <w:rPr>
                <w:rFonts w:hint="default" w:eastAsia="楷体_GB2312"/>
                <w:b w:val="0"/>
                <w:bCs w:val="0"/>
                <w:snapToGrid/>
                <w:sz w:val="21"/>
                <w:szCs w:val="21"/>
                <w:highlight w:val="none"/>
                <w:lang w:val="en-US" w:eastAsia="zh-CN"/>
              </w:rPr>
            </w:pPr>
            <w:r>
              <w:rPr>
                <w:rFonts w:hint="eastAsia" w:eastAsia="楷体_GB2312"/>
                <w:b/>
                <w:bCs/>
                <w:snapToGrid/>
                <w:sz w:val="21"/>
                <w:szCs w:val="21"/>
                <w:lang w:eastAsia="zh-CN"/>
              </w:rPr>
              <w:t>从宏观治理视角审视，SB 1168法案的提出是</w:t>
            </w:r>
            <w:r>
              <w:rPr>
                <w:rFonts w:hint="eastAsia" w:eastAsia="楷体_GB2312"/>
                <w:b/>
                <w:bCs/>
                <w:snapToGrid/>
                <w:sz w:val="21"/>
                <w:szCs w:val="21"/>
                <w:lang w:val="en-US" w:eastAsia="zh-CN"/>
              </w:rPr>
              <w:t>美国</w:t>
            </w:r>
            <w:r>
              <w:rPr>
                <w:rFonts w:hint="eastAsia" w:eastAsia="楷体_GB2312"/>
                <w:b/>
                <w:bCs/>
                <w:snapToGrid/>
                <w:sz w:val="21"/>
                <w:szCs w:val="21"/>
                <w:lang w:eastAsia="zh-CN"/>
              </w:rPr>
              <w:t>能源转型</w:t>
            </w:r>
            <w:r>
              <w:rPr>
                <w:rFonts w:hint="eastAsia" w:eastAsia="楷体_GB2312"/>
                <w:b/>
                <w:bCs/>
                <w:snapToGrid/>
                <w:sz w:val="21"/>
                <w:szCs w:val="21"/>
                <w:lang w:val="en-US" w:eastAsia="zh-CN"/>
              </w:rPr>
              <w:t>中</w:t>
            </w:r>
            <w:r>
              <w:rPr>
                <w:rFonts w:hint="eastAsia" w:eastAsia="楷体_GB2312"/>
                <w:b/>
                <w:bCs/>
                <w:snapToGrid/>
                <w:sz w:val="21"/>
                <w:szCs w:val="21"/>
                <w:lang w:eastAsia="zh-CN"/>
              </w:rPr>
              <w:t>成本分摊机制失衡的必然产物。</w:t>
            </w:r>
            <w:r>
              <w:rPr>
                <w:rFonts w:hint="eastAsia" w:eastAsia="楷体_GB2312"/>
                <w:b w:val="0"/>
                <w:bCs w:val="0"/>
                <w:snapToGrid/>
                <w:sz w:val="21"/>
                <w:szCs w:val="21"/>
                <w:lang w:eastAsia="zh-CN"/>
              </w:rPr>
              <w:t>长期以来，电力基础设施一直被视为一种普惠性的公共资源，但在AI驱动的算力需求激增背景下，原有的能源契约面临重构。2025年美国AIDC用电占比已达4%，预计2030年将翻倍，叠加制造业回流与电气化趋势，</w:t>
            </w:r>
            <w:r>
              <w:rPr>
                <w:rFonts w:hint="eastAsia" w:eastAsia="楷体_GB2312"/>
                <w:b w:val="0"/>
                <w:bCs w:val="0"/>
                <w:snapToGrid/>
                <w:sz w:val="21"/>
                <w:szCs w:val="21"/>
                <w:lang w:val="en-US" w:eastAsia="zh-CN"/>
              </w:rPr>
              <w:t>负荷侧的爆发式增长已远超电网侧的扩容速率</w:t>
            </w:r>
            <w:r>
              <w:rPr>
                <w:rFonts w:hint="eastAsia" w:eastAsia="楷体_GB2312"/>
                <w:b w:val="0"/>
                <w:bCs w:val="0"/>
                <w:snapToGrid/>
                <w:sz w:val="21"/>
                <w:szCs w:val="21"/>
                <w:lang w:eastAsia="zh-CN"/>
              </w:rPr>
              <w:t>。这种供需错配迫使公用事业公司必须预支天量资本开支用于变电站升级及骨干网扩容</w:t>
            </w:r>
            <w:r>
              <w:rPr>
                <w:rFonts w:hint="eastAsia" w:eastAsia="楷体_GB2312"/>
                <w:b w:val="0"/>
                <w:bCs w:val="0"/>
                <w:snapToGrid/>
                <w:sz w:val="21"/>
                <w:szCs w:val="21"/>
                <w:highlight w:val="none"/>
                <w:lang w:eastAsia="zh-CN"/>
              </w:rPr>
              <w:t>。</w:t>
            </w:r>
            <w:r>
              <w:rPr>
                <w:rFonts w:hint="eastAsia" w:eastAsia="楷体_GB2312"/>
                <w:b w:val="0"/>
                <w:bCs w:val="0"/>
                <w:snapToGrid/>
                <w:sz w:val="21"/>
                <w:szCs w:val="21"/>
                <w:highlight w:val="none"/>
                <w:lang w:val="en-US" w:eastAsia="zh-CN"/>
              </w:rPr>
              <w:t>在现行费率回收机制下，此类系统性扩容成本被无差别地分摊至居民侧</w:t>
            </w:r>
            <w:r>
              <w:rPr>
                <w:rFonts w:hint="eastAsia" w:eastAsia="楷体_GB2312"/>
                <w:b w:val="0"/>
                <w:bCs w:val="0"/>
                <w:snapToGrid/>
                <w:sz w:val="21"/>
                <w:szCs w:val="21"/>
                <w:highlight w:val="none"/>
                <w:lang w:eastAsia="zh-CN"/>
              </w:rPr>
              <w:t>。加州电价长期居全美最高行列，</w:t>
            </w:r>
            <w:r>
              <w:rPr>
                <w:rFonts w:hint="eastAsia" w:eastAsia="楷体_GB2312"/>
                <w:b w:val="0"/>
                <w:bCs w:val="0"/>
                <w:snapToGrid/>
                <w:sz w:val="21"/>
                <w:szCs w:val="21"/>
                <w:highlight w:val="none"/>
                <w:lang w:val="en-US" w:eastAsia="zh-CN"/>
              </w:rPr>
              <w:t>较全美均值溢价超100%，且</w:t>
            </w:r>
            <w:r>
              <w:rPr>
                <w:rFonts w:hint="eastAsia" w:eastAsia="楷体_GB2312"/>
                <w:b w:val="0"/>
                <w:bCs w:val="0"/>
                <w:snapToGrid/>
                <w:sz w:val="21"/>
                <w:szCs w:val="21"/>
                <w:highlight w:val="none"/>
                <w:lang w:eastAsia="zh-CN"/>
              </w:rPr>
              <w:t>近年来</w:t>
            </w:r>
            <w:r>
              <w:rPr>
                <w:rFonts w:hint="eastAsia" w:eastAsia="楷体_GB2312"/>
                <w:b w:val="0"/>
                <w:bCs w:val="0"/>
                <w:snapToGrid/>
                <w:sz w:val="21"/>
                <w:szCs w:val="21"/>
                <w:highlight w:val="none"/>
                <w:lang w:val="en-US" w:eastAsia="zh-CN"/>
              </w:rPr>
              <w:t>电价上涨幅度远超通胀水平，</w:t>
            </w:r>
            <w:r>
              <w:rPr>
                <w:rFonts w:hint="eastAsia" w:eastAsia="楷体_GB2312"/>
                <w:b w:val="0"/>
                <w:bCs w:val="0"/>
                <w:snapToGrid/>
                <w:sz w:val="21"/>
                <w:szCs w:val="21"/>
                <w:highlight w:val="none"/>
                <w:lang w:eastAsia="zh-CN"/>
              </w:rPr>
              <w:t>选民对高昂电费和数据中心成本转嫁的不满情绪持续升温。</w:t>
            </w:r>
            <w:r>
              <w:rPr>
                <w:rFonts w:hint="eastAsia" w:eastAsia="楷体_GB2312"/>
                <w:b w:val="0"/>
                <w:bCs w:val="0"/>
                <w:snapToGrid/>
                <w:sz w:val="21"/>
                <w:szCs w:val="21"/>
                <w:highlight w:val="none"/>
                <w:lang w:val="en-US" w:eastAsia="zh-CN"/>
              </w:rPr>
              <w:t>SB 1168法案实质上是民生压力倒逼下的责任归位，旨在通过精准的附加费机制，解决算力扩张对公共资源占用的负外部性问题。</w:t>
            </w:r>
          </w:p>
          <w:p w14:paraId="3D83FB7C">
            <w:pPr>
              <w:pStyle w:val="41"/>
              <w:jc w:val="both"/>
              <w:rPr>
                <w:rFonts w:hint="eastAsia" w:eastAsia="楷体_GB2312"/>
                <w:b w:val="0"/>
                <w:bCs w:val="0"/>
                <w:snapToGrid/>
                <w:sz w:val="21"/>
                <w:szCs w:val="21"/>
                <w:highlight w:val="none"/>
                <w:lang w:eastAsia="zh-CN"/>
              </w:rPr>
            </w:pPr>
          </w:p>
          <w:p w14:paraId="60BFA351">
            <w:pPr>
              <w:pStyle w:val="41"/>
              <w:jc w:val="both"/>
              <w:rPr>
                <w:rFonts w:hint="default" w:eastAsia="楷体_GB2312"/>
                <w:b w:val="0"/>
                <w:bCs w:val="0"/>
                <w:snapToGrid/>
                <w:sz w:val="21"/>
                <w:szCs w:val="21"/>
                <w:highlight w:val="none"/>
                <w:lang w:val="en-US" w:eastAsia="zh-CN"/>
              </w:rPr>
            </w:pPr>
            <w:r>
              <w:rPr>
                <w:rFonts w:hint="eastAsia" w:eastAsia="楷体_GB2312"/>
                <w:b/>
                <w:bCs/>
                <w:snapToGrid/>
                <w:sz w:val="21"/>
                <w:szCs w:val="21"/>
                <w:highlight w:val="none"/>
                <w:lang w:eastAsia="zh-CN"/>
              </w:rPr>
              <w:t>值得注意的是，加州参议员的这一提案并非孤例，而是全美</w:t>
            </w:r>
            <w:r>
              <w:rPr>
                <w:rFonts w:hint="eastAsia" w:eastAsia="楷体_GB2312"/>
                <w:b/>
                <w:bCs/>
                <w:snapToGrid/>
                <w:sz w:val="21"/>
                <w:szCs w:val="21"/>
                <w:highlight w:val="none"/>
                <w:lang w:val="en-US" w:eastAsia="zh-CN"/>
              </w:rPr>
              <w:t>乃至全球</w:t>
            </w:r>
            <w:r>
              <w:rPr>
                <w:rFonts w:hint="eastAsia" w:eastAsia="楷体_GB2312"/>
                <w:b/>
                <w:bCs/>
                <w:snapToGrid/>
                <w:sz w:val="21"/>
                <w:szCs w:val="21"/>
                <w:highlight w:val="none"/>
                <w:lang w:eastAsia="zh-CN"/>
              </w:rPr>
              <w:t>正在掀起的科技能源问责浪潮</w:t>
            </w:r>
            <w:r>
              <w:rPr>
                <w:rFonts w:hint="eastAsia" w:eastAsia="楷体_GB2312"/>
                <w:b/>
                <w:bCs/>
                <w:snapToGrid/>
                <w:sz w:val="21"/>
                <w:szCs w:val="21"/>
                <w:highlight w:val="none"/>
                <w:lang w:val="en-US" w:eastAsia="zh-CN"/>
              </w:rPr>
              <w:t>的</w:t>
            </w:r>
            <w:r>
              <w:rPr>
                <w:rFonts w:hint="eastAsia" w:eastAsia="楷体_GB2312"/>
                <w:b/>
                <w:bCs/>
                <w:snapToGrid/>
                <w:sz w:val="21"/>
                <w:szCs w:val="21"/>
                <w:highlight w:val="none"/>
                <w:lang w:eastAsia="zh-CN"/>
              </w:rPr>
              <w:t>缩影。</w:t>
            </w:r>
            <w:r>
              <w:rPr>
                <w:rFonts w:hint="eastAsia" w:eastAsia="楷体_GB2312"/>
                <w:b w:val="0"/>
                <w:bCs w:val="0"/>
                <w:snapToGrid/>
                <w:sz w:val="21"/>
                <w:szCs w:val="21"/>
                <w:highlight w:val="none"/>
                <w:lang w:val="en-US" w:eastAsia="zh-CN"/>
              </w:rPr>
              <w:t>加州参议员Steve Padilla去年一月就曾提出立法，试图建立一种特殊的费率结构，以保护居民用户和小企业免受电力基础设施建设成本的影响。该法案的弱化版本（仅要求对此问题进行研究）在2025年10月已签署成为法律。该法律授权加州公用事业委员会评估数据中心的电力成本在多大程度上推高了其他客户的电价。此外，加州众议员Rebecca Bauer-Kahan今年一月也提出了一项措施，要求数据中心报告其每月的电力和能源使用情况。横向对比，马里兰州、佐治亚州及南卡罗来纳州等地类似立法尝试也层出不穷。联邦层面，特朗普总统明确反对因数据中心建设推高居民电费，Anthropic、微软等头部企业亦承诺自行承担增量电力成本。这表明，确立“谁受益、谁付费”的原则已成跨党派共识。在欧洲，欧盟委员会已实施新规，要求成员国内大型数据中心必须公开发布其能源绩效和水足迹。在亚洲，新加坡定制了极为严苛的碳排放和绿色能源配比要求，确保数据中心的扩张不会以牺牲国家整体碳减排承诺为代价。</w:t>
            </w:r>
          </w:p>
          <w:p w14:paraId="60E13BCA">
            <w:pPr>
              <w:pStyle w:val="41"/>
              <w:jc w:val="both"/>
              <w:rPr>
                <w:rFonts w:hint="eastAsia" w:eastAsia="楷体_GB2312"/>
                <w:b w:val="0"/>
                <w:bCs w:val="0"/>
                <w:snapToGrid/>
                <w:sz w:val="21"/>
                <w:szCs w:val="21"/>
                <w:highlight w:val="none"/>
                <w:lang w:eastAsia="zh-CN"/>
              </w:rPr>
            </w:pPr>
          </w:p>
          <w:p w14:paraId="14E33061">
            <w:pPr>
              <w:pStyle w:val="41"/>
              <w:jc w:val="both"/>
              <w:rPr>
                <w:rFonts w:eastAsia="楷体_GB2312"/>
                <w:snapToGrid/>
                <w:sz w:val="21"/>
                <w:szCs w:val="21"/>
                <w:lang w:eastAsia="zh-CN"/>
              </w:rPr>
            </w:pPr>
            <w:r>
              <w:rPr>
                <w:rFonts w:hint="eastAsia" w:eastAsia="楷体_GB2312"/>
                <w:b/>
                <w:bCs/>
                <w:snapToGrid/>
                <w:sz w:val="21"/>
                <w:szCs w:val="21"/>
                <w:highlight w:val="none"/>
                <w:lang w:eastAsia="zh-CN"/>
              </w:rPr>
              <w:t>从深层经济逻辑审视，SB 1168</w:t>
            </w:r>
            <w:r>
              <w:rPr>
                <w:rFonts w:hint="eastAsia" w:eastAsia="楷体_GB2312"/>
                <w:b/>
                <w:bCs/>
                <w:snapToGrid/>
                <w:sz w:val="21"/>
                <w:szCs w:val="21"/>
                <w:highlight w:val="none"/>
                <w:lang w:val="en-US" w:eastAsia="zh-CN"/>
              </w:rPr>
              <w:t>的提出</w:t>
            </w:r>
            <w:r>
              <w:rPr>
                <w:rFonts w:hint="eastAsia" w:eastAsia="楷体_GB2312"/>
                <w:b/>
                <w:bCs/>
                <w:snapToGrid/>
                <w:sz w:val="21"/>
                <w:szCs w:val="21"/>
                <w:highlight w:val="none"/>
                <w:lang w:eastAsia="zh-CN"/>
              </w:rPr>
              <w:t>是对AI产业负外部性内部化的制度化矫正。</w:t>
            </w:r>
            <w:r>
              <w:rPr>
                <w:rFonts w:hint="eastAsia" w:eastAsia="楷体_GB2312"/>
                <w:b w:val="0"/>
                <w:bCs w:val="0"/>
                <w:snapToGrid/>
                <w:sz w:val="21"/>
                <w:szCs w:val="21"/>
                <w:highlight w:val="none"/>
                <w:lang w:eastAsia="zh-CN"/>
              </w:rPr>
              <w:t>过去几年，科技行业在AI军备竞赛中习惯于依托廉价的基础设施红利。该法案通过将能源从无约束的生产要素转化为显性财务成本，发挥了关键的价格杠杆作用：它不仅是财政调节手段，更是倒逼企业进行技术迭代的催化剂，强制推动行业从粗放式的“算力堆叠”向追求“算力能效比”的高质量发展模式转型。当然，加州在推行该法案时亦面临产业空心化的博弈风险。过高的附加费可能触发数据中心的区位转移，促使大模型训练集群向德州等电价洼地迁移（</w:t>
            </w:r>
            <w:r>
              <w:rPr>
                <w:rFonts w:hint="eastAsia" w:eastAsia="楷体_GB2312"/>
                <w:b w:val="0"/>
                <w:bCs w:val="0"/>
                <w:snapToGrid/>
                <w:sz w:val="21"/>
                <w:szCs w:val="21"/>
                <w:highlight w:val="none"/>
                <w:lang w:val="en-US" w:eastAsia="zh-CN"/>
              </w:rPr>
              <w:t>德州工业电价仅为加州1/3</w:t>
            </w:r>
            <w:r>
              <w:rPr>
                <w:rFonts w:hint="eastAsia" w:eastAsia="楷体_GB2312"/>
                <w:b w:val="0"/>
                <w:bCs w:val="0"/>
                <w:snapToGrid/>
                <w:sz w:val="21"/>
                <w:szCs w:val="21"/>
                <w:highlight w:val="none"/>
                <w:lang w:eastAsia="zh-CN"/>
              </w:rPr>
              <w:t>）。这不仅难以实现预期的补贴目标，反而可能因税基流失和用户总数减少，陷入本地基础设施成本愈发难以分摊的治理悖论。然而，</w:t>
            </w:r>
            <w:r>
              <w:rPr>
                <w:rFonts w:hint="eastAsia" w:eastAsia="楷体_GB2312"/>
                <w:b w:val="0"/>
                <w:bCs w:val="0"/>
                <w:snapToGrid/>
                <w:sz w:val="21"/>
                <w:szCs w:val="21"/>
                <w:lang w:eastAsia="zh-CN"/>
              </w:rPr>
              <w:t>无论最终博弈结果如何，SB 1168及其衍生法案已确立了一个不可逆转的普世原则：在算法驱动的社会中，基本民生能源的可负担性优于商业算力的无限扩张。 创新的辉煌不应建立在对公众能源权益的挤占之上，这一理念正成为全球AI基础设施建设的新基石与伦理底线。</w:t>
            </w:r>
          </w:p>
        </w:tc>
      </w:tr>
      <w:bookmarkEnd w:id="0"/>
      <w:bookmarkEnd w:id="1"/>
    </w:tbl>
    <w:p w14:paraId="72329E37">
      <w:pPr>
        <w:spacing w:before="240" w:beforeLines="100" w:after="240" w:afterLines="100"/>
        <w:rPr>
          <w:rFonts w:eastAsia="宋体"/>
          <w:lang w:eastAsia="zh-CN"/>
        </w:rPr>
        <w:sectPr>
          <w:headerReference r:id="rId3" w:type="default"/>
          <w:footerReference r:id="rId4" w:type="default"/>
          <w:pgSz w:w="11909" w:h="16834"/>
          <w:pgMar w:top="1134" w:right="851" w:bottom="1321" w:left="851" w:header="284" w:footer="1157" w:gutter="0"/>
          <w:cols w:space="720" w:num="1"/>
          <w:docGrid w:linePitch="360" w:charSpace="0"/>
        </w:sectPr>
      </w:pPr>
    </w:p>
    <w:p w14:paraId="5EF3BBE1">
      <w:pPr>
        <w:pStyle w:val="41"/>
        <w:jc w:val="both"/>
        <w:rPr>
          <w:rFonts w:hint="eastAsia" w:eastAsia="楷体_GB2312"/>
          <w:snapToGrid/>
          <w:sz w:val="21"/>
          <w:szCs w:val="21"/>
          <w:lang w:val="en-GB" w:eastAsia="zh-CN"/>
        </w:rPr>
      </w:pPr>
      <w:r>
        <w:rPr>
          <w:rFonts w:hint="eastAsia" w:eastAsia="楷体_GB2312"/>
          <w:b/>
          <w:bCs/>
          <w:snapToGrid/>
          <w:sz w:val="21"/>
          <w:szCs w:val="21"/>
          <w:lang w:val="en-GB" w:eastAsia="zh-CN"/>
        </w:rPr>
        <w:t>从资本市场视角审视，</w:t>
      </w:r>
      <w:r>
        <w:rPr>
          <w:rFonts w:hint="eastAsia" w:eastAsia="楷体_GB2312"/>
          <w:b/>
          <w:bCs/>
          <w:snapToGrid/>
          <w:sz w:val="21"/>
          <w:szCs w:val="21"/>
          <w:lang w:val="en-US" w:eastAsia="zh-CN"/>
        </w:rPr>
        <w:t>以</w:t>
      </w:r>
      <w:r>
        <w:rPr>
          <w:rFonts w:hint="eastAsia" w:eastAsia="楷体_GB2312"/>
          <w:b/>
          <w:bCs/>
          <w:snapToGrid/>
          <w:sz w:val="21"/>
          <w:szCs w:val="21"/>
          <w:lang w:val="en-GB" w:eastAsia="zh-CN"/>
        </w:rPr>
        <w:t>SB 1168</w:t>
      </w:r>
      <w:r>
        <w:rPr>
          <w:rFonts w:hint="eastAsia" w:eastAsia="楷体_GB2312"/>
          <w:b/>
          <w:bCs/>
          <w:snapToGrid/>
          <w:sz w:val="21"/>
          <w:szCs w:val="21"/>
          <w:lang w:val="en-US" w:eastAsia="zh-CN"/>
        </w:rPr>
        <w:t>为代表的相关立法天</w:t>
      </w:r>
      <w:r>
        <w:rPr>
          <w:rFonts w:hint="eastAsia" w:eastAsia="楷体_GB2312"/>
          <w:b/>
          <w:bCs/>
          <w:snapToGrid/>
          <w:sz w:val="21"/>
          <w:szCs w:val="21"/>
          <w:lang w:val="en-GB" w:eastAsia="zh-CN"/>
        </w:rPr>
        <w:t>及其引发的问责浪潮正驱动AI投资重心正从纯粹的算法竞争，快速下沉至对物理基础设施效率与确定性的争夺。</w:t>
      </w:r>
      <w:r>
        <w:rPr>
          <w:rFonts w:hint="eastAsia" w:eastAsia="楷体_GB2312"/>
          <w:snapToGrid/>
          <w:sz w:val="21"/>
          <w:szCs w:val="21"/>
          <w:lang w:val="en-GB" w:eastAsia="zh-CN"/>
        </w:rPr>
        <w:t xml:space="preserve"> 这种转变将催生以下</w:t>
      </w:r>
      <w:r>
        <w:rPr>
          <w:rFonts w:hint="eastAsia" w:eastAsia="楷体_GB2312"/>
          <w:snapToGrid/>
          <w:sz w:val="21"/>
          <w:szCs w:val="21"/>
          <w:lang w:val="en-US" w:eastAsia="zh-CN"/>
        </w:rPr>
        <w:t>四</w:t>
      </w:r>
      <w:r>
        <w:rPr>
          <w:rFonts w:hint="eastAsia" w:eastAsia="楷体_GB2312"/>
          <w:snapToGrid/>
          <w:sz w:val="21"/>
          <w:szCs w:val="21"/>
          <w:lang w:val="en-GB" w:eastAsia="zh-CN"/>
        </w:rPr>
        <w:t>大战略级机会：</w:t>
      </w:r>
    </w:p>
    <w:p w14:paraId="4C4FB9EA">
      <w:pPr>
        <w:pStyle w:val="41"/>
        <w:jc w:val="both"/>
        <w:rPr>
          <w:rFonts w:hint="eastAsia" w:eastAsia="楷体_GB2312"/>
          <w:snapToGrid/>
          <w:sz w:val="21"/>
          <w:szCs w:val="21"/>
          <w:lang w:val="en-GB" w:eastAsia="zh-CN"/>
        </w:rPr>
      </w:pPr>
    </w:p>
    <w:p w14:paraId="3403ED84">
      <w:pPr>
        <w:pStyle w:val="41"/>
        <w:numPr>
          <w:ilvl w:val="0"/>
          <w:numId w:val="13"/>
        </w:numPr>
        <w:jc w:val="both"/>
        <w:rPr>
          <w:rFonts w:hint="eastAsia" w:eastAsia="楷体_GB2312"/>
          <w:snapToGrid/>
          <w:sz w:val="21"/>
          <w:szCs w:val="21"/>
          <w:lang w:val="en-US" w:eastAsia="zh-CN"/>
        </w:rPr>
      </w:pPr>
      <w:r>
        <w:rPr>
          <w:rFonts w:hint="eastAsia" w:eastAsia="楷体_GB2312"/>
          <w:snapToGrid/>
          <w:sz w:val="21"/>
          <w:szCs w:val="21"/>
          <w:lang w:val="en-US" w:eastAsia="zh-CN"/>
        </w:rPr>
        <w:t>电网基建的“刚性扩容”红利：加州现有电网承载能力已跟不上AI数据中心的增速，SB 1168和相关法案若落地，增收的附加费将优先用于变电站升级、输电线路扩容——这直接利好电网基建服务商。</w:t>
      </w:r>
    </w:p>
    <w:p w14:paraId="21DB79B4">
      <w:pPr>
        <w:pStyle w:val="41"/>
        <w:numPr>
          <w:ilvl w:val="0"/>
          <w:numId w:val="13"/>
        </w:numPr>
        <w:jc w:val="both"/>
        <w:rPr>
          <w:rFonts w:hint="default" w:eastAsia="楷体_GB2312"/>
          <w:snapToGrid/>
          <w:sz w:val="21"/>
          <w:szCs w:val="21"/>
          <w:lang w:val="en-US" w:eastAsia="zh-CN"/>
        </w:rPr>
      </w:pPr>
      <w:r>
        <w:rPr>
          <w:rFonts w:hint="eastAsia" w:eastAsia="楷体_GB2312"/>
          <w:snapToGrid/>
          <w:sz w:val="21"/>
          <w:szCs w:val="21"/>
          <w:lang w:val="en-US" w:eastAsia="zh-CN"/>
        </w:rPr>
        <w:t>电力解决方案的“定制化”红利：为规避公共电网的高额附加费与限电风险，数据中心将加速布局“表后能源独立方案”。我们测算，若电网升级资本开支完全由云厂商承担，电网电力成本将增加 $1500 - $2250/kW。相比之下，CapEx 约为$1800 - $2500/kW的燃气轮机或SOFC（燃料电池）方案在经济性与部署速度上的优势将极其显著。</w:t>
      </w:r>
    </w:p>
    <w:p w14:paraId="5C61D993">
      <w:pPr>
        <w:pStyle w:val="41"/>
        <w:numPr>
          <w:ilvl w:val="0"/>
          <w:numId w:val="13"/>
        </w:numPr>
        <w:jc w:val="both"/>
        <w:rPr>
          <w:rFonts w:hint="default" w:eastAsia="楷体_GB2312"/>
          <w:snapToGrid/>
          <w:sz w:val="21"/>
          <w:szCs w:val="21"/>
          <w:lang w:val="en-US" w:eastAsia="zh-CN"/>
        </w:rPr>
      </w:pPr>
      <w:r>
        <w:rPr>
          <w:rFonts w:hint="eastAsia" w:eastAsia="楷体_GB2312"/>
          <w:snapToGrid/>
          <w:sz w:val="21"/>
          <w:szCs w:val="21"/>
          <w:lang w:val="en-US" w:eastAsia="zh-CN"/>
        </w:rPr>
        <w:t>热管理革命：液冷技术从选配转为刚需，当法案强制要求数据中心披露月度能耗并倒逼“算力能效比”时，占据AIDC用电量约30%的散热系统将成为决定毛利率的关键。液冷能将散热能耗占比从30%降至10%以内，不仅直接节省了电费，还因为大幅降低了总负荷，使数据中心能降级到更低的附加费档位。我们测算，这使得液冷设备的ROI从原来的5-7年缩短到了2年以内，从可选的创新变成了止损的刚需。</w:t>
      </w:r>
    </w:p>
    <w:p w14:paraId="6EAD529F">
      <w:pPr>
        <w:pStyle w:val="41"/>
        <w:numPr>
          <w:ilvl w:val="0"/>
          <w:numId w:val="13"/>
        </w:numPr>
        <w:jc w:val="both"/>
        <w:rPr>
          <w:rFonts w:hint="default" w:eastAsia="楷体_GB2312"/>
          <w:snapToGrid/>
          <w:sz w:val="21"/>
          <w:szCs w:val="21"/>
          <w:lang w:val="en-US" w:eastAsia="zh-CN"/>
        </w:rPr>
      </w:pPr>
      <w:r>
        <w:rPr>
          <w:rFonts w:hint="eastAsia" w:eastAsia="楷体_GB2312"/>
          <w:snapToGrid/>
          <w:sz w:val="21"/>
          <w:szCs w:val="21"/>
          <w:lang w:val="en-US" w:eastAsia="zh-CN"/>
        </w:rPr>
        <w:t>倒逼行业“轻资产转型”：法案带来的合规成本与利润侵蚀将迫使数据中心建设方进行商业模式重构。部分企业将从传统的“自建自营”转向“代建+代维”的轻资产模式，旨在将附加费成本直接转嫁给资金雄厚的科技巨头。这种转型将导致行业利润率出现深度分化：单纯依赖重资产租赁的企业利润受压，而具备专业化运维能力的服务型标的将获得更多外包订单红利。</w:t>
      </w:r>
    </w:p>
    <w:p w14:paraId="7D831FA6">
      <w:pPr>
        <w:pStyle w:val="41"/>
        <w:jc w:val="both"/>
        <w:rPr>
          <w:rFonts w:hint="default" w:eastAsia="楷体_GB2312"/>
          <w:snapToGrid/>
          <w:sz w:val="21"/>
          <w:szCs w:val="21"/>
          <w:lang w:val="en-US" w:eastAsia="zh-CN"/>
        </w:rPr>
      </w:pPr>
    </w:p>
    <w:p w14:paraId="667E8B2E">
      <w:pPr>
        <w:pStyle w:val="41"/>
        <w:jc w:val="both"/>
        <w:rPr>
          <w:rFonts w:eastAsia="楷体_GB2312"/>
          <w:snapToGrid/>
          <w:sz w:val="21"/>
          <w:szCs w:val="21"/>
          <w:lang w:val="en-GB" w:eastAsia="zh-CN"/>
        </w:rPr>
      </w:pPr>
    </w:p>
    <w:p w14:paraId="03024286">
      <w:pPr>
        <w:pStyle w:val="95"/>
        <w:rPr>
          <w:rFonts w:hint="eastAsia" w:eastAsia="楷体_GB2312" w:cs="Times New Roman"/>
          <w:b/>
          <w:bCs/>
          <w:kern w:val="28"/>
          <w:lang w:eastAsia="zh-CN"/>
        </w:rPr>
      </w:pPr>
      <w:bookmarkStart w:id="2" w:name="OLE_LINK3"/>
      <w:r>
        <w:rPr>
          <w:rFonts w:hint="eastAsia" w:eastAsia="楷体_GB2312" w:cs="Times New Roman"/>
          <w:b/>
          <w:bCs/>
          <w:kern w:val="28"/>
          <w:lang w:eastAsia="zh-CN"/>
        </w:rPr>
        <w:t>投资建议</w:t>
      </w:r>
    </w:p>
    <w:p w14:paraId="435A5FEF">
      <w:pPr>
        <w:pStyle w:val="25"/>
        <w:widowControl w:val="0"/>
        <w:adjustRightInd w:val="0"/>
        <w:snapToGrid w:val="0"/>
        <w:spacing w:before="0" w:beforeAutospacing="0" w:after="0" w:afterAutospacing="0"/>
        <w:jc w:val="both"/>
        <w:rPr>
          <w:rFonts w:ascii="Calibri" w:hAnsi="Calibri" w:eastAsia="楷体_GB2312" w:cs="Times New Roman"/>
          <w:sz w:val="21"/>
          <w:szCs w:val="21"/>
        </w:rPr>
      </w:pPr>
      <w:r>
        <w:rPr>
          <w:rFonts w:hint="eastAsia" w:ascii="Calibri" w:hAnsi="Calibri" w:eastAsia="楷体_GB2312" w:cs="Times New Roman"/>
          <w:sz w:val="21"/>
          <w:szCs w:val="21"/>
          <w:highlight w:val="none"/>
          <w:lang w:val="en-US" w:eastAsia="zh-CN"/>
        </w:rPr>
        <w:t>输电网建设受益标的: 广达服务；</w:t>
      </w:r>
      <w:r>
        <w:rPr>
          <w:rFonts w:hint="eastAsia" w:ascii="Calibri" w:hAnsi="Calibri" w:eastAsia="楷体_GB2312" w:cs="Times New Roman"/>
          <w:sz w:val="21"/>
          <w:szCs w:val="21"/>
          <w:lang w:val="en-US" w:eastAsia="zh-CN"/>
        </w:rPr>
        <w:t>电力方案解决商: 施耐德电气、伊顿；基建建筑装备受益标的：康明斯、卡特彼勒；表后能源</w:t>
      </w:r>
      <w:r>
        <w:rPr>
          <w:rFonts w:hint="eastAsia" w:ascii="Calibri" w:hAnsi="Calibri" w:eastAsia="楷体_GB2312" w:cs="Times New Roman"/>
          <w:sz w:val="21"/>
          <w:szCs w:val="21"/>
        </w:rPr>
        <w:t>建设受益标的</w:t>
      </w:r>
      <w:r>
        <w:rPr>
          <w:rFonts w:ascii="Calibri" w:hAnsi="Calibri" w:eastAsia="楷体_GB2312" w:cs="Times New Roman"/>
          <w:sz w:val="21"/>
          <w:szCs w:val="21"/>
        </w:rPr>
        <w:t>:</w:t>
      </w:r>
      <w:r>
        <w:rPr>
          <w:rFonts w:hint="eastAsia" w:ascii="Calibri" w:hAnsi="Calibri" w:eastAsia="楷体_GB2312" w:cs="Times New Roman"/>
          <w:sz w:val="21"/>
          <w:szCs w:val="21"/>
        </w:rPr>
        <w:t xml:space="preserve"> </w:t>
      </w:r>
      <w:r>
        <w:rPr>
          <w:rFonts w:ascii="Calibri" w:hAnsi="Calibri" w:eastAsia="楷体_GB2312" w:cs="Times New Roman"/>
          <w:sz w:val="21"/>
          <w:szCs w:val="21"/>
        </w:rPr>
        <w:t>GE</w:t>
      </w:r>
      <w:r>
        <w:rPr>
          <w:rFonts w:hint="eastAsia" w:ascii="Calibri" w:hAnsi="Calibri" w:eastAsia="楷体_GB2312" w:cs="Times New Roman"/>
          <w:sz w:val="21"/>
          <w:szCs w:val="21"/>
        </w:rPr>
        <w:t xml:space="preserve"> </w:t>
      </w:r>
      <w:r>
        <w:rPr>
          <w:rFonts w:ascii="Calibri" w:hAnsi="Calibri" w:eastAsia="楷体_GB2312" w:cs="Times New Roman"/>
          <w:sz w:val="21"/>
          <w:szCs w:val="21"/>
        </w:rPr>
        <w:t>Vernova</w:t>
      </w:r>
      <w:r>
        <w:rPr>
          <w:rFonts w:hint="eastAsia" w:ascii="Calibri" w:hAnsi="Calibri" w:eastAsia="楷体_GB2312" w:cs="Times New Roman"/>
          <w:sz w:val="21"/>
          <w:szCs w:val="21"/>
        </w:rPr>
        <w:t>，西门子能源，</w:t>
      </w:r>
      <w:r>
        <w:rPr>
          <w:rFonts w:hint="eastAsia" w:ascii="Calibri" w:hAnsi="Calibri" w:eastAsia="楷体_GB2312" w:cs="Times New Roman"/>
          <w:sz w:val="21"/>
          <w:szCs w:val="21"/>
          <w:lang w:val="en-US" w:eastAsia="zh-CN"/>
        </w:rPr>
        <w:t>Bloom Energy，NuScale Power，Oklo Inc</w:t>
      </w:r>
      <w:r>
        <w:rPr>
          <w:rFonts w:ascii="Calibri" w:hAnsi="Calibri" w:eastAsia="楷体_GB2312" w:cs="Times New Roman"/>
          <w:sz w:val="21"/>
          <w:szCs w:val="21"/>
        </w:rPr>
        <w:t>;</w:t>
      </w:r>
      <w:r>
        <w:rPr>
          <w:rFonts w:hint="eastAsia" w:ascii="Calibri" w:hAnsi="Calibri" w:eastAsia="楷体_GB2312" w:cs="Times New Roman"/>
          <w:sz w:val="21"/>
          <w:szCs w:val="21"/>
        </w:rPr>
        <w:t xml:space="preserve"> </w:t>
      </w:r>
      <w:r>
        <w:rPr>
          <w:rFonts w:hint="eastAsia" w:ascii="Calibri" w:hAnsi="Calibri" w:eastAsia="楷体_GB2312" w:cs="Times New Roman"/>
          <w:sz w:val="21"/>
          <w:szCs w:val="21"/>
          <w:lang w:val="en-US" w:eastAsia="zh-CN"/>
        </w:rPr>
        <w:t>液冷方案与热管理系统提供商</w:t>
      </w:r>
      <w:r>
        <w:rPr>
          <w:rFonts w:ascii="Calibri" w:hAnsi="Calibri" w:eastAsia="楷体_GB2312" w:cs="Times New Roman"/>
          <w:sz w:val="21"/>
          <w:szCs w:val="21"/>
        </w:rPr>
        <w:t>:</w:t>
      </w:r>
      <w:r>
        <w:rPr>
          <w:rFonts w:hint="eastAsia" w:ascii="Calibri" w:hAnsi="Calibri" w:eastAsia="楷体_GB2312" w:cs="Times New Roman"/>
          <w:sz w:val="21"/>
          <w:szCs w:val="21"/>
        </w:rPr>
        <w:t xml:space="preserve"> </w:t>
      </w:r>
      <w:r>
        <w:rPr>
          <w:rFonts w:hint="eastAsia" w:ascii="Calibri" w:hAnsi="Calibri" w:eastAsia="楷体_GB2312" w:cs="Times New Roman"/>
          <w:sz w:val="21"/>
          <w:szCs w:val="21"/>
          <w:lang w:val="en-US" w:eastAsia="zh-CN"/>
        </w:rPr>
        <w:t>Vertiv，nVent</w:t>
      </w:r>
      <w:r>
        <w:rPr>
          <w:rFonts w:hint="eastAsia" w:ascii="Calibri" w:hAnsi="Calibri" w:eastAsia="楷体_GB2312" w:cs="Times New Roman"/>
          <w:sz w:val="21"/>
          <w:szCs w:val="21"/>
        </w:rPr>
        <w:t>。</w:t>
      </w:r>
    </w:p>
    <w:bookmarkEnd w:id="2"/>
    <w:p w14:paraId="6A58CCDF">
      <w:pPr>
        <w:pStyle w:val="41"/>
        <w:jc w:val="both"/>
        <w:rPr>
          <w:rFonts w:eastAsia="楷体_GB2312"/>
          <w:snapToGrid/>
          <w:sz w:val="21"/>
          <w:szCs w:val="21"/>
          <w:lang w:val="en-GB" w:eastAsia="zh-CN"/>
        </w:rPr>
      </w:pPr>
      <w:r>
        <w:rPr>
          <w:rFonts w:hint="eastAsia" w:eastAsia="楷体_GB2312"/>
          <w:snapToGrid/>
          <w:sz w:val="21"/>
          <w:szCs w:val="21"/>
          <w:lang w:eastAsia="zh-CN"/>
        </w:rPr>
        <w:t xml:space="preserve">         </w:t>
      </w:r>
    </w:p>
    <w:p w14:paraId="3C635A16">
      <w:pPr>
        <w:pStyle w:val="95"/>
        <w:rPr>
          <w:rFonts w:eastAsia="楷体_GB2312" w:cs="Times New Roman"/>
          <w:b/>
          <w:bCs/>
          <w:kern w:val="28"/>
        </w:rPr>
      </w:pPr>
      <w:r>
        <w:rPr>
          <w:rFonts w:hint="eastAsia" w:eastAsia="楷体_GB2312" w:cs="Times New Roman"/>
          <w:b/>
          <w:bCs/>
          <w:kern w:val="28"/>
        </w:rPr>
        <w:t>风险</w:t>
      </w:r>
    </w:p>
    <w:p w14:paraId="5A7C0B6F">
      <w:pPr>
        <w:rPr>
          <w:rFonts w:hint="default" w:ascii="Calibri" w:hAnsi="Calibri" w:eastAsia="楷体_GB2312" w:cs="Calibri"/>
          <w:b/>
          <w:sz w:val="20"/>
          <w:szCs w:val="20"/>
        </w:rPr>
      </w:pPr>
      <w:r>
        <w:rPr>
          <w:rFonts w:hint="eastAsia" w:eastAsia="楷体_GB2312"/>
          <w:snapToGrid/>
          <w:sz w:val="21"/>
          <w:szCs w:val="21"/>
          <w:lang w:eastAsia="zh-CN"/>
        </w:rPr>
        <w:t>AI电力需求不及预期；数据中心与半导体制造等高耗能产业扩张节奏不及预期。</w:t>
      </w:r>
    </w:p>
    <w:p w14:paraId="36DE6B79">
      <w:pPr>
        <w:rPr>
          <w:rFonts w:hint="default" w:ascii="Calibri" w:hAnsi="Calibri" w:eastAsia="楷体_GB2312" w:cs="Calibri"/>
          <w:b/>
          <w:sz w:val="20"/>
          <w:szCs w:val="20"/>
        </w:rPr>
      </w:pPr>
    </w:p>
    <w:p w14:paraId="6F7D48F2">
      <w:pPr>
        <w:rPr>
          <w:rFonts w:hint="default" w:ascii="Calibri" w:hAnsi="Calibri" w:eastAsia="楷体_GB2312" w:cs="Calibri"/>
          <w:b/>
          <w:sz w:val="20"/>
          <w:szCs w:val="20"/>
        </w:rPr>
      </w:pPr>
      <w:r>
        <w:rPr>
          <w:rFonts w:hint="default" w:ascii="Calibri" w:hAnsi="Calibri" w:eastAsia="楷体_GB2312" w:cs="Calibri"/>
          <w:b/>
          <w:sz w:val="20"/>
          <w:szCs w:val="20"/>
        </w:rPr>
        <w:br w:type="page"/>
      </w:r>
    </w:p>
    <w:p w14:paraId="718B20AF">
      <w:pPr>
        <w:pStyle w:val="13"/>
        <w:spacing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APPENDIX 1</w:t>
      </w:r>
    </w:p>
    <w:p w14:paraId="0171DA9B">
      <w:pPr>
        <w:pStyle w:val="13"/>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Summary</w:t>
      </w:r>
    </w:p>
    <w:p w14:paraId="43C64FCD">
      <w:pPr>
        <w:pStyle w:val="95"/>
        <w:rPr>
          <w:rFonts w:eastAsia="楷体_GB2312" w:cs="Times New Roman"/>
          <w:b/>
          <w:bCs/>
          <w:kern w:val="28"/>
          <w:lang w:eastAsia="zh-CN"/>
        </w:rPr>
      </w:pPr>
      <w:r>
        <w:rPr>
          <w:rFonts w:hint="eastAsia" w:eastAsia="楷体_GB2312" w:cs="Times New Roman"/>
          <w:kern w:val="28"/>
          <w:lang w:val="en-US" w:eastAsia="zh-CN"/>
        </w:rPr>
        <w:t xml:space="preserve">On February 18, 2026, California Senator Jerry McNerney introduced SB 1168, proposing increased surcharges on large data centers to offset grid infrastructure costs and protect residential ratepayers from electricity bill spikes driven by AI expansion. This legislation reflects a broader paradigm shift in energy governance. With AI data center electricity consumption at 4% in 2025 and projected to double by 2030 in the US, the bill internalizes the negative externalities of tech infrastructure growth. Similar accountability measures are emerging across Maryland, Georgia, and South Carolina, with federal support from the Trump administration and corporate commitments from Microsoft and Anthropic. From a capital markets perspective, SB 1168 accelerates two strategic opportunities: </w:t>
      </w:r>
      <w:bookmarkStart w:id="3" w:name="_GoBack"/>
      <w:bookmarkEnd w:id="3"/>
      <w:r>
        <w:rPr>
          <w:rFonts w:hint="eastAsia" w:eastAsia="楷体_GB2312" w:cs="Times New Roman"/>
          <w:kern w:val="28"/>
          <w:lang w:val="en-US" w:eastAsia="zh-CN"/>
        </w:rPr>
        <w:t>1.Grid Expansion: Direct benefits for infrastructure providers as surcharges fund substation and transmission upgrades. 2.On-site Power Solutions: Increased demand for independent energy (e.g., SOFC or gas turbines) to bypass grid surcharges. 3.Liquid Cooling: A transition from optional to mandatory, with ROIs shrinking from 7 years to under 2 years as efficiency becomes critical to margins. 4.Asset-Light Transformation: A shift toward "build-and-maintain" models to transfer compliance costs to hyperscalers.</w:t>
      </w:r>
    </w:p>
    <w:p w14:paraId="3766E1EC">
      <w:pPr>
        <w:spacing w:before="100" w:after="100"/>
        <w:jc w:val="both"/>
        <w:rPr>
          <w:rFonts w:hint="default" w:ascii="Calibri" w:hAnsi="Calibri" w:eastAsia="楷体_GB2312" w:cs="Calibri"/>
          <w:bCs/>
          <w:sz w:val="20"/>
          <w:szCs w:val="20"/>
        </w:rPr>
      </w:pPr>
    </w:p>
    <w:p w14:paraId="328148C7">
      <w:pPr>
        <w:pStyle w:val="13"/>
        <w:spacing w:before="240" w:beforeLines="100" w:after="240" w:afterLines="100" w:line="260" w:lineRule="exact"/>
        <w:ind w:left="0" w:leftChars="0" w:right="42" w:firstLine="0"/>
        <w:jc w:val="both"/>
        <w:rPr>
          <w:rFonts w:hint="default" w:ascii="Calibri" w:hAnsi="Calibri" w:eastAsia="楷体_GB2312" w:cs="Calibri"/>
          <w:sz w:val="20"/>
          <w:szCs w:val="20"/>
        </w:rPr>
      </w:pPr>
    </w:p>
    <w:p w14:paraId="5DADB147">
      <w:pPr>
        <w:pStyle w:val="13"/>
        <w:spacing w:before="240" w:beforeLines="100" w:after="240" w:afterLines="100" w:line="260" w:lineRule="exact"/>
        <w:ind w:left="0" w:leftChars="0" w:right="42" w:firstLine="0"/>
        <w:jc w:val="both"/>
        <w:rPr>
          <w:rFonts w:hint="default" w:ascii="Calibri" w:hAnsi="Calibri" w:eastAsia="楷体_GB2312" w:cs="Calibri"/>
          <w:sz w:val="20"/>
          <w:szCs w:val="20"/>
        </w:rPr>
      </w:pPr>
    </w:p>
    <w:p w14:paraId="03C9AE95">
      <w:pPr>
        <w:pStyle w:val="13"/>
        <w:spacing w:before="240" w:beforeLines="100" w:after="240" w:afterLines="100" w:line="260" w:lineRule="exact"/>
        <w:ind w:left="0" w:leftChars="0" w:right="42" w:firstLine="0"/>
        <w:jc w:val="both"/>
        <w:rPr>
          <w:rFonts w:hint="default" w:ascii="Calibri" w:hAnsi="Calibri" w:eastAsia="楷体_GB2312" w:cs="Calibri"/>
          <w:sz w:val="20"/>
          <w:szCs w:val="20"/>
        </w:rPr>
      </w:pPr>
    </w:p>
    <w:p w14:paraId="027DE6AA">
      <w:pPr>
        <w:pStyle w:val="13"/>
        <w:spacing w:before="240" w:beforeLines="100" w:after="240" w:afterLines="100" w:line="260" w:lineRule="exact"/>
        <w:ind w:left="0" w:leftChars="0" w:right="42" w:firstLine="0"/>
        <w:jc w:val="both"/>
        <w:rPr>
          <w:rFonts w:hint="default" w:ascii="Calibri" w:hAnsi="Calibri" w:eastAsia="楷体_GB2312" w:cs="Calibri"/>
          <w:sz w:val="20"/>
          <w:szCs w:val="20"/>
        </w:rPr>
        <w:sectPr>
          <w:headerReference r:id="rId5" w:type="default"/>
          <w:footerReference r:id="rId6" w:type="default"/>
          <w:pgSz w:w="11909" w:h="16834"/>
          <w:pgMar w:top="1716" w:right="851" w:bottom="1021" w:left="680" w:header="720" w:footer="1580" w:gutter="0"/>
          <w:cols w:space="720" w:num="1"/>
          <w:docGrid w:linePitch="360" w:charSpace="0"/>
        </w:sectPr>
      </w:pPr>
    </w:p>
    <w:tbl>
      <w:tblPr>
        <w:tblStyle w:val="28"/>
        <w:tblW w:w="11227"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36AA88A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227" w:type="dxa"/>
          </w:tcPr>
          <w:p w14:paraId="02273F0D">
            <w:r>
              <w:rPr>
                <w:color w:val="FFFFFF" w:themeColor="background1"/>
                <w14:textFill>
                  <w14:solidFill>
                    <w14:schemeClr w14:val="bg1"/>
                  </w14:solidFill>
                </w14:textFill>
              </w:rPr>
              <w:t>[Table_APPENDIX]</w:t>
            </w:r>
          </w:p>
        </w:tc>
      </w:tr>
      <w:tr w14:paraId="3BB6C3C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227" w:type="dxa"/>
          </w:tcPr>
          <w:tbl>
            <w:tblPr>
              <w:tblStyle w:val="28"/>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01251E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474A1C1B">
                  <w:pPr>
                    <w:pStyle w:val="45"/>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7386886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0817087A">
                  <w:pPr>
                    <w:pStyle w:val="45"/>
                    <w:spacing w:after="60"/>
                    <w:rPr>
                      <w:rFonts w:eastAsia="楷体_GB2312" w:cs="Calibri"/>
                      <w:b/>
                      <w:bCs/>
                      <w:w w:val="70"/>
                      <w:sz w:val="22"/>
                      <w:szCs w:val="22"/>
                      <w:lang w:eastAsia="zh-CN"/>
                    </w:rPr>
                  </w:pPr>
                  <w:r>
                    <w:rPr>
                      <w:rFonts w:eastAsia="楷体_GB2312" w:cs="Calibri"/>
                      <w:b/>
                      <w:bCs/>
                      <w:w w:val="70"/>
                      <w:sz w:val="22"/>
                      <w:szCs w:val="22"/>
                    </w:rPr>
                    <w:t>附录APPENDIX</w:t>
                  </w:r>
                </w:p>
                <w:p w14:paraId="76ACEF2F">
                  <w:pPr>
                    <w:pStyle w:val="45"/>
                    <w:rPr>
                      <w:rFonts w:eastAsia="楷体_GB2312" w:cs="Calibri"/>
                      <w:b/>
                      <w:w w:val="70"/>
                      <w:sz w:val="20"/>
                      <w:szCs w:val="20"/>
                    </w:rPr>
                  </w:pPr>
                  <w:r>
                    <w:rPr>
                      <w:rFonts w:eastAsia="楷体_GB2312" w:cs="Calibri"/>
                      <w:b/>
                      <w:w w:val="70"/>
                      <w:sz w:val="20"/>
                      <w:szCs w:val="20"/>
                    </w:rPr>
                    <w:t>重要信息披露</w:t>
                  </w:r>
                </w:p>
                <w:p w14:paraId="6360D2A0">
                  <w:pPr>
                    <w:pStyle w:val="45"/>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14:paraId="147D1F9E">
                  <w:pPr>
                    <w:pStyle w:val="45"/>
                    <w:rPr>
                      <w:rFonts w:eastAsia="楷体_GB2312" w:cs="Calibri"/>
                      <w:b/>
                      <w:bCs/>
                      <w:w w:val="70"/>
                      <w:sz w:val="20"/>
                      <w:szCs w:val="20"/>
                    </w:rPr>
                  </w:pPr>
                  <w:r>
                    <w:rPr>
                      <w:rFonts w:eastAsia="楷体_GB2312" w:cs="Calibri"/>
                      <w:b/>
                      <w:bCs/>
                      <w:w w:val="70"/>
                      <w:sz w:val="20"/>
                      <w:szCs w:val="20"/>
                    </w:rPr>
                    <w:t>IMPORTANT DISCLOSURES</w:t>
                  </w:r>
                </w:p>
                <w:p w14:paraId="1F329B8F">
                  <w:pPr>
                    <w:pStyle w:val="45"/>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25BAA89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0B2BADE4">
                  <w:pPr>
                    <w:pStyle w:val="45"/>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2A0BFC8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04E3965C">
                  <w:pPr>
                    <w:jc w:val="both"/>
                    <w:rPr>
                      <w:rFonts w:eastAsia="楷体_GB2312" w:cs="Calibri"/>
                      <w:w w:val="70"/>
                      <w:sz w:val="20"/>
                      <w:szCs w:val="20"/>
                      <w:lang w:eastAsia="zh-CN"/>
                    </w:rPr>
                  </w:pPr>
                  <w:r>
                    <w:rPr>
                      <w:rFonts w:ascii="Calibri" w:eastAsia="楷体_GB2312"/>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p w14:paraId="0519A59E">
                  <w:r>
                    <w:rPr>
                      <w:rFonts w:ascii="Calibri" w:eastAsia="楷体_GB2312"/>
                      <w:b w:val="0"/>
                      <w:i w:val="0"/>
                      <w:color w:val="000000"/>
                      <w:w w:val="70"/>
                      <w:sz w:val="20"/>
                    </w:rPr>
                    <w:t>我， 邓轶达，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Yida Deng,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5B1F730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28E45862">
                  <w:pPr>
                    <w:pStyle w:val="45"/>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3DD1E3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608DB68D">
                  <w:pPr>
                    <w:pStyle w:val="45"/>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"mailto:请发邮件至lcd@hfisec.com.hk" </w:instrText>
                  </w:r>
                  <w:r>
                    <w:fldChar w:fldCharType="separate"/>
                  </w:r>
                  <w:r>
                    <w:rPr>
                      <w:rStyle w:val="33"/>
                      <w:rFonts w:eastAsia="楷体_GB2312" w:cs="Calibri"/>
                      <w:w w:val="70"/>
                      <w:sz w:val="20"/>
                      <w:szCs w:val="20"/>
                    </w:rPr>
                    <w:t>请发邮件至lcd@hfisec.com.hk</w:t>
                  </w:r>
                  <w:r>
                    <w:rPr>
                      <w:rStyle w:val="33"/>
                      <w:rFonts w:eastAsia="楷体_GB2312" w:cs="Calibri"/>
                      <w:w w:val="70"/>
                      <w:sz w:val="20"/>
                      <w:szCs w:val="20"/>
                    </w:rPr>
                    <w:fldChar w:fldCharType="end"/>
                  </w:r>
                  <w:r>
                    <w:rPr>
                      <w:rFonts w:eastAsia="楷体_GB2312" w:cs="Calibri"/>
                      <w:w w:val="70"/>
                      <w:sz w:val="20"/>
                      <w:szCs w:val="20"/>
                    </w:rPr>
                    <w:t>）</w:t>
                  </w:r>
                </w:p>
                <w:p w14:paraId="37A13097">
                  <w:pPr>
                    <w:pStyle w:val="45"/>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3BB1989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81FEC1B">
                  <w:pPr>
                    <w:pStyle w:val="45"/>
                    <w:rPr>
                      <w:rFonts w:eastAsia="楷体_GB2312" w:cs="Calibri"/>
                      <w:w w:val="70"/>
                      <w:sz w:val="20"/>
                      <w:szCs w:val="20"/>
                    </w:rPr>
                  </w:pPr>
                </w:p>
              </w:tc>
            </w:tr>
            <w:tr w14:paraId="1BE8AB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27375EA0">
                  <w:pPr>
                    <w:pStyle w:val="45"/>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1235F971">
                  <w:pPr>
                    <w:pStyle w:val="45"/>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3BAF2B4F">
                  <w:pPr>
                    <w:pStyle w:val="45"/>
                    <w:rPr>
                      <w:rFonts w:eastAsia="楷体_GB2312" w:cs="Calibri"/>
                      <w:b/>
                      <w:w w:val="70"/>
                      <w:sz w:val="20"/>
                      <w:szCs w:val="20"/>
                      <w:lang w:eastAsia="zh-CN"/>
                    </w:rPr>
                  </w:pPr>
                  <w:r>
                    <w:rPr>
                      <w:rFonts w:eastAsia="楷体_GB2312" w:cs="Calibri"/>
                      <w:b/>
                      <w:w w:val="70"/>
                      <w:sz w:val="20"/>
                      <w:szCs w:val="20"/>
                      <w:lang w:eastAsia="zh-CN"/>
                    </w:rPr>
                    <w:t>分析师股票评级</w:t>
                  </w:r>
                </w:p>
                <w:p w14:paraId="4A1D4593">
                  <w:pPr>
                    <w:pStyle w:val="45"/>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6002E401">
                  <w:pPr>
                    <w:pStyle w:val="45"/>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69F1DEC4">
                  <w:pPr>
                    <w:pStyle w:val="45"/>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7EFBEE53">
                  <w:pPr>
                    <w:pStyle w:val="45"/>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21F2E04A">
                  <w:pPr>
                    <w:pStyle w:val="45"/>
                    <w:rPr>
                      <w:rFonts w:eastAsia="楷体_GB2312" w:cs="Calibri"/>
                      <w:w w:val="79"/>
                      <w:sz w:val="20"/>
                      <w:szCs w:val="20"/>
                    </w:rPr>
                  </w:pPr>
                  <w:r>
                    <w:rPr>
                      <w:rFonts w:eastAsia="楷体_GB2312" w:cs="Calibri"/>
                      <w:b/>
                      <w:w w:val="79"/>
                      <w:sz w:val="20"/>
                      <w:szCs w:val="20"/>
                    </w:rPr>
                    <w:t xml:space="preserve">Ratings Definitions (from 1 Jul 2020): </w:t>
                  </w:r>
                </w:p>
                <w:p w14:paraId="7D932D5A">
                  <w:pPr>
                    <w:pStyle w:val="45"/>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123FD7EC">
                  <w:pPr>
                    <w:pStyle w:val="45"/>
                    <w:rPr>
                      <w:rFonts w:eastAsia="楷体_GB2312" w:cs="Calibri"/>
                      <w:b/>
                      <w:w w:val="79"/>
                      <w:sz w:val="20"/>
                      <w:szCs w:val="20"/>
                    </w:rPr>
                  </w:pPr>
                  <w:r>
                    <w:rPr>
                      <w:rFonts w:eastAsia="楷体_GB2312" w:cs="Calibri"/>
                      <w:b/>
                      <w:w w:val="79"/>
                      <w:sz w:val="20"/>
                      <w:szCs w:val="20"/>
                    </w:rPr>
                    <w:t>Analyst Stock Ratings</w:t>
                  </w:r>
                </w:p>
                <w:p w14:paraId="364B46E3">
                  <w:pPr>
                    <w:pStyle w:val="45"/>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00EB3741">
                  <w:pPr>
                    <w:pStyle w:val="45"/>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5AB36259">
                  <w:pPr>
                    <w:pStyle w:val="45"/>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2ED0D0D8">
                  <w:pPr>
                    <w:pStyle w:val="45"/>
                    <w:rPr>
                      <w:rFonts w:eastAsia="楷体_GB2312" w:cs="Calibri"/>
                      <w:w w:val="70"/>
                      <w:sz w:val="20"/>
                      <w:szCs w:val="20"/>
                      <w:lang w:eastAsia="zh-CN"/>
                    </w:rPr>
                  </w:pPr>
                </w:p>
              </w:tc>
            </w:tr>
            <w:tr w14:paraId="1C27DF7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80C61E7">
                  <w:pPr>
                    <w:pStyle w:val="45"/>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1E14B9C8">
                  <w:pPr>
                    <w:pStyle w:val="45"/>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694E4C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0B569DE">
                  <w:pPr>
                    <w:pStyle w:val="45"/>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14:paraId="0AAB50FA">
                  <w:pPr>
                    <w:pStyle w:val="45"/>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25EE998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BE54756">
                  <w:pPr>
                    <w:pStyle w:val="45"/>
                    <w:rPr>
                      <w:rFonts w:eastAsia="楷体_GB2312" w:cs="Calibri"/>
                      <w:w w:val="70"/>
                      <w:sz w:val="20"/>
                      <w:szCs w:val="20"/>
                    </w:rPr>
                  </w:pPr>
                </w:p>
              </w:tc>
            </w:tr>
            <w:tr w14:paraId="6EA8B81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D85212B">
                  <w:pPr>
                    <w:pStyle w:val="45"/>
                    <w:spacing w:after="60"/>
                    <w:rPr>
                      <w:rFonts w:eastAsia="楷体_GB2312" w:cs="Calibri"/>
                      <w:b/>
                      <w:w w:val="70"/>
                      <w:sz w:val="20"/>
                      <w:szCs w:val="20"/>
                    </w:rPr>
                  </w:pPr>
                  <w:r>
                    <w:rPr>
                      <w:rFonts w:eastAsia="楷体_GB2312" w:cs="Calibri"/>
                      <w:b/>
                      <w:w w:val="70"/>
                      <w:sz w:val="20"/>
                      <w:szCs w:val="20"/>
                    </w:rPr>
                    <w:t>重要免责声明：</w:t>
                  </w:r>
                </w:p>
                <w:p w14:paraId="075646E4">
                  <w:pPr>
                    <w:pStyle w:val="45"/>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13EA4B42">
                  <w:pPr>
                    <w:pStyle w:val="45"/>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1E55DFD2">
                  <w:pPr>
                    <w:pStyle w:val="45"/>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5F7841A5">
                  <w:pPr>
                    <w:pStyle w:val="45"/>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"http://www.hfisec.com.hk" </w:instrText>
                  </w:r>
                  <w:r>
                    <w:fldChar w:fldCharType="separate"/>
                  </w:r>
                  <w:r>
                    <w:rPr>
                      <w:rStyle w:val="33"/>
                      <w:rFonts w:eastAsia="楷体_GB2312" w:cs="Calibri"/>
                      <w:snapToGrid/>
                      <w:w w:val="70"/>
                      <w:sz w:val="20"/>
                      <w:szCs w:val="20"/>
                      <w:lang w:eastAsia="zh-CN"/>
                    </w:rPr>
                    <w:t>www.hfisec.com.hk</w:t>
                  </w:r>
                  <w:r>
                    <w:rPr>
                      <w:rStyle w:val="33"/>
                      <w:rFonts w:eastAsia="楷体_GB2312" w:cs="Calibri"/>
                      <w:snapToGrid/>
                      <w:w w:val="70"/>
                      <w:sz w:val="20"/>
                      <w:szCs w:val="20"/>
                      <w:lang w:eastAsia="zh-CN"/>
                    </w:rPr>
                    <w:fldChar w:fldCharType="end"/>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237B4649">
                  <w:pPr>
                    <w:pStyle w:val="45"/>
                    <w:spacing w:after="40"/>
                    <w:rPr>
                      <w:rFonts w:eastAsia="楷体_GB2312" w:cs="Calibri"/>
                      <w:b/>
                      <w:bCs/>
                      <w:w w:val="70"/>
                      <w:sz w:val="20"/>
                      <w:szCs w:val="20"/>
                    </w:rPr>
                  </w:pPr>
                  <w:r>
                    <w:rPr>
                      <w:rFonts w:eastAsia="楷体_GB2312" w:cs="Calibri"/>
                      <w:b/>
                      <w:bCs/>
                      <w:w w:val="70"/>
                      <w:sz w:val="20"/>
                      <w:szCs w:val="20"/>
                    </w:rPr>
                    <w:t>IMPORTANT DISCLAIMER</w:t>
                  </w:r>
                </w:p>
                <w:p w14:paraId="4B443536">
                  <w:pPr>
                    <w:pStyle w:val="45"/>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12BA3887">
                  <w:pPr>
                    <w:pStyle w:val="45"/>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0D1759B4">
                  <w:pPr>
                    <w:pStyle w:val="45"/>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53D90CE1">
                  <w:pPr>
                    <w:pStyle w:val="45"/>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 xml:space="preserve">website </w:t>
                  </w:r>
                  <w:r>
                    <w:fldChar w:fldCharType="begin"/>
                  </w:r>
                  <w:r>
                    <w:instrText xml:space="preserve"> HYPERLINK "http://www.hfisec.com.hk" </w:instrText>
                  </w:r>
                  <w:r>
                    <w:fldChar w:fldCharType="separate"/>
                  </w:r>
                  <w:r>
                    <w:rPr>
                      <w:rStyle w:val="33"/>
                      <w:rFonts w:eastAsia="楷体_GB2312" w:cs="Calibri"/>
                      <w:bCs/>
                      <w:w w:val="70"/>
                      <w:sz w:val="20"/>
                      <w:szCs w:val="20"/>
                    </w:rPr>
                    <w:t>www.hfisec.com.hk</w:t>
                  </w:r>
                  <w:r>
                    <w:rPr>
                      <w:rStyle w:val="33"/>
                      <w:rFonts w:eastAsia="楷体_GB2312" w:cs="Calibri"/>
                      <w:bCs/>
                      <w:w w:val="70"/>
                      <w:sz w:val="20"/>
                      <w:szCs w:val="20"/>
                    </w:rPr>
                    <w:fldChar w:fldCharType="end"/>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48D0004F">
                  <w:pPr>
                    <w:pStyle w:val="45"/>
                    <w:spacing w:after="60"/>
                    <w:rPr>
                      <w:rFonts w:eastAsia="楷体_GB2312" w:cs="Calibri"/>
                      <w:b/>
                      <w:w w:val="70"/>
                      <w:sz w:val="20"/>
                      <w:szCs w:val="20"/>
                    </w:rPr>
                  </w:pPr>
                </w:p>
              </w:tc>
            </w:tr>
            <w:tr w14:paraId="08CBA4F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9ABC2BE">
                  <w:pPr>
                    <w:pStyle w:val="45"/>
                    <w:spacing w:after="60"/>
                    <w:rPr>
                      <w:rFonts w:eastAsia="楷体_GB2312" w:cs="Calibri"/>
                      <w:b/>
                      <w:snapToGrid/>
                      <w:w w:val="70"/>
                      <w:sz w:val="20"/>
                      <w:szCs w:val="20"/>
                    </w:rPr>
                  </w:pPr>
                  <w:r>
                    <w:rPr>
                      <w:rFonts w:eastAsia="楷体_GB2312" w:cs="Calibri"/>
                      <w:b/>
                      <w:snapToGrid/>
                      <w:w w:val="70"/>
                      <w:sz w:val="20"/>
                      <w:szCs w:val="20"/>
                    </w:rPr>
                    <w:t>分发和地区通知：</w:t>
                  </w:r>
                </w:p>
                <w:p w14:paraId="2D5AD242">
                  <w:pPr>
                    <w:pStyle w:val="45"/>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104102A6">
                  <w:pPr>
                    <w:pStyle w:val="45"/>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14:paraId="290F5786">
                  <w:pPr>
                    <w:pStyle w:val="45"/>
                    <w:spacing w:after="40"/>
                    <w:rPr>
                      <w:rFonts w:eastAsia="楷体_GB2312" w:cs="Calibri"/>
                      <w:b/>
                      <w:bCs/>
                      <w:w w:val="70"/>
                      <w:sz w:val="20"/>
                      <w:szCs w:val="20"/>
                    </w:rPr>
                  </w:pPr>
                  <w:r>
                    <w:rPr>
                      <w:rFonts w:eastAsia="楷体_GB2312" w:cs="Calibri"/>
                      <w:b/>
                      <w:bCs/>
                      <w:w w:val="70"/>
                      <w:sz w:val="20"/>
                      <w:szCs w:val="20"/>
                    </w:rPr>
                    <w:t>DISTRIBUTION AND REGIONAL NOTICES</w:t>
                  </w:r>
                </w:p>
                <w:p w14:paraId="4C9D7284">
                  <w:pPr>
                    <w:pStyle w:val="45"/>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4F3F0CB1">
                  <w:pPr>
                    <w:pStyle w:val="45"/>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40D6BADE">
                  <w:pPr>
                    <w:pStyle w:val="45"/>
                    <w:spacing w:after="60"/>
                    <w:rPr>
                      <w:rFonts w:eastAsia="楷体_GB2312" w:cs="Calibri"/>
                      <w:b/>
                      <w:w w:val="70"/>
                      <w:sz w:val="20"/>
                      <w:szCs w:val="20"/>
                    </w:rPr>
                  </w:pPr>
                </w:p>
              </w:tc>
            </w:tr>
            <w:tr w14:paraId="78749E6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783D100">
                  <w:pPr>
                    <w:pStyle w:val="45"/>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6F5B4DB">
                  <w:pPr>
                    <w:pStyle w:val="45"/>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14:paraId="7B2816D0">
                  <w:pPr>
                    <w:pStyle w:val="45"/>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14:paraId="4C0020EC">
                  <w:pPr>
                    <w:pStyle w:val="45"/>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3BFBE536">
                  <w:pPr>
                    <w:pStyle w:val="45"/>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49951C89">
                  <w:pPr>
                    <w:pStyle w:val="45"/>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26E490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CED4E60">
                  <w:pPr>
                    <w:pStyle w:val="45"/>
                    <w:spacing w:after="60"/>
                    <w:rPr>
                      <w:rFonts w:eastAsia="楷体_GB2312" w:cs="Calibri"/>
                      <w:b/>
                      <w:w w:val="70"/>
                      <w:sz w:val="20"/>
                      <w:szCs w:val="20"/>
                    </w:rPr>
                  </w:pPr>
                </w:p>
              </w:tc>
            </w:tr>
            <w:tr w14:paraId="273EF57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2975CCCF">
                  <w:pPr>
                    <w:pStyle w:val="45"/>
                    <w:spacing w:after="60"/>
                    <w:rPr>
                      <w:rFonts w:eastAsia="楷体_GB2312" w:cs="Calibri"/>
                      <w:b/>
                      <w:w w:val="70"/>
                      <w:sz w:val="20"/>
                      <w:szCs w:val="20"/>
                      <w:lang w:eastAsia="zh-CN"/>
                    </w:rPr>
                  </w:pPr>
                </w:p>
              </w:tc>
            </w:tr>
          </w:tbl>
          <w:p w14:paraId="355CC9E0">
            <w:pPr>
              <w:pStyle w:val="82"/>
              <w:rPr>
                <w:rFonts w:eastAsia="宋体"/>
                <w:sz w:val="16"/>
              </w:rPr>
            </w:pPr>
          </w:p>
          <w:p w14:paraId="43B96DD1"/>
        </w:tc>
      </w:tr>
    </w:tbl>
    <w:p w14:paraId="6D82068E">
      <w:pPr>
        <w:pStyle w:val="82"/>
        <w:rPr>
          <w:w w:val="70"/>
          <w:sz w:val="20"/>
          <w:szCs w:val="20"/>
          <w:lang w:val="en-GB"/>
        </w:rPr>
      </w:pPr>
    </w:p>
    <w:p w14:paraId="30425E30">
      <w:pPr>
        <w:pStyle w:val="82"/>
        <w:rPr>
          <w:lang w:val="en-GB"/>
        </w:rPr>
      </w:pPr>
    </w:p>
    <w:sectPr>
      <w:headerReference r:id="rId8" w:type="first"/>
      <w:footerReference r:id="rId10" w:type="first"/>
      <w:headerReference r:id="rId7" w:type="default"/>
      <w:footerReference r:id="rId9"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0000010" w:usb3="00000000" w:csb0="4002009F" w:csb1="DFD7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PMingLiU">
    <w:altName w:val="Segoe Print"/>
    <w:panose1 w:val="00000000000000000000"/>
    <w:charset w:val="00"/>
    <w:family w:val="auto"/>
    <w:pitch w:val="default"/>
    <w:sig w:usb0="00000000" w:usb1="00000000" w:usb2="00000000" w:usb3="00000000" w:csb0="00000000" w:csb1="00000000"/>
  </w:font>
  <w:font w:name="楷体_GB2312">
    <w:panose1 w:val="02010609030101010101"/>
    <w:charset w:val="86"/>
    <w:family w:val="modern"/>
    <w:pitch w:val="default"/>
    <w:sig w:usb0="00000001" w:usb1="080E0000" w:usb2="00000000" w:usb3="00000000" w:csb0="00040000" w:csb1="00000000"/>
  </w:font>
  <w:font w:name="汉仪楷体简">
    <w:altName w:val="宋体"/>
    <w:panose1 w:val="00000000000000000000"/>
    <w:charset w:val="86"/>
    <w:family w:val="modern"/>
    <w:pitch w:val="default"/>
    <w:sig w:usb0="00000000" w:usb1="00000000" w:usb2="00000012" w:usb3="00000000" w:csb0="00040000" w:csb1="00000000"/>
  </w:font>
  <w:font w:name="汉仪大黑简">
    <w:altName w:val="黑体"/>
    <w:panose1 w:val="00000000000000000000"/>
    <w:charset w:val="86"/>
    <w:family w:val="modern"/>
    <w:pitch w:val="default"/>
    <w:sig w:usb0="00000000" w:usb1="00000000" w:usb2="0000001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21B9A">
    <w:pPr>
      <w:pStyle w:val="43"/>
    </w:pPr>
    <w:r>
      <w:rPr>
        <w:lang w:eastAsia="zh-CN"/>
      </w:rPr>
      <mc:AlternateContent>
        <mc:Choice Requires="wps">
          <w:drawing>
            <wp:anchor distT="0" distB="0" distL="114300" distR="114300" simplePos="0" relativeHeight="251659264" behindDoc="0" locked="0" layoutInCell="1" allowOverlap="1">
              <wp:simplePos x="0" y="0"/>
              <wp:positionH relativeFrom="page">
                <wp:posOffset>75565</wp:posOffset>
              </wp:positionH>
              <wp:positionV relativeFrom="page">
                <wp:posOffset>9812020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5B94D0DA">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5.95pt;margin-top:772.6pt;height:3.95pt;width:583pt;mso-position-horizontal-relative:page;mso-position-vertical-relative:page;z-index:251659264;mso-width-relative:page;mso-height-relative:page;" fillcolor="#005BAC" filled="t" stroked="f" coordsize="21600,21600" o:gfxdata="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2Z/+N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5B94D0DA">
                    <w:pPr>
                      <w:ind w:left="-180"/>
                    </w:pPr>
                  </w:p>
                </w:txbxContent>
              </v:textbox>
            </v:shape>
          </w:pict>
        </mc:Fallback>
      </mc:AlternateContent>
    </w:r>
    <w:r>
      <w:rPr>
        <w:lang w:eastAsia="zh-CN"/>
      </w:rPr>
      <mc:AlternateContent>
        <mc:Choice Requires="wps">
          <w:drawing>
            <wp:anchor distT="0" distB="0" distL="114300" distR="114300" simplePos="0" relativeHeight="251661312" behindDoc="0" locked="1" layoutInCell="1" allowOverlap="1">
              <wp:simplePos x="0" y="0"/>
              <wp:positionH relativeFrom="column">
                <wp:posOffset>-448945</wp:posOffset>
              </wp:positionH>
              <wp:positionV relativeFrom="page">
                <wp:posOffset>9860280</wp:posOffset>
              </wp:positionV>
              <wp:extent cx="7421880" cy="807720"/>
              <wp:effectExtent l="0" t="0" r="762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21880" cy="807720"/>
                      </a:xfrm>
                      <a:prstGeom prst="rect">
                        <a:avLst/>
                      </a:prstGeom>
                      <a:noFill/>
                      <a:ln>
                        <a:noFill/>
                      </a:ln>
                    </wps:spPr>
                    <wps:txbx>
                      <w:txbxContent>
                        <w:tbl>
                          <w:tblPr>
                            <w:tblStyle w:val="28"/>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225B555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624" w:type="dxa"/>
                              </w:tcPr>
                              <w:p w14:paraId="368834B8">
                                <w:pPr>
                                  <w:pStyle w:val="60"/>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0CB6BE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24E5533B">
                                <w:pPr>
                                  <w:pStyle w:val="60"/>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59B6F397">
                          <w:pPr>
                            <w:pStyle w:val="60"/>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5.35pt;margin-top:776.4pt;height:63.6pt;width:584.4pt;mso-position-vertical-relative:page;z-index:251661312;mso-width-relative:page;mso-height-relative:page;" filled="f" stroked="f" coordsize="21600,21600" o:gfxdata="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2Al72wAAAA4BAAAPAAAAAAAAAAEAIAAAACIAAABkcnMvZG93&#10;bnJldi54bWxQSwECFAAUAAAACACHTuJAfGiuMv0BAAAHBAAADgAAAAAAAAABACAAAAAqAQAAZHJz&#10;L2Uyb0RvYy54bWxQSwUGAAAAAAYABgBZAQAAmQUAAAAA&#10;">
              <v:fill on="f" focussize="0,0"/>
              <v:stroke on="f"/>
              <v:imagedata o:title=""/>
              <o:lock v:ext="edit" aspectratio="f"/>
              <v:textbox inset="0mm,0mm,0mm,0mm">
                <w:txbxContent>
                  <w:tbl>
                    <w:tblPr>
                      <w:tblStyle w:val="28"/>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225B555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624" w:type="dxa"/>
                        </w:tcPr>
                        <w:p w14:paraId="368834B8">
                          <w:pPr>
                            <w:pStyle w:val="60"/>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0CB6BE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24E5533B">
                          <w:pPr>
                            <w:pStyle w:val="60"/>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59B6F397">
                    <w:pPr>
                      <w:pStyle w:val="60"/>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529E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FC9FA91">
          <w:pPr>
            <w:pStyle w:val="50"/>
            <w:framePr w:wrap="auto" w:vAnchor="margin" w:hAnchor="text" w:xAlign="left" w:yAlign="inline"/>
          </w:pPr>
          <w:r>
            <w:fldChar w:fldCharType="begin"/>
          </w:r>
          <w:r>
            <w:instrText xml:space="preserve"> DATE  \@ "d MMM yyyy"  \* MERGEFORMAT </w:instrText>
          </w:r>
          <w:r>
            <w:fldChar w:fldCharType="separate"/>
          </w:r>
          <w:r>
            <w:t>20 Feb 2026</w:t>
          </w:r>
          <w:r>
            <w:fldChar w:fldCharType="end"/>
          </w:r>
          <w:r>
            <w:tab/>
          </w:r>
          <w:r>
            <w:fldChar w:fldCharType="begin"/>
          </w:r>
          <w:r>
            <w:instrText xml:space="preserve"> PAGE </w:instrText>
          </w:r>
          <w:r>
            <w:fldChar w:fldCharType="separate"/>
          </w:r>
          <w:r>
            <w:t>4</w:t>
          </w:r>
          <w:r>
            <w:fldChar w:fldCharType="end"/>
          </w:r>
        </w:p>
      </w:tc>
    </w:tr>
  </w:tbl>
  <w:p w14:paraId="1EB64B52">
    <w:pPr>
      <w:pStyle w:val="4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A1009">
    <w:pPr>
      <w:pStyle w:val="43"/>
      <w:spacing w:line="20" w:lineRule="exact"/>
    </w:pPr>
  </w:p>
  <w:tbl>
    <w:tblPr>
      <w:tblStyle w:val="27"/>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4707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65960342">
          <w:pPr>
            <w:pStyle w:val="50"/>
            <w:framePr w:wrap="auto" w:vAnchor="margin" w:hAnchor="text" w:xAlign="left" w:yAlign="inline"/>
          </w:pPr>
          <w:r>
            <w:tab/>
          </w:r>
          <w:r>
            <w:fldChar w:fldCharType="begin"/>
          </w:r>
          <w:r>
            <w:instrText xml:space="preserve"> PAGE </w:instrText>
          </w:r>
          <w:r>
            <w:fldChar w:fldCharType="separate"/>
          </w:r>
          <w:r>
            <w:t>6</w:t>
          </w:r>
          <w:r>
            <w:fldChar w:fldCharType="end"/>
          </w:r>
        </w:p>
      </w:tc>
    </w:tr>
  </w:tbl>
  <w:p w14:paraId="13597DA5">
    <w:pPr>
      <w:pStyle w:val="4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87628">
    <w:pPr>
      <w:pStyle w:val="1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3B87E">
    <w:pPr>
      <w:pStyle w:val="43"/>
    </w:pPr>
    <w:r>
      <w:rPr>
        <w:snapToGrid/>
      </w:rPr>
      <w:drawing>
        <wp:anchor distT="0" distB="0" distL="114300" distR="114300" simplePos="0" relativeHeight="251663360" behindDoc="0" locked="0" layoutInCell="1" allowOverlap="1">
          <wp:simplePos x="0" y="0"/>
          <wp:positionH relativeFrom="margin">
            <wp:posOffset>4597400</wp:posOffset>
          </wp:positionH>
          <wp:positionV relativeFrom="paragraph">
            <wp:posOffset>-20955</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p w14:paraId="69B9A78B"/>
  <w:p w14:paraId="125D5D4F">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335915</wp:posOffset>
              </wp:positionH>
              <wp:positionV relativeFrom="paragraph">
                <wp:posOffset>2215515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8"/>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47A2F23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592B126">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0E88842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51323783">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264233F8">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45pt;margin-top:174.45pt;height:22.8pt;width:180.45pt;z-index:251662336;mso-width-relative:page;mso-height-relative:page;" filled="f" stroked="f" coordsize="21600,21600" o:gfxdata="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Tle1rYAAAACgEAAA8AAAAAAAAAAQAgAAAAIgAAAGRycy9kb3ducmV2LnhtbFBLAQIUABQAAAAI&#10;AIdO4kBEPAoLJgIAACsEAAAOAAAAAAAAAAEAIAAAACcBAABkcnMvZTJvRG9jLnhtbFBLBQYAAAAA&#10;BgAGAFkBAAC/BQAAAAA=&#10;">
              <v:fill on="f" focussize="0,0"/>
              <v:stroke on="f" miterlimit="8" joinstyle="miter"/>
              <v:imagedata o:title=""/>
              <o:lock v:ext="edit" aspectratio="f"/>
              <v:textbox>
                <w:txbxContent>
                  <w:tbl>
                    <w:tblPr>
                      <w:tblStyle w:val="28"/>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47A2F23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592B126">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0E88842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51323783">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264233F8">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W w:w="0" w:type="auto"/>
      <w:tblCaption w:val="[Table_header2]"/>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594"/>
    </w:tblGrid>
    <w:tr w14:paraId="244B69C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exact"/>
      </w:trPr>
      <w:tc>
        <w:tcPr>
          <w:tcW w:w="10685" w:type="dxa"/>
        </w:tcPr>
        <w:p w14:paraId="36D4FF1A">
          <w:pPr>
            <w:pStyle w:val="43"/>
            <w:rPr>
              <w:color w:val="FF0000"/>
            </w:rPr>
          </w:pPr>
          <w:r>
            <w:rPr>
              <w:color w:val="FFFFFF" w:themeColor="background1"/>
              <w14:textFill>
                <w14:solidFill>
                  <w14:schemeClr w14:val="bg1"/>
                </w14:solidFill>
              </w14:textFill>
            </w:rPr>
            <w:t>[Table_header2]</w:t>
          </w:r>
        </w:p>
      </w:tc>
    </w:tr>
    <w:tr w14:paraId="518CFA4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85" w:type="dxa"/>
        </w:tcPr>
        <w:p w14:paraId="7C25CF41">
          <w:pPr>
            <w:pStyle w:val="43"/>
            <w:jc w:val="right"/>
            <w:rPr>
              <w:rFonts w:eastAsia="楷体_GB2312" w:cs="Calibri"/>
              <w:b/>
              <w:color w:val="005BAC"/>
              <w:sz w:val="24"/>
              <w:szCs w:val="24"/>
            </w:rPr>
          </w:pPr>
          <w:r>
            <w:rPr>
              <w:rFonts w:hint="eastAsia" w:ascii="Calibri" w:eastAsia="楷体_GB2312"/>
              <w:b w:val="0"/>
              <w:i w:val="0"/>
              <w:color w:val="215E99"/>
              <w:sz w:val="24"/>
              <w:lang w:eastAsia="zh-CN"/>
            </w:rPr>
            <w:t>全球</w:t>
          </w:r>
          <w:r>
            <w:rPr>
              <w:rFonts w:hint="eastAsia" w:ascii="Calibri" w:eastAsia="楷体_GB2312"/>
              <w:b w:val="0"/>
              <w:i w:val="0"/>
              <w:color w:val="215E99"/>
              <w:sz w:val="24"/>
            </w:rPr>
            <w:t>宏观</w:t>
          </w:r>
          <w:r>
            <w:rPr>
              <w:rFonts w:hint="eastAsia" w:ascii="Calibri" w:eastAsia="楷体_GB2312"/>
              <w:b w:val="0"/>
              <w:i w:val="0"/>
              <w:color w:val="215E99"/>
              <w:sz w:val="24"/>
              <w:lang w:eastAsia="zh-CN"/>
            </w:rPr>
            <w:t>World</w:t>
          </w:r>
          <w:r>
            <w:rPr>
              <w:rFonts w:ascii="Calibri" w:eastAsia="楷体_GB2312"/>
              <w:b w:val="0"/>
              <w:i w:val="0"/>
              <w:color w:val="215E99"/>
              <w:sz w:val="24"/>
            </w:rPr>
            <w:t xml:space="preserve"> Macro</w:t>
          </w:r>
        </w:p>
      </w:tc>
    </w:tr>
  </w:tbl>
  <w:p w14:paraId="5A0C27C6">
    <w:pPr>
      <w:pStyle w:val="4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8FE6D">
    <w:pPr>
      <w:pStyle w:val="4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ECB4C">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A8D39D"/>
    <w:multiLevelType w:val="singleLevel"/>
    <w:tmpl w:val="F9A8D39D"/>
    <w:lvl w:ilvl="0" w:tentative="0">
      <w:start w:val="1"/>
      <w:numFmt w:val="decimal"/>
      <w:lvlText w:val="%1."/>
      <w:lvlJc w:val="left"/>
      <w:pPr>
        <w:tabs>
          <w:tab w:val="left" w:pos="312"/>
        </w:tabs>
      </w:pPr>
    </w:lvl>
  </w:abstractNum>
  <w:abstractNum w:abstractNumId="1">
    <w:nsid w:val="02634AC8"/>
    <w:multiLevelType w:val="multilevel"/>
    <w:tmpl w:val="02634AC8"/>
    <w:lvl w:ilvl="0" w:tentative="0">
      <w:start w:val="1"/>
      <w:numFmt w:val="bullet"/>
      <w:pStyle w:val="139"/>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03935DA5"/>
    <w:multiLevelType w:val="multilevel"/>
    <w:tmpl w:val="03935DA5"/>
    <w:lvl w:ilvl="0" w:tentative="0">
      <w:start w:val="1"/>
      <w:numFmt w:val="bullet"/>
      <w:pStyle w:val="47"/>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238731C4"/>
    <w:multiLevelType w:val="multilevel"/>
    <w:tmpl w:val="238731C4"/>
    <w:lvl w:ilvl="0" w:tentative="0">
      <w:start w:val="1"/>
      <w:numFmt w:val="upperRoman"/>
      <w:pStyle w:val="88"/>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31A2D25"/>
    <w:multiLevelType w:val="multilevel"/>
    <w:tmpl w:val="331A2D25"/>
    <w:lvl w:ilvl="0" w:tentative="0">
      <w:start w:val="1"/>
      <w:numFmt w:val="bullet"/>
      <w:pStyle w:val="69"/>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8A55B35"/>
    <w:multiLevelType w:val="multilevel"/>
    <w:tmpl w:val="38A55B35"/>
    <w:lvl w:ilvl="0" w:tentative="0">
      <w:start w:val="1"/>
      <w:numFmt w:val="bullet"/>
      <w:pStyle w:val="93"/>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7">
    <w:nsid w:val="41772804"/>
    <w:multiLevelType w:val="multilevel"/>
    <w:tmpl w:val="41772804"/>
    <w:lvl w:ilvl="0" w:tentative="0">
      <w:start w:val="1"/>
      <w:numFmt w:val="bullet"/>
      <w:pStyle w:val="68"/>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1EA01BD"/>
    <w:multiLevelType w:val="multilevel"/>
    <w:tmpl w:val="41EA01BD"/>
    <w:lvl w:ilvl="0" w:tentative="0">
      <w:start w:val="1"/>
      <w:numFmt w:val="bullet"/>
      <w:pStyle w:val="85"/>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79321DC"/>
    <w:multiLevelType w:val="multilevel"/>
    <w:tmpl w:val="479321DC"/>
    <w:lvl w:ilvl="0" w:tentative="0">
      <w:start w:val="1"/>
      <w:numFmt w:val="bullet"/>
      <w:pStyle w:val="40"/>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62B5102"/>
    <w:multiLevelType w:val="multilevel"/>
    <w:tmpl w:val="662B5102"/>
    <w:lvl w:ilvl="0" w:tentative="0">
      <w:start w:val="1"/>
      <w:numFmt w:val="bullet"/>
      <w:pStyle w:val="94"/>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1">
    <w:nsid w:val="6B531506"/>
    <w:multiLevelType w:val="multilevel"/>
    <w:tmpl w:val="6B531506"/>
    <w:lvl w:ilvl="0" w:tentative="0">
      <w:start w:val="1"/>
      <w:numFmt w:val="upperRoman"/>
      <w:pStyle w:val="100"/>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2">
    <w:nsid w:val="6C4E34EC"/>
    <w:multiLevelType w:val="multilevel"/>
    <w:tmpl w:val="6C4E34EC"/>
    <w:lvl w:ilvl="0" w:tentative="0">
      <w:start w:val="1"/>
      <w:numFmt w:val="bullet"/>
      <w:pStyle w:val="67"/>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2"/>
  </w:num>
  <w:num w:numId="4">
    <w:abstractNumId w:val="12"/>
  </w:num>
  <w:num w:numId="5">
    <w:abstractNumId w:val="7"/>
  </w:num>
  <w:num w:numId="6">
    <w:abstractNumId w:val="5"/>
  </w:num>
  <w:num w:numId="7">
    <w:abstractNumId w:val="8"/>
  </w:num>
  <w:num w:numId="8">
    <w:abstractNumId w:val="4"/>
  </w:num>
  <w:num w:numId="9">
    <w:abstractNumId w:val="6"/>
  </w:num>
  <w:num w:numId="10">
    <w:abstractNumId w:val="10"/>
  </w:num>
  <w:num w:numId="11">
    <w:abstractNumId w:val="11"/>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0"/>
  <w:drawingGridHorizontalSpacing w:val="80"/>
  <w:drawingGridVerticalSpacing w:val="20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C0E"/>
    <w:rsid w:val="0000224B"/>
    <w:rsid w:val="00002DDC"/>
    <w:rsid w:val="00003E75"/>
    <w:rsid w:val="00004BAA"/>
    <w:rsid w:val="00004FB5"/>
    <w:rsid w:val="0000558A"/>
    <w:rsid w:val="000063F1"/>
    <w:rsid w:val="0000732D"/>
    <w:rsid w:val="00010774"/>
    <w:rsid w:val="0001184F"/>
    <w:rsid w:val="00013043"/>
    <w:rsid w:val="000130D9"/>
    <w:rsid w:val="00013244"/>
    <w:rsid w:val="00014086"/>
    <w:rsid w:val="000146CB"/>
    <w:rsid w:val="000152DE"/>
    <w:rsid w:val="000158A6"/>
    <w:rsid w:val="000171D2"/>
    <w:rsid w:val="000201AE"/>
    <w:rsid w:val="00020B7A"/>
    <w:rsid w:val="00021DAC"/>
    <w:rsid w:val="00021DD0"/>
    <w:rsid w:val="00022C11"/>
    <w:rsid w:val="00023367"/>
    <w:rsid w:val="00024F59"/>
    <w:rsid w:val="0002500A"/>
    <w:rsid w:val="00025E71"/>
    <w:rsid w:val="00025F59"/>
    <w:rsid w:val="00026DCC"/>
    <w:rsid w:val="00027183"/>
    <w:rsid w:val="00027FEF"/>
    <w:rsid w:val="0003028B"/>
    <w:rsid w:val="00031D6F"/>
    <w:rsid w:val="00032B31"/>
    <w:rsid w:val="000334F3"/>
    <w:rsid w:val="000336AF"/>
    <w:rsid w:val="00033DF7"/>
    <w:rsid w:val="000347D5"/>
    <w:rsid w:val="00035535"/>
    <w:rsid w:val="00035E45"/>
    <w:rsid w:val="0003686B"/>
    <w:rsid w:val="00041387"/>
    <w:rsid w:val="00041A6F"/>
    <w:rsid w:val="0004283E"/>
    <w:rsid w:val="00042B17"/>
    <w:rsid w:val="00043062"/>
    <w:rsid w:val="00043657"/>
    <w:rsid w:val="0004549E"/>
    <w:rsid w:val="00047D52"/>
    <w:rsid w:val="000516AD"/>
    <w:rsid w:val="00051EC9"/>
    <w:rsid w:val="00052838"/>
    <w:rsid w:val="00052DCF"/>
    <w:rsid w:val="00053BBB"/>
    <w:rsid w:val="00054224"/>
    <w:rsid w:val="00054451"/>
    <w:rsid w:val="00055381"/>
    <w:rsid w:val="0005743D"/>
    <w:rsid w:val="000575A3"/>
    <w:rsid w:val="00057779"/>
    <w:rsid w:val="000640E9"/>
    <w:rsid w:val="00065200"/>
    <w:rsid w:val="000700E0"/>
    <w:rsid w:val="00070B53"/>
    <w:rsid w:val="00070F15"/>
    <w:rsid w:val="00072408"/>
    <w:rsid w:val="000729AF"/>
    <w:rsid w:val="0007309A"/>
    <w:rsid w:val="00073BEB"/>
    <w:rsid w:val="000749C7"/>
    <w:rsid w:val="00075B0A"/>
    <w:rsid w:val="00077BA0"/>
    <w:rsid w:val="00080296"/>
    <w:rsid w:val="000810B3"/>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23D4"/>
    <w:rsid w:val="000A2C9D"/>
    <w:rsid w:val="000A30E9"/>
    <w:rsid w:val="000A461B"/>
    <w:rsid w:val="000A6794"/>
    <w:rsid w:val="000A726A"/>
    <w:rsid w:val="000B13C1"/>
    <w:rsid w:val="000B18D6"/>
    <w:rsid w:val="000B2336"/>
    <w:rsid w:val="000B465C"/>
    <w:rsid w:val="000B792D"/>
    <w:rsid w:val="000B7DE2"/>
    <w:rsid w:val="000C02F6"/>
    <w:rsid w:val="000C1F65"/>
    <w:rsid w:val="000C2B68"/>
    <w:rsid w:val="000C2E9E"/>
    <w:rsid w:val="000C39D2"/>
    <w:rsid w:val="000C3D03"/>
    <w:rsid w:val="000C4852"/>
    <w:rsid w:val="000C627B"/>
    <w:rsid w:val="000C77D8"/>
    <w:rsid w:val="000C7E1A"/>
    <w:rsid w:val="000D1903"/>
    <w:rsid w:val="000D19B0"/>
    <w:rsid w:val="000D1A3C"/>
    <w:rsid w:val="000E0A01"/>
    <w:rsid w:val="000E0F0E"/>
    <w:rsid w:val="000E1FB8"/>
    <w:rsid w:val="000E35E3"/>
    <w:rsid w:val="000E377C"/>
    <w:rsid w:val="000E3E8B"/>
    <w:rsid w:val="000E5287"/>
    <w:rsid w:val="000E664D"/>
    <w:rsid w:val="000E6BA6"/>
    <w:rsid w:val="000F098D"/>
    <w:rsid w:val="000F0C19"/>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CDB"/>
    <w:rsid w:val="001059C9"/>
    <w:rsid w:val="0010656E"/>
    <w:rsid w:val="00106DF2"/>
    <w:rsid w:val="00110B26"/>
    <w:rsid w:val="00110FF3"/>
    <w:rsid w:val="001111AD"/>
    <w:rsid w:val="00113DC0"/>
    <w:rsid w:val="001154B0"/>
    <w:rsid w:val="0011588A"/>
    <w:rsid w:val="001164AF"/>
    <w:rsid w:val="00117571"/>
    <w:rsid w:val="00117C9F"/>
    <w:rsid w:val="00120A7B"/>
    <w:rsid w:val="00123AC1"/>
    <w:rsid w:val="0012412A"/>
    <w:rsid w:val="00124271"/>
    <w:rsid w:val="00124E3B"/>
    <w:rsid w:val="0012686A"/>
    <w:rsid w:val="00126871"/>
    <w:rsid w:val="00127CD0"/>
    <w:rsid w:val="00130BC2"/>
    <w:rsid w:val="001311FC"/>
    <w:rsid w:val="0013302A"/>
    <w:rsid w:val="00133D86"/>
    <w:rsid w:val="001345B6"/>
    <w:rsid w:val="00135A41"/>
    <w:rsid w:val="00137678"/>
    <w:rsid w:val="00141BEC"/>
    <w:rsid w:val="001434AA"/>
    <w:rsid w:val="00145B09"/>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60306"/>
    <w:rsid w:val="0016407E"/>
    <w:rsid w:val="00164CA4"/>
    <w:rsid w:val="00165FE3"/>
    <w:rsid w:val="001669C8"/>
    <w:rsid w:val="00166E15"/>
    <w:rsid w:val="00167695"/>
    <w:rsid w:val="00170C3B"/>
    <w:rsid w:val="00170DCB"/>
    <w:rsid w:val="001721EC"/>
    <w:rsid w:val="001763B0"/>
    <w:rsid w:val="001771D0"/>
    <w:rsid w:val="001807CA"/>
    <w:rsid w:val="00181893"/>
    <w:rsid w:val="00181D43"/>
    <w:rsid w:val="0018583D"/>
    <w:rsid w:val="00185B06"/>
    <w:rsid w:val="001872F4"/>
    <w:rsid w:val="001875FC"/>
    <w:rsid w:val="00191469"/>
    <w:rsid w:val="001922CB"/>
    <w:rsid w:val="0019345E"/>
    <w:rsid w:val="0019383A"/>
    <w:rsid w:val="00194662"/>
    <w:rsid w:val="00195C32"/>
    <w:rsid w:val="00197CAF"/>
    <w:rsid w:val="001A1911"/>
    <w:rsid w:val="001A3692"/>
    <w:rsid w:val="001A4F63"/>
    <w:rsid w:val="001A5214"/>
    <w:rsid w:val="001A563D"/>
    <w:rsid w:val="001A571E"/>
    <w:rsid w:val="001A6C17"/>
    <w:rsid w:val="001A7AE5"/>
    <w:rsid w:val="001B0473"/>
    <w:rsid w:val="001B0E69"/>
    <w:rsid w:val="001B1F03"/>
    <w:rsid w:val="001B2F6F"/>
    <w:rsid w:val="001B3090"/>
    <w:rsid w:val="001B31CA"/>
    <w:rsid w:val="001B3D32"/>
    <w:rsid w:val="001B3E45"/>
    <w:rsid w:val="001B45FD"/>
    <w:rsid w:val="001C020B"/>
    <w:rsid w:val="001C105A"/>
    <w:rsid w:val="001C20AC"/>
    <w:rsid w:val="001C2549"/>
    <w:rsid w:val="001C3243"/>
    <w:rsid w:val="001C3C78"/>
    <w:rsid w:val="001C577A"/>
    <w:rsid w:val="001C5D7B"/>
    <w:rsid w:val="001C62E1"/>
    <w:rsid w:val="001C637C"/>
    <w:rsid w:val="001C7FED"/>
    <w:rsid w:val="001D00D0"/>
    <w:rsid w:val="001D2489"/>
    <w:rsid w:val="001D2DEF"/>
    <w:rsid w:val="001D345B"/>
    <w:rsid w:val="001D4C97"/>
    <w:rsid w:val="001D58D6"/>
    <w:rsid w:val="001D663F"/>
    <w:rsid w:val="001D6B4F"/>
    <w:rsid w:val="001D6F5B"/>
    <w:rsid w:val="001E04EA"/>
    <w:rsid w:val="001E0900"/>
    <w:rsid w:val="001E4AE1"/>
    <w:rsid w:val="001E4BA2"/>
    <w:rsid w:val="001E59E2"/>
    <w:rsid w:val="001E60AA"/>
    <w:rsid w:val="001E6C6E"/>
    <w:rsid w:val="001E7BEF"/>
    <w:rsid w:val="001E7FF3"/>
    <w:rsid w:val="001F0651"/>
    <w:rsid w:val="001F1906"/>
    <w:rsid w:val="001F1C59"/>
    <w:rsid w:val="001F3F20"/>
    <w:rsid w:val="001F4135"/>
    <w:rsid w:val="001F536A"/>
    <w:rsid w:val="001F5572"/>
    <w:rsid w:val="001F5A51"/>
    <w:rsid w:val="001F75AC"/>
    <w:rsid w:val="00200B71"/>
    <w:rsid w:val="00201113"/>
    <w:rsid w:val="00201302"/>
    <w:rsid w:val="002017C5"/>
    <w:rsid w:val="0020268B"/>
    <w:rsid w:val="00203E93"/>
    <w:rsid w:val="00205F60"/>
    <w:rsid w:val="0020724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643A"/>
    <w:rsid w:val="00227B8A"/>
    <w:rsid w:val="00227E8E"/>
    <w:rsid w:val="0023015F"/>
    <w:rsid w:val="002323DB"/>
    <w:rsid w:val="002333C1"/>
    <w:rsid w:val="002334CD"/>
    <w:rsid w:val="00237463"/>
    <w:rsid w:val="002408B0"/>
    <w:rsid w:val="002409CB"/>
    <w:rsid w:val="00240D3A"/>
    <w:rsid w:val="0024314C"/>
    <w:rsid w:val="00243985"/>
    <w:rsid w:val="00243BC1"/>
    <w:rsid w:val="00244462"/>
    <w:rsid w:val="00247965"/>
    <w:rsid w:val="00247BCD"/>
    <w:rsid w:val="002501F5"/>
    <w:rsid w:val="00250E07"/>
    <w:rsid w:val="0025139A"/>
    <w:rsid w:val="00251EC5"/>
    <w:rsid w:val="00253320"/>
    <w:rsid w:val="00253A6F"/>
    <w:rsid w:val="00253D92"/>
    <w:rsid w:val="0025406B"/>
    <w:rsid w:val="00255E22"/>
    <w:rsid w:val="00256095"/>
    <w:rsid w:val="002562BC"/>
    <w:rsid w:val="002567B0"/>
    <w:rsid w:val="0025700B"/>
    <w:rsid w:val="00257AC0"/>
    <w:rsid w:val="00261434"/>
    <w:rsid w:val="002617C7"/>
    <w:rsid w:val="00262A58"/>
    <w:rsid w:val="00262C21"/>
    <w:rsid w:val="0026432E"/>
    <w:rsid w:val="00264B84"/>
    <w:rsid w:val="00266566"/>
    <w:rsid w:val="002666AC"/>
    <w:rsid w:val="00267EFE"/>
    <w:rsid w:val="00271DAB"/>
    <w:rsid w:val="00273FB3"/>
    <w:rsid w:val="00274E8C"/>
    <w:rsid w:val="00275A6D"/>
    <w:rsid w:val="00275B79"/>
    <w:rsid w:val="00276A7D"/>
    <w:rsid w:val="002772E9"/>
    <w:rsid w:val="002777FE"/>
    <w:rsid w:val="00280FB4"/>
    <w:rsid w:val="002817A0"/>
    <w:rsid w:val="00281946"/>
    <w:rsid w:val="0028248E"/>
    <w:rsid w:val="0028255D"/>
    <w:rsid w:val="00282B2F"/>
    <w:rsid w:val="00282B6C"/>
    <w:rsid w:val="0028327A"/>
    <w:rsid w:val="002833B6"/>
    <w:rsid w:val="002843D0"/>
    <w:rsid w:val="002846D0"/>
    <w:rsid w:val="00284BE9"/>
    <w:rsid w:val="00285753"/>
    <w:rsid w:val="00286353"/>
    <w:rsid w:val="00286E37"/>
    <w:rsid w:val="002870CD"/>
    <w:rsid w:val="00290715"/>
    <w:rsid w:val="00290FFE"/>
    <w:rsid w:val="00293E45"/>
    <w:rsid w:val="00296000"/>
    <w:rsid w:val="00296930"/>
    <w:rsid w:val="002969CE"/>
    <w:rsid w:val="00297780"/>
    <w:rsid w:val="00297C2B"/>
    <w:rsid w:val="00297EF5"/>
    <w:rsid w:val="002A034C"/>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40A7"/>
    <w:rsid w:val="002B4AC7"/>
    <w:rsid w:val="002B516B"/>
    <w:rsid w:val="002B6571"/>
    <w:rsid w:val="002B68AF"/>
    <w:rsid w:val="002B709B"/>
    <w:rsid w:val="002C07D1"/>
    <w:rsid w:val="002C0CCE"/>
    <w:rsid w:val="002C0D89"/>
    <w:rsid w:val="002C2D27"/>
    <w:rsid w:val="002C3E56"/>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6900"/>
    <w:rsid w:val="002F09F8"/>
    <w:rsid w:val="002F0EEC"/>
    <w:rsid w:val="002F1534"/>
    <w:rsid w:val="002F3F48"/>
    <w:rsid w:val="002F437F"/>
    <w:rsid w:val="002F5E46"/>
    <w:rsid w:val="002F65E1"/>
    <w:rsid w:val="0030077C"/>
    <w:rsid w:val="003007A4"/>
    <w:rsid w:val="0030101D"/>
    <w:rsid w:val="003015C5"/>
    <w:rsid w:val="00301B30"/>
    <w:rsid w:val="0030327A"/>
    <w:rsid w:val="00304467"/>
    <w:rsid w:val="00304E2E"/>
    <w:rsid w:val="003104B3"/>
    <w:rsid w:val="003137DC"/>
    <w:rsid w:val="003142B9"/>
    <w:rsid w:val="003170E4"/>
    <w:rsid w:val="00317AD1"/>
    <w:rsid w:val="003200D1"/>
    <w:rsid w:val="00320995"/>
    <w:rsid w:val="00320FC6"/>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7886"/>
    <w:rsid w:val="00337CD7"/>
    <w:rsid w:val="003408AF"/>
    <w:rsid w:val="003418D2"/>
    <w:rsid w:val="00342E7B"/>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B9C"/>
    <w:rsid w:val="00360383"/>
    <w:rsid w:val="00360BD6"/>
    <w:rsid w:val="00360E3F"/>
    <w:rsid w:val="00363BD9"/>
    <w:rsid w:val="00364B54"/>
    <w:rsid w:val="00365E9C"/>
    <w:rsid w:val="00366288"/>
    <w:rsid w:val="00366310"/>
    <w:rsid w:val="00366ED6"/>
    <w:rsid w:val="003677DE"/>
    <w:rsid w:val="00372B4C"/>
    <w:rsid w:val="00373BBC"/>
    <w:rsid w:val="003747D4"/>
    <w:rsid w:val="00375A75"/>
    <w:rsid w:val="00375F8D"/>
    <w:rsid w:val="00376CD7"/>
    <w:rsid w:val="003807D7"/>
    <w:rsid w:val="0038264E"/>
    <w:rsid w:val="003827A2"/>
    <w:rsid w:val="00383DC8"/>
    <w:rsid w:val="00385A0D"/>
    <w:rsid w:val="0038635C"/>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3DFE"/>
    <w:rsid w:val="003B3E37"/>
    <w:rsid w:val="003B405B"/>
    <w:rsid w:val="003B42E0"/>
    <w:rsid w:val="003B509D"/>
    <w:rsid w:val="003B6659"/>
    <w:rsid w:val="003B69AF"/>
    <w:rsid w:val="003B78FD"/>
    <w:rsid w:val="003B7A01"/>
    <w:rsid w:val="003C2B67"/>
    <w:rsid w:val="003C3701"/>
    <w:rsid w:val="003C3ED1"/>
    <w:rsid w:val="003C50EE"/>
    <w:rsid w:val="003C635C"/>
    <w:rsid w:val="003C6529"/>
    <w:rsid w:val="003C704F"/>
    <w:rsid w:val="003D0442"/>
    <w:rsid w:val="003D1349"/>
    <w:rsid w:val="003D2FBC"/>
    <w:rsid w:val="003D5B68"/>
    <w:rsid w:val="003D60E8"/>
    <w:rsid w:val="003E1544"/>
    <w:rsid w:val="003E1742"/>
    <w:rsid w:val="003E1947"/>
    <w:rsid w:val="003E20CF"/>
    <w:rsid w:val="003E373F"/>
    <w:rsid w:val="003E46AE"/>
    <w:rsid w:val="003E6A30"/>
    <w:rsid w:val="003E70FD"/>
    <w:rsid w:val="003E7202"/>
    <w:rsid w:val="003E7E4D"/>
    <w:rsid w:val="003F0606"/>
    <w:rsid w:val="003F0B9B"/>
    <w:rsid w:val="003F0DF1"/>
    <w:rsid w:val="003F3133"/>
    <w:rsid w:val="003F3890"/>
    <w:rsid w:val="003F3B50"/>
    <w:rsid w:val="003F3D61"/>
    <w:rsid w:val="003F471A"/>
    <w:rsid w:val="003F6107"/>
    <w:rsid w:val="003F6324"/>
    <w:rsid w:val="00401A4E"/>
    <w:rsid w:val="00401B4F"/>
    <w:rsid w:val="00402599"/>
    <w:rsid w:val="00402B6F"/>
    <w:rsid w:val="00402DAC"/>
    <w:rsid w:val="004040BC"/>
    <w:rsid w:val="00406C24"/>
    <w:rsid w:val="00407691"/>
    <w:rsid w:val="00410565"/>
    <w:rsid w:val="00411712"/>
    <w:rsid w:val="00411FBC"/>
    <w:rsid w:val="0041203B"/>
    <w:rsid w:val="0041212F"/>
    <w:rsid w:val="0041231B"/>
    <w:rsid w:val="004128B0"/>
    <w:rsid w:val="00415733"/>
    <w:rsid w:val="00417D1E"/>
    <w:rsid w:val="00420FFA"/>
    <w:rsid w:val="00421446"/>
    <w:rsid w:val="00424051"/>
    <w:rsid w:val="00424323"/>
    <w:rsid w:val="00425799"/>
    <w:rsid w:val="004268E2"/>
    <w:rsid w:val="00426E9A"/>
    <w:rsid w:val="00426F97"/>
    <w:rsid w:val="0043142D"/>
    <w:rsid w:val="004317E7"/>
    <w:rsid w:val="00432736"/>
    <w:rsid w:val="0043381E"/>
    <w:rsid w:val="00435B92"/>
    <w:rsid w:val="00436E43"/>
    <w:rsid w:val="00437AE7"/>
    <w:rsid w:val="00437BA0"/>
    <w:rsid w:val="00437C5D"/>
    <w:rsid w:val="004401E6"/>
    <w:rsid w:val="004419D5"/>
    <w:rsid w:val="00442011"/>
    <w:rsid w:val="004427CF"/>
    <w:rsid w:val="004455BA"/>
    <w:rsid w:val="004459F7"/>
    <w:rsid w:val="00445B35"/>
    <w:rsid w:val="00446E1E"/>
    <w:rsid w:val="00447892"/>
    <w:rsid w:val="00447F55"/>
    <w:rsid w:val="00451B81"/>
    <w:rsid w:val="00451D9F"/>
    <w:rsid w:val="004522CB"/>
    <w:rsid w:val="00453AA2"/>
    <w:rsid w:val="00454315"/>
    <w:rsid w:val="0045656D"/>
    <w:rsid w:val="004614F7"/>
    <w:rsid w:val="0046476B"/>
    <w:rsid w:val="00465CDD"/>
    <w:rsid w:val="00465F11"/>
    <w:rsid w:val="00465F7C"/>
    <w:rsid w:val="00466070"/>
    <w:rsid w:val="0047069C"/>
    <w:rsid w:val="00471BD4"/>
    <w:rsid w:val="00471D17"/>
    <w:rsid w:val="00476676"/>
    <w:rsid w:val="00477B76"/>
    <w:rsid w:val="0048066D"/>
    <w:rsid w:val="00480CEB"/>
    <w:rsid w:val="00482B8A"/>
    <w:rsid w:val="00482E33"/>
    <w:rsid w:val="00483D89"/>
    <w:rsid w:val="00484733"/>
    <w:rsid w:val="004858DE"/>
    <w:rsid w:val="00486709"/>
    <w:rsid w:val="00487D32"/>
    <w:rsid w:val="00490D07"/>
    <w:rsid w:val="00491C58"/>
    <w:rsid w:val="004921D5"/>
    <w:rsid w:val="00493228"/>
    <w:rsid w:val="00493ED4"/>
    <w:rsid w:val="004957E9"/>
    <w:rsid w:val="00495868"/>
    <w:rsid w:val="00496F1D"/>
    <w:rsid w:val="004974F4"/>
    <w:rsid w:val="004A16A4"/>
    <w:rsid w:val="004A41E3"/>
    <w:rsid w:val="004A5616"/>
    <w:rsid w:val="004A5666"/>
    <w:rsid w:val="004A58D1"/>
    <w:rsid w:val="004A69D0"/>
    <w:rsid w:val="004A7634"/>
    <w:rsid w:val="004B0D20"/>
    <w:rsid w:val="004B1788"/>
    <w:rsid w:val="004B1AB5"/>
    <w:rsid w:val="004B2AB5"/>
    <w:rsid w:val="004B3154"/>
    <w:rsid w:val="004B4238"/>
    <w:rsid w:val="004B63F3"/>
    <w:rsid w:val="004C2B9D"/>
    <w:rsid w:val="004C349E"/>
    <w:rsid w:val="004C4436"/>
    <w:rsid w:val="004C581E"/>
    <w:rsid w:val="004C6485"/>
    <w:rsid w:val="004C6B74"/>
    <w:rsid w:val="004D04E2"/>
    <w:rsid w:val="004D07D7"/>
    <w:rsid w:val="004D0B93"/>
    <w:rsid w:val="004D11C3"/>
    <w:rsid w:val="004D179A"/>
    <w:rsid w:val="004D2B04"/>
    <w:rsid w:val="004D414B"/>
    <w:rsid w:val="004D7E88"/>
    <w:rsid w:val="004E012C"/>
    <w:rsid w:val="004E1DBE"/>
    <w:rsid w:val="004E2483"/>
    <w:rsid w:val="004E24CF"/>
    <w:rsid w:val="004E42A4"/>
    <w:rsid w:val="004E44EA"/>
    <w:rsid w:val="004E503B"/>
    <w:rsid w:val="004E5961"/>
    <w:rsid w:val="004E6DFD"/>
    <w:rsid w:val="004F01A1"/>
    <w:rsid w:val="004F045F"/>
    <w:rsid w:val="004F075F"/>
    <w:rsid w:val="004F10EF"/>
    <w:rsid w:val="004F240C"/>
    <w:rsid w:val="004F2539"/>
    <w:rsid w:val="004F28E9"/>
    <w:rsid w:val="004F43A8"/>
    <w:rsid w:val="004F54F7"/>
    <w:rsid w:val="004F68C4"/>
    <w:rsid w:val="004F76A3"/>
    <w:rsid w:val="00501811"/>
    <w:rsid w:val="0050337A"/>
    <w:rsid w:val="00504579"/>
    <w:rsid w:val="0050661D"/>
    <w:rsid w:val="00506BC8"/>
    <w:rsid w:val="00506C1E"/>
    <w:rsid w:val="00507CBE"/>
    <w:rsid w:val="00510770"/>
    <w:rsid w:val="005121D1"/>
    <w:rsid w:val="00512B60"/>
    <w:rsid w:val="005133B5"/>
    <w:rsid w:val="00514459"/>
    <w:rsid w:val="0051447F"/>
    <w:rsid w:val="00516174"/>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3CC"/>
    <w:rsid w:val="00543C68"/>
    <w:rsid w:val="00546269"/>
    <w:rsid w:val="00546EDD"/>
    <w:rsid w:val="00547212"/>
    <w:rsid w:val="00552ABB"/>
    <w:rsid w:val="00552EA0"/>
    <w:rsid w:val="0055353A"/>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67BB3"/>
    <w:rsid w:val="005706CD"/>
    <w:rsid w:val="00570D9C"/>
    <w:rsid w:val="00570E72"/>
    <w:rsid w:val="00570EC0"/>
    <w:rsid w:val="00571862"/>
    <w:rsid w:val="00571CB9"/>
    <w:rsid w:val="00573577"/>
    <w:rsid w:val="00573A22"/>
    <w:rsid w:val="0057520F"/>
    <w:rsid w:val="005779C2"/>
    <w:rsid w:val="00580930"/>
    <w:rsid w:val="00580CF8"/>
    <w:rsid w:val="005811D6"/>
    <w:rsid w:val="0058321A"/>
    <w:rsid w:val="00584671"/>
    <w:rsid w:val="005854F9"/>
    <w:rsid w:val="00585ECA"/>
    <w:rsid w:val="0058688D"/>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C04B0"/>
    <w:rsid w:val="005C1540"/>
    <w:rsid w:val="005C18C3"/>
    <w:rsid w:val="005C1CF1"/>
    <w:rsid w:val="005C31A9"/>
    <w:rsid w:val="005C4CDC"/>
    <w:rsid w:val="005C61D7"/>
    <w:rsid w:val="005C6F27"/>
    <w:rsid w:val="005D054C"/>
    <w:rsid w:val="005D27B4"/>
    <w:rsid w:val="005D4050"/>
    <w:rsid w:val="005D419C"/>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7B8"/>
    <w:rsid w:val="00603F0D"/>
    <w:rsid w:val="00604EA4"/>
    <w:rsid w:val="0060511B"/>
    <w:rsid w:val="0060590D"/>
    <w:rsid w:val="00607E41"/>
    <w:rsid w:val="0061378B"/>
    <w:rsid w:val="00613888"/>
    <w:rsid w:val="00616808"/>
    <w:rsid w:val="006203C0"/>
    <w:rsid w:val="00620A28"/>
    <w:rsid w:val="00620A80"/>
    <w:rsid w:val="00621E59"/>
    <w:rsid w:val="00622772"/>
    <w:rsid w:val="0062285F"/>
    <w:rsid w:val="006234FF"/>
    <w:rsid w:val="00624FCF"/>
    <w:rsid w:val="00625A26"/>
    <w:rsid w:val="006260CE"/>
    <w:rsid w:val="006260F8"/>
    <w:rsid w:val="0063008E"/>
    <w:rsid w:val="00630818"/>
    <w:rsid w:val="0063242E"/>
    <w:rsid w:val="0063311F"/>
    <w:rsid w:val="00633456"/>
    <w:rsid w:val="0063383D"/>
    <w:rsid w:val="00633C40"/>
    <w:rsid w:val="00634861"/>
    <w:rsid w:val="00634A29"/>
    <w:rsid w:val="00634D33"/>
    <w:rsid w:val="00634E90"/>
    <w:rsid w:val="00635858"/>
    <w:rsid w:val="00635CB7"/>
    <w:rsid w:val="00636FAA"/>
    <w:rsid w:val="0063744B"/>
    <w:rsid w:val="00637601"/>
    <w:rsid w:val="00637824"/>
    <w:rsid w:val="00640F23"/>
    <w:rsid w:val="00641930"/>
    <w:rsid w:val="00641BC0"/>
    <w:rsid w:val="00643125"/>
    <w:rsid w:val="00647178"/>
    <w:rsid w:val="00647698"/>
    <w:rsid w:val="00647E4C"/>
    <w:rsid w:val="00647E9E"/>
    <w:rsid w:val="0065015C"/>
    <w:rsid w:val="00651357"/>
    <w:rsid w:val="00654941"/>
    <w:rsid w:val="006549FF"/>
    <w:rsid w:val="006554AB"/>
    <w:rsid w:val="00656A25"/>
    <w:rsid w:val="00657881"/>
    <w:rsid w:val="00657A98"/>
    <w:rsid w:val="0066094D"/>
    <w:rsid w:val="006627A7"/>
    <w:rsid w:val="00665CA9"/>
    <w:rsid w:val="00666BD8"/>
    <w:rsid w:val="006671B2"/>
    <w:rsid w:val="006700EB"/>
    <w:rsid w:val="00670489"/>
    <w:rsid w:val="00671B9B"/>
    <w:rsid w:val="006726FB"/>
    <w:rsid w:val="0067272A"/>
    <w:rsid w:val="00672D5A"/>
    <w:rsid w:val="00674080"/>
    <w:rsid w:val="006754D5"/>
    <w:rsid w:val="00675F54"/>
    <w:rsid w:val="00676DE9"/>
    <w:rsid w:val="006772FC"/>
    <w:rsid w:val="00680135"/>
    <w:rsid w:val="0068066B"/>
    <w:rsid w:val="00681037"/>
    <w:rsid w:val="006819DE"/>
    <w:rsid w:val="00682641"/>
    <w:rsid w:val="006832EE"/>
    <w:rsid w:val="00683475"/>
    <w:rsid w:val="00683D44"/>
    <w:rsid w:val="00683E9C"/>
    <w:rsid w:val="00684B1A"/>
    <w:rsid w:val="0068626B"/>
    <w:rsid w:val="00687E1E"/>
    <w:rsid w:val="00690DED"/>
    <w:rsid w:val="0069142C"/>
    <w:rsid w:val="00692771"/>
    <w:rsid w:val="006939A2"/>
    <w:rsid w:val="00694022"/>
    <w:rsid w:val="00694ED0"/>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72FC"/>
    <w:rsid w:val="006B797F"/>
    <w:rsid w:val="006C09B8"/>
    <w:rsid w:val="006C1052"/>
    <w:rsid w:val="006C2C62"/>
    <w:rsid w:val="006C319B"/>
    <w:rsid w:val="006C34CB"/>
    <w:rsid w:val="006C4687"/>
    <w:rsid w:val="006C5C78"/>
    <w:rsid w:val="006C61E6"/>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A1"/>
    <w:rsid w:val="006E6710"/>
    <w:rsid w:val="006E6A4C"/>
    <w:rsid w:val="006E6C49"/>
    <w:rsid w:val="006E746C"/>
    <w:rsid w:val="006F174A"/>
    <w:rsid w:val="006F4323"/>
    <w:rsid w:val="006F5B75"/>
    <w:rsid w:val="006F7F16"/>
    <w:rsid w:val="00700FFC"/>
    <w:rsid w:val="0070104C"/>
    <w:rsid w:val="007014EB"/>
    <w:rsid w:val="00701859"/>
    <w:rsid w:val="00701FA5"/>
    <w:rsid w:val="0070263D"/>
    <w:rsid w:val="00702F23"/>
    <w:rsid w:val="0070326F"/>
    <w:rsid w:val="00703F83"/>
    <w:rsid w:val="007056D7"/>
    <w:rsid w:val="00705EB0"/>
    <w:rsid w:val="00706C26"/>
    <w:rsid w:val="00706DFA"/>
    <w:rsid w:val="00706EC1"/>
    <w:rsid w:val="00707768"/>
    <w:rsid w:val="00710653"/>
    <w:rsid w:val="00710759"/>
    <w:rsid w:val="00712178"/>
    <w:rsid w:val="0071239E"/>
    <w:rsid w:val="00712606"/>
    <w:rsid w:val="007133D1"/>
    <w:rsid w:val="00714ABF"/>
    <w:rsid w:val="00716363"/>
    <w:rsid w:val="00717115"/>
    <w:rsid w:val="0072046F"/>
    <w:rsid w:val="007207EC"/>
    <w:rsid w:val="007224DE"/>
    <w:rsid w:val="007226BD"/>
    <w:rsid w:val="007234E6"/>
    <w:rsid w:val="0072594D"/>
    <w:rsid w:val="0072646E"/>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CA"/>
    <w:rsid w:val="00757D92"/>
    <w:rsid w:val="0076152D"/>
    <w:rsid w:val="00761FB9"/>
    <w:rsid w:val="007632A8"/>
    <w:rsid w:val="007635F6"/>
    <w:rsid w:val="00764320"/>
    <w:rsid w:val="00764F27"/>
    <w:rsid w:val="00765210"/>
    <w:rsid w:val="00765F03"/>
    <w:rsid w:val="00765F9E"/>
    <w:rsid w:val="00766973"/>
    <w:rsid w:val="0076715E"/>
    <w:rsid w:val="007745E5"/>
    <w:rsid w:val="0077482E"/>
    <w:rsid w:val="0077501D"/>
    <w:rsid w:val="00775636"/>
    <w:rsid w:val="00776892"/>
    <w:rsid w:val="00776FDA"/>
    <w:rsid w:val="00781213"/>
    <w:rsid w:val="00781411"/>
    <w:rsid w:val="00781690"/>
    <w:rsid w:val="00783043"/>
    <w:rsid w:val="0078393B"/>
    <w:rsid w:val="007849F9"/>
    <w:rsid w:val="00784ACD"/>
    <w:rsid w:val="00784C5B"/>
    <w:rsid w:val="0078589A"/>
    <w:rsid w:val="00785D74"/>
    <w:rsid w:val="0078790B"/>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02E8"/>
    <w:rsid w:val="007B49B6"/>
    <w:rsid w:val="007B6782"/>
    <w:rsid w:val="007B6957"/>
    <w:rsid w:val="007B7581"/>
    <w:rsid w:val="007B7A7A"/>
    <w:rsid w:val="007C06C1"/>
    <w:rsid w:val="007C070F"/>
    <w:rsid w:val="007C1AF4"/>
    <w:rsid w:val="007C29E7"/>
    <w:rsid w:val="007C4B87"/>
    <w:rsid w:val="007C56ED"/>
    <w:rsid w:val="007C60BE"/>
    <w:rsid w:val="007C60F0"/>
    <w:rsid w:val="007D0947"/>
    <w:rsid w:val="007D0B3A"/>
    <w:rsid w:val="007D20BA"/>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F70"/>
    <w:rsid w:val="007F17DD"/>
    <w:rsid w:val="007F1C6F"/>
    <w:rsid w:val="007F25B0"/>
    <w:rsid w:val="007F276A"/>
    <w:rsid w:val="007F4DC9"/>
    <w:rsid w:val="007F706B"/>
    <w:rsid w:val="007F79AC"/>
    <w:rsid w:val="008003F4"/>
    <w:rsid w:val="00800589"/>
    <w:rsid w:val="008011EA"/>
    <w:rsid w:val="00802223"/>
    <w:rsid w:val="00802793"/>
    <w:rsid w:val="008029D0"/>
    <w:rsid w:val="00804BE0"/>
    <w:rsid w:val="0080519A"/>
    <w:rsid w:val="00805ED6"/>
    <w:rsid w:val="00806538"/>
    <w:rsid w:val="00806D1E"/>
    <w:rsid w:val="00810151"/>
    <w:rsid w:val="008102A6"/>
    <w:rsid w:val="0081109E"/>
    <w:rsid w:val="00811498"/>
    <w:rsid w:val="00811534"/>
    <w:rsid w:val="00811A5B"/>
    <w:rsid w:val="008124F4"/>
    <w:rsid w:val="008157EC"/>
    <w:rsid w:val="0081608B"/>
    <w:rsid w:val="00816811"/>
    <w:rsid w:val="00816CE0"/>
    <w:rsid w:val="008203CF"/>
    <w:rsid w:val="008205E9"/>
    <w:rsid w:val="00821304"/>
    <w:rsid w:val="00823286"/>
    <w:rsid w:val="0082334C"/>
    <w:rsid w:val="00823B5C"/>
    <w:rsid w:val="008259DF"/>
    <w:rsid w:val="00825F4A"/>
    <w:rsid w:val="00826CA7"/>
    <w:rsid w:val="008271D6"/>
    <w:rsid w:val="00827430"/>
    <w:rsid w:val="008276D2"/>
    <w:rsid w:val="00830CAF"/>
    <w:rsid w:val="00831529"/>
    <w:rsid w:val="00833019"/>
    <w:rsid w:val="008336DD"/>
    <w:rsid w:val="00834875"/>
    <w:rsid w:val="008352A7"/>
    <w:rsid w:val="00836421"/>
    <w:rsid w:val="00836F18"/>
    <w:rsid w:val="00837129"/>
    <w:rsid w:val="008372A1"/>
    <w:rsid w:val="00837B3D"/>
    <w:rsid w:val="008433DF"/>
    <w:rsid w:val="008442F5"/>
    <w:rsid w:val="0084438E"/>
    <w:rsid w:val="00844992"/>
    <w:rsid w:val="0084555C"/>
    <w:rsid w:val="008472D0"/>
    <w:rsid w:val="0085064A"/>
    <w:rsid w:val="00850BF8"/>
    <w:rsid w:val="00851C99"/>
    <w:rsid w:val="00851FD3"/>
    <w:rsid w:val="00852341"/>
    <w:rsid w:val="00852D66"/>
    <w:rsid w:val="00852E1C"/>
    <w:rsid w:val="00855A34"/>
    <w:rsid w:val="0085630A"/>
    <w:rsid w:val="0085641F"/>
    <w:rsid w:val="008613BF"/>
    <w:rsid w:val="00861A3A"/>
    <w:rsid w:val="00861E51"/>
    <w:rsid w:val="0086276F"/>
    <w:rsid w:val="00862E13"/>
    <w:rsid w:val="00863349"/>
    <w:rsid w:val="00863DAF"/>
    <w:rsid w:val="0086487A"/>
    <w:rsid w:val="00864B11"/>
    <w:rsid w:val="00864B81"/>
    <w:rsid w:val="0086689F"/>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6EA"/>
    <w:rsid w:val="00890CDB"/>
    <w:rsid w:val="00891FDB"/>
    <w:rsid w:val="008920E3"/>
    <w:rsid w:val="00893041"/>
    <w:rsid w:val="00895031"/>
    <w:rsid w:val="00895E8A"/>
    <w:rsid w:val="00897D5C"/>
    <w:rsid w:val="008A053A"/>
    <w:rsid w:val="008A13D2"/>
    <w:rsid w:val="008A1623"/>
    <w:rsid w:val="008A3ED4"/>
    <w:rsid w:val="008A4555"/>
    <w:rsid w:val="008A5B6E"/>
    <w:rsid w:val="008A6029"/>
    <w:rsid w:val="008A6FC2"/>
    <w:rsid w:val="008A7F18"/>
    <w:rsid w:val="008B07CC"/>
    <w:rsid w:val="008B0DBE"/>
    <w:rsid w:val="008B156A"/>
    <w:rsid w:val="008B1576"/>
    <w:rsid w:val="008B25C0"/>
    <w:rsid w:val="008B272B"/>
    <w:rsid w:val="008B3BC9"/>
    <w:rsid w:val="008B462F"/>
    <w:rsid w:val="008B6ED2"/>
    <w:rsid w:val="008C034F"/>
    <w:rsid w:val="008C0421"/>
    <w:rsid w:val="008C130F"/>
    <w:rsid w:val="008C4022"/>
    <w:rsid w:val="008C55B9"/>
    <w:rsid w:val="008D00A2"/>
    <w:rsid w:val="008D00B7"/>
    <w:rsid w:val="008D046B"/>
    <w:rsid w:val="008D04A2"/>
    <w:rsid w:val="008D1C72"/>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F0D41"/>
    <w:rsid w:val="008F11D8"/>
    <w:rsid w:val="008F52E0"/>
    <w:rsid w:val="008F6392"/>
    <w:rsid w:val="008F6ADC"/>
    <w:rsid w:val="008F6EE5"/>
    <w:rsid w:val="009004AA"/>
    <w:rsid w:val="00900647"/>
    <w:rsid w:val="00900F7A"/>
    <w:rsid w:val="009013F5"/>
    <w:rsid w:val="00902A76"/>
    <w:rsid w:val="00904623"/>
    <w:rsid w:val="009049C8"/>
    <w:rsid w:val="0090625E"/>
    <w:rsid w:val="0090788B"/>
    <w:rsid w:val="009117F0"/>
    <w:rsid w:val="0091193B"/>
    <w:rsid w:val="00912B3D"/>
    <w:rsid w:val="0091317C"/>
    <w:rsid w:val="00913433"/>
    <w:rsid w:val="00913F76"/>
    <w:rsid w:val="0091421D"/>
    <w:rsid w:val="009143F7"/>
    <w:rsid w:val="00915DDC"/>
    <w:rsid w:val="009160D7"/>
    <w:rsid w:val="00920723"/>
    <w:rsid w:val="00920C04"/>
    <w:rsid w:val="0092240B"/>
    <w:rsid w:val="00922908"/>
    <w:rsid w:val="00922BEA"/>
    <w:rsid w:val="00923797"/>
    <w:rsid w:val="00927DBB"/>
    <w:rsid w:val="00930445"/>
    <w:rsid w:val="009311CE"/>
    <w:rsid w:val="00932222"/>
    <w:rsid w:val="00932C70"/>
    <w:rsid w:val="00932DC8"/>
    <w:rsid w:val="00932DE9"/>
    <w:rsid w:val="00934232"/>
    <w:rsid w:val="00934D58"/>
    <w:rsid w:val="00934EB1"/>
    <w:rsid w:val="00934FDB"/>
    <w:rsid w:val="009352A6"/>
    <w:rsid w:val="009358D9"/>
    <w:rsid w:val="00935F05"/>
    <w:rsid w:val="00937073"/>
    <w:rsid w:val="009411B9"/>
    <w:rsid w:val="00944DC6"/>
    <w:rsid w:val="009468BF"/>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801CE"/>
    <w:rsid w:val="00981726"/>
    <w:rsid w:val="00981943"/>
    <w:rsid w:val="00982EFE"/>
    <w:rsid w:val="00984EDD"/>
    <w:rsid w:val="0098612C"/>
    <w:rsid w:val="009864DF"/>
    <w:rsid w:val="0098686E"/>
    <w:rsid w:val="00986907"/>
    <w:rsid w:val="00990BF0"/>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4696"/>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16E"/>
    <w:rsid w:val="009E250E"/>
    <w:rsid w:val="009E2B8F"/>
    <w:rsid w:val="009E38A0"/>
    <w:rsid w:val="009E3F27"/>
    <w:rsid w:val="009E40CD"/>
    <w:rsid w:val="009E5144"/>
    <w:rsid w:val="009E7854"/>
    <w:rsid w:val="009F2B81"/>
    <w:rsid w:val="009F3412"/>
    <w:rsid w:val="009F399F"/>
    <w:rsid w:val="009F41E5"/>
    <w:rsid w:val="009F4B84"/>
    <w:rsid w:val="009F5B76"/>
    <w:rsid w:val="009F5E85"/>
    <w:rsid w:val="009F62BD"/>
    <w:rsid w:val="009F667A"/>
    <w:rsid w:val="009F68EE"/>
    <w:rsid w:val="00A0269F"/>
    <w:rsid w:val="00A029B0"/>
    <w:rsid w:val="00A0555E"/>
    <w:rsid w:val="00A0603A"/>
    <w:rsid w:val="00A077C5"/>
    <w:rsid w:val="00A07E9F"/>
    <w:rsid w:val="00A108FA"/>
    <w:rsid w:val="00A109FF"/>
    <w:rsid w:val="00A1275A"/>
    <w:rsid w:val="00A13DED"/>
    <w:rsid w:val="00A15467"/>
    <w:rsid w:val="00A15859"/>
    <w:rsid w:val="00A16706"/>
    <w:rsid w:val="00A167A3"/>
    <w:rsid w:val="00A16E45"/>
    <w:rsid w:val="00A171F5"/>
    <w:rsid w:val="00A208C7"/>
    <w:rsid w:val="00A220A2"/>
    <w:rsid w:val="00A23AB7"/>
    <w:rsid w:val="00A24EC6"/>
    <w:rsid w:val="00A255E0"/>
    <w:rsid w:val="00A25D98"/>
    <w:rsid w:val="00A30D22"/>
    <w:rsid w:val="00A32571"/>
    <w:rsid w:val="00A35C44"/>
    <w:rsid w:val="00A35F46"/>
    <w:rsid w:val="00A35FEB"/>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8A"/>
    <w:rsid w:val="00A62654"/>
    <w:rsid w:val="00A630C4"/>
    <w:rsid w:val="00A63499"/>
    <w:rsid w:val="00A6698E"/>
    <w:rsid w:val="00A66C44"/>
    <w:rsid w:val="00A702A0"/>
    <w:rsid w:val="00A70D62"/>
    <w:rsid w:val="00A70E08"/>
    <w:rsid w:val="00A7204F"/>
    <w:rsid w:val="00A728B6"/>
    <w:rsid w:val="00A748D2"/>
    <w:rsid w:val="00A76340"/>
    <w:rsid w:val="00A766C3"/>
    <w:rsid w:val="00A769FE"/>
    <w:rsid w:val="00A7717F"/>
    <w:rsid w:val="00A77BAE"/>
    <w:rsid w:val="00A80990"/>
    <w:rsid w:val="00A80E75"/>
    <w:rsid w:val="00A81DF9"/>
    <w:rsid w:val="00A83BC7"/>
    <w:rsid w:val="00A84238"/>
    <w:rsid w:val="00A861EE"/>
    <w:rsid w:val="00A8751B"/>
    <w:rsid w:val="00A875A2"/>
    <w:rsid w:val="00A90D25"/>
    <w:rsid w:val="00A93235"/>
    <w:rsid w:val="00A96347"/>
    <w:rsid w:val="00A97E9A"/>
    <w:rsid w:val="00AA3A64"/>
    <w:rsid w:val="00AA6479"/>
    <w:rsid w:val="00AB14A9"/>
    <w:rsid w:val="00AB2AB5"/>
    <w:rsid w:val="00AB337B"/>
    <w:rsid w:val="00AB4000"/>
    <w:rsid w:val="00AB6B96"/>
    <w:rsid w:val="00AB7470"/>
    <w:rsid w:val="00AB7AA7"/>
    <w:rsid w:val="00AC0E4C"/>
    <w:rsid w:val="00AC11C4"/>
    <w:rsid w:val="00AC133B"/>
    <w:rsid w:val="00AC1564"/>
    <w:rsid w:val="00AC227D"/>
    <w:rsid w:val="00AC2CDC"/>
    <w:rsid w:val="00AC590D"/>
    <w:rsid w:val="00AC5D5D"/>
    <w:rsid w:val="00AC6E35"/>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3D23"/>
    <w:rsid w:val="00AF4FDD"/>
    <w:rsid w:val="00AF608F"/>
    <w:rsid w:val="00AF6F59"/>
    <w:rsid w:val="00B0053A"/>
    <w:rsid w:val="00B006B9"/>
    <w:rsid w:val="00B00D1B"/>
    <w:rsid w:val="00B00EE7"/>
    <w:rsid w:val="00B01140"/>
    <w:rsid w:val="00B02045"/>
    <w:rsid w:val="00B04931"/>
    <w:rsid w:val="00B051F8"/>
    <w:rsid w:val="00B0667C"/>
    <w:rsid w:val="00B06B06"/>
    <w:rsid w:val="00B07984"/>
    <w:rsid w:val="00B107CE"/>
    <w:rsid w:val="00B118EB"/>
    <w:rsid w:val="00B126F7"/>
    <w:rsid w:val="00B13DF4"/>
    <w:rsid w:val="00B15A48"/>
    <w:rsid w:val="00B15CA4"/>
    <w:rsid w:val="00B16DBE"/>
    <w:rsid w:val="00B17B0D"/>
    <w:rsid w:val="00B20715"/>
    <w:rsid w:val="00B207DE"/>
    <w:rsid w:val="00B21427"/>
    <w:rsid w:val="00B22CD8"/>
    <w:rsid w:val="00B22E62"/>
    <w:rsid w:val="00B24A34"/>
    <w:rsid w:val="00B25BB7"/>
    <w:rsid w:val="00B26CC0"/>
    <w:rsid w:val="00B26E58"/>
    <w:rsid w:val="00B30DF0"/>
    <w:rsid w:val="00B315FB"/>
    <w:rsid w:val="00B33824"/>
    <w:rsid w:val="00B341BA"/>
    <w:rsid w:val="00B342BA"/>
    <w:rsid w:val="00B342FA"/>
    <w:rsid w:val="00B37006"/>
    <w:rsid w:val="00B40C36"/>
    <w:rsid w:val="00B42732"/>
    <w:rsid w:val="00B43126"/>
    <w:rsid w:val="00B43723"/>
    <w:rsid w:val="00B45322"/>
    <w:rsid w:val="00B4661E"/>
    <w:rsid w:val="00B46C01"/>
    <w:rsid w:val="00B5065C"/>
    <w:rsid w:val="00B516D4"/>
    <w:rsid w:val="00B51B91"/>
    <w:rsid w:val="00B52274"/>
    <w:rsid w:val="00B54DE5"/>
    <w:rsid w:val="00B554CA"/>
    <w:rsid w:val="00B556DA"/>
    <w:rsid w:val="00B561AB"/>
    <w:rsid w:val="00B56359"/>
    <w:rsid w:val="00B56B85"/>
    <w:rsid w:val="00B56E8B"/>
    <w:rsid w:val="00B60541"/>
    <w:rsid w:val="00B6066B"/>
    <w:rsid w:val="00B61A7B"/>
    <w:rsid w:val="00B63D00"/>
    <w:rsid w:val="00B646F2"/>
    <w:rsid w:val="00B64F5F"/>
    <w:rsid w:val="00B677AF"/>
    <w:rsid w:val="00B70836"/>
    <w:rsid w:val="00B71B0F"/>
    <w:rsid w:val="00B71B3B"/>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757A"/>
    <w:rsid w:val="00B939FD"/>
    <w:rsid w:val="00B952DD"/>
    <w:rsid w:val="00B9593D"/>
    <w:rsid w:val="00B96024"/>
    <w:rsid w:val="00B96E45"/>
    <w:rsid w:val="00B9729F"/>
    <w:rsid w:val="00B97F8A"/>
    <w:rsid w:val="00BA006E"/>
    <w:rsid w:val="00BA110C"/>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278D"/>
    <w:rsid w:val="00BC2F60"/>
    <w:rsid w:val="00BC3DF7"/>
    <w:rsid w:val="00BC3FF0"/>
    <w:rsid w:val="00BC4E3A"/>
    <w:rsid w:val="00BC55E1"/>
    <w:rsid w:val="00BC5879"/>
    <w:rsid w:val="00BC5E68"/>
    <w:rsid w:val="00BC5FA2"/>
    <w:rsid w:val="00BC726E"/>
    <w:rsid w:val="00BD0140"/>
    <w:rsid w:val="00BD19BF"/>
    <w:rsid w:val="00BD444B"/>
    <w:rsid w:val="00BD45A1"/>
    <w:rsid w:val="00BD4933"/>
    <w:rsid w:val="00BD5EE3"/>
    <w:rsid w:val="00BD7907"/>
    <w:rsid w:val="00BE0730"/>
    <w:rsid w:val="00BE1986"/>
    <w:rsid w:val="00BE211C"/>
    <w:rsid w:val="00BE3047"/>
    <w:rsid w:val="00BE38C9"/>
    <w:rsid w:val="00BE42FB"/>
    <w:rsid w:val="00BE4927"/>
    <w:rsid w:val="00BE5756"/>
    <w:rsid w:val="00BE6F02"/>
    <w:rsid w:val="00BF2D5C"/>
    <w:rsid w:val="00BF3C85"/>
    <w:rsid w:val="00BF425F"/>
    <w:rsid w:val="00BF668F"/>
    <w:rsid w:val="00C03C87"/>
    <w:rsid w:val="00C04A80"/>
    <w:rsid w:val="00C05571"/>
    <w:rsid w:val="00C05A72"/>
    <w:rsid w:val="00C07480"/>
    <w:rsid w:val="00C07E3A"/>
    <w:rsid w:val="00C10DF4"/>
    <w:rsid w:val="00C1119D"/>
    <w:rsid w:val="00C11BC3"/>
    <w:rsid w:val="00C11BEE"/>
    <w:rsid w:val="00C12446"/>
    <w:rsid w:val="00C129F6"/>
    <w:rsid w:val="00C134C5"/>
    <w:rsid w:val="00C13584"/>
    <w:rsid w:val="00C139EE"/>
    <w:rsid w:val="00C13CE0"/>
    <w:rsid w:val="00C145D4"/>
    <w:rsid w:val="00C16FF4"/>
    <w:rsid w:val="00C20CEA"/>
    <w:rsid w:val="00C217A5"/>
    <w:rsid w:val="00C22B4F"/>
    <w:rsid w:val="00C23BAD"/>
    <w:rsid w:val="00C24526"/>
    <w:rsid w:val="00C24702"/>
    <w:rsid w:val="00C247B9"/>
    <w:rsid w:val="00C24833"/>
    <w:rsid w:val="00C256EE"/>
    <w:rsid w:val="00C25700"/>
    <w:rsid w:val="00C26927"/>
    <w:rsid w:val="00C27899"/>
    <w:rsid w:val="00C300AC"/>
    <w:rsid w:val="00C31FD3"/>
    <w:rsid w:val="00C324DA"/>
    <w:rsid w:val="00C34488"/>
    <w:rsid w:val="00C402B6"/>
    <w:rsid w:val="00C4087E"/>
    <w:rsid w:val="00C40F41"/>
    <w:rsid w:val="00C430F8"/>
    <w:rsid w:val="00C439E9"/>
    <w:rsid w:val="00C4424F"/>
    <w:rsid w:val="00C46B02"/>
    <w:rsid w:val="00C47A39"/>
    <w:rsid w:val="00C47D70"/>
    <w:rsid w:val="00C50235"/>
    <w:rsid w:val="00C52B39"/>
    <w:rsid w:val="00C53C26"/>
    <w:rsid w:val="00C547B7"/>
    <w:rsid w:val="00C54B6B"/>
    <w:rsid w:val="00C55C55"/>
    <w:rsid w:val="00C55E58"/>
    <w:rsid w:val="00C56346"/>
    <w:rsid w:val="00C57013"/>
    <w:rsid w:val="00C5739B"/>
    <w:rsid w:val="00C57F58"/>
    <w:rsid w:val="00C62DCD"/>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B218A"/>
    <w:rsid w:val="00CB2CC0"/>
    <w:rsid w:val="00CB2DFD"/>
    <w:rsid w:val="00CB344D"/>
    <w:rsid w:val="00CB514A"/>
    <w:rsid w:val="00CB73B5"/>
    <w:rsid w:val="00CB76EF"/>
    <w:rsid w:val="00CC046B"/>
    <w:rsid w:val="00CC0931"/>
    <w:rsid w:val="00CC22A7"/>
    <w:rsid w:val="00CC31E2"/>
    <w:rsid w:val="00CC4AA6"/>
    <w:rsid w:val="00CC5170"/>
    <w:rsid w:val="00CC5EDE"/>
    <w:rsid w:val="00CC6182"/>
    <w:rsid w:val="00CC6DD5"/>
    <w:rsid w:val="00CD0F83"/>
    <w:rsid w:val="00CD24EB"/>
    <w:rsid w:val="00CD451A"/>
    <w:rsid w:val="00CD52B2"/>
    <w:rsid w:val="00CD554B"/>
    <w:rsid w:val="00CD5B8F"/>
    <w:rsid w:val="00CD6E99"/>
    <w:rsid w:val="00CE05C9"/>
    <w:rsid w:val="00CE0ED0"/>
    <w:rsid w:val="00CE1DA5"/>
    <w:rsid w:val="00CE2C2E"/>
    <w:rsid w:val="00CE3183"/>
    <w:rsid w:val="00CE35FC"/>
    <w:rsid w:val="00CE47AB"/>
    <w:rsid w:val="00CE4DB8"/>
    <w:rsid w:val="00CE539F"/>
    <w:rsid w:val="00CE55D8"/>
    <w:rsid w:val="00CE5783"/>
    <w:rsid w:val="00CE5E93"/>
    <w:rsid w:val="00CE61F4"/>
    <w:rsid w:val="00CF0592"/>
    <w:rsid w:val="00CF15BC"/>
    <w:rsid w:val="00CF15F2"/>
    <w:rsid w:val="00CF16D6"/>
    <w:rsid w:val="00CF199B"/>
    <w:rsid w:val="00CF277D"/>
    <w:rsid w:val="00CF3B96"/>
    <w:rsid w:val="00CF44C4"/>
    <w:rsid w:val="00CF59C9"/>
    <w:rsid w:val="00CF5E5C"/>
    <w:rsid w:val="00D03123"/>
    <w:rsid w:val="00D033EA"/>
    <w:rsid w:val="00D037DA"/>
    <w:rsid w:val="00D03987"/>
    <w:rsid w:val="00D03DA8"/>
    <w:rsid w:val="00D04B94"/>
    <w:rsid w:val="00D04CB7"/>
    <w:rsid w:val="00D06043"/>
    <w:rsid w:val="00D06F3C"/>
    <w:rsid w:val="00D12D8B"/>
    <w:rsid w:val="00D136E5"/>
    <w:rsid w:val="00D148F1"/>
    <w:rsid w:val="00D149E0"/>
    <w:rsid w:val="00D15962"/>
    <w:rsid w:val="00D15F89"/>
    <w:rsid w:val="00D16F8F"/>
    <w:rsid w:val="00D172DA"/>
    <w:rsid w:val="00D1781A"/>
    <w:rsid w:val="00D17D37"/>
    <w:rsid w:val="00D21943"/>
    <w:rsid w:val="00D22F72"/>
    <w:rsid w:val="00D231D5"/>
    <w:rsid w:val="00D2493A"/>
    <w:rsid w:val="00D24A86"/>
    <w:rsid w:val="00D24E76"/>
    <w:rsid w:val="00D24F4A"/>
    <w:rsid w:val="00D272C3"/>
    <w:rsid w:val="00D27520"/>
    <w:rsid w:val="00D27F0C"/>
    <w:rsid w:val="00D31565"/>
    <w:rsid w:val="00D31645"/>
    <w:rsid w:val="00D32165"/>
    <w:rsid w:val="00D3443F"/>
    <w:rsid w:val="00D34687"/>
    <w:rsid w:val="00D34911"/>
    <w:rsid w:val="00D36541"/>
    <w:rsid w:val="00D366F4"/>
    <w:rsid w:val="00D36D40"/>
    <w:rsid w:val="00D37962"/>
    <w:rsid w:val="00D40EDC"/>
    <w:rsid w:val="00D410EF"/>
    <w:rsid w:val="00D4270C"/>
    <w:rsid w:val="00D42972"/>
    <w:rsid w:val="00D450F3"/>
    <w:rsid w:val="00D45610"/>
    <w:rsid w:val="00D45E85"/>
    <w:rsid w:val="00D46012"/>
    <w:rsid w:val="00D46484"/>
    <w:rsid w:val="00D46F34"/>
    <w:rsid w:val="00D507B7"/>
    <w:rsid w:val="00D51093"/>
    <w:rsid w:val="00D5168B"/>
    <w:rsid w:val="00D51A51"/>
    <w:rsid w:val="00D52894"/>
    <w:rsid w:val="00D54C4A"/>
    <w:rsid w:val="00D5574D"/>
    <w:rsid w:val="00D56236"/>
    <w:rsid w:val="00D563AE"/>
    <w:rsid w:val="00D57DB7"/>
    <w:rsid w:val="00D60FAC"/>
    <w:rsid w:val="00D61312"/>
    <w:rsid w:val="00D61D31"/>
    <w:rsid w:val="00D62134"/>
    <w:rsid w:val="00D6265D"/>
    <w:rsid w:val="00D63A1D"/>
    <w:rsid w:val="00D649CF"/>
    <w:rsid w:val="00D64FB1"/>
    <w:rsid w:val="00D6637C"/>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829"/>
    <w:rsid w:val="00D90C06"/>
    <w:rsid w:val="00D91250"/>
    <w:rsid w:val="00D92E24"/>
    <w:rsid w:val="00D93FAE"/>
    <w:rsid w:val="00D94043"/>
    <w:rsid w:val="00D95AA6"/>
    <w:rsid w:val="00D95BBB"/>
    <w:rsid w:val="00D95DA2"/>
    <w:rsid w:val="00D9634B"/>
    <w:rsid w:val="00D974BE"/>
    <w:rsid w:val="00DA0556"/>
    <w:rsid w:val="00DA0E91"/>
    <w:rsid w:val="00DA2ED0"/>
    <w:rsid w:val="00DA3CD2"/>
    <w:rsid w:val="00DA5FF8"/>
    <w:rsid w:val="00DA63A1"/>
    <w:rsid w:val="00DA6755"/>
    <w:rsid w:val="00DA6AE3"/>
    <w:rsid w:val="00DA6D39"/>
    <w:rsid w:val="00DA72A4"/>
    <w:rsid w:val="00DB0086"/>
    <w:rsid w:val="00DB05C0"/>
    <w:rsid w:val="00DB0846"/>
    <w:rsid w:val="00DB1945"/>
    <w:rsid w:val="00DB1A45"/>
    <w:rsid w:val="00DB39CD"/>
    <w:rsid w:val="00DB42A5"/>
    <w:rsid w:val="00DB4CA5"/>
    <w:rsid w:val="00DB5579"/>
    <w:rsid w:val="00DB582C"/>
    <w:rsid w:val="00DB7514"/>
    <w:rsid w:val="00DB7B99"/>
    <w:rsid w:val="00DC0526"/>
    <w:rsid w:val="00DC05CD"/>
    <w:rsid w:val="00DC15AA"/>
    <w:rsid w:val="00DC16A9"/>
    <w:rsid w:val="00DC1B4A"/>
    <w:rsid w:val="00DC26F3"/>
    <w:rsid w:val="00DC2833"/>
    <w:rsid w:val="00DC3031"/>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D7C1F"/>
    <w:rsid w:val="00DE0A1B"/>
    <w:rsid w:val="00DE109D"/>
    <w:rsid w:val="00DE1D00"/>
    <w:rsid w:val="00DE2114"/>
    <w:rsid w:val="00DE2151"/>
    <w:rsid w:val="00DE2A5D"/>
    <w:rsid w:val="00DE5966"/>
    <w:rsid w:val="00DE7D85"/>
    <w:rsid w:val="00DF053D"/>
    <w:rsid w:val="00DF1E1E"/>
    <w:rsid w:val="00DF45F7"/>
    <w:rsid w:val="00DF5B27"/>
    <w:rsid w:val="00DF5E62"/>
    <w:rsid w:val="00DF62EB"/>
    <w:rsid w:val="00E00BB5"/>
    <w:rsid w:val="00E02523"/>
    <w:rsid w:val="00E026BA"/>
    <w:rsid w:val="00E03417"/>
    <w:rsid w:val="00E03B14"/>
    <w:rsid w:val="00E04368"/>
    <w:rsid w:val="00E044E3"/>
    <w:rsid w:val="00E047B3"/>
    <w:rsid w:val="00E04897"/>
    <w:rsid w:val="00E060F9"/>
    <w:rsid w:val="00E075B9"/>
    <w:rsid w:val="00E105AC"/>
    <w:rsid w:val="00E112D0"/>
    <w:rsid w:val="00E1258A"/>
    <w:rsid w:val="00E12D6F"/>
    <w:rsid w:val="00E130B4"/>
    <w:rsid w:val="00E13BAE"/>
    <w:rsid w:val="00E13CF8"/>
    <w:rsid w:val="00E13E4E"/>
    <w:rsid w:val="00E13F06"/>
    <w:rsid w:val="00E14465"/>
    <w:rsid w:val="00E14935"/>
    <w:rsid w:val="00E21913"/>
    <w:rsid w:val="00E2231A"/>
    <w:rsid w:val="00E22407"/>
    <w:rsid w:val="00E23031"/>
    <w:rsid w:val="00E23901"/>
    <w:rsid w:val="00E2498C"/>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76A3"/>
    <w:rsid w:val="00E47FCC"/>
    <w:rsid w:val="00E50134"/>
    <w:rsid w:val="00E51172"/>
    <w:rsid w:val="00E51AD3"/>
    <w:rsid w:val="00E51E14"/>
    <w:rsid w:val="00E528A5"/>
    <w:rsid w:val="00E55C6C"/>
    <w:rsid w:val="00E56D4D"/>
    <w:rsid w:val="00E60005"/>
    <w:rsid w:val="00E601B8"/>
    <w:rsid w:val="00E60F0A"/>
    <w:rsid w:val="00E663FB"/>
    <w:rsid w:val="00E6700A"/>
    <w:rsid w:val="00E71FF3"/>
    <w:rsid w:val="00E73423"/>
    <w:rsid w:val="00E73754"/>
    <w:rsid w:val="00E73DC0"/>
    <w:rsid w:val="00E74672"/>
    <w:rsid w:val="00E74E8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A0E02"/>
    <w:rsid w:val="00EA1C8E"/>
    <w:rsid w:val="00EA2950"/>
    <w:rsid w:val="00EA2CD4"/>
    <w:rsid w:val="00EA30F0"/>
    <w:rsid w:val="00EA39AF"/>
    <w:rsid w:val="00EA439C"/>
    <w:rsid w:val="00EA6802"/>
    <w:rsid w:val="00EA69AA"/>
    <w:rsid w:val="00EA6A11"/>
    <w:rsid w:val="00EA6C77"/>
    <w:rsid w:val="00EA7EC3"/>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3ABB"/>
    <w:rsid w:val="00EC3AD3"/>
    <w:rsid w:val="00EC4DE6"/>
    <w:rsid w:val="00EC5F94"/>
    <w:rsid w:val="00EC61CF"/>
    <w:rsid w:val="00EC7B38"/>
    <w:rsid w:val="00EC7BDB"/>
    <w:rsid w:val="00EC7C78"/>
    <w:rsid w:val="00ED00C4"/>
    <w:rsid w:val="00ED224C"/>
    <w:rsid w:val="00ED2B5D"/>
    <w:rsid w:val="00ED4501"/>
    <w:rsid w:val="00ED48C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AF"/>
    <w:rsid w:val="00EF25F7"/>
    <w:rsid w:val="00EF2E9C"/>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324"/>
    <w:rsid w:val="00F102AD"/>
    <w:rsid w:val="00F1092C"/>
    <w:rsid w:val="00F10A55"/>
    <w:rsid w:val="00F1179A"/>
    <w:rsid w:val="00F1180A"/>
    <w:rsid w:val="00F120C8"/>
    <w:rsid w:val="00F123CA"/>
    <w:rsid w:val="00F12549"/>
    <w:rsid w:val="00F12723"/>
    <w:rsid w:val="00F12E46"/>
    <w:rsid w:val="00F133F1"/>
    <w:rsid w:val="00F13A83"/>
    <w:rsid w:val="00F169DB"/>
    <w:rsid w:val="00F170B0"/>
    <w:rsid w:val="00F1772A"/>
    <w:rsid w:val="00F218A0"/>
    <w:rsid w:val="00F21EBF"/>
    <w:rsid w:val="00F21F0F"/>
    <w:rsid w:val="00F23F12"/>
    <w:rsid w:val="00F252D3"/>
    <w:rsid w:val="00F256D1"/>
    <w:rsid w:val="00F27459"/>
    <w:rsid w:val="00F27705"/>
    <w:rsid w:val="00F30CC0"/>
    <w:rsid w:val="00F32BFD"/>
    <w:rsid w:val="00F33E79"/>
    <w:rsid w:val="00F344EE"/>
    <w:rsid w:val="00F34EAD"/>
    <w:rsid w:val="00F34ED7"/>
    <w:rsid w:val="00F353D2"/>
    <w:rsid w:val="00F363B2"/>
    <w:rsid w:val="00F4208D"/>
    <w:rsid w:val="00F42E84"/>
    <w:rsid w:val="00F44026"/>
    <w:rsid w:val="00F45B43"/>
    <w:rsid w:val="00F4678A"/>
    <w:rsid w:val="00F46982"/>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264F"/>
    <w:rsid w:val="00F73412"/>
    <w:rsid w:val="00F737C8"/>
    <w:rsid w:val="00F76357"/>
    <w:rsid w:val="00F776F8"/>
    <w:rsid w:val="00F77FCE"/>
    <w:rsid w:val="00F81D07"/>
    <w:rsid w:val="00F821DB"/>
    <w:rsid w:val="00F83579"/>
    <w:rsid w:val="00F85263"/>
    <w:rsid w:val="00F85772"/>
    <w:rsid w:val="00F85F67"/>
    <w:rsid w:val="00F86353"/>
    <w:rsid w:val="00F86C95"/>
    <w:rsid w:val="00F8706F"/>
    <w:rsid w:val="00F90448"/>
    <w:rsid w:val="00F90D29"/>
    <w:rsid w:val="00F917FF"/>
    <w:rsid w:val="00F93A03"/>
    <w:rsid w:val="00F94D99"/>
    <w:rsid w:val="00FA0819"/>
    <w:rsid w:val="00FA1BC0"/>
    <w:rsid w:val="00FA2298"/>
    <w:rsid w:val="00FA2786"/>
    <w:rsid w:val="00FA2DAD"/>
    <w:rsid w:val="00FA41CF"/>
    <w:rsid w:val="00FA440B"/>
    <w:rsid w:val="00FA5F67"/>
    <w:rsid w:val="00FA5FF1"/>
    <w:rsid w:val="00FA6D4D"/>
    <w:rsid w:val="00FA705E"/>
    <w:rsid w:val="00FA73CC"/>
    <w:rsid w:val="00FB0362"/>
    <w:rsid w:val="00FB052F"/>
    <w:rsid w:val="00FB132D"/>
    <w:rsid w:val="00FB1BC9"/>
    <w:rsid w:val="00FB1FEE"/>
    <w:rsid w:val="00FB27C0"/>
    <w:rsid w:val="00FB4401"/>
    <w:rsid w:val="00FB544C"/>
    <w:rsid w:val="00FB5AA2"/>
    <w:rsid w:val="00FB7A30"/>
    <w:rsid w:val="00FC0BF9"/>
    <w:rsid w:val="00FC435B"/>
    <w:rsid w:val="00FC474F"/>
    <w:rsid w:val="00FC5466"/>
    <w:rsid w:val="00FC54F6"/>
    <w:rsid w:val="00FC5E3E"/>
    <w:rsid w:val="00FC628B"/>
    <w:rsid w:val="00FC6339"/>
    <w:rsid w:val="00FC7DA5"/>
    <w:rsid w:val="00FC7E91"/>
    <w:rsid w:val="00FD0780"/>
    <w:rsid w:val="00FD0E83"/>
    <w:rsid w:val="00FD2B5C"/>
    <w:rsid w:val="00FD3120"/>
    <w:rsid w:val="00FD3B9C"/>
    <w:rsid w:val="00FD4102"/>
    <w:rsid w:val="00FD6993"/>
    <w:rsid w:val="00FD6A65"/>
    <w:rsid w:val="00FD7A36"/>
    <w:rsid w:val="00FE0E49"/>
    <w:rsid w:val="00FE0EA2"/>
    <w:rsid w:val="00FE443A"/>
    <w:rsid w:val="00FE4954"/>
    <w:rsid w:val="00FE4B61"/>
    <w:rsid w:val="00FE4BBD"/>
    <w:rsid w:val="00FE5FB5"/>
    <w:rsid w:val="00FE61E2"/>
    <w:rsid w:val="00FE6A57"/>
    <w:rsid w:val="00FE77E4"/>
    <w:rsid w:val="00FF01C2"/>
    <w:rsid w:val="00FF0FFF"/>
    <w:rsid w:val="00FF1124"/>
    <w:rsid w:val="00FF22EF"/>
    <w:rsid w:val="00FF2B31"/>
    <w:rsid w:val="00FF35D4"/>
    <w:rsid w:val="00FF55FD"/>
    <w:rsid w:val="00FF6BF5"/>
    <w:rsid w:val="00FF7280"/>
    <w:rsid w:val="01194375"/>
    <w:rsid w:val="04FE7541"/>
    <w:rsid w:val="078C7496"/>
    <w:rsid w:val="095C563D"/>
    <w:rsid w:val="09E00862"/>
    <w:rsid w:val="0B9E129E"/>
    <w:rsid w:val="0EA855E3"/>
    <w:rsid w:val="0FA46603"/>
    <w:rsid w:val="15320BB2"/>
    <w:rsid w:val="164D2B76"/>
    <w:rsid w:val="169D2E74"/>
    <w:rsid w:val="19951957"/>
    <w:rsid w:val="1B221863"/>
    <w:rsid w:val="226739C8"/>
    <w:rsid w:val="26567DF3"/>
    <w:rsid w:val="2A4A4F4F"/>
    <w:rsid w:val="2B927EA7"/>
    <w:rsid w:val="313A5A83"/>
    <w:rsid w:val="3482711C"/>
    <w:rsid w:val="3A0C6803"/>
    <w:rsid w:val="48780199"/>
    <w:rsid w:val="48BF47B5"/>
    <w:rsid w:val="49231DBC"/>
    <w:rsid w:val="4B0300B5"/>
    <w:rsid w:val="53925898"/>
    <w:rsid w:val="56C7506B"/>
    <w:rsid w:val="570766A5"/>
    <w:rsid w:val="574F4FFF"/>
    <w:rsid w:val="5EDD6AEF"/>
    <w:rsid w:val="5EEC3103"/>
    <w:rsid w:val="62340FAB"/>
    <w:rsid w:val="63E24966"/>
    <w:rsid w:val="69A31F90"/>
    <w:rsid w:val="77154E88"/>
    <w:rsid w:val="777811D4"/>
    <w:rsid w:val="7C3E654E"/>
    <w:rsid w:val="7E5762B8"/>
    <w:rsid w:val="7E67362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4"/>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link w:val="141"/>
    <w:qFormat/>
    <w:uiPriority w:val="0"/>
    <w:pPr>
      <w:keepNext/>
      <w:spacing w:before="60" w:after="60"/>
      <w:outlineLvl w:val="2"/>
    </w:pPr>
    <w:rPr>
      <w:rFonts w:cs="Arial"/>
      <w:b/>
      <w:bCs/>
      <w:szCs w:val="26"/>
    </w:rPr>
  </w:style>
  <w:style w:type="paragraph" w:styleId="5">
    <w:name w:val="heading 4"/>
    <w:basedOn w:val="1"/>
    <w:next w:val="1"/>
    <w:link w:val="125"/>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paragraph" w:styleId="6">
    <w:name w:val="heading 6"/>
    <w:basedOn w:val="1"/>
    <w:next w:val="1"/>
    <w:link w:val="157"/>
    <w:semiHidden/>
    <w:unhideWhenUsed/>
    <w:qFormat/>
    <w:uiPriority w:val="0"/>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8">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9">
    <w:name w:val="annotation text"/>
    <w:basedOn w:val="1"/>
    <w:link w:val="137"/>
    <w:qFormat/>
    <w:uiPriority w:val="0"/>
    <w:pPr>
      <w:widowControl w:val="0"/>
    </w:pPr>
    <w:rPr>
      <w:rFonts w:ascii="Times New Roman" w:hAnsi="Times New Roman" w:eastAsia="宋体"/>
      <w:snapToGrid/>
      <w:kern w:val="2"/>
      <w:sz w:val="21"/>
      <w:szCs w:val="24"/>
      <w:lang w:val="zh-CN" w:eastAsia="zh-CN"/>
    </w:rPr>
  </w:style>
  <w:style w:type="paragraph" w:styleId="10">
    <w:name w:val="Body Text 3"/>
    <w:basedOn w:val="1"/>
    <w:link w:val="129"/>
    <w:qFormat/>
    <w:uiPriority w:val="0"/>
    <w:pPr>
      <w:widowControl w:val="0"/>
      <w:jc w:val="both"/>
    </w:pPr>
    <w:rPr>
      <w:rFonts w:ascii="汉仪楷体简" w:hAnsi="Times New Roman" w:eastAsia="汉仪楷体简"/>
      <w:snapToGrid/>
      <w:color w:val="000000"/>
      <w:sz w:val="18"/>
      <w:lang w:val="en-US" w:eastAsia="zh-CN"/>
    </w:rPr>
  </w:style>
  <w:style w:type="paragraph" w:styleId="11">
    <w:name w:val="Body Text"/>
    <w:basedOn w:val="1"/>
    <w:link w:val="126"/>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2">
    <w:name w:val="Body Text Indent"/>
    <w:basedOn w:val="1"/>
    <w:link w:val="127"/>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3">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4">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5">
    <w:name w:val="Date"/>
    <w:basedOn w:val="1"/>
    <w:next w:val="1"/>
    <w:link w:val="132"/>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6">
    <w:name w:val="Body Text Indent 2"/>
    <w:basedOn w:val="1"/>
    <w:link w:val="130"/>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7">
    <w:name w:val="Balloon Text"/>
    <w:basedOn w:val="1"/>
    <w:link w:val="35"/>
    <w:qFormat/>
    <w:uiPriority w:val="0"/>
    <w:rPr>
      <w:rFonts w:ascii="Tahoma" w:hAnsi="Tahoma" w:cs="Tahoma"/>
    </w:rPr>
  </w:style>
  <w:style w:type="paragraph" w:styleId="18">
    <w:name w:val="footer"/>
    <w:basedOn w:val="1"/>
    <w:qFormat/>
    <w:uiPriority w:val="0"/>
    <w:pPr>
      <w:tabs>
        <w:tab w:val="center" w:pos="4419"/>
        <w:tab w:val="right" w:pos="8838"/>
      </w:tabs>
    </w:pPr>
  </w:style>
  <w:style w:type="paragraph" w:styleId="19">
    <w:name w:val="header"/>
    <w:basedOn w:val="1"/>
    <w:qFormat/>
    <w:uiPriority w:val="0"/>
    <w:pPr>
      <w:tabs>
        <w:tab w:val="center" w:pos="4419"/>
        <w:tab w:val="right" w:pos="8838"/>
      </w:tabs>
    </w:pPr>
  </w:style>
  <w:style w:type="paragraph" w:styleId="20">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1">
    <w:name w:val="Body Text Indent 3"/>
    <w:basedOn w:val="1"/>
    <w:link w:val="131"/>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2">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3">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4">
    <w:name w:val="Body Text 2"/>
    <w:basedOn w:val="1"/>
    <w:link w:val="128"/>
    <w:qFormat/>
    <w:uiPriority w:val="0"/>
    <w:pPr>
      <w:widowControl w:val="0"/>
      <w:jc w:val="both"/>
    </w:pPr>
    <w:rPr>
      <w:rFonts w:ascii="Times New Roman" w:hAnsi="Times New Roman" w:eastAsia="汉仪楷体简"/>
      <w:snapToGrid/>
      <w:sz w:val="18"/>
      <w:szCs w:val="24"/>
      <w:lang w:val="en-US" w:eastAsia="zh-CN"/>
    </w:rPr>
  </w:style>
  <w:style w:type="paragraph" w:styleId="25">
    <w:name w:val="Normal (Web)"/>
    <w:basedOn w:val="1"/>
    <w:qFormat/>
    <w:uiPriority w:val="0"/>
    <w:pPr>
      <w:spacing w:before="100" w:beforeAutospacing="1" w:after="100" w:afterAutospacing="1"/>
    </w:pPr>
    <w:rPr>
      <w:rFonts w:ascii="宋体" w:hAnsi="宋体" w:eastAsia="宋体" w:cs="宋体"/>
      <w:snapToGrid/>
      <w:sz w:val="24"/>
      <w:szCs w:val="24"/>
      <w:lang w:val="en-US" w:eastAsia="zh-CN"/>
    </w:rPr>
  </w:style>
  <w:style w:type="paragraph" w:styleId="26">
    <w:name w:val="annotation subject"/>
    <w:basedOn w:val="9"/>
    <w:next w:val="9"/>
    <w:link w:val="138"/>
    <w:qFormat/>
    <w:uiPriority w:val="0"/>
    <w:rPr>
      <w:b/>
      <w:bCs/>
    </w:rPr>
  </w:style>
  <w:style w:type="table" w:styleId="28">
    <w:name w:val="Table Grid"/>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qFormat/>
    <w:uiPriority w:val="0"/>
    <w:rPr>
      <w:b/>
      <w:bCs/>
    </w:rPr>
  </w:style>
  <w:style w:type="character" w:styleId="31">
    <w:name w:val="page number"/>
    <w:basedOn w:val="29"/>
    <w:qFormat/>
    <w:uiPriority w:val="0"/>
  </w:style>
  <w:style w:type="character" w:styleId="32">
    <w:name w:val="FollowedHyperlink"/>
    <w:qFormat/>
    <w:uiPriority w:val="0"/>
    <w:rPr>
      <w:color w:val="800080"/>
      <w:u w:val="single"/>
    </w:rPr>
  </w:style>
  <w:style w:type="character" w:styleId="33">
    <w:name w:val="Hyperlink"/>
    <w:basedOn w:val="29"/>
    <w:qFormat/>
    <w:uiPriority w:val="99"/>
    <w:rPr>
      <w:color w:val="0000FF"/>
      <w:u w:val="single"/>
    </w:rPr>
  </w:style>
  <w:style w:type="character" w:styleId="34">
    <w:name w:val="annotation reference"/>
    <w:qFormat/>
    <w:uiPriority w:val="0"/>
    <w:rPr>
      <w:sz w:val="21"/>
      <w:szCs w:val="21"/>
    </w:rPr>
  </w:style>
  <w:style w:type="character" w:customStyle="1" w:styleId="35">
    <w:name w:val="批注框文本 字符"/>
    <w:basedOn w:val="29"/>
    <w:link w:val="17"/>
    <w:qFormat/>
    <w:uiPriority w:val="0"/>
    <w:rPr>
      <w:rFonts w:ascii="Tahoma" w:hAnsi="Tahoma" w:cs="Tahoma"/>
      <w:lang w:eastAsia="ja-JP"/>
    </w:rPr>
  </w:style>
  <w:style w:type="paragraph" w:customStyle="1" w:styleId="36">
    <w:name w:val="EFAFPCompanyName"/>
    <w:next w:val="37"/>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7">
    <w:name w:val="Style EFAFPFrameText_11.5pt + Right"/>
    <w:basedOn w:val="38"/>
    <w:qFormat/>
    <w:uiPriority w:val="0"/>
    <w:pPr>
      <w:framePr w:wrap="around"/>
      <w:jc w:val="right"/>
    </w:pPr>
    <w:rPr>
      <w:bCs/>
      <w:szCs w:val="20"/>
    </w:rPr>
  </w:style>
  <w:style w:type="paragraph" w:customStyle="1" w:styleId="38">
    <w:name w:val="EFAFPFrameText_11.5pt"/>
    <w:basedOn w:val="39"/>
    <w:qFormat/>
    <w:uiPriority w:val="0"/>
    <w:pPr>
      <w:framePr w:h="1520" w:hRule="exact" w:wrap="around" w:x="357" w:y="1072"/>
    </w:pPr>
    <w:rPr>
      <w:color w:val="23558C"/>
    </w:rPr>
  </w:style>
  <w:style w:type="paragraph" w:customStyle="1" w:styleId="39">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40">
    <w:name w:val="EFABullet"/>
    <w:basedOn w:val="41"/>
    <w:qFormat/>
    <w:uiPriority w:val="0"/>
    <w:pPr>
      <w:numPr>
        <w:ilvl w:val="0"/>
        <w:numId w:val="2"/>
      </w:numPr>
      <w:tabs>
        <w:tab w:val="left" w:pos="480"/>
      </w:tabs>
      <w:ind w:left="192" w:firstLine="0"/>
    </w:pPr>
  </w:style>
  <w:style w:type="paragraph" w:customStyle="1" w:styleId="41">
    <w:name w:val="EFA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2">
    <w:name w:val="EFAButton"/>
    <w:basedOn w:val="43"/>
    <w:qFormat/>
    <w:uiPriority w:val="0"/>
    <w:rPr>
      <w:b/>
    </w:rPr>
  </w:style>
  <w:style w:type="paragraph" w:customStyle="1" w:styleId="43">
    <w:name w:val="EFANormal"/>
    <w:link w:val="5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4">
    <w:name w:val="Style EFAFPFrameText_11.5pt_Right"/>
    <w:basedOn w:val="38"/>
    <w:qFormat/>
    <w:uiPriority w:val="0"/>
    <w:pPr>
      <w:framePr w:wrap="around"/>
      <w:jc w:val="right"/>
    </w:pPr>
    <w:rPr>
      <w:bCs/>
      <w:szCs w:val="20"/>
    </w:rPr>
  </w:style>
  <w:style w:type="paragraph" w:customStyle="1" w:styleId="45">
    <w:name w:val="EFADisclaimerText"/>
    <w:basedOn w:val="43"/>
    <w:link w:val="113"/>
    <w:qFormat/>
    <w:uiPriority w:val="99"/>
    <w:pPr>
      <w:jc w:val="both"/>
    </w:pPr>
  </w:style>
  <w:style w:type="paragraph" w:styleId="46">
    <w:name w:val="List Paragraph"/>
    <w:basedOn w:val="1"/>
    <w:qFormat/>
    <w:uiPriority w:val="34"/>
    <w:pPr>
      <w:ind w:left="720"/>
      <w:contextualSpacing/>
    </w:pPr>
  </w:style>
  <w:style w:type="paragraph" w:customStyle="1" w:styleId="47">
    <w:name w:val="EFABullet_Red"/>
    <w:basedOn w:val="48"/>
    <w:qFormat/>
    <w:uiPriority w:val="0"/>
    <w:pPr>
      <w:numPr>
        <w:ilvl w:val="0"/>
        <w:numId w:val="3"/>
      </w:numPr>
      <w:tabs>
        <w:tab w:val="left" w:pos="481"/>
      </w:tabs>
    </w:pPr>
  </w:style>
  <w:style w:type="paragraph" w:customStyle="1" w:styleId="48">
    <w:name w:val="EFAFP_BodyText"/>
    <w:link w:val="58"/>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9">
    <w:name w:val="EFA2ndPageHeader"/>
    <w:basedOn w:val="43"/>
    <w:qFormat/>
    <w:uiPriority w:val="0"/>
    <w:pPr>
      <w:spacing w:before="40" w:after="40"/>
      <w:jc w:val="right"/>
    </w:pPr>
    <w:rPr>
      <w:color w:val="FF0000"/>
      <w:sz w:val="24"/>
    </w:rPr>
  </w:style>
  <w:style w:type="paragraph" w:customStyle="1" w:styleId="50">
    <w:name w:val="EFAPageFooter"/>
    <w:basedOn w:val="43"/>
    <w:qFormat/>
    <w:uiPriority w:val="0"/>
    <w:pPr>
      <w:framePr w:wrap="around" w:vAnchor="page" w:hAnchor="page" w:x="347" w:y="15481"/>
      <w:suppressOverlap/>
      <w:tabs>
        <w:tab w:val="center" w:pos="5165"/>
      </w:tabs>
    </w:pPr>
    <w:rPr>
      <w:b/>
      <w:sz w:val="20"/>
      <w:szCs w:val="20"/>
    </w:rPr>
  </w:style>
  <w:style w:type="paragraph" w:customStyle="1" w:styleId="51">
    <w:name w:val="EFAPageHeader"/>
    <w:basedOn w:val="43"/>
    <w:qFormat/>
    <w:uiPriority w:val="0"/>
    <w:pPr>
      <w:tabs>
        <w:tab w:val="right" w:pos="10692"/>
      </w:tabs>
      <w:spacing w:before="40" w:after="40"/>
    </w:pPr>
    <w:rPr>
      <w:b/>
      <w:bCs/>
      <w:color w:val="005BAC"/>
      <w:sz w:val="24"/>
    </w:rPr>
  </w:style>
  <w:style w:type="paragraph" w:customStyle="1" w:styleId="52">
    <w:name w:val="EFAHiddenBookmark"/>
    <w:basedOn w:val="1"/>
    <w:link w:val="53"/>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3">
    <w:name w:val="EFAHiddenBookmark Char"/>
    <w:link w:val="52"/>
    <w:qFormat/>
    <w:uiPriority w:val="99"/>
    <w:rPr>
      <w:rFonts w:ascii="Arial" w:hAnsi="Arial" w:eastAsia="Times New Roman"/>
      <w:vanish/>
      <w:kern w:val="2"/>
      <w:sz w:val="14"/>
      <w:szCs w:val="19"/>
      <w:lang w:val="en-GB" w:eastAsia="en-US"/>
    </w:rPr>
  </w:style>
  <w:style w:type="paragraph" w:customStyle="1" w:styleId="54">
    <w:name w:val="EFAPoweredByEFA"/>
    <w:link w:val="55"/>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5">
    <w:name w:val="EFAPoweredByEFA Char"/>
    <w:link w:val="54"/>
    <w:qFormat/>
    <w:uiPriority w:val="0"/>
    <w:rPr>
      <w:rFonts w:ascii="Arial" w:hAnsi="Arial" w:eastAsia="PMingLiU"/>
      <w:color w:val="5A5A5A"/>
      <w:sz w:val="9"/>
      <w:szCs w:val="9"/>
      <w:lang w:eastAsia="zh-TW"/>
    </w:rPr>
  </w:style>
  <w:style w:type="character" w:customStyle="1" w:styleId="56">
    <w:name w:val="EFANormal Char"/>
    <w:basedOn w:val="29"/>
    <w:link w:val="43"/>
    <w:qFormat/>
    <w:uiPriority w:val="0"/>
    <w:rPr>
      <w:lang w:eastAsia="ja-JP"/>
    </w:rPr>
  </w:style>
  <w:style w:type="character" w:customStyle="1" w:styleId="57">
    <w:name w:val="EFABodyText Char"/>
    <w:basedOn w:val="29"/>
    <w:link w:val="41"/>
    <w:qFormat/>
    <w:uiPriority w:val="0"/>
    <w:rPr>
      <w:sz w:val="20"/>
      <w:lang w:eastAsia="ja-JP"/>
    </w:rPr>
  </w:style>
  <w:style w:type="character" w:customStyle="1" w:styleId="58">
    <w:name w:val="EFAFP_BodyText Char"/>
    <w:basedOn w:val="29"/>
    <w:link w:val="48"/>
    <w:qFormat/>
    <w:uiPriority w:val="0"/>
    <w:rPr>
      <w:sz w:val="20"/>
      <w:lang w:eastAsia="ja-JP"/>
    </w:rPr>
  </w:style>
  <w:style w:type="paragraph" w:customStyle="1" w:styleId="59">
    <w:name w:val="EFAFPTag"/>
    <w:basedOn w:val="43"/>
    <w:qFormat/>
    <w:uiPriority w:val="0"/>
    <w:pPr>
      <w:jc w:val="center"/>
    </w:pPr>
    <w:rPr>
      <w:b/>
    </w:rPr>
  </w:style>
  <w:style w:type="paragraph" w:customStyle="1" w:styleId="60">
    <w:name w:val="EFAFPFooter"/>
    <w:basedOn w:val="43"/>
    <w:qFormat/>
    <w:uiPriority w:val="0"/>
    <w:pPr>
      <w:tabs>
        <w:tab w:val="right" w:pos="10679"/>
      </w:tabs>
      <w:autoSpaceDE w:val="0"/>
      <w:autoSpaceDN w:val="0"/>
      <w:jc w:val="both"/>
    </w:pPr>
    <w:rPr>
      <w:rFonts w:cs="Arial"/>
      <w:b/>
      <w:sz w:val="14"/>
    </w:rPr>
  </w:style>
  <w:style w:type="character" w:customStyle="1" w:styleId="61">
    <w:name w:val="EFACharGrey"/>
    <w:qFormat/>
    <w:uiPriority w:val="1"/>
    <w:rPr>
      <w:color w:val="808080"/>
    </w:rPr>
  </w:style>
  <w:style w:type="paragraph" w:customStyle="1" w:styleId="62">
    <w:name w:val="EFAFPColFrameText_Left2"/>
    <w:link w:val="81"/>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3">
    <w:name w:val="EFACharBold"/>
    <w:basedOn w:val="29"/>
    <w:qFormat/>
    <w:uiPriority w:val="1"/>
    <w:rPr>
      <w:b/>
    </w:rPr>
  </w:style>
  <w:style w:type="paragraph" w:customStyle="1" w:styleId="64">
    <w:name w:val="EFAFPColFrame_AnalystName2"/>
    <w:basedOn w:val="62"/>
    <w:link w:val="102"/>
    <w:qFormat/>
    <w:uiPriority w:val="0"/>
    <w:pPr>
      <w:framePr w:wrap="around"/>
    </w:pPr>
    <w:rPr>
      <w:b/>
      <w:sz w:val="16"/>
    </w:rPr>
  </w:style>
  <w:style w:type="paragraph" w:customStyle="1" w:styleId="65">
    <w:name w:val="EFAFP_Source"/>
    <w:basedOn w:val="43"/>
    <w:qFormat/>
    <w:uiPriority w:val="0"/>
    <w:rPr>
      <w:sz w:val="12"/>
      <w:szCs w:val="12"/>
    </w:rPr>
  </w:style>
  <w:style w:type="paragraph" w:customStyle="1" w:styleId="66">
    <w:name w:val="EFAFP_Abstract"/>
    <w:qFormat/>
    <w:uiPriority w:val="0"/>
    <w:rPr>
      <w:rFonts w:ascii="Calibri" w:hAnsi="Calibri" w:eastAsia="MS Mincho" w:cs="Times New Roman"/>
      <w:snapToGrid w:val="0"/>
      <w:sz w:val="18"/>
      <w:szCs w:val="16"/>
      <w:lang w:val="en-US" w:eastAsia="ja-JP" w:bidi="ar-SA"/>
    </w:rPr>
  </w:style>
  <w:style w:type="paragraph" w:customStyle="1" w:styleId="67">
    <w:name w:val="EFABullet_Green"/>
    <w:basedOn w:val="48"/>
    <w:qFormat/>
    <w:uiPriority w:val="0"/>
    <w:pPr>
      <w:numPr>
        <w:ilvl w:val="0"/>
        <w:numId w:val="4"/>
      </w:numPr>
      <w:tabs>
        <w:tab w:val="left" w:pos="468"/>
      </w:tabs>
    </w:pPr>
  </w:style>
  <w:style w:type="paragraph" w:customStyle="1" w:styleId="68">
    <w:name w:val="EFABullet_Blue"/>
    <w:basedOn w:val="48"/>
    <w:qFormat/>
    <w:uiPriority w:val="0"/>
    <w:pPr>
      <w:numPr>
        <w:ilvl w:val="0"/>
        <w:numId w:val="5"/>
      </w:numPr>
      <w:tabs>
        <w:tab w:val="left" w:pos="468"/>
      </w:tabs>
    </w:pPr>
  </w:style>
  <w:style w:type="paragraph" w:customStyle="1" w:styleId="69">
    <w:name w:val="EFABullet_Yellow"/>
    <w:basedOn w:val="48"/>
    <w:qFormat/>
    <w:uiPriority w:val="0"/>
    <w:pPr>
      <w:numPr>
        <w:ilvl w:val="0"/>
        <w:numId w:val="6"/>
      </w:numPr>
      <w:tabs>
        <w:tab w:val="left" w:pos="468"/>
      </w:tabs>
    </w:pPr>
  </w:style>
  <w:style w:type="paragraph" w:customStyle="1" w:styleId="70">
    <w:name w:val="EFASource"/>
    <w:basedOn w:val="41"/>
    <w:qFormat/>
    <w:uiPriority w:val="0"/>
    <w:rPr>
      <w:sz w:val="12"/>
      <w:szCs w:val="14"/>
    </w:rPr>
  </w:style>
  <w:style w:type="paragraph" w:customStyle="1" w:styleId="71">
    <w:name w:val="EFAHeading"/>
    <w:basedOn w:val="1"/>
    <w:next w:val="41"/>
    <w:qFormat/>
    <w:uiPriority w:val="0"/>
    <w:pPr>
      <w:widowControl w:val="0"/>
      <w:adjustRightInd w:val="0"/>
      <w:snapToGrid w:val="0"/>
    </w:pPr>
    <w:rPr>
      <w:b/>
      <w:color w:val="000000"/>
      <w:kern w:val="28"/>
      <w:sz w:val="24"/>
    </w:rPr>
  </w:style>
  <w:style w:type="paragraph" w:customStyle="1" w:styleId="72">
    <w:name w:val="EFADisclaimerHeading"/>
    <w:basedOn w:val="45"/>
    <w:next w:val="45"/>
    <w:qFormat/>
    <w:uiPriority w:val="99"/>
    <w:rPr>
      <w:b/>
    </w:rPr>
  </w:style>
  <w:style w:type="paragraph" w:customStyle="1" w:styleId="73">
    <w:name w:val="EFADisclaimerHeading2"/>
    <w:basedOn w:val="45"/>
    <w:next w:val="45"/>
    <w:qFormat/>
    <w:uiPriority w:val="0"/>
    <w:rPr>
      <w:b/>
      <w:sz w:val="20"/>
      <w:szCs w:val="20"/>
    </w:rPr>
  </w:style>
  <w:style w:type="paragraph" w:customStyle="1" w:styleId="74">
    <w:name w:val="EFADisclaimerHeading3"/>
    <w:basedOn w:val="45"/>
    <w:qFormat/>
    <w:uiPriority w:val="0"/>
    <w:rPr>
      <w:b/>
      <w:sz w:val="18"/>
      <w:szCs w:val="18"/>
    </w:rPr>
  </w:style>
  <w:style w:type="paragraph" w:customStyle="1" w:styleId="75">
    <w:name w:val="EFASideComment"/>
    <w:basedOn w:val="41"/>
    <w:qFormat/>
    <w:uiPriority w:val="0"/>
    <w:pPr>
      <w:framePr w:w="2980" w:hSpace="180" w:wrap="around" w:vAnchor="text" w:hAnchor="text" w:x="-3250" w:y="160"/>
    </w:pPr>
  </w:style>
  <w:style w:type="character" w:customStyle="1" w:styleId="76">
    <w:name w:val="EFACharBold_and_AllCap"/>
    <w:qFormat/>
    <w:uiPriority w:val="1"/>
    <w:rPr>
      <w:b/>
      <w:caps/>
    </w:rPr>
  </w:style>
  <w:style w:type="paragraph" w:customStyle="1" w:styleId="77">
    <w:name w:val="__Table_Normal"/>
    <w:basedOn w:val="1"/>
    <w:link w:val="78"/>
    <w:qFormat/>
    <w:uiPriority w:val="0"/>
    <w:rPr>
      <w:snapToGrid/>
      <w:color w:val="000000"/>
      <w:kern w:val="28"/>
    </w:rPr>
  </w:style>
  <w:style w:type="character" w:customStyle="1" w:styleId="78">
    <w:name w:val="__Table_Normal Char"/>
    <w:basedOn w:val="29"/>
    <w:link w:val="77"/>
    <w:qFormat/>
    <w:uiPriority w:val="0"/>
    <w:rPr>
      <w:snapToGrid/>
      <w:color w:val="000000"/>
      <w:kern w:val="28"/>
      <w:lang w:eastAsia="ja-JP"/>
    </w:rPr>
  </w:style>
  <w:style w:type="paragraph" w:customStyle="1" w:styleId="79">
    <w:name w:val="Front pg Tbl left just 7 pt"/>
    <w:basedOn w:val="1"/>
    <w:link w:val="80"/>
    <w:qFormat/>
    <w:uiPriority w:val="0"/>
    <w:rPr>
      <w:snapToGrid/>
      <w:sz w:val="14"/>
      <w:szCs w:val="24"/>
    </w:rPr>
  </w:style>
  <w:style w:type="character" w:customStyle="1" w:styleId="80">
    <w:name w:val="Front pg Tbl left just 7 pt Char Char"/>
    <w:basedOn w:val="29"/>
    <w:link w:val="79"/>
    <w:qFormat/>
    <w:uiPriority w:val="0"/>
    <w:rPr>
      <w:snapToGrid/>
      <w:sz w:val="14"/>
      <w:szCs w:val="24"/>
      <w:lang w:eastAsia="ja-JP"/>
    </w:rPr>
  </w:style>
  <w:style w:type="character" w:customStyle="1" w:styleId="81">
    <w:name w:val="EFAFPColFrameText_Left2 Char"/>
    <w:basedOn w:val="29"/>
    <w:link w:val="62"/>
    <w:qFormat/>
    <w:uiPriority w:val="0"/>
    <w:rPr>
      <w:sz w:val="14"/>
      <w:szCs w:val="14"/>
    </w:rPr>
  </w:style>
  <w:style w:type="paragraph" w:customStyle="1" w:styleId="82">
    <w:name w:val="EFAAnchor"/>
    <w:basedOn w:val="43"/>
    <w:qFormat/>
    <w:uiPriority w:val="0"/>
    <w:rPr>
      <w:sz w:val="4"/>
      <w:lang w:eastAsia="zh-CN"/>
    </w:rPr>
  </w:style>
  <w:style w:type="paragraph" w:customStyle="1" w:styleId="83">
    <w:name w:val="EFAReportTitle"/>
    <w:basedOn w:val="43"/>
    <w:qFormat/>
    <w:uiPriority w:val="0"/>
    <w:rPr>
      <w:b/>
      <w:sz w:val="48"/>
    </w:rPr>
  </w:style>
  <w:style w:type="paragraph" w:customStyle="1" w:styleId="84">
    <w:name w:val="EFAM_Title"/>
    <w:basedOn w:val="43"/>
    <w:qFormat/>
    <w:uiPriority w:val="0"/>
    <w:pPr>
      <w:framePr w:wrap="around" w:vAnchor="margin" w:hAnchor="text" w:xAlign="right" w:y="1"/>
      <w:suppressOverlap/>
    </w:pPr>
    <w:rPr>
      <w:b/>
      <w:sz w:val="32"/>
      <w:szCs w:val="28"/>
    </w:rPr>
  </w:style>
  <w:style w:type="paragraph" w:customStyle="1" w:styleId="85">
    <w:name w:val="EFABullet_Indent"/>
    <w:basedOn w:val="41"/>
    <w:qFormat/>
    <w:uiPriority w:val="0"/>
    <w:pPr>
      <w:numPr>
        <w:ilvl w:val="0"/>
        <w:numId w:val="7"/>
      </w:numPr>
      <w:tabs>
        <w:tab w:val="left" w:pos="240"/>
      </w:tabs>
      <w:ind w:left="240" w:hanging="240"/>
    </w:pPr>
  </w:style>
  <w:style w:type="paragraph" w:customStyle="1" w:styleId="86">
    <w:name w:val="EFAM_Abstract"/>
    <w:basedOn w:val="41"/>
    <w:next w:val="41"/>
    <w:qFormat/>
    <w:uiPriority w:val="0"/>
  </w:style>
  <w:style w:type="paragraph" w:customStyle="1" w:styleId="87">
    <w:name w:val="EFAM_Synopsis"/>
    <w:basedOn w:val="41"/>
    <w:next w:val="41"/>
    <w:qFormat/>
    <w:uiPriority w:val="0"/>
    <w:rPr>
      <w:b/>
      <w:sz w:val="24"/>
    </w:rPr>
  </w:style>
  <w:style w:type="paragraph" w:customStyle="1" w:styleId="88">
    <w:name w:val="EFAHeading1"/>
    <w:basedOn w:val="41"/>
    <w:next w:val="41"/>
    <w:qFormat/>
    <w:uiPriority w:val="0"/>
    <w:pPr>
      <w:numPr>
        <w:ilvl w:val="0"/>
        <w:numId w:val="8"/>
      </w:numPr>
      <w:tabs>
        <w:tab w:val="left" w:pos="1044"/>
      </w:tabs>
      <w:spacing w:after="60"/>
      <w:ind w:left="0" w:firstLine="0"/>
      <w:outlineLvl w:val="0"/>
    </w:pPr>
    <w:rPr>
      <w:b/>
      <w:sz w:val="24"/>
      <w:szCs w:val="24"/>
    </w:rPr>
  </w:style>
  <w:style w:type="paragraph" w:customStyle="1" w:styleId="89">
    <w:name w:val="EFAFPCol_Hdr3"/>
    <w:link w:val="91"/>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90">
    <w:name w:val="EFAFPReportType2"/>
    <w:link w:val="92"/>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1">
    <w:name w:val="EFAFPCol_Hdr3 Char"/>
    <w:basedOn w:val="29"/>
    <w:link w:val="89"/>
    <w:qFormat/>
    <w:uiPriority w:val="0"/>
    <w:rPr>
      <w:b/>
      <w:color w:val="808080"/>
      <w:sz w:val="24"/>
      <w:szCs w:val="24"/>
      <w:lang w:eastAsia="ja-JP"/>
    </w:rPr>
  </w:style>
  <w:style w:type="character" w:customStyle="1" w:styleId="92">
    <w:name w:val="EFAFPReportType2 Char"/>
    <w:basedOn w:val="29"/>
    <w:link w:val="90"/>
    <w:qFormat/>
    <w:uiPriority w:val="0"/>
    <w:rPr>
      <w:color w:val="23558C"/>
      <w:sz w:val="44"/>
      <w:szCs w:val="44"/>
      <w:lang w:eastAsia="ja-JP"/>
    </w:rPr>
  </w:style>
  <w:style w:type="paragraph" w:customStyle="1" w:styleId="93">
    <w:name w:val="EFAFPTitle3"/>
    <w:link w:val="96"/>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4">
    <w:name w:val="EFAFP_Headline"/>
    <w:next w:val="95"/>
    <w:link w:val="97"/>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5">
    <w:name w:val="EFAFP_BodyText2"/>
    <w:link w:val="98"/>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6">
    <w:name w:val="EFAFPTitle3 Char"/>
    <w:basedOn w:val="29"/>
    <w:link w:val="93"/>
    <w:qFormat/>
    <w:uiPriority w:val="0"/>
    <w:rPr>
      <w:b/>
      <w:sz w:val="44"/>
      <w:szCs w:val="60"/>
      <w:lang w:eastAsia="ja-JP"/>
    </w:rPr>
  </w:style>
  <w:style w:type="character" w:customStyle="1" w:styleId="97">
    <w:name w:val="EFAFP_Headline Char"/>
    <w:basedOn w:val="29"/>
    <w:link w:val="94"/>
    <w:qFormat/>
    <w:uiPriority w:val="0"/>
    <w:rPr>
      <w:rFonts w:eastAsia="Times New Roman"/>
      <w:b/>
      <w:bCs/>
      <w:snapToGrid/>
      <w:color w:val="23558C"/>
      <w:kern w:val="28"/>
      <w:sz w:val="28"/>
      <w:szCs w:val="20"/>
      <w:lang w:eastAsia="ja-JP"/>
    </w:rPr>
  </w:style>
  <w:style w:type="character" w:customStyle="1" w:styleId="98">
    <w:name w:val="EFAFP_BodyText2 Char"/>
    <w:basedOn w:val="29"/>
    <w:link w:val="95"/>
    <w:qFormat/>
    <w:uiPriority w:val="0"/>
    <w:rPr>
      <w:rFonts w:eastAsia="Times New Roman" w:cs="PMingLiU"/>
      <w:snapToGrid/>
      <w:sz w:val="22"/>
      <w:szCs w:val="20"/>
      <w:lang w:eastAsia="ja-JP"/>
    </w:rPr>
  </w:style>
  <w:style w:type="character" w:customStyle="1" w:styleId="99">
    <w:name w:val="EFABlueChar"/>
    <w:qFormat/>
    <w:uiPriority w:val="1"/>
    <w:rPr>
      <w:b/>
      <w:color w:val="23508C"/>
    </w:rPr>
  </w:style>
  <w:style w:type="paragraph" w:customStyle="1" w:styleId="100">
    <w:name w:val="EFAHeading5"/>
    <w:next w:val="41"/>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1">
    <w:name w:val="EFAMacroTitle"/>
    <w:basedOn w:val="89"/>
    <w:qFormat/>
    <w:uiPriority w:val="0"/>
    <w:pPr>
      <w:framePr w:wrap="around"/>
    </w:pPr>
  </w:style>
  <w:style w:type="character" w:customStyle="1" w:styleId="102">
    <w:name w:val="EFAFPColFrame_AnalystName2 Char"/>
    <w:basedOn w:val="81"/>
    <w:link w:val="64"/>
    <w:qFormat/>
    <w:uiPriority w:val="0"/>
    <w:rPr>
      <w:b/>
      <w:sz w:val="14"/>
      <w:szCs w:val="14"/>
    </w:rPr>
  </w:style>
  <w:style w:type="paragraph" w:customStyle="1" w:styleId="103">
    <w:name w:val="EFAFPTitle"/>
    <w:link w:val="104"/>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4">
    <w:name w:val="EFAFPTitle Char"/>
    <w:basedOn w:val="29"/>
    <w:link w:val="103"/>
    <w:qFormat/>
    <w:uiPriority w:val="0"/>
    <w:rPr>
      <w:b/>
      <w:color w:val="FFFFFF"/>
      <w:sz w:val="32"/>
      <w:szCs w:val="32"/>
      <w:lang w:eastAsia="ja-JP"/>
    </w:rPr>
  </w:style>
  <w:style w:type="paragraph" w:customStyle="1" w:styleId="105">
    <w:name w:val="EFAFPReportType"/>
    <w:link w:val="106"/>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6">
    <w:name w:val="EFAFPReportType Char"/>
    <w:basedOn w:val="29"/>
    <w:link w:val="105"/>
    <w:qFormat/>
    <w:uiPriority w:val="0"/>
    <w:rPr>
      <w:color w:val="23558C"/>
      <w:sz w:val="44"/>
      <w:szCs w:val="44"/>
      <w:lang w:eastAsia="ja-JP"/>
    </w:rPr>
  </w:style>
  <w:style w:type="paragraph" w:customStyle="1" w:styleId="107">
    <w:name w:val="EFAFPHdrInfo2"/>
    <w:link w:val="108"/>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8">
    <w:name w:val="EFAFPHdrInfo2 Char"/>
    <w:basedOn w:val="29"/>
    <w:link w:val="107"/>
    <w:qFormat/>
    <w:uiPriority w:val="0"/>
    <w:rPr>
      <w:color w:val="000000"/>
      <w:sz w:val="20"/>
      <w:szCs w:val="44"/>
      <w:lang w:eastAsia="ja-JP"/>
    </w:rPr>
  </w:style>
  <w:style w:type="paragraph" w:customStyle="1" w:styleId="109">
    <w:name w:val="EFADisclaimerHiddenText"/>
    <w:link w:val="110"/>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0">
    <w:name w:val="EFADisclaimerHiddenText Char"/>
    <w:basedOn w:val="29"/>
    <w:link w:val="109"/>
    <w:qFormat/>
    <w:uiPriority w:val="0"/>
    <w:rPr>
      <w:vanish/>
      <w:color w:val="FFFFFF"/>
      <w:sz w:val="2"/>
      <w:lang w:eastAsia="ja-JP"/>
    </w:rPr>
  </w:style>
  <w:style w:type="paragraph" w:customStyle="1" w:styleId="111">
    <w:name w:val="EFAFPFooter2"/>
    <w:link w:val="112"/>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2">
    <w:name w:val="EFAFPFooter2 Char"/>
    <w:basedOn w:val="29"/>
    <w:link w:val="111"/>
    <w:qFormat/>
    <w:uiPriority w:val="0"/>
    <w:rPr>
      <w:rFonts w:cs="Arial"/>
      <w:sz w:val="21"/>
      <w:lang w:eastAsia="ja-JP"/>
    </w:rPr>
  </w:style>
  <w:style w:type="character" w:customStyle="1" w:styleId="113">
    <w:name w:val="EFADisclaimerText Char"/>
    <w:basedOn w:val="29"/>
    <w:link w:val="45"/>
    <w:qFormat/>
    <w:locked/>
    <w:uiPriority w:val="99"/>
    <w:rPr>
      <w:lang w:eastAsia="ja-JP"/>
    </w:rPr>
  </w:style>
  <w:style w:type="paragraph" w:customStyle="1" w:styleId="114">
    <w:name w:val="EFAFPColFrameText_Left"/>
    <w:basedOn w:val="1"/>
    <w:link w:val="117"/>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5">
    <w:name w:val="EFAFPColFrame_AnalystName"/>
    <w:basedOn w:val="114"/>
    <w:qFormat/>
    <w:uiPriority w:val="0"/>
    <w:pPr>
      <w:framePr w:wrap="around"/>
    </w:pPr>
    <w:rPr>
      <w:b/>
      <w:sz w:val="16"/>
    </w:rPr>
  </w:style>
  <w:style w:type="paragraph" w:customStyle="1" w:styleId="116">
    <w:name w:val="EFAFPColFrameText_8pt"/>
    <w:basedOn w:val="114"/>
    <w:qFormat/>
    <w:uiPriority w:val="0"/>
    <w:pPr>
      <w:framePr w:wrap="around"/>
    </w:pPr>
    <w:rPr>
      <w:sz w:val="16"/>
    </w:rPr>
  </w:style>
  <w:style w:type="character" w:customStyle="1" w:styleId="117">
    <w:name w:val="EFAFPColFrameText_Left Char"/>
    <w:basedOn w:val="29"/>
    <w:link w:val="114"/>
    <w:qFormat/>
    <w:uiPriority w:val="0"/>
    <w:rPr>
      <w:sz w:val="14"/>
      <w:szCs w:val="14"/>
    </w:rPr>
  </w:style>
  <w:style w:type="paragraph" w:customStyle="1" w:styleId="118">
    <w:name w:val="表1"/>
    <w:basedOn w:val="1"/>
    <w:link w:val="119"/>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9">
    <w:name w:val="表1 Char"/>
    <w:link w:val="118"/>
    <w:qFormat/>
    <w:uiPriority w:val="0"/>
    <w:rPr>
      <w:rFonts w:ascii="Arial" w:hAnsi="Arial" w:eastAsia="楷体_GB2312"/>
      <w:b/>
      <w:bCs/>
      <w:snapToGrid/>
      <w:color w:val="000000"/>
      <w:kern w:val="2"/>
      <w:sz w:val="18"/>
      <w:szCs w:val="24"/>
      <w:lang w:val="zh-CN" w:eastAsia="zh-CN"/>
    </w:rPr>
  </w:style>
  <w:style w:type="paragraph" w:customStyle="1" w:styleId="120">
    <w:name w:val="EFABodyText(CN)"/>
    <w:link w:val="121"/>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1">
    <w:name w:val="EFABodyText(CN) Char"/>
    <w:basedOn w:val="29"/>
    <w:link w:val="120"/>
    <w:qFormat/>
    <w:uiPriority w:val="0"/>
    <w:rPr>
      <w:rFonts w:eastAsia="宋体"/>
      <w:sz w:val="20"/>
    </w:rPr>
  </w:style>
  <w:style w:type="paragraph" w:customStyle="1" w:styleId="122">
    <w:name w:val="图序号"/>
    <w:basedOn w:val="1"/>
    <w:link w:val="123"/>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3">
    <w:name w:val="图序号 字符"/>
    <w:link w:val="122"/>
    <w:qFormat/>
    <w:uiPriority w:val="0"/>
    <w:rPr>
      <w:rFonts w:ascii="Arial" w:hAnsi="Arial" w:eastAsia="楷体_GB2312"/>
      <w:b/>
      <w:bCs/>
      <w:snapToGrid/>
      <w:color w:val="000000"/>
      <w:kern w:val="2"/>
      <w:sz w:val="18"/>
      <w:szCs w:val="18"/>
      <w:lang w:val="zh-CN" w:eastAsia="zh-CN"/>
    </w:rPr>
  </w:style>
  <w:style w:type="character" w:customStyle="1" w:styleId="124">
    <w:name w:val="标题 1 字符1"/>
    <w:link w:val="2"/>
    <w:qFormat/>
    <w:uiPriority w:val="0"/>
    <w:rPr>
      <w:rFonts w:cs="Arial"/>
      <w:b/>
      <w:bCs/>
      <w:kern w:val="32"/>
      <w:sz w:val="24"/>
      <w:szCs w:val="32"/>
      <w:lang w:val="en-GB" w:eastAsia="ja-JP"/>
    </w:rPr>
  </w:style>
  <w:style w:type="character" w:customStyle="1" w:styleId="125">
    <w:name w:val="标题 4 字符"/>
    <w:basedOn w:val="29"/>
    <w:link w:val="5"/>
    <w:qFormat/>
    <w:uiPriority w:val="0"/>
    <w:rPr>
      <w:rFonts w:ascii="Cambria" w:hAnsi="Cambria" w:eastAsia="宋体"/>
      <w:b/>
      <w:bCs/>
      <w:snapToGrid/>
      <w:kern w:val="2"/>
      <w:sz w:val="28"/>
      <w:szCs w:val="28"/>
      <w:lang w:val="zh-CN" w:eastAsia="zh-CN"/>
    </w:rPr>
  </w:style>
  <w:style w:type="character" w:customStyle="1" w:styleId="126">
    <w:name w:val="正文文本 字符"/>
    <w:basedOn w:val="29"/>
    <w:link w:val="11"/>
    <w:qFormat/>
    <w:uiPriority w:val="0"/>
    <w:rPr>
      <w:rFonts w:ascii="Times New Roman" w:hAnsi="Times New Roman" w:eastAsia="宋体"/>
      <w:snapToGrid/>
      <w:kern w:val="2"/>
      <w:sz w:val="21"/>
      <w:szCs w:val="24"/>
    </w:rPr>
  </w:style>
  <w:style w:type="character" w:customStyle="1" w:styleId="127">
    <w:name w:val="正文文本缩进 字符"/>
    <w:basedOn w:val="29"/>
    <w:link w:val="12"/>
    <w:qFormat/>
    <w:uiPriority w:val="0"/>
    <w:rPr>
      <w:rFonts w:ascii="汉仪楷体简" w:hAnsi="Times New Roman" w:eastAsia="汉仪楷体简"/>
      <w:snapToGrid/>
      <w:color w:val="000000"/>
      <w:sz w:val="18"/>
    </w:rPr>
  </w:style>
  <w:style w:type="character" w:customStyle="1" w:styleId="128">
    <w:name w:val="正文文本 2 字符"/>
    <w:basedOn w:val="29"/>
    <w:link w:val="24"/>
    <w:qFormat/>
    <w:uiPriority w:val="0"/>
    <w:rPr>
      <w:rFonts w:ascii="Times New Roman" w:hAnsi="Times New Roman" w:eastAsia="汉仪楷体简"/>
      <w:snapToGrid/>
      <w:sz w:val="18"/>
      <w:szCs w:val="24"/>
    </w:rPr>
  </w:style>
  <w:style w:type="character" w:customStyle="1" w:styleId="129">
    <w:name w:val="正文文本 3 字符"/>
    <w:basedOn w:val="29"/>
    <w:link w:val="10"/>
    <w:qFormat/>
    <w:uiPriority w:val="0"/>
    <w:rPr>
      <w:rFonts w:ascii="汉仪楷体简" w:hAnsi="Times New Roman" w:eastAsia="汉仪楷体简"/>
      <w:snapToGrid/>
      <w:color w:val="000000"/>
      <w:sz w:val="18"/>
    </w:rPr>
  </w:style>
  <w:style w:type="character" w:customStyle="1" w:styleId="130">
    <w:name w:val="正文文本缩进 2 字符"/>
    <w:basedOn w:val="29"/>
    <w:link w:val="16"/>
    <w:qFormat/>
    <w:uiPriority w:val="0"/>
    <w:rPr>
      <w:rFonts w:ascii="楷体_GB2312" w:hAnsi="Times New Roman" w:eastAsia="楷体_GB2312"/>
      <w:snapToGrid/>
      <w:sz w:val="24"/>
      <w:szCs w:val="24"/>
    </w:rPr>
  </w:style>
  <w:style w:type="character" w:customStyle="1" w:styleId="131">
    <w:name w:val="正文文本缩进 3 字符"/>
    <w:basedOn w:val="29"/>
    <w:link w:val="21"/>
    <w:qFormat/>
    <w:uiPriority w:val="0"/>
    <w:rPr>
      <w:rFonts w:ascii="楷体_GB2312" w:hAnsi="Times New Roman" w:eastAsia="楷体_GB2312"/>
      <w:snapToGrid/>
      <w:color w:val="000000"/>
      <w:kern w:val="2"/>
      <w:sz w:val="24"/>
      <w:szCs w:val="24"/>
    </w:rPr>
  </w:style>
  <w:style w:type="character" w:customStyle="1" w:styleId="132">
    <w:name w:val="日期 字符"/>
    <w:basedOn w:val="29"/>
    <w:link w:val="15"/>
    <w:qFormat/>
    <w:uiPriority w:val="0"/>
    <w:rPr>
      <w:rFonts w:ascii="宋体" w:hAnsi="Times New Roman" w:eastAsia="宋体"/>
      <w:snapToGrid/>
      <w:kern w:val="2"/>
      <w:sz w:val="28"/>
      <w:szCs w:val="20"/>
    </w:rPr>
  </w:style>
  <w:style w:type="character" w:customStyle="1" w:styleId="133">
    <w:name w:val="style12"/>
    <w:basedOn w:val="29"/>
    <w:qFormat/>
    <w:uiPriority w:val="0"/>
  </w:style>
  <w:style w:type="character" w:customStyle="1" w:styleId="134">
    <w:name w:val="style13"/>
    <w:basedOn w:val="29"/>
    <w:qFormat/>
    <w:uiPriority w:val="0"/>
  </w:style>
  <w:style w:type="paragraph" w:customStyle="1" w:styleId="135">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6">
    <w:name w:val="二级目录"/>
    <w:basedOn w:val="13"/>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7">
    <w:name w:val="批注文字 字符"/>
    <w:basedOn w:val="29"/>
    <w:link w:val="9"/>
    <w:qFormat/>
    <w:uiPriority w:val="0"/>
    <w:rPr>
      <w:rFonts w:ascii="Times New Roman" w:hAnsi="Times New Roman" w:eastAsia="宋体"/>
      <w:snapToGrid/>
      <w:kern w:val="2"/>
      <w:sz w:val="21"/>
      <w:szCs w:val="24"/>
      <w:lang w:val="zh-CN" w:eastAsia="zh-CN"/>
    </w:rPr>
  </w:style>
  <w:style w:type="character" w:customStyle="1" w:styleId="138">
    <w:name w:val="批注主题 字符"/>
    <w:basedOn w:val="137"/>
    <w:link w:val="26"/>
    <w:qFormat/>
    <w:uiPriority w:val="0"/>
    <w:rPr>
      <w:rFonts w:ascii="Times New Roman" w:hAnsi="Times New Roman" w:eastAsia="宋体"/>
      <w:b/>
      <w:bCs/>
      <w:snapToGrid/>
      <w:kern w:val="2"/>
      <w:sz w:val="21"/>
      <w:szCs w:val="24"/>
      <w:lang w:val="zh-CN" w:eastAsia="zh-CN"/>
    </w:rPr>
  </w:style>
  <w:style w:type="paragraph" w:customStyle="1" w:styleId="139">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40">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1">
    <w:name w:val="标题 3 字符"/>
    <w:link w:val="4"/>
    <w:qFormat/>
    <w:uiPriority w:val="0"/>
    <w:rPr>
      <w:rFonts w:cs="Arial"/>
      <w:b/>
      <w:bCs/>
      <w:szCs w:val="26"/>
      <w:lang w:val="en-GB" w:eastAsia="ja-JP"/>
    </w:rPr>
  </w:style>
  <w:style w:type="paragraph" w:customStyle="1" w:styleId="142">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3">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4">
    <w:name w:val="国泰君安数据来源"/>
    <w:basedOn w:val="143"/>
    <w:qFormat/>
    <w:uiPriority w:val="0"/>
    <w:rPr>
      <w:sz w:val="18"/>
    </w:rPr>
  </w:style>
  <w:style w:type="paragraph" w:customStyle="1" w:styleId="145">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6">
    <w:name w:val="标题 1 字符"/>
    <w:qFormat/>
    <w:uiPriority w:val="0"/>
    <w:rPr>
      <w:rFonts w:eastAsia="楷体_GB2312"/>
      <w:b/>
      <w:bCs/>
      <w:color w:val="000080"/>
      <w:sz w:val="30"/>
      <w:szCs w:val="24"/>
    </w:rPr>
  </w:style>
  <w:style w:type="table" w:customStyle="1" w:styleId="147">
    <w:name w:val="网格表 2 - 着色 11"/>
    <w:basedOn w:val="27"/>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8">
    <w:name w:val="网格表 3 - 着色 31"/>
    <w:basedOn w:val="27"/>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9">
    <w:name w:val="网格表 2 - 着色 51"/>
    <w:basedOn w:val="27"/>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50">
    <w:name w:val="清单表 1 浅色 - 着色 51"/>
    <w:basedOn w:val="27"/>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1">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2">
    <w:name w:val="EFAFPHdrInfo"/>
    <w:link w:val="153"/>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3">
    <w:name w:val="EFAFPHdrInfo Char"/>
    <w:basedOn w:val="106"/>
    <w:link w:val="152"/>
    <w:qFormat/>
    <w:uiPriority w:val="0"/>
    <w:rPr>
      <w:b/>
      <w:bCs/>
      <w:color w:val="000000"/>
      <w:sz w:val="32"/>
      <w:szCs w:val="32"/>
      <w:lang w:eastAsia="ja-JP"/>
    </w:rPr>
  </w:style>
  <w:style w:type="paragraph" w:customStyle="1" w:styleId="154">
    <w:name w:val="EFAFPTitle6"/>
    <w:link w:val="155"/>
    <w:qFormat/>
    <w:uiPriority w:val="0"/>
    <w:rPr>
      <w:rFonts w:ascii="Calibri" w:hAnsi="Calibri" w:eastAsia="MS Mincho" w:cs="Times New Roman"/>
      <w:b/>
      <w:bCs/>
      <w:snapToGrid w:val="0"/>
      <w:color w:val="FFFFFF"/>
      <w:sz w:val="32"/>
      <w:lang w:val="en-US" w:eastAsia="ja-JP" w:bidi="ar-SA"/>
    </w:rPr>
  </w:style>
  <w:style w:type="character" w:customStyle="1" w:styleId="155">
    <w:name w:val="EFAFPTitle6 Char"/>
    <w:basedOn w:val="29"/>
    <w:link w:val="154"/>
    <w:qFormat/>
    <w:uiPriority w:val="0"/>
    <w:rPr>
      <w:b/>
      <w:bCs/>
      <w:color w:val="FFFFFF"/>
      <w:sz w:val="32"/>
      <w:szCs w:val="20"/>
      <w:lang w:eastAsia="ja-JP"/>
    </w:rPr>
  </w:style>
  <w:style w:type="table" w:customStyle="1" w:styleId="156">
    <w:name w:val="Common"/>
    <w:basedOn w:val="28"/>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character" w:customStyle="1" w:styleId="157">
    <w:name w:val="标题 6 字符"/>
    <w:basedOn w:val="29"/>
    <w:link w:val="6"/>
    <w:semiHidden/>
    <w:qFormat/>
    <w:uiPriority w:val="0"/>
    <w:rPr>
      <w:rFonts w:asciiTheme="majorHAnsi" w:hAnsiTheme="majorHAnsi" w:eastAsiaTheme="majorEastAsia" w:cstheme="majorBidi"/>
      <w:b/>
      <w:bCs/>
      <w:snapToGrid w:val="0"/>
      <w:sz w:val="24"/>
      <w:szCs w:val="24"/>
      <w:lang w:val="en-GB" w:eastAsia="ja-JP"/>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linhong\AppData\Roaming\EFA\Macro%20note%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897B2F-D567-4463-8BC9-F5D2ABA75856}">
  <ds:schemaRefs/>
</ds:datastoreItem>
</file>

<file path=docProps/app.xml><?xml version="1.0" encoding="utf-8"?>
<Properties xmlns="http://schemas.openxmlformats.org/officeDocument/2006/extended-properties" xmlns:vt="http://schemas.openxmlformats.org/officeDocument/2006/docPropsVTypes">
  <Template>Macro note - HTI</Template>
  <Company>Japaninvest</Company>
  <Pages>6</Pages>
  <Words>6276</Words>
  <Characters>14452</Characters>
  <Lines>107</Lines>
  <Paragraphs>30</Paragraphs>
  <TotalTime>3</TotalTime>
  <ScaleCrop>false</ScaleCrop>
  <LinksUpToDate>false</LinksUpToDate>
  <CharactersWithSpaces>16171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2026-02-12T06:26:00Z</dcterms:created>
  <dc:creator>zhoulinhong</dc:creator>
  <cp:lastModifiedBy>微信用户</cp:lastModifiedBy>
  <cp:lastPrinted>2026-02-12T09:59:00Z</cp:lastPrinted>
  <dcterms:modified xsi:type="dcterms:W3CDTF">2026-02-20T09:50:00Z</dcterms:modified>
  <dc:title>Sector note</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3</vt:lpwstr>
  </property>
  <property fmtid="{D5CDD505-2E9C-101B-9397-08002B2CF9AE}" pid="50" name="versiontype">
    <vt:lpwstr>HTI_Macro_CN</vt:lpwstr>
  </property>
  <property fmtid="{D5CDD505-2E9C-101B-9397-08002B2CF9AE}" pid="51" name="version">
    <vt:lpwstr>1.0</vt:lpwstr>
  </property>
  <property fmtid="{D5CDD505-2E9C-101B-9397-08002B2CF9AE}" pid="52" name="typeId">
    <vt:lpwstr>3</vt:lpwstr>
  </property>
  <property fmtid="{D5CDD505-2E9C-101B-9397-08002B2CF9AE}" pid="53" name="reporttitle">
    <vt:lpwstr/>
  </property>
  <property fmtid="{D5CDD505-2E9C-101B-9397-08002B2CF9AE}" pid="54" name="regionCn">
    <vt:lpwstr>中国</vt:lpwstr>
  </property>
  <property fmtid="{D5CDD505-2E9C-101B-9397-08002B2CF9AE}" pid="55" name="regionEn">
    <vt:lpwstr>China</vt:lpwstr>
  </property>
  <property fmtid="{D5CDD505-2E9C-101B-9397-08002B2CF9AE}" pid="56" name="analysts">
    <vt:lpwstr>System.Collections.ArrayList</vt:lpwstr>
  </property>
  <property fmtid="{D5CDD505-2E9C-101B-9397-08002B2CF9AE}" pid="57" name="typeName">
    <vt:lpwstr>Macro</vt:lpwstr>
  </property>
  <property fmtid="{D5CDD505-2E9C-101B-9397-08002B2CF9AE}" pid="58" name="analystids">
    <vt:lpwstr>3,117</vt:lpwstr>
  </property>
  <property fmtid="{D5CDD505-2E9C-101B-9397-08002B2CF9AE}" pid="59" name="reportid">
    <vt:lpwstr/>
  </property>
  <property fmtid="{D5CDD505-2E9C-101B-9397-08002B2CF9AE}" pid="60" name="typeChineseName">
    <vt:lpwstr>宏观</vt:lpwstr>
  </property>
  <property fmtid="{D5CDD505-2E9C-101B-9397-08002B2CF9AE}" pid="61" name="KSOTemplateDocerSaveRecord">
    <vt:lpwstr>eyJoZGlkIjoiN2YzNjBkOTgyNWQ1YTMxYzM3MzMwNWFiODNmOWIzYWMiLCJ1c2VySWQiOiIxMjgyNzI4NjcyIn0=</vt:lpwstr>
  </property>
  <property fmtid="{D5CDD505-2E9C-101B-9397-08002B2CF9AE}" pid="62" name="KSOProductBuildVer">
    <vt:lpwstr>2052-12.1.0.24034</vt:lpwstr>
  </property>
  <property fmtid="{D5CDD505-2E9C-101B-9397-08002B2CF9AE}" pid="63" name="ICV">
    <vt:lpwstr>58CFF3A38E4842648EBFAF2417CB8773_13</vt:lpwstr>
  </property>
</Properties>
</file>