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Override PartName="/word/charts/chart29.xml" ContentType="application/vnd.openxmlformats-officedocument.drawingml.chart+xml"/>
  <Override PartName="/word/charts/chart3.xml" ContentType="application/vnd.openxmlformats-officedocument.drawingml.chart+xml"/>
  <Override PartName="/word/charts/chart30.xml" ContentType="application/vnd.openxmlformats-officedocument.drawingml.chart+xml"/>
  <Override PartName="/word/charts/chart31.xml" ContentType="application/vnd.openxmlformats-officedocument.drawingml.chart+xml"/>
  <Override PartName="/word/charts/chart32.xml" ContentType="application/vnd.openxmlformats-officedocument.drawingml.chart+xml"/>
  <Override PartName="/word/charts/chart33.xml" ContentType="application/vnd.openxmlformats-officedocument.drawingml.chart+xml"/>
  <Override PartName="/word/charts/chart34.xml" ContentType="application/vnd.openxmlformats-officedocument.drawingml.chart+xml"/>
  <Override PartName="/word/charts/chart35.xml" ContentType="application/vnd.openxmlformats-officedocument.drawingml.chart+xml"/>
  <Override PartName="/word/charts/chart36.xml" ContentType="application/vnd.openxmlformats-officedocument.drawingml.chart+xml"/>
  <Override PartName="/word/charts/chart37.xml" ContentType="application/vnd.openxmlformats-officedocument.drawingml.chart+xml"/>
  <Override PartName="/word/charts/chart38.xml" ContentType="application/vnd.openxmlformats-officedocument.drawingml.chart+xml"/>
  <Override PartName="/word/charts/chart39.xml" ContentType="application/vnd.openxmlformats-officedocument.drawingml.chart+xml"/>
  <Override PartName="/word/charts/chart4.xml" ContentType="application/vnd.openxmlformats-officedocument.drawingml.chart+xml"/>
  <Override PartName="/word/charts/chart40.xml" ContentType="application/vnd.openxmlformats-officedocument.drawingml.chart+xml"/>
  <Override PartName="/word/charts/chart41.xml" ContentType="application/vnd.openxmlformats-officedocument.drawingml.chart+xml"/>
  <Override PartName="/word/charts/chart42.xml" ContentType="application/vnd.openxmlformats-officedocument.drawingml.chart+xml"/>
  <Override PartName="/word/charts/chart43.xml" ContentType="application/vnd.openxmlformats-officedocument.drawingml.chart+xml"/>
  <Override PartName="/word/charts/chart4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olors1.xml" ContentType="application/vnd.ms-office.chartcolorstyle+xml"/>
  <Override PartName="/word/charts/colors10.xml" ContentType="application/vnd.ms-office.chartcolorstyle+xml"/>
  <Override PartName="/word/charts/colors11.xml" ContentType="application/vnd.ms-office.chartcolorstyle+xml"/>
  <Override PartName="/word/charts/colors12.xml" ContentType="application/vnd.ms-office.chartcolorstyle+xml"/>
  <Override PartName="/word/charts/colors13.xml" ContentType="application/vnd.ms-office.chartcolorstyle+xml"/>
  <Override PartName="/word/charts/colors14.xml" ContentType="application/vnd.ms-office.chartcolorstyle+xml"/>
  <Override PartName="/word/charts/colors15.xml" ContentType="application/vnd.ms-office.chartcolorstyle+xml"/>
  <Override PartName="/word/charts/colors16.xml" ContentType="application/vnd.ms-office.chartcolorstyle+xml"/>
  <Override PartName="/word/charts/colors17.xml" ContentType="application/vnd.ms-office.chartcolorstyle+xml"/>
  <Override PartName="/word/charts/colors18.xml" ContentType="application/vnd.ms-office.chartcolorstyle+xml"/>
  <Override PartName="/word/charts/colors19.xml" ContentType="application/vnd.ms-office.chartcolorstyle+xml"/>
  <Override PartName="/word/charts/colors2.xml" ContentType="application/vnd.ms-office.chartcolorstyle+xml"/>
  <Override PartName="/word/charts/colors20.xml" ContentType="application/vnd.ms-office.chartcolorstyle+xml"/>
  <Override PartName="/word/charts/colors21.xml" ContentType="application/vnd.ms-office.chartcolorstyle+xml"/>
  <Override PartName="/word/charts/colors22.xml" ContentType="application/vnd.ms-office.chartcolorstyle+xml"/>
  <Override PartName="/word/charts/colors23.xml" ContentType="application/vnd.ms-office.chartcolorstyle+xml"/>
  <Override PartName="/word/charts/colors24.xml" ContentType="application/vnd.ms-office.chartcolorstyle+xml"/>
  <Override PartName="/word/charts/colors25.xml" ContentType="application/vnd.ms-office.chartcolorstyle+xml"/>
  <Override PartName="/word/charts/colors26.xml" ContentType="application/vnd.ms-office.chartcolorstyle+xml"/>
  <Override PartName="/word/charts/colors27.xml" ContentType="application/vnd.ms-office.chartcolorstyle+xml"/>
  <Override PartName="/word/charts/colors28.xml" ContentType="application/vnd.ms-office.chartcolorstyle+xml"/>
  <Override PartName="/word/charts/colors29.xml" ContentType="application/vnd.ms-office.chartcolorstyle+xml"/>
  <Override PartName="/word/charts/colors3.xml" ContentType="application/vnd.ms-office.chartcolorstyle+xml"/>
  <Override PartName="/word/charts/colors30.xml" ContentType="application/vnd.ms-office.chartcolorstyle+xml"/>
  <Override PartName="/word/charts/colors31.xml" ContentType="application/vnd.ms-office.chartcolorstyle+xml"/>
  <Override PartName="/word/charts/colors32.xml" ContentType="application/vnd.ms-office.chartcolorstyle+xml"/>
  <Override PartName="/word/charts/colors33.xml" ContentType="application/vnd.ms-office.chartcolorstyle+xml"/>
  <Override PartName="/word/charts/colors34.xml" ContentType="application/vnd.ms-office.chartcolorstyle+xml"/>
  <Override PartName="/word/charts/colors35.xml" ContentType="application/vnd.ms-office.chartcolorstyle+xml"/>
  <Override PartName="/word/charts/colors36.xml" ContentType="application/vnd.ms-office.chartcolorstyle+xml"/>
  <Override PartName="/word/charts/colors37.xml" ContentType="application/vnd.ms-office.chartcolorstyle+xml"/>
  <Override PartName="/word/charts/colors38.xml" ContentType="application/vnd.ms-office.chartcolorstyle+xml"/>
  <Override PartName="/word/charts/colors39.xml" ContentType="application/vnd.ms-office.chartcolorstyle+xml"/>
  <Override PartName="/word/charts/colors4.xml" ContentType="application/vnd.ms-office.chartcolorstyle+xml"/>
  <Override PartName="/word/charts/colors40.xml" ContentType="application/vnd.ms-office.chartcolorstyle+xml"/>
  <Override PartName="/word/charts/colors41.xml" ContentType="application/vnd.ms-office.chartcolorstyle+xml"/>
  <Override PartName="/word/charts/colors42.xml" ContentType="application/vnd.ms-office.chartcolorstyle+xml"/>
  <Override PartName="/word/charts/colors43.xml" ContentType="application/vnd.ms-office.chartcolorstyle+xml"/>
  <Override PartName="/word/charts/colors4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colors9.xml" ContentType="application/vnd.ms-office.chartcolorstyle+xml"/>
  <Override PartName="/word/charts/style1.xml" ContentType="application/vnd.ms-office.chartstyle+xml"/>
  <Override PartName="/word/charts/style10.xml" ContentType="application/vnd.ms-office.chartstyle+xml"/>
  <Override PartName="/word/charts/style11.xml" ContentType="application/vnd.ms-office.chartstyle+xml"/>
  <Override PartName="/word/charts/style12.xml" ContentType="application/vnd.ms-office.chartstyle+xml"/>
  <Override PartName="/word/charts/style13.xml" ContentType="application/vnd.ms-office.chartstyle+xml"/>
  <Override PartName="/word/charts/style14.xml" ContentType="application/vnd.ms-office.chartstyle+xml"/>
  <Override PartName="/word/charts/style15.xml" ContentType="application/vnd.ms-office.chartstyle+xml"/>
  <Override PartName="/word/charts/style16.xml" ContentType="application/vnd.ms-office.chartstyle+xml"/>
  <Override PartName="/word/charts/style17.xml" ContentType="application/vnd.ms-office.chartstyle+xml"/>
  <Override PartName="/word/charts/style18.xml" ContentType="application/vnd.ms-office.chartstyle+xml"/>
  <Override PartName="/word/charts/style19.xml" ContentType="application/vnd.ms-office.chartstyle+xml"/>
  <Override PartName="/word/charts/style2.xml" ContentType="application/vnd.ms-office.chartstyle+xml"/>
  <Override PartName="/word/charts/style20.xml" ContentType="application/vnd.ms-office.chartstyle+xml"/>
  <Override PartName="/word/charts/style21.xml" ContentType="application/vnd.ms-office.chartstyle+xml"/>
  <Override PartName="/word/charts/style22.xml" ContentType="application/vnd.ms-office.chartstyle+xml"/>
  <Override PartName="/word/charts/style23.xml" ContentType="application/vnd.ms-office.chartstyle+xml"/>
  <Override PartName="/word/charts/style24.xml" ContentType="application/vnd.ms-office.chartstyle+xml"/>
  <Override PartName="/word/charts/style25.xml" ContentType="application/vnd.ms-office.chartstyle+xml"/>
  <Override PartName="/word/charts/style26.xml" ContentType="application/vnd.ms-office.chartstyle+xml"/>
  <Override PartName="/word/charts/style27.xml" ContentType="application/vnd.ms-office.chartstyle+xml"/>
  <Override PartName="/word/charts/style28.xml" ContentType="application/vnd.ms-office.chartstyle+xml"/>
  <Override PartName="/word/charts/style29.xml" ContentType="application/vnd.ms-office.chartstyle+xml"/>
  <Override PartName="/word/charts/style3.xml" ContentType="application/vnd.ms-office.chartstyle+xml"/>
  <Override PartName="/word/charts/style30.xml" ContentType="application/vnd.ms-office.chartstyle+xml"/>
  <Override PartName="/word/charts/style31.xml" ContentType="application/vnd.ms-office.chartstyle+xml"/>
  <Override PartName="/word/charts/style32.xml" ContentType="application/vnd.ms-office.chartstyle+xml"/>
  <Override PartName="/word/charts/style33.xml" ContentType="application/vnd.ms-office.chartstyle+xml"/>
  <Override PartName="/word/charts/style34.xml" ContentType="application/vnd.ms-office.chartstyle+xml"/>
  <Override PartName="/word/charts/style35.xml" ContentType="application/vnd.ms-office.chartstyle+xml"/>
  <Override PartName="/word/charts/style36.xml" ContentType="application/vnd.ms-office.chartstyle+xml"/>
  <Override PartName="/word/charts/style37.xml" ContentType="application/vnd.ms-office.chartstyle+xml"/>
  <Override PartName="/word/charts/style38.xml" ContentType="application/vnd.ms-office.chartstyle+xml"/>
  <Override PartName="/word/charts/style39.xml" ContentType="application/vnd.ms-office.chartstyle+xml"/>
  <Override PartName="/word/charts/style4.xml" ContentType="application/vnd.ms-office.chartstyle+xml"/>
  <Override PartName="/word/charts/style40.xml" ContentType="application/vnd.ms-office.chartstyle+xml"/>
  <Override PartName="/word/charts/style41.xml" ContentType="application/vnd.ms-office.chartstyle+xml"/>
  <Override PartName="/word/charts/style42.xml" ContentType="application/vnd.ms-office.chartstyle+xml"/>
  <Override PartName="/word/charts/style43.xml" ContentType="application/vnd.ms-office.chartstyle+xml"/>
  <Override PartName="/word/charts/style4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harts/style9.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10.xml" ContentType="application/vnd.openxmlformats-officedocument.themeOverride+xml"/>
  <Override PartName="/word/theme/themeOverride11.xml" ContentType="application/vnd.openxmlformats-officedocument.themeOverride+xml"/>
  <Override PartName="/word/theme/themeOverride12.xml" ContentType="application/vnd.openxmlformats-officedocument.themeOverride+xml"/>
  <Override PartName="/word/theme/themeOverride13.xml" ContentType="application/vnd.openxmlformats-officedocument.themeOverride+xml"/>
  <Override PartName="/word/theme/themeOverride14.xml" ContentType="application/vnd.openxmlformats-officedocument.themeOverride+xml"/>
  <Override PartName="/word/theme/themeOverride15.xml" ContentType="application/vnd.openxmlformats-officedocument.themeOverride+xml"/>
  <Override PartName="/word/theme/themeOverride16.xml" ContentType="application/vnd.openxmlformats-officedocument.themeOverride+xml"/>
  <Override PartName="/word/theme/themeOverride17.xml" ContentType="application/vnd.openxmlformats-officedocument.themeOverride+xml"/>
  <Override PartName="/word/theme/themeOverride18.xml" ContentType="application/vnd.openxmlformats-officedocument.themeOverride+xml"/>
  <Override PartName="/word/theme/themeOverride19.xml" ContentType="application/vnd.openxmlformats-officedocument.themeOverride+xml"/>
  <Override PartName="/word/theme/themeOverride2.xml" ContentType="application/vnd.openxmlformats-officedocument.themeOverride+xml"/>
  <Override PartName="/word/theme/themeOverride20.xml" ContentType="application/vnd.openxmlformats-officedocument.themeOverride+xml"/>
  <Override PartName="/word/theme/themeOverride21.xml" ContentType="application/vnd.openxmlformats-officedocument.themeOverride+xml"/>
  <Override PartName="/word/theme/themeOverride22.xml" ContentType="application/vnd.openxmlformats-officedocument.themeOverride+xml"/>
  <Override PartName="/word/theme/themeOverride23.xml" ContentType="application/vnd.openxmlformats-officedocument.themeOverride+xml"/>
  <Override PartName="/word/theme/themeOverride24.xml" ContentType="application/vnd.openxmlformats-officedocument.themeOverride+xml"/>
  <Override PartName="/word/theme/themeOverride25.xml" ContentType="application/vnd.openxmlformats-officedocument.themeOverride+xml"/>
  <Override PartName="/word/theme/themeOverride26.xml" ContentType="application/vnd.openxmlformats-officedocument.themeOverride+xml"/>
  <Override PartName="/word/theme/themeOverride27.xml" ContentType="application/vnd.openxmlformats-officedocument.themeOverride+xml"/>
  <Override PartName="/word/theme/themeOverride28.xml" ContentType="application/vnd.openxmlformats-officedocument.themeOverride+xml"/>
  <Override PartName="/word/theme/themeOverride29.xml" ContentType="application/vnd.openxmlformats-officedocument.themeOverride+xml"/>
  <Override PartName="/word/theme/themeOverride3.xml" ContentType="application/vnd.openxmlformats-officedocument.themeOverride+xml"/>
  <Override PartName="/word/theme/themeOverride30.xml" ContentType="application/vnd.openxmlformats-officedocument.themeOverride+xml"/>
  <Override PartName="/word/theme/themeOverride31.xml" ContentType="application/vnd.openxmlformats-officedocument.themeOverride+xml"/>
  <Override PartName="/word/theme/themeOverride32.xml" ContentType="application/vnd.openxmlformats-officedocument.themeOverride+xml"/>
  <Override PartName="/word/theme/themeOverride33.xml" ContentType="application/vnd.openxmlformats-officedocument.themeOverride+xml"/>
  <Override PartName="/word/theme/themeOverride34.xml" ContentType="application/vnd.openxmlformats-officedocument.themeOverride+xml"/>
  <Override PartName="/word/theme/themeOverride35.xml" ContentType="application/vnd.openxmlformats-officedocument.themeOverride+xml"/>
  <Override PartName="/word/theme/themeOverride36.xml" ContentType="application/vnd.openxmlformats-officedocument.themeOverride+xml"/>
  <Override PartName="/word/theme/themeOverride37.xml" ContentType="application/vnd.openxmlformats-officedocument.themeOverride+xml"/>
  <Override PartName="/word/theme/themeOverride38.xml" ContentType="application/vnd.openxmlformats-officedocument.themeOverride+xml"/>
  <Override PartName="/word/theme/themeOverride39.xml" ContentType="application/vnd.openxmlformats-officedocument.themeOverride+xml"/>
  <Override PartName="/word/theme/themeOverride4.xml" ContentType="application/vnd.openxmlformats-officedocument.themeOverride+xml"/>
  <Override PartName="/word/theme/themeOverride40.xml" ContentType="application/vnd.openxmlformats-officedocument.themeOverride+xml"/>
  <Override PartName="/word/theme/themeOverride41.xml" ContentType="application/vnd.openxmlformats-officedocument.themeOverride+xml"/>
  <Override PartName="/word/theme/themeOverride42.xml" ContentType="application/vnd.openxmlformats-officedocument.themeOverride+xml"/>
  <Override PartName="/word/theme/themeOverride43.xml" ContentType="application/vnd.openxmlformats-officedocument.themeOverride+xml"/>
  <Override PartName="/word/theme/themeOverride44.xml" ContentType="application/vnd.openxmlformats-officedocument.themeOverride+xml"/>
  <Override PartName="/word/theme/themeOverride5.xml" ContentType="application/vnd.openxmlformats-officedocument.themeOverride+xml"/>
  <Override PartName="/word/theme/themeOverride6.xml" ContentType="application/vnd.openxmlformats-officedocument.themeOverride+xml"/>
  <Override PartName="/word/theme/themeOverride7.xml" ContentType="application/vnd.openxmlformats-officedocument.themeOverride+xml"/>
  <Override PartName="/word/theme/themeOverride8.xml" ContentType="application/vnd.openxmlformats-officedocument.themeOverride+xml"/>
  <Override PartName="/word/theme/themeOverride9.xml" ContentType="application/vnd.openxmlformats-officedocument.themeOverrid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0"/>
        <w:tblpPr w:leftFromText="180" w:rightFromText="180" w:vertAnchor="text" w:tblpXSpec="right" w:tblpY="1"/>
        <w:tblOverlap w:val="never"/>
        <w:tblW w:w="10774" w:type="dxa"/>
        <w:tblCaption w:val="[Table_Main]"/>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30" w:type="dxa"/>
          <w:bottom w:w="0" w:type="dxa"/>
          <w:right w:w="40" w:type="dxa"/>
        </w:tblCellMar>
      </w:tblPr>
      <w:tblGrid>
        <w:gridCol w:w="150"/>
        <w:gridCol w:w="4294"/>
        <w:gridCol w:w="2062"/>
        <w:gridCol w:w="1243"/>
        <w:gridCol w:w="308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23" w:hRule="exact"/>
        </w:trPr>
        <w:tc>
          <w:tcPr>
            <w:tcW w:w="6470" w:type="dxa"/>
            <w:gridSpan w:val="3"/>
            <w:tcMar>
              <w:top w:w="60" w:type="dxa"/>
              <w:left w:w="120" w:type="dxa"/>
            </w:tcMar>
          </w:tcPr>
          <w:p>
            <w:pPr>
              <w:pStyle w:val="60"/>
              <w:rPr>
                <w:rFonts w:eastAsia="楷体_GB2312" w:cs="Calibri"/>
                <w:color w:val="FFFFFF" w:themeColor="background1"/>
                <w:sz w:val="21"/>
                <w:szCs w:val="21"/>
                <w:lang w:eastAsia="zh-CN"/>
                <w14:textFill>
                  <w14:solidFill>
                    <w14:schemeClr w14:val="bg1"/>
                  </w14:solidFill>
                </w14:textFill>
              </w:rPr>
            </w:pPr>
            <w:r>
              <w:rPr>
                <w:rFonts w:hint="eastAsia" w:eastAsia="楷体_GB2312" w:cs="Calibri"/>
                <w:color w:val="FFFFFF" w:themeColor="background1"/>
                <w:sz w:val="21"/>
                <w:szCs w:val="21"/>
                <w:lang w:eastAsia="zh-CN"/>
                <w14:textFill>
                  <w14:solidFill>
                    <w14:schemeClr w14:val="bg1"/>
                  </w14:solidFill>
                </w14:textFill>
              </w:rPr>
              <w:t>0；【】跑不过【M</w:t>
            </w:r>
            <w:r>
              <w:rPr>
                <w:rFonts w:eastAsia="楷体_GB2312" w:cs="Calibri"/>
                <w:color w:val="FFFFFF" w:themeColor="background1"/>
                <w:sz w:val="21"/>
                <w:szCs w:val="21"/>
                <w:lang w:eastAsia="zh-CN"/>
                <w14:textFill>
                  <w14:solidFill>
                    <w14:schemeClr w14:val="bg1"/>
                  </w14:solidFill>
                </w14:textFill>
              </w:rPr>
              <w:t>[Table_Main]</w:t>
            </w:r>
          </w:p>
        </w:tc>
        <w:tc>
          <w:tcPr>
            <w:tcW w:w="1224" w:type="dxa"/>
            <w:vAlign w:val="center"/>
          </w:tcPr>
          <w:p>
            <w:pPr>
              <w:pStyle w:val="46"/>
              <w:framePr w:wrap="auto" w:vAnchor="margin" w:hAnchor="text" w:xAlign="left" w:yAlign="inline"/>
              <w:rPr>
                <w:rFonts w:eastAsia="楷体_GB2312" w:cs="Calibri"/>
                <w:highlight w:val="yellow"/>
              </w:rPr>
            </w:pPr>
          </w:p>
        </w:tc>
        <w:tc>
          <w:tcPr>
            <w:tcW w:w="3080" w:type="dxa"/>
          </w:tcPr>
          <w:p>
            <w:pPr>
              <w:pStyle w:val="45"/>
              <w:framePr w:wrap="auto" w:vAnchor="margin" w:hAnchor="text" w:xAlign="left" w:yAlign="inline"/>
              <w:rPr>
                <w:rFonts w:eastAsia="楷体_GB2312" w:cs="Calibri"/>
                <w:highlight w:val="yellow"/>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318" w:hRule="exact"/>
        </w:trPr>
        <w:tc>
          <w:tcPr>
            <w:tcW w:w="6470" w:type="dxa"/>
            <w:gridSpan w:val="3"/>
            <w:tcMar>
              <w:top w:w="60" w:type="dxa"/>
              <w:left w:w="119" w:type="dxa"/>
              <w:right w:w="0" w:type="dxa"/>
            </w:tcMar>
            <w:vAlign w:val="center"/>
          </w:tcPr>
          <w:p>
            <w:pPr>
              <w:pStyle w:val="46"/>
              <w:framePr w:wrap="auto" w:vAnchor="margin" w:hAnchor="text" w:xAlign="left" w:yAlign="inline"/>
              <w:rPr>
                <w:rFonts w:eastAsia="楷体_GB2312" w:cs="Calibri"/>
                <w:b w:val="0"/>
                <w:sz w:val="16"/>
                <w:lang w:eastAsia="zh-CN"/>
              </w:rPr>
            </w:pPr>
            <w:r>
              <w:rPr>
                <w:rFonts w:eastAsia="楷体_GB2312" w:cs="Calibri"/>
                <w:b w:val="0"/>
                <w:sz w:val="16"/>
                <w:lang w:eastAsia="zh-CN"/>
              </w:rPr>
              <w:t>研究报告Research Report</w:t>
            </w:r>
          </w:p>
        </w:tc>
        <w:tc>
          <w:tcPr>
            <w:tcW w:w="4304" w:type="dxa"/>
            <w:gridSpan w:val="2"/>
          </w:tcPr>
          <w:p>
            <w:pPr>
              <w:pStyle w:val="60"/>
              <w:rPr>
                <w:rFonts w:eastAsia="楷体_GB2312" w:cs="Calibri"/>
                <w:color w:val="A7242B"/>
                <w:sz w:val="16"/>
                <w:szCs w:val="16"/>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276" w:hRule="exact"/>
        </w:trPr>
        <w:tc>
          <w:tcPr>
            <w:tcW w:w="6470" w:type="dxa"/>
            <w:gridSpan w:val="3"/>
            <w:tcMar>
              <w:top w:w="60" w:type="dxa"/>
              <w:left w:w="119" w:type="dxa"/>
              <w:right w:w="0" w:type="dxa"/>
            </w:tcMar>
            <w:vAlign w:val="center"/>
          </w:tcPr>
          <w:p>
            <w:pPr>
              <w:pStyle w:val="46"/>
              <w:framePr w:wrap="auto" w:vAnchor="margin" w:hAnchor="text" w:xAlign="left" w:yAlign="inline"/>
              <w:rPr>
                <w:rFonts w:eastAsia="楷体_GB2312" w:cs="Calibri"/>
                <w:b w:val="0"/>
                <w:sz w:val="20"/>
                <w:szCs w:val="20"/>
              </w:rPr>
            </w:pPr>
            <w:r>
              <w:rPr>
                <w:rFonts w:eastAsia="楷体_GB2312" w:cs="Calibri"/>
                <w:b w:val="0"/>
                <w:sz w:val="20"/>
                <w:szCs w:val="20"/>
              </w:rPr>
              <w:t xml:space="preserve">21 Oct 2025</w:t>
            </w:r>
          </w:p>
        </w:tc>
        <w:tc>
          <w:tcPr>
            <w:tcW w:w="4304" w:type="dxa"/>
            <w:gridSpan w:val="2"/>
          </w:tcPr>
          <w:p>
            <w:pPr>
              <w:pStyle w:val="60"/>
              <w:rPr>
                <w:rFonts w:eastAsia="楷体_GB2312" w:cs="Calibri"/>
                <w:color w:val="A7242B"/>
                <w:sz w:val="16"/>
                <w:szCs w:val="16"/>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57" w:hRule="exact"/>
        </w:trPr>
        <w:tc>
          <w:tcPr>
            <w:tcW w:w="10774" w:type="dxa"/>
            <w:gridSpan w:val="5"/>
            <w:tcMar>
              <w:top w:w="60" w:type="dxa"/>
              <w:left w:w="119" w:type="dxa"/>
              <w:right w:w="0" w:type="dxa"/>
            </w:tcMar>
          </w:tcPr>
          <w:p>
            <w:pPr>
              <w:pStyle w:val="45"/>
              <w:framePr w:wrap="auto" w:vAnchor="margin" w:hAnchor="text" w:xAlign="left" w:yAlign="inline"/>
              <w:jc w:val="left"/>
              <w:rPr>
                <w:rFonts w:eastAsia="楷体_GB2312" w:cs="Calibri"/>
                <w:sz w:val="40"/>
                <w:szCs w:val="40"/>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601" w:hRule="exact"/>
        </w:trPr>
        <w:tc>
          <w:tcPr>
            <w:tcW w:w="10774" w:type="dxa"/>
            <w:gridSpan w:val="5"/>
            <w:tcMar>
              <w:top w:w="60" w:type="dxa"/>
              <w:left w:w="119" w:type="dxa"/>
              <w:right w:w="0" w:type="dxa"/>
            </w:tcMar>
          </w:tcPr>
          <w:p>
            <w:pPr>
              <w:pStyle w:val="45"/>
              <w:framePr w:wrap="auto" w:vAnchor="margin" w:hAnchor="text" w:xAlign="left" w:yAlign="inline"/>
              <w:jc w:val="left"/>
              <w:rPr>
                <w:rFonts w:eastAsia="楷体_GB2312" w:cs="Calibri"/>
                <w:sz w:val="40"/>
                <w:szCs w:val="40"/>
                <w:lang w:eastAsia="zh-CN"/>
              </w:rPr>
            </w:pPr>
            <w:r>
              <w:rPr>
                <w:rFonts w:hint="eastAsia" w:eastAsia="楷体_GB2312" w:cs="Calibri"/>
                <w:sz w:val="40"/>
                <w:szCs w:val="40"/>
                <w:lang w:eastAsia="zh-CN"/>
              </w:rPr>
              <w:t xml:space="preserve">西锐飞机 (2507.HK)</w:t>
            </w:r>
            <w:r>
              <w:rPr>
                <w:rFonts w:eastAsia="楷体_GB2312" w:cs="Calibri"/>
                <w:sz w:val="40"/>
                <w:szCs w:val="40"/>
                <w:lang w:eastAsia="zh-CN"/>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851" w:hRule="exact"/>
        </w:trPr>
        <w:tc>
          <w:tcPr>
            <w:tcW w:w="10774" w:type="dxa"/>
            <w:gridSpan w:val="5"/>
            <w:tcMar>
              <w:top w:w="60" w:type="dxa"/>
              <w:left w:w="119" w:type="dxa"/>
              <w:right w:w="0" w:type="dxa"/>
            </w:tcMar>
          </w:tcPr>
          <w:p>
            <w:pPr>
              <w:pStyle w:val="60"/>
              <w:rPr>
                <w:rFonts w:eastAsia="楷体_GB2312" w:cs="Calibri"/>
                <w:b w:val="0"/>
                <w:color w:val="23558C"/>
                <w:lang w:eastAsia="zh-CN"/>
              </w:rPr>
            </w:pPr>
            <w:r>
              <w:rPr>
                <w:rFonts w:hint="eastAsia" w:eastAsia="楷体_GB2312" w:cs="Calibri"/>
                <w:b w:val="0"/>
                <w:color w:val="23558C"/>
                <w:lang w:eastAsia="zh-CN"/>
              </w:rPr>
              <w:t xml:space="preserve">首次覆盖：安全、创新与强大生态系统铸就西锐私人航空全球领导者地位</w:t>
            </w:r>
            <w:r>
              <w:rPr>
                <w:rFonts w:eastAsia="楷体_GB2312" w:cs="Calibri"/>
                <w:b w:val="0"/>
                <w:color w:val="23558C"/>
                <w:lang w:eastAsia="zh-CN"/>
              </w:rPr>
            </w:r>
            <w:r>
              <w:rPr>
                <w:rFonts w:hint="eastAsia" w:eastAsia="楷体_GB2312" w:cs="Calibri"/>
                <w:b w:val="0"/>
                <w:color w:val="23558C"/>
                <w:lang w:eastAsia="zh-CN"/>
              </w:rPr>
            </w:r>
            <w:r>
              <w:rPr>
                <w:rFonts w:hint="eastAsia" w:eastAsia="楷体_GB2312" w:cs="Calibri"/>
                <w:b w:val="0"/>
                <w:color w:val="23558C"/>
              </w:rPr>
            </w:r>
            <w:r>
              <w:rPr>
                <w:rFonts w:hint="eastAsia" w:eastAsia="楷体_GB2312" w:cs="Calibri"/>
                <w:b w:val="0"/>
                <w:color w:val="23558C"/>
                <w:lang w:eastAsia="zh-CN"/>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78" w:hRule="atLeast"/>
        </w:trPr>
        <w:tc>
          <w:tcPr>
            <w:tcW w:w="10774" w:type="dxa"/>
            <w:gridSpan w:val="5"/>
            <w:tcMar>
              <w:top w:w="60" w:type="dxa"/>
              <w:left w:w="119" w:type="dxa"/>
              <w:right w:w="0" w:type="dxa"/>
            </w:tcMar>
          </w:tcPr>
          <w:p>
            <w:pPr>
              <w:pStyle w:val="45"/>
              <w:framePr w:wrap="auto" w:vAnchor="margin" w:hAnchor="text" w:xAlign="left" w:yAlign="inline"/>
              <w:rPr>
                <w:rFonts w:eastAsia="楷体_GB2312" w:cs="Calibri"/>
                <w:szCs w:val="24"/>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113" w:hRule="exact"/>
        </w:trPr>
        <w:tc>
          <w:tcPr>
            <w:tcW w:w="10774" w:type="dxa"/>
            <w:gridSpan w:val="5"/>
            <w:tcMar>
              <w:left w:w="119" w:type="dxa"/>
            </w:tcMar>
          </w:tcPr>
          <w:p>
            <w:pPr>
              <w:pStyle w:val="45"/>
              <w:framePr w:wrap="auto" w:vAnchor="margin" w:hAnchor="text" w:xAlign="left" w:yAlign="inline"/>
              <w:rPr>
                <w:rFonts w:eastAsia="楷体_GB2312" w:cs="Calibri"/>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Before w:val="1"/>
          <w:wBefore w:w="63" w:type="dxa"/>
          <w:trHeight w:val="227" w:hRule="atLeast"/>
        </w:trPr>
        <w:tc>
          <w:tcPr>
            <w:tcW w:w="4294" w:type="dxa"/>
            <w:tcMar>
              <w:left w:w="57" w:type="dxa"/>
            </w:tcMar>
          </w:tcPr>
          <w:tbl>
            <w:tblPr>
              <w:tblStyle w:val="20"/>
              <w:tblW w:w="4071" w:type="dxa"/>
              <w:tblCaption w:val="[Table_Info]"/>
              <w:tblDescription w:val="表格隐藏唯一标识（请勿删除或修改）"/>
              <w:tblInd w:w="0" w:type="dxa"/>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Layout w:type="fixed"/>
              <w:tblCellMar>
                <w:top w:w="0" w:type="dxa"/>
                <w:left w:w="0" w:type="dxa"/>
                <w:bottom w:w="0" w:type="dxa"/>
                <w:right w:w="0" w:type="dxa"/>
              </w:tblCellMar>
            </w:tblPr>
            <w:tblGrid>
              <w:gridCol w:w="1724"/>
              <w:gridCol w:w="2347"/>
            </w:tblGrid>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3" w:hRule="exact"/>
              </w:trPr>
              <w:tc>
                <w:tcPr>
                  <w:tcW w:w="4071" w:type="dxa"/>
                  <w:gridSpan w:val="2"/>
                  <w:tcBorders>
                    <w:top w:val="nil"/>
                    <w:left w:val="nil"/>
                    <w:bottom w:val="nil"/>
                    <w:right w:val="nil"/>
                  </w:tcBorders>
                </w:tcPr>
                <w:p>
                  <w:pPr>
                    <w:pStyle w:val="50"/>
                    <w:framePr w:w="0" w:hRule="auto" w:hSpace="0" w:wrap="auto" w:vAnchor="margin" w:hAnchor="text" w:xAlign="left" w:yAlign="inline"/>
                    <w:rPr>
                      <w:rFonts w:eastAsia="楷体_GB2312" w:cs="Calibri"/>
                      <w:sz w:val="21"/>
                      <w:szCs w:val="21"/>
                    </w:rPr>
                  </w:pPr>
                  <w:r>
                    <w:rPr>
                      <w:rFonts w:eastAsia="楷体_GB2312" w:cs="Calibri"/>
                      <w:color w:val="FFFFFF" w:themeColor="background1"/>
                      <w:sz w:val="21"/>
                      <w:szCs w:val="21"/>
                      <w14:textFill>
                        <w14:solidFill>
                          <w14:schemeClr w14:val="bg1"/>
                        </w14:solidFill>
                      </w14:textFill>
                    </w:rPr>
                    <w:t>[Table_Info]</w:t>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84" w:hRule="exact"/>
              </w:trPr>
              <w:tc>
                <w:tcPr>
                  <w:tcW w:w="4071" w:type="dxa"/>
                  <w:gridSpan w:val="2"/>
                  <w:tcBorders>
                    <w:top w:val="nil"/>
                  </w:tcBorders>
                  <w:shd w:val="clear" w:color="auto" w:fill="23558C"/>
                  <w:tcMar>
                    <w:left w:w="0" w:type="dxa"/>
                  </w:tcMar>
                </w:tcPr>
                <w:p>
                  <w:pPr>
                    <w:pStyle w:val="49"/>
                    <w:framePr w:w="0" w:hRule="auto" w:hSpace="0" w:wrap="auto" w:vAnchor="margin" w:hAnchor="text" w:xAlign="left" w:yAlign="inline"/>
                    <w:ind w:right="85" w:firstLine="85"/>
                    <w:jc w:val="center"/>
                    <w:rPr>
                      <w:rFonts w:eastAsia="楷体_GB2312" w:cs="Calibri"/>
                      <w:i/>
                      <w:sz w:val="22"/>
                      <w:szCs w:val="22"/>
                    </w:rPr>
                  </w:pPr>
                  <w:r>
                    <w:rPr>
                      <w:rFonts w:hint="eastAsia" w:eastAsia="楷体_GB2312" w:cs="Calibri"/>
                      <w:i/>
                      <w:color w:val="FFFFFF" w:themeColor="background1"/>
                      <w:sz w:val="22"/>
                      <w:szCs w:val="22"/>
                      <w14:textFill>
                        <w14:solidFill>
                          <w14:schemeClr w14:val="bg1"/>
                        </w14:solidFill>
                      </w14:textFill>
                    </w:rPr>
                    <w:t>评级调整</w:t>
                  </w:r>
                  <w:r>
                    <w:rPr>
                      <w:rFonts w:eastAsia="楷体_GB2312" w:cs="Calibri"/>
                      <w:i/>
                      <w:color w:val="FFFFFF" w:themeColor="background1"/>
                      <w:sz w:val="22"/>
                      <w:szCs w:val="22"/>
                      <w14:textFill>
                        <w14:solidFill>
                          <w14:schemeClr w14:val="bg1"/>
                        </w14:solidFill>
                      </w14:textFill>
                    </w:rPr>
                    <w:t>Rating adjustment</w:t>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70" w:hRule="exact"/>
              </w:trPr>
              <w:tc>
                <w:tcPr>
                  <w:tcW w:w="4071" w:type="dxa"/>
                  <w:gridSpan w:val="2"/>
                  <w:tcMar>
                    <w:left w:w="0" w:type="dxa"/>
                  </w:tcMar>
                </w:tcPr>
                <w:p>
                  <w:pPr>
                    <w:pStyle w:val="49"/>
                    <w:framePr w:w="0" w:hRule="auto" w:hSpace="0" w:wrap="auto" w:vAnchor="margin" w:hAnchor="text" w:xAlign="left" w:yAlign="inline"/>
                    <w:ind w:right="85" w:firstLine="85"/>
                    <w:rPr>
                      <w:rFonts w:eastAsia="楷体_GB2312" w:cs="Calibri"/>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_GB2312" w:cs="Calibri"/>
                      <w:b w:val="0"/>
                    </w:rPr>
                  </w:pPr>
                  <w:r>
                    <w:rPr>
                      <w:rFonts w:eastAsia="楷体_GB2312" w:cs="Calibri"/>
                      <w:b w:val="0"/>
                    </w:rPr>
                    <w:t>评级</w:t>
                  </w:r>
                </w:p>
              </w:tc>
              <w:tc>
                <w:tcPr>
                  <w:tcW w:w="2347" w:type="dxa"/>
                </w:tcPr>
                <w:p>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 xml:space="preserve">OUTPERFORM</w:t>
                  </w:r>
                </w:p>
                <w:p>
                  <w:pPr>
                    <w:pStyle w:val="48"/>
                    <w:framePr w:w="0" w:hRule="auto" w:hSpace="0" w:wrap="auto" w:vAnchor="margin" w:hAnchor="text" w:xAlign="left" w:yAlign="inline"/>
                    <w:ind w:right="85" w:firstLine="85"/>
                    <w:jc w:val="right"/>
                    <w:rPr>
                      <w:rFonts w:eastAsia="楷体_GB2312" w:cs="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_GB2312" w:cs="Calibri"/>
                      <w:b w:val="0"/>
                    </w:rPr>
                  </w:pPr>
                  <w:r>
                    <w:rPr>
                      <w:rFonts w:eastAsia="楷体_GB2312" w:cs="Calibri"/>
                      <w:b w:val="0"/>
                    </w:rPr>
                    <w:t>现价</w:t>
                  </w:r>
                </w:p>
              </w:tc>
              <w:tc>
                <w:tcPr>
                  <w:tcW w:w="2347" w:type="dxa"/>
                </w:tcPr>
                <w:p>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 xml:space="preserve">60.40</w:t>
                  </w:r>
                </w:p>
                <w:p>
                  <w:pPr>
                    <w:pStyle w:val="48"/>
                    <w:framePr w:w="0" w:hRule="auto" w:hSpace="0" w:wrap="auto" w:vAnchor="margin" w:hAnchor="text" w:xAlign="left" w:yAlign="inline"/>
                    <w:ind w:right="85" w:firstLine="85"/>
                    <w:jc w:val="right"/>
                    <w:rPr>
                      <w:rFonts w:eastAsia="楷体_GB2312" w:cs="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_GB2312" w:cs="Calibri"/>
                      <w:b w:val="0"/>
                    </w:rPr>
                  </w:pPr>
                  <w:r>
                    <w:rPr>
                      <w:rFonts w:eastAsia="楷体_GB2312" w:cs="Calibri"/>
                      <w:b w:val="0"/>
                    </w:rPr>
                    <w:t>目标价</w:t>
                  </w:r>
                </w:p>
              </w:tc>
              <w:tc>
                <w:tcPr>
                  <w:tcW w:w="2347" w:type="dxa"/>
                </w:tcPr>
                <w:p>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 xml:space="preserve">86.72</w:t>
                  </w:r>
                </w:p>
                <w:p>
                  <w:pPr>
                    <w:pStyle w:val="48"/>
                    <w:framePr w:w="0" w:hRule="auto" w:hSpace="0" w:wrap="auto" w:vAnchor="margin" w:hAnchor="text" w:xAlign="left" w:yAlign="inline"/>
                    <w:ind w:right="85" w:firstLine="85"/>
                    <w:jc w:val="right"/>
                    <w:rPr>
                      <w:rFonts w:eastAsia="楷体_GB2312" w:cs="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_GB2312" w:cs="Calibri"/>
                      <w:b w:val="0"/>
                    </w:rPr>
                  </w:pPr>
                  <w:r>
                    <w:rPr>
                      <w:rFonts w:eastAsia="楷体_GB2312" w:cs="Calibri"/>
                      <w:b w:val="0"/>
                    </w:rPr>
                    <w:t>市值</w:t>
                  </w:r>
                </w:p>
              </w:tc>
              <w:tc>
                <w:tcPr>
                  <w:tcW w:w="2347" w:type="dxa"/>
                </w:tcPr>
                <w:p>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 xml:space="preserve">22.11bn</w:t>
                  </w:r>
                </w:p>
                <w:p>
                  <w:pPr>
                    <w:pStyle w:val="48"/>
                    <w:framePr w:w="0" w:hRule="auto" w:hSpace="0" w:wrap="auto" w:vAnchor="margin" w:hAnchor="text" w:xAlign="left" w:yAlign="inline"/>
                    <w:ind w:right="85" w:firstLine="85"/>
                    <w:jc w:val="right"/>
                    <w:rPr>
                      <w:rFonts w:eastAsia="楷体_GB2312" w:cs="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_GB2312" w:cs="Calibri"/>
                      <w:b w:val="0"/>
                    </w:rPr>
                  </w:pPr>
                  <w:r>
                    <w:rPr>
                      <w:rFonts w:eastAsia="楷体_GB2312" w:cs="Calibri"/>
                      <w:b w:val="0"/>
                    </w:rPr>
                    <w:t>发行股票数目</w:t>
                  </w:r>
                </w:p>
              </w:tc>
              <w:tc>
                <w:tcPr>
                  <w:tcW w:w="2347" w:type="dxa"/>
                </w:tcPr>
                <w:p>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 xml:space="preserve">365.99mn</w:t>
                  </w:r>
                </w:p>
                <w:p>
                  <w:pPr>
                    <w:pStyle w:val="48"/>
                    <w:framePr w:w="0" w:hRule="auto" w:hSpace="0" w:wrap="auto" w:vAnchor="margin" w:hAnchor="text" w:xAlign="left" w:yAlign="inline"/>
                    <w:ind w:right="85" w:firstLine="85"/>
                    <w:jc w:val="right"/>
                    <w:rPr>
                      <w:rFonts w:eastAsia="楷体_GB2312" w:cs="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_GB2312" w:cs="Calibri"/>
                      <w:b w:val="0"/>
                    </w:rPr>
                  </w:pPr>
                  <w:r>
                    <w:rPr>
                      <w:rFonts w:eastAsia="楷体_GB2312" w:cs="Calibri"/>
                      <w:b w:val="0"/>
                    </w:rPr>
                    <w:t>1年股价最高最低值</w:t>
                  </w:r>
                </w:p>
              </w:tc>
              <w:tc>
                <w:tcPr>
                  <w:tcW w:w="2347" w:type="dxa"/>
                </w:tcPr>
                <w:p>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 xml:space="preserve">73.40-20.50</w:t>
                  </w:r>
                </w:p>
                <w:p>
                  <w:pPr>
                    <w:pStyle w:val="48"/>
                    <w:framePr w:w="0" w:hRule="auto" w:hSpace="0" w:wrap="auto" w:vAnchor="margin" w:hAnchor="text" w:xAlign="left" w:yAlign="inline"/>
                    <w:ind w:right="85" w:firstLine="85"/>
                    <w:jc w:val="right"/>
                    <w:rPr>
                      <w:rFonts w:eastAsia="楷体_GB2312" w:cs="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38" w:hRule="exact"/>
              </w:trPr>
              <w:tc>
                <w:tcPr>
                  <w:tcW w:w="4071" w:type="dxa"/>
                  <w:gridSpan w:val="2"/>
                </w:tcPr>
                <w:p>
                  <w:pPr>
                    <w:pStyle w:val="50"/>
                    <w:framePr w:w="0" w:hRule="auto" w:hSpace="0" w:wrap="auto" w:vAnchor="margin" w:hAnchor="text" w:xAlign="left" w:yAlign="inline"/>
                    <w:ind w:left="85"/>
                    <w:rPr>
                      <w:rFonts w:eastAsia="楷体_GB2312" w:cs="Calibri"/>
                      <w:i/>
                      <w:iCs/>
                    </w:rPr>
                  </w:pPr>
                  <w:r>
                    <w:rPr>
                      <w:rFonts w:hint="eastAsia" w:eastAsia="楷体_GB2312" w:cs="Calibri"/>
                      <w:i/>
                      <w:iCs/>
                    </w:rPr>
                    <w:t xml:space="preserve">注：现价60.40为2026 年 01 月 15 日收盘价</w:t>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38" w:hRule="exact"/>
              </w:trPr>
              <w:tc>
                <w:tcPr>
                  <w:tcW w:w="4071" w:type="dxa"/>
                  <w:gridSpan w:val="2"/>
                </w:tcPr>
                <w:p>
                  <w:pPr>
                    <w:pStyle w:val="50"/>
                    <w:framePr w:w="0" w:hRule="auto" w:hSpace="0" w:wrap="auto" w:vAnchor="margin" w:hAnchor="text" w:xAlign="left" w:yAlign="inline"/>
                    <w:ind w:left="85"/>
                    <w:rPr>
                      <w:rFonts w:eastAsia="楷体_GB2312" w:cs="Calibri"/>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729" w:hRule="atLeast"/>
              </w:trPr>
              <w:tc>
                <w:tcPr>
                  <w:tcW w:w="4071" w:type="dxa"/>
                  <w:gridSpan w:val="2"/>
                  <w:vAlign w:val="center"/>
                </w:tcPr>
                <w:p>
                  <w:pPr>
                    <w:jc w:val="center"/>
                    <w:rPr>
                      <w:rFonts w:eastAsia="楷体_GB2312" w:cs="Calibri"/>
                    </w:rPr>
                  </w:pPr>
                  <w:r>
                    <w:rPr>
                      <w:rFonts w:eastAsia="楷体_GB2312" w:cs="等线"/>
                    </w:rPr>
                    <w:drawing>
                      <wp:inline distT="0" distB="0" distL="0" distR="0">
                        <wp:extent cx="2286000" cy="1016000"/>
                        <wp:effectExtent l="0" t="0" r="0" b="0"/>
                        <wp:docPr id="1" name="Drawing 2" descr="/data/deploy/attachments/htgj/temp/202512/1765635024827_RRjq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2" descr="/data/deploy/attachments/htgj/temp/202512/1765635024827_RRjqS.png"/>
                                <pic:cNvPicPr>
                                  <a:picLocks noChangeAspect="1"/>
                                </pic:cNvPicPr>
                              </pic:nvPicPr>
                              <pic:blipFill>
                                <a:blip r:embed="rId18"/>
                                <a:stretch>
                                  <a:fillRect/>
                                </a:stretch>
                              </pic:blipFill>
                              <pic:spPr>
                                <a:xfrm>
                                  <a:off x="0" y="0"/>
                                  <a:ext cx="2286000" cy="1016000"/>
                                </a:xfrm>
                                <a:prstGeom prst="rect">
                                  <a:avLst/>
                                </a:prstGeom>
                              </pic:spPr>
                            </pic:pic>
                          </a:graphicData>
                        </a:graphic>
                      </wp:inline>
                    </w:drawing>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729" w:hRule="atLeast"/>
              </w:trPr>
              <w:tc>
                <w:tcPr>
                  <w:tcW w:w="4071" w:type="dxa"/>
                  <w:gridSpan w:val="2"/>
                  <w:vAlign w:val="center"/>
                </w:tcPr>
                <w:p>
                  <w:pPr>
                    <w:jc w:val="center"/>
                    <w:rPr>
                      <w:rFonts w:eastAsia="楷体_GB2312" w:cs="Calibri"/>
                    </w:rPr>
                  </w:pPr>
                  <w:r>
                    <w:rPr>
                      <w:rFonts w:eastAsia="楷体_GB2312" w:cs="等线"/>
                    </w:rPr>
                    <w:drawing>
                      <wp:inline distT="0" distB="0" distL="0" distR="0">
                        <wp:extent cx="2286000" cy="624840"/>
                        <wp:effectExtent l="0" t="0" r="0" b="3810"/>
                        <wp:docPr id="2" name="Drawing 3" descr="/data/deploy/attachments/htgj/temp/202512/1765635025256_VSNo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3" descr="/data/deploy/attachments/htgj/temp/202512/1765635025256_VSNoQ.png"/>
                                <pic:cNvPicPr>
                                  <a:picLocks noChangeAspect="1"/>
                                </pic:cNvPicPr>
                              </pic:nvPicPr>
                              <pic:blipFill>
                                <a:blip r:embed="rId19"/>
                                <a:stretch>
                                  <a:fillRect/>
                                </a:stretch>
                              </pic:blipFill>
                              <pic:spPr>
                                <a:xfrm>
                                  <a:off x="0" y="0"/>
                                  <a:ext cx="2286000" cy="624840"/>
                                </a:xfrm>
                                <a:prstGeom prst="rect">
                                  <a:avLst/>
                                </a:prstGeom>
                              </pic:spPr>
                            </pic:pic>
                          </a:graphicData>
                        </a:graphic>
                      </wp:inline>
                    </w:drawing>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80" w:hRule="exact"/>
              </w:trPr>
              <w:tc>
                <w:tcPr>
                  <w:tcW w:w="4071" w:type="dxa"/>
                  <w:gridSpan w:val="2"/>
                </w:tcPr>
                <w:p>
                  <w:pPr>
                    <w:pStyle w:val="51"/>
                    <w:framePr w:wrap="auto" w:vAnchor="margin" w:hAnchor="text" w:yAlign="inline"/>
                    <w:ind w:right="85" w:firstLine="85"/>
                    <w:rPr>
                      <w:rFonts w:eastAsia="楷体_GB2312" w:cs="Calibri"/>
                      <w:i/>
                      <w:iCs/>
                    </w:rPr>
                  </w:pPr>
                  <w:r>
                    <w:rPr>
                      <w:rFonts w:eastAsia="楷体_GB2312" w:cs="Calibri"/>
                      <w:i/>
                      <w:iCs/>
                    </w:rPr>
                    <w:t xml:space="preserve">资料来源： Wind, HFI</w:t>
                  </w:r>
                  <w:r>
                    <w:rPr>
                      <w:rFonts w:hint="eastAsia" w:eastAsia="楷体_GB2312" w:cs="Calibri"/>
                      <w:i/>
                      <w:iCs/>
                    </w:rPr>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27" w:hRule="exact"/>
              </w:trPr>
              <w:tc>
                <w:tcPr>
                  <w:tcW w:w="4071" w:type="dxa"/>
                  <w:gridSpan w:val="2"/>
                  <w:tcMar>
                    <w:top w:w="0" w:type="dxa"/>
                    <w:left w:w="0" w:type="dxa"/>
                  </w:tcMar>
                </w:tcPr>
                <w:p>
                  <w:pPr>
                    <w:pStyle w:val="50"/>
                    <w:framePr w:w="0" w:hRule="auto" w:hSpace="0" w:wrap="auto" w:vAnchor="margin" w:hAnchor="text" w:xAlign="left" w:yAlign="inline"/>
                    <w:ind w:right="85" w:firstLine="85"/>
                    <w:rPr>
                      <w:rFonts w:eastAsia="楷体_GB2312" w:cs="Calibri"/>
                    </w:rPr>
                  </w:pPr>
                </w:p>
              </w:tc>
            </w:tr>
          </w:tbl>
          <w:p>
            <w:pPr>
              <w:tabs>
                <w:tab w:val="left" w:pos="2845"/>
              </w:tabs>
              <w:rPr>
                <w:rFonts w:cs="等线" w:eastAsiaTheme="minorEastAsia"/>
              </w:rPr>
            </w:pPr>
          </w:p>
        </w:tc>
        <w:tc>
          <w:tcPr>
            <w:tcW w:w="6480" w:type="dxa"/>
            <w:gridSpan w:val="4"/>
          </w:tcPr>
          <w:p w14:paraId="63F51C88">
            <w:pPr>
              <w:pStyle w:val="56"/>
              <w:jc w:val="both"/>
              <w:rPr>
                <w:rFonts w:hint="eastAsia" w:ascii="楷体" w:hAnsi="楷体" w:eastAsia="楷体" w:cs="Calibri"/>
                <w:lang w:eastAsia="zh-CN"/>
              </w:rPr>
            </w:pPr>
            <w:r>
              <w:rPr>
                <w:rFonts w:hint="eastAsia" w:eastAsia="楷体" w:asciiTheme="minorHAnsi" w:hAnsiTheme="minorHAnsi" w:cstheme="minorHAnsi"/>
                <w:b/>
                <w:snapToGrid w:val="0"/>
                <w:color w:val="23558C"/>
                <w:lang w:eastAsia="zh-CN"/>
              </w:rPr>
              <w:t>西锐飞机是私人航空业的先驱和全球领导者。</w:t>
            </w:r>
            <w:r>
              <w:rPr>
                <w:rFonts w:hint="eastAsia" w:ascii="楷体" w:hAnsi="楷体" w:eastAsia="楷体" w:cs="Calibri"/>
                <w:lang w:eastAsia="zh-CN"/>
              </w:rPr>
              <w:t>自</w:t>
            </w:r>
            <w:r>
              <w:rPr>
                <w:rFonts w:ascii="楷体" w:hAnsi="楷体" w:eastAsia="楷体" w:cs="Calibri"/>
                <w:lang w:eastAsia="zh-CN"/>
              </w:rPr>
              <w:t>1984</w:t>
            </w:r>
            <w:r>
              <w:rPr>
                <w:rFonts w:hint="eastAsia" w:ascii="楷体" w:hAnsi="楷体" w:eastAsia="楷体" w:cs="Calibri"/>
                <w:lang w:eastAsia="zh-CN"/>
              </w:rPr>
              <w:t>年成立以来，西锐飞机彻底革新了个人航空领域，在全球范围内累计交付了超过</w:t>
            </w:r>
            <w:r>
              <w:rPr>
                <w:rFonts w:ascii="楷体" w:hAnsi="楷体" w:eastAsia="楷体" w:cs="Calibri"/>
                <w:lang w:eastAsia="zh-CN"/>
              </w:rPr>
              <w:t>10,000</w:t>
            </w:r>
            <w:r>
              <w:rPr>
                <w:rFonts w:hint="eastAsia" w:ascii="楷体" w:hAnsi="楷体" w:eastAsia="楷体" w:cs="Calibri"/>
                <w:lang w:eastAsia="zh-CN"/>
              </w:rPr>
              <w:t>架</w:t>
            </w:r>
            <w:r>
              <w:rPr>
                <w:rFonts w:ascii="楷体" w:hAnsi="楷体" w:eastAsia="楷体" w:cs="Calibri"/>
                <w:lang w:eastAsia="zh-CN"/>
              </w:rPr>
              <w:t>SR2X</w:t>
            </w:r>
            <w:r>
              <w:rPr>
                <w:rFonts w:hint="eastAsia" w:ascii="楷体" w:hAnsi="楷体" w:eastAsia="楷体" w:cs="Calibri"/>
                <w:lang w:eastAsia="zh-CN"/>
              </w:rPr>
              <w:t>系列飞机和超过</w:t>
            </w:r>
            <w:r>
              <w:rPr>
                <w:rFonts w:ascii="楷体" w:hAnsi="楷体" w:eastAsia="楷体" w:cs="Calibri"/>
                <w:lang w:eastAsia="zh-CN"/>
              </w:rPr>
              <w:t>600</w:t>
            </w:r>
            <w:r>
              <w:rPr>
                <w:rFonts w:hint="eastAsia" w:ascii="楷体" w:hAnsi="楷体" w:eastAsia="楷体" w:cs="Calibri"/>
                <w:lang w:eastAsia="zh-CN"/>
              </w:rPr>
              <w:t>架</w:t>
            </w:r>
            <w:r>
              <w:rPr>
                <w:rFonts w:ascii="楷体" w:hAnsi="楷体" w:eastAsia="楷体" w:cs="Calibri"/>
                <w:lang w:eastAsia="zh-CN"/>
              </w:rPr>
              <w:t>Vision Jet</w:t>
            </w:r>
            <w:r>
              <w:rPr>
                <w:rFonts w:hint="eastAsia" w:ascii="楷体" w:hAnsi="楷体" w:eastAsia="楷体" w:cs="Calibri"/>
                <w:lang w:eastAsia="zh-CN"/>
              </w:rPr>
              <w:t>。截至</w:t>
            </w:r>
            <w:r>
              <w:rPr>
                <w:rFonts w:ascii="楷体" w:hAnsi="楷体" w:eastAsia="楷体" w:cs="Calibri"/>
                <w:lang w:eastAsia="zh-CN"/>
              </w:rPr>
              <w:t>2024</w:t>
            </w:r>
            <w:r>
              <w:rPr>
                <w:rFonts w:hint="eastAsia" w:ascii="楷体" w:hAnsi="楷体" w:eastAsia="楷体" w:cs="Calibri"/>
                <w:lang w:eastAsia="zh-CN"/>
              </w:rPr>
              <w:t>年底，该公司在私人航空领域占据主导地位，市场份额高达</w:t>
            </w:r>
            <w:r>
              <w:rPr>
                <w:rFonts w:ascii="楷体" w:hAnsi="楷体" w:eastAsia="楷体" w:cs="Calibri"/>
                <w:lang w:eastAsia="zh-CN"/>
              </w:rPr>
              <w:t>23.2%</w:t>
            </w:r>
            <w:r>
              <w:rPr>
                <w:rFonts w:hint="eastAsia" w:ascii="楷体" w:hAnsi="楷体" w:eastAsia="楷体" w:cs="Calibri"/>
                <w:lang w:eastAsia="zh-CN"/>
              </w:rPr>
              <w:t>。在财务表现方面，西锐展现出强劲的营收增长能力，从</w:t>
            </w:r>
            <w:r>
              <w:rPr>
                <w:rFonts w:ascii="楷体" w:hAnsi="楷体" w:eastAsia="楷体" w:cs="Calibri"/>
                <w:lang w:eastAsia="zh-CN"/>
              </w:rPr>
              <w:t>2020</w:t>
            </w:r>
            <w:r>
              <w:rPr>
                <w:rFonts w:hint="eastAsia" w:ascii="楷体" w:hAnsi="楷体" w:eastAsia="楷体" w:cs="Calibri"/>
                <w:lang w:eastAsia="zh-CN"/>
              </w:rPr>
              <w:t>年的</w:t>
            </w:r>
            <w:r>
              <w:rPr>
                <w:rFonts w:ascii="楷体" w:hAnsi="楷体" w:eastAsia="楷体" w:cs="Calibri"/>
                <w:lang w:eastAsia="zh-CN"/>
              </w:rPr>
              <w:t>5.87</w:t>
            </w:r>
            <w:r>
              <w:rPr>
                <w:rFonts w:hint="eastAsia" w:ascii="楷体" w:hAnsi="楷体" w:eastAsia="楷体" w:cs="Calibri"/>
                <w:lang w:eastAsia="zh-CN"/>
              </w:rPr>
              <w:t>亿美元大幅增长至</w:t>
            </w:r>
            <w:r>
              <w:rPr>
                <w:rFonts w:ascii="楷体" w:hAnsi="楷体" w:eastAsia="楷体" w:cs="Calibri"/>
                <w:lang w:eastAsia="zh-CN"/>
              </w:rPr>
              <w:t>2024</w:t>
            </w:r>
            <w:r>
              <w:rPr>
                <w:rFonts w:hint="eastAsia" w:ascii="楷体" w:hAnsi="楷体" w:eastAsia="楷体" w:cs="Calibri"/>
                <w:lang w:eastAsia="zh-CN"/>
              </w:rPr>
              <w:t>年的</w:t>
            </w:r>
            <w:r>
              <w:rPr>
                <w:rFonts w:ascii="楷体" w:hAnsi="楷体" w:eastAsia="楷体" w:cs="Calibri"/>
                <w:lang w:eastAsia="zh-CN"/>
              </w:rPr>
              <w:t>11.97</w:t>
            </w:r>
            <w:r>
              <w:rPr>
                <w:rFonts w:hint="eastAsia" w:ascii="楷体" w:hAnsi="楷体" w:eastAsia="楷体" w:cs="Calibri"/>
                <w:lang w:eastAsia="zh-CN"/>
              </w:rPr>
              <w:t>亿美元；净利润同期从</w:t>
            </w:r>
            <w:r>
              <w:rPr>
                <w:rFonts w:ascii="楷体" w:hAnsi="楷体" w:eastAsia="楷体" w:cs="Calibri"/>
                <w:lang w:eastAsia="zh-CN"/>
              </w:rPr>
              <w:t>2020</w:t>
            </w:r>
            <w:r>
              <w:rPr>
                <w:rFonts w:hint="eastAsia" w:ascii="楷体" w:hAnsi="楷体" w:eastAsia="楷体" w:cs="Calibri"/>
                <w:lang w:eastAsia="zh-CN"/>
              </w:rPr>
              <w:t>年的</w:t>
            </w:r>
            <w:r>
              <w:rPr>
                <w:rFonts w:ascii="楷体" w:hAnsi="楷体" w:eastAsia="楷体" w:cs="Calibri"/>
                <w:lang w:eastAsia="zh-CN"/>
              </w:rPr>
              <w:t>3600</w:t>
            </w:r>
            <w:r>
              <w:rPr>
                <w:rFonts w:hint="eastAsia" w:ascii="楷体" w:hAnsi="楷体" w:eastAsia="楷体" w:cs="Calibri"/>
                <w:lang w:eastAsia="zh-CN"/>
              </w:rPr>
              <w:t>万美元飙升至</w:t>
            </w:r>
            <w:r>
              <w:rPr>
                <w:rFonts w:ascii="楷体" w:hAnsi="楷体" w:eastAsia="楷体" w:cs="Calibri"/>
                <w:lang w:eastAsia="zh-CN"/>
              </w:rPr>
              <w:t>2024</w:t>
            </w:r>
            <w:r>
              <w:rPr>
                <w:rFonts w:hint="eastAsia" w:ascii="楷体" w:hAnsi="楷体" w:eastAsia="楷体" w:cs="Calibri"/>
                <w:lang w:eastAsia="zh-CN"/>
              </w:rPr>
              <w:t>年的</w:t>
            </w:r>
            <w:r>
              <w:rPr>
                <w:rFonts w:ascii="楷体" w:hAnsi="楷体" w:eastAsia="楷体" w:cs="Calibri"/>
                <w:lang w:eastAsia="zh-CN"/>
              </w:rPr>
              <w:t>1.21</w:t>
            </w:r>
            <w:r>
              <w:rPr>
                <w:rFonts w:hint="eastAsia" w:ascii="楷体" w:hAnsi="楷体" w:eastAsia="楷体" w:cs="Calibri"/>
                <w:lang w:eastAsia="zh-CN"/>
              </w:rPr>
              <w:t>亿美元，净利润复合年均增长率（</w:t>
            </w:r>
            <w:r>
              <w:rPr>
                <w:rFonts w:ascii="楷体" w:hAnsi="楷体" w:eastAsia="楷体" w:cs="Calibri"/>
                <w:lang w:eastAsia="zh-CN"/>
              </w:rPr>
              <w:t>CAGR</w:t>
            </w:r>
            <w:r>
              <w:rPr>
                <w:rFonts w:hint="eastAsia" w:ascii="楷体" w:hAnsi="楷体" w:eastAsia="楷体" w:cs="Calibri"/>
                <w:lang w:eastAsia="zh-CN"/>
              </w:rPr>
              <w:t>）高达</w:t>
            </w:r>
            <w:r>
              <w:rPr>
                <w:rFonts w:ascii="楷体" w:hAnsi="楷体" w:eastAsia="楷体" w:cs="Calibri"/>
                <w:lang w:eastAsia="zh-CN"/>
              </w:rPr>
              <w:t>32.3%</w:t>
            </w:r>
            <w:r>
              <w:rPr>
                <w:rFonts w:hint="eastAsia" w:ascii="楷体" w:hAnsi="楷体" w:eastAsia="楷体" w:cs="Calibri"/>
                <w:lang w:eastAsia="zh-CN"/>
              </w:rPr>
              <w:t>。净利率也从</w:t>
            </w:r>
            <w:r>
              <w:rPr>
                <w:rFonts w:ascii="楷体" w:hAnsi="楷体" w:eastAsia="楷体" w:cs="Calibri"/>
                <w:lang w:eastAsia="zh-CN"/>
              </w:rPr>
              <w:t>202</w:t>
            </w:r>
            <w:r>
              <w:rPr>
                <w:rFonts w:hint="eastAsia" w:ascii="楷体" w:hAnsi="楷体" w:eastAsia="楷体" w:cs="Calibri"/>
                <w:lang w:eastAsia="zh-CN"/>
              </w:rPr>
              <w:t>0年的6.2%提高到2024年的10.1%。</w:t>
            </w:r>
          </w:p>
          <w:p w14:paraId="63F51C89">
            <w:pPr>
              <w:pStyle w:val="56"/>
              <w:jc w:val="both"/>
              <w:rPr>
                <w:rFonts w:hint="eastAsia" w:ascii="楷体" w:hAnsi="楷体" w:eastAsia="楷体" w:cs="Calibri"/>
                <w:lang w:eastAsia="zh-CN"/>
              </w:rPr>
            </w:pPr>
            <w:r>
              <w:rPr>
                <w:rFonts w:hint="eastAsia" w:ascii="楷体" w:hAnsi="楷体" w:eastAsia="楷体" w:cs="Calibri"/>
                <w:b/>
                <w:bCs/>
                <w:color w:val="23558C"/>
                <w:lang w:eastAsia="zh-CN"/>
              </w:rPr>
              <w:t>消费者导向场景下私人飞机需求稳健增长。</w:t>
            </w:r>
            <w:r>
              <w:rPr>
                <w:rFonts w:hint="eastAsia" w:ascii="楷体" w:hAnsi="楷体" w:eastAsia="楷体" w:cs="Calibri"/>
                <w:lang w:eastAsia="zh-CN"/>
              </w:rPr>
              <w:t>通用航空涵盖除军事和定期商业航班之外的所有航空活动，包括私人飞行和专业航空。全球私人飞机市场在交付量和价值方面均实现了稳健增长，平均销售价格也呈现上升趋势。全球私人飞机交付量的持续增长，一方面得益于高净值人群（</w:t>
            </w:r>
            <w:r>
              <w:rPr>
                <w:rFonts w:ascii="楷体" w:hAnsi="楷体" w:eastAsia="楷体" w:cs="Calibri"/>
                <w:lang w:eastAsia="zh-CN"/>
              </w:rPr>
              <w:t>HNWIs</w:t>
            </w:r>
            <w:r>
              <w:rPr>
                <w:rFonts w:hint="eastAsia" w:ascii="楷体" w:hAnsi="楷体" w:eastAsia="楷体" w:cs="Calibri"/>
                <w:lang w:eastAsia="zh-CN"/>
              </w:rPr>
              <w:t>）和飞行学员数量的扩张，另一方面也受到持续基础设施建设的推动。该行业的集中度相当高，西锐尤其在活塞式飞机领域占据领先地位。其两大主要机型系列的市场份额均呈现上升趋势。.</w:t>
            </w:r>
          </w:p>
          <w:p w14:paraId="63F51C8A">
            <w:pPr>
              <w:pStyle w:val="56"/>
              <w:jc w:val="both"/>
              <w:rPr>
                <w:rFonts w:hint="eastAsia" w:ascii="楷体" w:hAnsi="楷体" w:eastAsia="楷体" w:cs="Calibri"/>
                <w:lang w:eastAsia="zh-CN"/>
              </w:rPr>
            </w:pPr>
            <w:r>
              <w:rPr>
                <w:rFonts w:hint="eastAsia" w:ascii="楷体" w:hAnsi="楷体" w:eastAsia="楷体" w:cs="Calibri"/>
                <w:b/>
                <w:bCs/>
                <w:color w:val="23558C"/>
                <w:lang w:eastAsia="zh-CN"/>
              </w:rPr>
              <w:t>西锐凭借行业领先的安全性能和全面“产品</w:t>
            </w:r>
            <w:r>
              <w:rPr>
                <w:rFonts w:ascii="楷体" w:hAnsi="楷体" w:eastAsia="楷体" w:cs="Calibri"/>
                <w:b/>
                <w:bCs/>
                <w:color w:val="23558C"/>
                <w:lang w:eastAsia="zh-CN"/>
              </w:rPr>
              <w:t>+</w:t>
            </w:r>
            <w:r>
              <w:rPr>
                <w:rFonts w:hint="eastAsia" w:ascii="楷体" w:hAnsi="楷体" w:eastAsia="楷体" w:cs="Calibri"/>
                <w:b/>
                <w:bCs/>
                <w:color w:val="23558C"/>
                <w:lang w:eastAsia="zh-CN"/>
              </w:rPr>
              <w:t>服务”生态系统实现差异化。</w:t>
            </w:r>
            <w:r>
              <w:rPr>
                <w:rFonts w:hint="eastAsia" w:ascii="楷体" w:hAnsi="楷体" w:eastAsia="楷体" w:cs="Calibri"/>
                <w:lang w:eastAsia="zh-CN"/>
              </w:rPr>
              <w:t xml:space="preserve"> 西锐的产品线，从</w:t>
            </w:r>
            <w:r>
              <w:rPr>
                <w:rFonts w:ascii="楷体" w:hAnsi="楷体" w:eastAsia="楷体" w:cs="Calibri"/>
                <w:lang w:eastAsia="zh-CN"/>
              </w:rPr>
              <w:t>SR2X</w:t>
            </w:r>
            <w:r>
              <w:rPr>
                <w:rFonts w:hint="eastAsia" w:ascii="楷体" w:hAnsi="楷体" w:eastAsia="楷体" w:cs="Calibri"/>
                <w:lang w:eastAsia="zh-CN"/>
              </w:rPr>
              <w:t>系列到</w:t>
            </w:r>
            <w:r>
              <w:rPr>
                <w:rFonts w:ascii="楷体" w:hAnsi="楷体" w:eastAsia="楷体" w:cs="Calibri"/>
                <w:lang w:eastAsia="zh-CN"/>
              </w:rPr>
              <w:t>Vision Jet</w:t>
            </w:r>
            <w:r>
              <w:rPr>
                <w:rFonts w:hint="eastAsia" w:ascii="楷体" w:hAnsi="楷体" w:eastAsia="楷体" w:cs="Calibri"/>
                <w:lang w:eastAsia="zh-CN"/>
              </w:rPr>
              <w:t>，满足了多样化的市场需求，其中</w:t>
            </w:r>
            <w:r>
              <w:rPr>
                <w:rFonts w:ascii="楷体" w:hAnsi="楷体" w:eastAsia="楷体" w:cs="Calibri"/>
                <w:lang w:eastAsia="zh-CN"/>
              </w:rPr>
              <w:t>SR</w:t>
            </w:r>
            <w:r>
              <w:rPr>
                <w:rFonts w:hint="eastAsia" w:ascii="楷体" w:hAnsi="楷体" w:eastAsia="楷体" w:cs="Calibri"/>
                <w:lang w:eastAsia="zh-CN"/>
              </w:rPr>
              <w:t>系列定位于高端活塞式飞机市场，而</w:t>
            </w:r>
            <w:r>
              <w:rPr>
                <w:rFonts w:ascii="楷体" w:hAnsi="楷体" w:eastAsia="楷体" w:cs="Calibri"/>
                <w:lang w:eastAsia="zh-CN"/>
              </w:rPr>
              <w:t>Vision Jet</w:t>
            </w:r>
            <w:r>
              <w:rPr>
                <w:rFonts w:hint="eastAsia" w:ascii="楷体" w:hAnsi="楷体" w:eastAsia="楷体" w:cs="Calibri"/>
                <w:lang w:eastAsia="zh-CN"/>
              </w:rPr>
              <w:t>则作为涡轮式飞机类别中的高性价比选择。公司的竞争优势源于其开创性的安全功能，包括挽救生命的“整机降落伞系统（</w:t>
            </w:r>
            <w:r>
              <w:rPr>
                <w:rFonts w:ascii="楷体" w:hAnsi="楷体" w:eastAsia="楷体" w:cs="Calibri"/>
                <w:lang w:eastAsia="zh-CN"/>
              </w:rPr>
              <w:t>CAPS</w:t>
            </w:r>
            <w:r>
              <w:rPr>
                <w:rFonts w:hint="eastAsia" w:ascii="楷体" w:hAnsi="楷体" w:eastAsia="楷体" w:cs="Calibri"/>
                <w:lang w:eastAsia="zh-CN"/>
              </w:rPr>
              <w:t>）”和革命性的“安全返航紧急自动着陆系统（</w:t>
            </w:r>
            <w:r>
              <w:rPr>
                <w:rFonts w:ascii="楷体" w:hAnsi="楷体" w:eastAsia="楷体" w:cs="Calibri"/>
                <w:lang w:eastAsia="zh-CN"/>
              </w:rPr>
              <w:t>Safe Return Emergency Autoland</w:t>
            </w:r>
            <w:r>
              <w:rPr>
                <w:rFonts w:hint="eastAsia" w:ascii="楷体" w:hAnsi="楷体" w:eastAsia="楷体" w:cs="Calibri"/>
                <w:lang w:eastAsia="zh-CN"/>
              </w:rPr>
              <w:t>）”。关键在于，西锐已超越传统制造业务，发展成为提供全面“产品</w:t>
            </w:r>
            <w:r>
              <w:rPr>
                <w:rFonts w:ascii="楷体" w:hAnsi="楷体" w:eastAsia="楷体" w:cs="Calibri"/>
                <w:lang w:eastAsia="zh-CN"/>
              </w:rPr>
              <w:t>+</w:t>
            </w:r>
            <w:r>
              <w:rPr>
                <w:rFonts w:hint="eastAsia" w:ascii="楷体" w:hAnsi="楷体" w:eastAsia="楷体" w:cs="Calibri"/>
                <w:lang w:eastAsia="zh-CN"/>
              </w:rPr>
              <w:t>服务”生态系统的企业，涵盖飞行培训、飞机管理和融资等服务。这种高客户留存模式创造了经常性收入并增强了品牌忠诚度，同时带来了高复购率和强大的定价权。</w:t>
            </w:r>
            <w:r>
              <w:rPr>
                <w:rFonts w:ascii="楷体" w:hAnsi="楷体" w:eastAsia="楷体" w:cs="Calibri"/>
                <w:lang w:eastAsia="zh-CN"/>
              </w:rPr>
              <w:t xml:space="preserve"> </w:t>
            </w:r>
          </w:p>
          <w:p w14:paraId="63F51C8B">
            <w:pPr>
              <w:pStyle w:val="56"/>
              <w:jc w:val="both"/>
              <w:rPr>
                <w:rFonts w:hint="eastAsia" w:ascii="楷体" w:hAnsi="楷体" w:eastAsia="楷体" w:cs="Calibri"/>
                <w:b/>
                <w:bCs/>
                <w:color w:val="23558C"/>
                <w:lang w:eastAsia="zh-CN"/>
              </w:rPr>
            </w:pPr>
            <w:r>
              <w:rPr>
                <w:rFonts w:hint="eastAsia" w:ascii="楷体" w:hAnsi="楷体" w:eastAsia="楷体" w:cs="Calibri"/>
                <w:b/>
                <w:bCs/>
                <w:color w:val="23558C"/>
                <w:lang w:eastAsia="zh-CN"/>
              </w:rPr>
              <w:t>估值与建议</w:t>
            </w:r>
          </w:p>
          <w:p w14:paraId="40462296">
            <w:pPr>
              <w:pStyle w:val="44"/>
              <w:jc w:val="both"/>
              <w:rPr>
                <w:rFonts w:hint="eastAsia" w:ascii="楷体" w:hAnsi="楷体" w:eastAsia="楷体" w:cs="Calibri"/>
                <w:snapToGrid/>
                <w:szCs w:val="20"/>
                <w:lang w:eastAsia="zh-CN"/>
              </w:rPr>
            </w:pPr>
            <w:r>
              <w:rPr>
                <w:rFonts w:ascii="楷体" w:hAnsi="楷体" w:eastAsia="楷体" w:cs="Calibri"/>
                <w:snapToGrid/>
                <w:szCs w:val="20"/>
                <w:lang w:eastAsia="zh-CN"/>
              </w:rPr>
              <w:t>我们预计西锐飞机在2025年至2027年期间的收入将分别达到14.</w:t>
            </w:r>
            <w:r>
              <w:rPr>
                <w:rFonts w:hint="eastAsia" w:ascii="楷体" w:hAnsi="楷体" w:eastAsia="楷体" w:cs="Calibri"/>
                <w:snapToGrid/>
                <w:szCs w:val="20"/>
                <w:lang w:eastAsia="zh-CN"/>
              </w:rPr>
              <w:t>26/</w:t>
            </w:r>
            <w:r>
              <w:rPr>
                <w:rFonts w:ascii="楷体" w:hAnsi="楷体" w:eastAsia="楷体" w:cs="Calibri"/>
                <w:snapToGrid/>
                <w:szCs w:val="20"/>
                <w:lang w:eastAsia="zh-CN"/>
              </w:rPr>
              <w:t>16.46</w:t>
            </w:r>
            <w:r>
              <w:rPr>
                <w:rFonts w:hint="eastAsia" w:ascii="楷体" w:hAnsi="楷体" w:eastAsia="楷体" w:cs="Calibri"/>
                <w:snapToGrid/>
                <w:szCs w:val="20"/>
                <w:lang w:eastAsia="zh-CN"/>
              </w:rPr>
              <w:t>/</w:t>
            </w:r>
            <w:r>
              <w:rPr>
                <w:rFonts w:ascii="楷体" w:hAnsi="楷体" w:eastAsia="楷体" w:cs="Calibri"/>
                <w:snapToGrid/>
                <w:szCs w:val="20"/>
                <w:lang w:eastAsia="zh-CN"/>
              </w:rPr>
              <w:t>19.28亿美元，净利润分别为1.</w:t>
            </w:r>
            <w:r>
              <w:rPr>
                <w:rFonts w:hint="eastAsia" w:ascii="楷体" w:hAnsi="楷体" w:eastAsia="楷体" w:cs="Calibri"/>
                <w:snapToGrid/>
                <w:szCs w:val="20"/>
                <w:lang w:eastAsia="zh-CN"/>
              </w:rPr>
              <w:t>62/</w:t>
            </w:r>
            <w:r>
              <w:rPr>
                <w:rFonts w:ascii="楷体" w:hAnsi="楷体" w:eastAsia="楷体" w:cs="Calibri"/>
                <w:snapToGrid/>
                <w:szCs w:val="20"/>
                <w:lang w:eastAsia="zh-CN"/>
              </w:rPr>
              <w:t>1.9</w:t>
            </w:r>
            <w:r>
              <w:rPr>
                <w:rFonts w:hint="eastAsia" w:ascii="楷体" w:hAnsi="楷体" w:eastAsia="楷体" w:cs="Calibri"/>
                <w:snapToGrid/>
                <w:szCs w:val="20"/>
                <w:lang w:eastAsia="zh-CN"/>
              </w:rPr>
              <w:t>9/</w:t>
            </w:r>
            <w:r>
              <w:rPr>
                <w:rFonts w:ascii="楷体" w:hAnsi="楷体" w:eastAsia="楷体" w:cs="Calibri"/>
                <w:snapToGrid/>
                <w:szCs w:val="20"/>
                <w:lang w:eastAsia="zh-CN"/>
              </w:rPr>
              <w:t>2.</w:t>
            </w:r>
            <w:r>
              <w:rPr>
                <w:rFonts w:hint="eastAsia" w:ascii="楷体" w:hAnsi="楷体" w:eastAsia="楷体" w:cs="Calibri"/>
                <w:snapToGrid/>
                <w:szCs w:val="20"/>
                <w:lang w:eastAsia="zh-CN"/>
              </w:rPr>
              <w:t>42</w:t>
            </w:r>
            <w:r>
              <w:rPr>
                <w:rFonts w:ascii="楷体" w:hAnsi="楷体" w:eastAsia="楷体" w:cs="Calibri"/>
                <w:snapToGrid/>
                <w:szCs w:val="20"/>
                <w:lang w:eastAsia="zh-CN"/>
              </w:rPr>
              <w:t>亿美元。基于贴现现金流（DCF）估值模型，我们首次覆盖并给予“优于大市”评级，目标价为</w:t>
            </w:r>
            <w:r>
              <w:rPr>
                <w:rFonts w:hint="eastAsia" w:ascii="楷体" w:hAnsi="楷体" w:eastAsia="楷体" w:cs="Calibri"/>
                <w:snapToGrid/>
                <w:szCs w:val="20"/>
                <w:lang w:eastAsia="zh-CN"/>
              </w:rPr>
              <w:t>11.12美元（对应港币86.72元）。</w:t>
            </w:r>
          </w:p>
          <w:p w14:paraId="63F51C8D">
            <w:pPr>
              <w:pStyle w:val="56"/>
              <w:jc w:val="both"/>
              <w:rPr>
                <w:rFonts w:hint="eastAsia" w:ascii="楷体" w:hAnsi="楷体" w:eastAsia="楷体" w:cs="Calibri"/>
                <w:b/>
                <w:bCs/>
                <w:color w:val="23558C"/>
                <w:lang w:eastAsia="zh-CN"/>
              </w:rPr>
            </w:pPr>
            <w:r>
              <w:rPr>
                <w:rFonts w:hint="eastAsia" w:ascii="楷体" w:hAnsi="楷体" w:eastAsia="楷体" w:cs="Calibri"/>
                <w:b/>
                <w:bCs/>
                <w:color w:val="23558C"/>
                <w:lang w:eastAsia="zh-CN"/>
              </w:rPr>
              <w:t>风险提示</w:t>
            </w:r>
          </w:p>
          <w:p w14:paraId="63F51C8E">
            <w:pPr>
              <w:pStyle w:val="55"/>
              <w:jc w:val="both"/>
              <w:rPr>
                <w:rFonts w:hint="eastAsia" w:ascii="楷体" w:hAnsi="楷体" w:eastAsia="楷体" w:cs="Calibri"/>
                <w:snapToGrid/>
                <w:sz w:val="20"/>
                <w:szCs w:val="20"/>
              </w:rPr>
            </w:pPr>
            <w:r>
              <w:rPr>
                <w:rFonts w:ascii="楷体" w:hAnsi="楷体" w:eastAsia="楷体" w:cs="Calibri"/>
                <w:snapToGrid/>
                <w:sz w:val="20"/>
                <w:szCs w:val="20"/>
              </w:rPr>
              <w:t>原材料价格波动；供应链中断；市场竞争加剧；客户需求变化；政策变化.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1112" w:hRule="atLeast"/>
        </w:trPr>
        <w:tc>
          <w:tcPr>
            <w:tcW w:w="10774" w:type="dxa"/>
            <w:gridSpan w:val="5"/>
            <w:tcMar>
              <w:left w:w="57" w:type="dxa"/>
            </w:tcMar>
          </w:tcPr>
          <w:p>
            <w:pPr>
              <w:pStyle w:val="56"/>
              <w:spacing w:after="0"/>
              <w:jc w:val="both"/>
              <w:rPr>
                <w:rFonts w:eastAsia="楷体_GB2312" w:cs="Calibri"/>
                <w:bCs/>
                <w:kern w:val="28"/>
                <w:lang w:eastAsia="zh-CN"/>
              </w:rPr>
            </w:pPr>
          </w:p>
          <w:tbl>
            <w:tblPr>
              <w:tblStyle w:val="20"/>
              <w:tblW w:w="0" w:type="auto"/>
              <w:tblCaption w:val="[Table_Author]"/>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694"/>
              <w:gridCol w:w="2551"/>
              <w:gridCol w:w="2693"/>
              <w:gridCol w:w="269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23" w:hRule="exact"/>
              </w:trPr>
              <w:tc>
                <w:tcPr>
                  <w:tcW w:w="2694" w:type="dxa"/>
                  <w:tcMar>
                    <w:right w:w="60" w:type="dxa"/>
                  </w:tcMar>
                </w:tcPr>
                <w:p>
                  <w:pPr>
                    <w:pStyle w:val="53"/>
                    <w:framePr w:wrap="auto" w:vAnchor="margin" w:hAnchor="text" w:yAlign="inline"/>
                    <w:rPr>
                      <w:rFonts w:eastAsia="宋体" w:cs="等线"/>
                      <w:color w:val="FFFFFF" w:themeColor="background1"/>
                      <w14:textFill>
                        <w14:solidFill>
                          <w14:schemeClr w14:val="bg1"/>
                        </w14:solidFill>
                      </w14:textFill>
                    </w:rPr>
                  </w:pPr>
                  <w:r>
                    <w:rPr>
                      <w:rFonts w:hint="eastAsia" w:eastAsia="宋体" w:cs="等线"/>
                      <w:color w:val="FFFFFF" w:themeColor="background1"/>
                      <w14:textFill>
                        <w14:solidFill>
                          <w14:schemeClr w14:val="bg1"/>
                        </w14:solidFill>
                      </w14:textFill>
                    </w:rPr>
                    <w:t>[</w:t>
                  </w:r>
                  <w:r>
                    <w:rPr>
                      <w:rFonts w:eastAsia="宋体" w:cs="等线"/>
                      <w:color w:val="FFFFFF" w:themeColor="background1"/>
                      <w14:textFill>
                        <w14:solidFill>
                          <w14:schemeClr w14:val="bg1"/>
                        </w14:solidFill>
                      </w14:textFill>
                    </w:rPr>
                    <w:t>Table_Author]</w:t>
                  </w:r>
                </w:p>
              </w:tc>
              <w:tc>
                <w:tcPr>
                  <w:tcW w:w="2551" w:type="dxa"/>
                </w:tcPr>
                <w:p>
                  <w:pPr>
                    <w:pStyle w:val="53"/>
                    <w:framePr w:wrap="auto" w:vAnchor="margin" w:hAnchor="text" w:yAlign="inline"/>
                    <w:rPr>
                      <w:rFonts w:eastAsia="MS Gothic" w:cs="等线"/>
                      <w:color w:val="FFFFFF" w:themeColor="background1"/>
                      <w14:textFill>
                        <w14:solidFill>
                          <w14:schemeClr w14:val="bg1"/>
                        </w14:solidFill>
                      </w14:textFill>
                    </w:rPr>
                  </w:pPr>
                </w:p>
              </w:tc>
              <w:tc>
                <w:tcPr>
                  <w:tcW w:w="2693" w:type="dxa"/>
                </w:tcPr>
                <w:p>
                  <w:pPr>
                    <w:pStyle w:val="53"/>
                    <w:framePr w:wrap="auto" w:vAnchor="margin" w:hAnchor="text" w:yAlign="inline"/>
                    <w:rPr>
                      <w:rFonts w:eastAsia="MS Gothic" w:cs="等线"/>
                      <w:color w:val="FFFFFF" w:themeColor="background1"/>
                      <w14:textFill>
                        <w14:solidFill>
                          <w14:schemeClr w14:val="bg1"/>
                        </w14:solidFill>
                      </w14:textFill>
                    </w:rPr>
                  </w:pPr>
                </w:p>
              </w:tc>
              <w:tc>
                <w:tcPr>
                  <w:tcW w:w="2694" w:type="dxa"/>
                </w:tcPr>
                <w:p>
                  <w:pPr>
                    <w:pStyle w:val="53"/>
                    <w:framePr w:wrap="auto" w:vAnchor="margin" w:hAnchor="text" w:yAlign="inline"/>
                    <w:rPr>
                      <w:rFonts w:eastAsia="MS Gothic" w:cs="等线"/>
                      <w:color w:val="FFFFFF" w:themeColor="background1"/>
                      <w14:textFill>
                        <w14:solidFill>
                          <w14:schemeClr w14:val="bg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pPr>
                    <w:keepNext w:val="0"/>
                    <w:keepLines w:val="0"/>
                    <w:widowControl/>
                    <w:suppressLineNumbers w:val="0"/>
                    <w:jc w:val="left"/>
                    <w:rPr>
                      <w:rFonts w:hint="default" w:ascii="Calibri" w:hAnsi="Calibri" w:eastAsia="楷体_GB2312" w:cs="Calibri"/>
                    </w:rPr>
                  </w:pPr>
                  <w:r>
                    <w:rPr>
                      <w:rFonts w:hint="default" w:ascii="Calibri" w:hAnsi="Calibri" w:eastAsia="楷体_GB2312" w:cs="Calibri"/>
                      <w:b/>
                      <w:bCs/>
                      <w:snapToGrid w:val="0"/>
                      <w:color w:val="333333"/>
                      <w:kern w:val="0"/>
                      <w:sz w:val="16"/>
                      <w:szCs w:val="16"/>
                      <w:lang w:val="en-US" w:eastAsia="zh-CN" w:bidi="ar"/>
                    </w:rPr>
                    <w:t xml:space="preserve"> ], SFC:</w:t>
                  </w:r>
                  <w:r>
                    <w:rPr>
                      <w:rFonts w:hint="eastAsia" w:eastAsia="楷体_GB2312" w:cs="Calibri"/>
                      <w:b/>
                      <w:bCs/>
                      <w:snapToGrid w:val="0"/>
                      <w:color w:val="333333"/>
                      <w:kern w:val="0"/>
                      <w:sz w:val="16"/>
                      <w:szCs w:val="16"/>
                      <w:lang w:val="en-US" w:eastAsia="zh-CN" w:bidi="ar"/>
                    </w:rPr>
                  </w:r>
                  <w:r>
                    <w:rPr>
                      <w:rFonts w:hint="default" w:ascii="Calibri" w:hAnsi="Calibri" w:eastAsia="宋体" w:cs="Calibri"/>
                      <w:snapToGrid w:val="0"/>
                      <w:color w:val="FFFFFF"/>
                      <w:kern w:val="0"/>
                      <w:sz w:val="16"/>
                      <w:szCs w:val="16"/>
                      <w:lang w:val="en-US" w:eastAsia="zh-CN" w:bidi="ar"/>
                    </w:rPr>
                  </w:r>
                  <w:r>
                    <w:rPr>
                      <w:rFonts w:hint="default" w:ascii="Calibri" w:hAnsi="Calibri" w:eastAsia="宋体" w:cs="Calibri"/>
                      <w:b/>
                      <w:bCs/>
                      <w:snapToGrid w:val="0"/>
                      <w:color w:val="000000"/>
                      <w:kern w:val="0"/>
                      <w:sz w:val="16"/>
                      <w:szCs w:val="16"/>
                      <w:lang w:val="en-US" w:eastAsia="zh-CN" w:bidi="ar"/>
                    </w:rPr>
                  </w:r>
                </w:p>
              </w:tc>
              <w:tc>
                <w:tcPr>
                  <w:tcW w:w="2551" w:type="dxa"/>
                </w:tcPr>
                <w:p>
                  <w:pPr>
                    <w:pStyle w:val="52"/>
                    <w:framePr w:wrap="auto" w:vAnchor="margin" w:hAnchor="text" w:yAlign="inline"/>
                    <w:rPr>
                      <w:rFonts w:eastAsia="楷体_GB2312" w:cs="等线"/>
                    </w:rPr>
                  </w:pPr>
                  <w:r>
                    <w:t xml:space="preserve"> ], SFC:</w:t>
                  </w:r>
                </w:p>
              </w:tc>
              <w:tc>
                <w:tcPr>
                  <w:tcW w:w="2693" w:type="dxa"/>
                </w:tcPr>
                <w:p>
                  <w:pPr>
                    <w:pStyle w:val="52"/>
                    <w:framePr w:wrap="auto" w:vAnchor="margin" w:hAnchor="text" w:yAlign="inline"/>
                    <w:rPr>
                      <w:rFonts w:eastAsia="楷体_GB2312" w:cs="等线"/>
                    </w:rPr>
                  </w:pPr>
                  <w:r>
                    <w:t xml:space="preserve"> ], SFC:</w:t>
                  </w:r>
                </w:p>
              </w:tc>
              <w:tc>
                <w:tcPr>
                  <w:tcW w:w="2694" w:type="dxa"/>
                </w:tcPr>
                <w:p>
                  <w:pPr>
                    <w:pStyle w:val="52"/>
                    <w:framePr w:wrap="auto" w:vAnchor="margin" w:hAnchor="text" w:yAlign="inline"/>
                    <w:rPr>
                      <w:rFonts w:eastAsia="楷体_GB2312" w:cs="等线"/>
                    </w:rPr>
                  </w:pPr>
                  <w:r>
                    <w:t xml:space="preserve"> ], SFC: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84" w:hRule="atLeast"/>
              </w:trPr>
              <w:tc>
                <w:tcPr>
                  <w:tcW w:w="2694" w:type="dxa"/>
                </w:tcPr>
                <w:p>
                  <w:pPr>
                    <w:pStyle w:val="52"/>
                    <w:framePr w:wrap="auto" w:vAnchor="margin" w:hAnchor="text" w:yAlign="inline"/>
                    <w:rPr>
                      <w:rFonts w:eastAsia="楷体_GB2312" w:cs="等线"/>
                      <w:b w:val="0"/>
                    </w:rPr>
                  </w:pPr>
                  <w:r>
                    <w:rPr>
                      <w:rFonts w:hint="eastAsia" w:eastAsia="楷体_GB2312" w:cs="等线"/>
                      <w:b w:val="0"/>
                    </w:rPr>
                    <w:t xml:space="preserve"/>
                  </w:r>
                  <w:r>
                    <w:rPr>
                      <w:rFonts w:eastAsia="楷体_GB2312" w:cs="等线"/>
                      <w:b w:val="0"/>
                    </w:rPr>
                  </w:r>
                  <w:r>
                    <w:rPr>
                      <w:rFonts w:hint="eastAsia" w:eastAsia="楷体_GB2312" w:cs="等线"/>
                      <w:b w:val="0"/>
                    </w:rPr>
                  </w:r>
                  <w:r>
                    <w:rPr>
                      <w:rFonts w:eastAsia="楷体_GB2312" w:cs="等线"/>
                      <w:b w:val="0"/>
                    </w:rPr>
                  </w:r>
                  <w:r>
                    <w:rPr>
                      <w:rFonts w:hint="eastAsia" w:eastAsia="楷体_GB2312" w:cs="等线"/>
                      <w:b w:val="0"/>
                    </w:rPr>
                  </w:r>
                </w:p>
              </w:tc>
              <w:tc>
                <w:tcPr>
                  <w:tcW w:w="2551" w:type="dxa"/>
                </w:tcPr>
                <w:p>
                  <w:pPr>
                    <w:pStyle w:val="52"/>
                    <w:framePr w:wrap="auto" w:vAnchor="margin" w:hAnchor="text" w:yAlign="inline"/>
                    <w:rPr>
                      <w:rFonts w:eastAsia="楷体_GB2312" w:cs="等线"/>
                      <w:b w:val="0"/>
                    </w:rPr>
                  </w:pPr>
                  <w:r>
                    <w:t xml:space="preserve"/>
                  </w:r>
                </w:p>
              </w:tc>
              <w:tc>
                <w:tcPr>
                  <w:tcW w:w="2693" w:type="dxa"/>
                </w:tcPr>
                <w:p>
                  <w:pPr>
                    <w:pStyle w:val="52"/>
                    <w:framePr w:wrap="auto" w:vAnchor="margin" w:hAnchor="text" w:yAlign="inline"/>
                    <w:rPr>
                      <w:rFonts w:eastAsia="楷体_GB2312" w:cs="等线"/>
                      <w:b w:val="0"/>
                    </w:rPr>
                  </w:pPr>
                  <w:r>
                    <w:t xml:space="preserve"/>
                  </w:r>
                </w:p>
              </w:tc>
              <w:tc>
                <w:tcPr>
                  <w:tcW w:w="2694" w:type="dxa"/>
                </w:tcPr>
                <w:p>
                  <w:pPr>
                    <w:pStyle w:val="52"/>
                    <w:framePr w:wrap="auto" w:vAnchor="margin" w:hAnchor="text" w:yAlign="inline"/>
                    <w:rPr>
                      <w:rFonts w:eastAsia="楷体_GB2312" w:cs="等线"/>
                      <w:b w:val="0"/>
                    </w:rPr>
                  </w:pPr>
                  <w:r>
                    <w:t xml:space="preserve"/>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pPr>
                    <w:pStyle w:val="52"/>
                    <w:framePr w:wrap="auto" w:vAnchor="margin" w:hAnchor="text" w:yAlign="inline"/>
                    <w:rPr>
                      <w:rFonts w:eastAsia="楷体_GB2312" w:cs="等线"/>
                      <w:b w:val="0"/>
                    </w:rPr>
                  </w:pPr>
                  <w:r>
                    <w:t xml:space="preserve"> ], SFC:</w:t>
                  </w:r>
                </w:p>
              </w:tc>
              <w:tc>
                <w:tcPr>
                  <w:tcW w:w="2551" w:type="dxa"/>
                </w:tcPr>
                <w:p>
                  <w:pPr>
                    <w:pStyle w:val="52"/>
                    <w:framePr w:wrap="auto" w:vAnchor="margin" w:hAnchor="text" w:yAlign="inline"/>
                    <w:rPr>
                      <w:rFonts w:eastAsia="楷体_GB2312" w:cs="等线"/>
                      <w:b w:val="0"/>
                    </w:rPr>
                  </w:pPr>
                  <w:r>
                    <w:t xml:space="preserve"> ], SFC:</w:t>
                  </w:r>
                </w:p>
              </w:tc>
              <w:tc>
                <w:tcPr>
                  <w:tcW w:w="2693" w:type="dxa"/>
                </w:tcPr>
                <w:p>
                  <w:pPr>
                    <w:pStyle w:val="52"/>
                    <w:framePr w:wrap="auto" w:vAnchor="margin" w:hAnchor="text" w:yAlign="inline"/>
                    <w:rPr>
                      <w:rFonts w:eastAsia="楷体_GB2312" w:cs="等线"/>
                      <w:b w:val="0"/>
                    </w:rPr>
                  </w:pPr>
                  <w:r>
                    <w:t xml:space="preserve"> ], SFC:</w:t>
                  </w:r>
                </w:p>
              </w:tc>
              <w:tc>
                <w:tcPr>
                  <w:tcW w:w="2694" w:type="dxa"/>
                </w:tcPr>
                <w:p>
                  <w:pPr>
                    <w:pStyle w:val="52"/>
                    <w:framePr w:wrap="auto" w:vAnchor="margin" w:hAnchor="text" w:yAlign="inline"/>
                    <w:rPr>
                      <w:rFonts w:eastAsia="楷体_GB2312" w:cs="等线"/>
                      <w:b w:val="0"/>
                    </w:rPr>
                  </w:pPr>
                  <w:r>
                    <w:t xml:space="preserve"> ], SFC: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pPr>
                    <w:pStyle w:val="52"/>
                    <w:framePr w:wrap="auto" w:vAnchor="margin" w:hAnchor="text" w:yAlign="inline"/>
                    <w:rPr>
                      <w:rFonts w:eastAsia="楷体_GB2312" w:cs="等线"/>
                      <w:b w:val="0"/>
                    </w:rPr>
                  </w:pPr>
                  <w:r>
                    <w:t xml:space="preserve"/>
                  </w:r>
                </w:p>
              </w:tc>
              <w:tc>
                <w:tcPr>
                  <w:tcW w:w="2551" w:type="dxa"/>
                </w:tcPr>
                <w:p>
                  <w:pPr>
                    <w:pStyle w:val="52"/>
                    <w:framePr w:wrap="auto" w:vAnchor="margin" w:hAnchor="text" w:yAlign="inline"/>
                    <w:rPr>
                      <w:rFonts w:eastAsia="楷体_GB2312" w:cs="等线"/>
                      <w:b w:val="0"/>
                    </w:rPr>
                  </w:pPr>
                  <w:r>
                    <w:t xml:space="preserve"/>
                  </w:r>
                </w:p>
              </w:tc>
              <w:tc>
                <w:tcPr>
                  <w:tcW w:w="2693" w:type="dxa"/>
                </w:tcPr>
                <w:p>
                  <w:pPr>
                    <w:pStyle w:val="52"/>
                    <w:framePr w:wrap="auto" w:vAnchor="margin" w:hAnchor="text" w:yAlign="inline"/>
                    <w:rPr>
                      <w:rFonts w:eastAsia="楷体_GB2312" w:cs="等线"/>
                      <w:b w:val="0"/>
                    </w:rPr>
                  </w:pPr>
                  <w:r>
                    <w:t xml:space="preserve"/>
                  </w:r>
                </w:p>
              </w:tc>
              <w:tc>
                <w:tcPr>
                  <w:tcW w:w="2694" w:type="dxa"/>
                </w:tcPr>
                <w:p>
                  <w:pPr>
                    <w:pStyle w:val="52"/>
                    <w:framePr w:wrap="auto" w:vAnchor="margin" w:hAnchor="text" w:yAlign="inline"/>
                    <w:rPr>
                      <w:rFonts w:eastAsia="楷体_GB2312" w:cs="等线"/>
                      <w:b w:val="0"/>
                    </w:rPr>
                  </w:pPr>
                  <w:r>
                    <w:t xml:space="preserve"/>
                  </w:r>
                </w:p>
              </w:tc>
            </w:tr>
          </w:tbl>
          <w:p>
            <w:pPr>
              <w:pStyle w:val="56"/>
              <w:spacing w:after="0"/>
              <w:jc w:val="both"/>
              <w:rPr>
                <w:rFonts w:eastAsia="楷体_GB2312" w:cs="Calibri"/>
                <w:bCs/>
                <w:kern w:val="28"/>
                <w:lang w:eastAsia="zh-CN"/>
              </w:rPr>
            </w:pPr>
          </w:p>
        </w:tc>
      </w:tr>
    </w:tbl>
    <w:p>
      <w:pPr>
        <w:rPr>
          <w:rFonts w:eastAsiaTheme="minorEastAsia"/>
        </w:rPr>
        <w:sectPr>
          <w:headerReference r:id="rId5" w:type="first"/>
          <w:footerReference r:id="rId8" w:type="first"/>
          <w:headerReference r:id="rId3" w:type="default"/>
          <w:footerReference r:id="rId6" w:type="default"/>
          <w:headerReference r:id="rId4" w:type="even"/>
          <w:footerReference r:id="rId7" w:type="even"/>
          <w:type w:val="continuous"/>
          <w:pgSz w:w="11910" w:h="16840"/>
          <w:pgMar w:top="567" w:right="567" w:bottom="1021" w:left="567" w:header="567" w:footer="918" w:gutter="0"/>
          <w:cols w:space="425" w:num="1"/>
          <w:docGrid w:linePitch="299" w:charSpace="0"/>
        </w:sectPr>
      </w:pPr>
    </w:p>
    <w:p w14:paraId="63F51CC7">
      <w:pPr>
        <w:pStyle w:val="2"/>
        <w:spacing w:before="240" w:beforeLines="100" w:after="240" w:afterLines="100"/>
        <w:jc w:val="both"/>
        <w:rPr>
          <w:rFonts w:hint="eastAsia" w:ascii="楷体" w:hAnsi="楷体" w:eastAsia="楷体" w:cs="楷体"/>
          <w:b/>
          <w:bCs/>
          <w:color w:val="23558C"/>
          <w:sz w:val="28"/>
          <w:szCs w:val="28"/>
        </w:rPr>
      </w:pPr>
      <w:bookmarkStart w:id="0" w:name="_Toc219028014"/>
      <w:r>
        <w:rPr>
          <w:rFonts w:hint="eastAsia" w:ascii="楷体" w:hAnsi="楷体" w:eastAsia="楷体" w:cs="楷体"/>
          <w:b/>
          <w:bCs/>
          <w:color w:val="23558C"/>
          <w:sz w:val="28"/>
          <w:szCs w:val="28"/>
        </w:rPr>
        <w:t>1 西锐飞机：拥有四十余年历史的全球私人航空领导者</w:t>
      </w:r>
      <w:bookmarkEnd w:id="0"/>
    </w:p>
    <w:p w14:paraId="63F51CC8">
      <w:pPr>
        <w:pStyle w:val="77"/>
        <w:jc w:val="both"/>
        <w:rPr>
          <w:rFonts w:hint="eastAsia" w:ascii="楷体" w:hAnsi="楷体" w:eastAsia="楷体" w:cs="楷体"/>
          <w:color w:val="23558C"/>
          <w:sz w:val="24"/>
          <w:szCs w:val="24"/>
        </w:rPr>
      </w:pPr>
      <w:bookmarkStart w:id="1" w:name="_Toc219028015"/>
      <w:r>
        <w:rPr>
          <w:rFonts w:hint="eastAsia" w:ascii="楷体" w:hAnsi="楷体" w:eastAsia="楷体" w:cs="楷体"/>
          <w:color w:val="23558C"/>
          <w:sz w:val="24"/>
          <w:szCs w:val="24"/>
        </w:rPr>
        <w:t>1.1 公司概况</w:t>
      </w:r>
      <w:bookmarkEnd w:id="1"/>
    </w:p>
    <w:p w14:paraId="63F51CCB">
      <w:pPr>
        <w:rPr>
          <w:rFonts w:hint="eastAsia" w:ascii="楷体" w:hAnsi="楷体" w:eastAsia="楷体" w:cs="楷体"/>
          <w:sz w:val="22"/>
          <w:szCs w:val="22"/>
        </w:rPr>
      </w:pPr>
      <w:r>
        <w:rPr>
          <w:rFonts w:hint="eastAsia" w:ascii="楷体" w:hAnsi="楷体" w:eastAsia="楷体" w:cs="楷体"/>
          <w:sz w:val="22"/>
          <w:szCs w:val="22"/>
        </w:rPr>
        <w:t>西锐飞机有限公司（Cirrus Aircraft Limited）成立于1984 年，总部位于美国威斯康星州，是全球私人航空领域的先行者及行业领先企业。公司专注于高端通用航空飞机的设计、研发、制造与销售，其产品在安全性、技术水平及品牌影响力方面均获得行业广泛认可。1999年公司完成首架 SR20飞机交付，2001年首架SR20飞机交付，2004-2006年推出</w:t>
      </w:r>
      <w:r>
        <w:rPr>
          <w:rFonts w:hint="eastAsia" w:ascii="楷体" w:hAnsi="楷体" w:eastAsia="楷体" w:cs="楷体"/>
          <w:snapToGrid/>
          <w:color w:val="000000"/>
          <w:sz w:val="22"/>
          <w:szCs w:val="22"/>
        </w:rPr>
        <w:t>SR22TN，2007-2010年推出SR22T。</w:t>
      </w:r>
      <w:r>
        <w:rPr>
          <w:rFonts w:hint="eastAsia" w:ascii="楷体" w:hAnsi="楷体" w:eastAsia="楷体" w:cs="楷体"/>
          <w:sz w:val="22"/>
          <w:szCs w:val="22"/>
        </w:rPr>
        <w:t>2011年，在全球金融危机背景下，中国航空工业集团通用飞机以 2.10亿美元收购西锐飞机，标志着公司进入新的发展阶段。2016年，公司实现Vision Jet（愿景喷气机）首次交付；2017年推出Embark飞行培训计划；2018年正式上线 Cirrus Services 服务体系；2019年，公司在开曼群岛注册为获豁免公司，为后续国际化发展奠定基础。</w:t>
      </w:r>
    </w:p>
    <w:p w14:paraId="63F51CCC">
      <w:pPr>
        <w:rPr>
          <w:rFonts w:hint="eastAsia" w:ascii="楷体" w:hAnsi="楷体" w:eastAsia="楷体" w:cs="楷体"/>
          <w:b/>
          <w:bCs/>
          <w:sz w:val="22"/>
          <w:szCs w:val="22"/>
          <w:u w:val="single"/>
        </w:rPr>
      </w:pPr>
      <w:r>
        <w:rPr>
          <w:rFonts w:hint="eastAsia" w:ascii="楷体" w:hAnsi="楷体" w:eastAsia="楷体" w:cs="楷体"/>
          <w:b/>
          <w:bCs/>
          <w:sz w:val="22"/>
          <w:szCs w:val="22"/>
          <w:u w:val="single"/>
        </w:rPr>
        <w:t>截至2025年上半年，公司累计交付 SR2X 系列飞机超过10,000架，Vision Jet 交付量超过600架，持续巩固其在全球私人航空市场中的领先地位。</w:t>
      </w:r>
    </w:p>
    <w:p w14:paraId="63F51CCD">
      <w:pPr>
        <w:rPr>
          <w:rFonts w:cs="Calibri" w:eastAsiaTheme="minorEastAsia"/>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63F51CCF">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63F51CCE">
            <w:pPr>
              <w:spacing w:before="48" w:beforeLines="20" w:after="48" w:afterLines="20"/>
              <w:jc w:val="both"/>
              <w:textAlignment w:val="center"/>
              <w:rPr>
                <w:rFonts w:hint="eastAsia" w:ascii="楷体" w:hAnsi="楷体" w:eastAsia="楷体" w:cs="楷体"/>
                <w:sz w:val="22"/>
                <w:szCs w:val="22"/>
              </w:rPr>
            </w:pPr>
            <w:r>
              <w:rPr>
                <w:rFonts w:hint="eastAsia" w:ascii="楷体" w:hAnsi="楷体" w:eastAsia="楷体" w:cs="楷体"/>
                <w:b/>
                <w:bCs/>
                <w:sz w:val="20"/>
                <w:szCs w:val="20"/>
              </w:rPr>
              <w:t>表：西锐飞机发展里程碑</w:t>
            </w:r>
          </w:p>
        </w:tc>
      </w:tr>
      <w:tr w14:paraId="63F51CF5">
        <w:tblPrEx>
          <w:tblCellMar>
            <w:top w:w="0" w:type="dxa"/>
            <w:left w:w="108" w:type="dxa"/>
            <w:bottom w:w="0" w:type="dxa"/>
            <w:right w:w="108" w:type="dxa"/>
          </w:tblCellMar>
        </w:tblPrEx>
        <w:trPr>
          <w:trHeight w:val="708" w:hRule="atLeast"/>
        </w:trPr>
        <w:tc>
          <w:tcPr>
            <w:tcW w:w="7466" w:type="dxa"/>
            <w:tcBorders>
              <w:top w:val="single" w:color="auto" w:sz="4" w:space="0"/>
              <w:bottom w:val="single" w:color="auto" w:sz="4" w:space="0"/>
            </w:tcBorders>
            <w:vAlign w:val="center"/>
          </w:tcPr>
          <w:tbl>
            <w:tblPr>
              <w:tblStyle w:val="19"/>
              <w:tblW w:w="7120" w:type="dxa"/>
              <w:tblInd w:w="0" w:type="dxa"/>
              <w:tblLayout w:type="fixed"/>
              <w:tblCellMar>
                <w:top w:w="0" w:type="dxa"/>
                <w:left w:w="108" w:type="dxa"/>
                <w:bottom w:w="0" w:type="dxa"/>
                <w:right w:w="108" w:type="dxa"/>
              </w:tblCellMar>
            </w:tblPr>
            <w:tblGrid>
              <w:gridCol w:w="1312"/>
              <w:gridCol w:w="5808"/>
            </w:tblGrid>
            <w:tr w14:paraId="63F51CD2">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shd w:val="clear" w:color="auto" w:fill="23558C"/>
                  <w:noWrap/>
                  <w:vAlign w:val="center"/>
                </w:tcPr>
                <w:p w14:paraId="63F51CD0">
                  <w:pPr>
                    <w:rPr>
                      <w:rFonts w:hint="eastAsia" w:ascii="楷体" w:hAnsi="楷体" w:eastAsia="楷体" w:cs="楷体"/>
                      <w:b/>
                      <w:bCs/>
                      <w:snapToGrid/>
                      <w:color w:val="FFFFFF" w:themeColor="background1"/>
                      <w:sz w:val="22"/>
                      <w:szCs w:val="22"/>
                      <w14:textFill>
                        <w14:solidFill>
                          <w14:schemeClr w14:val="bg1"/>
                        </w14:solidFill>
                      </w14:textFill>
                    </w:rPr>
                  </w:pPr>
                  <w:r>
                    <w:rPr>
                      <w:rFonts w:hint="eastAsia" w:ascii="楷体" w:hAnsi="楷体" w:eastAsia="楷体" w:cs="楷体"/>
                      <w:b/>
                      <w:bCs/>
                      <w:snapToGrid/>
                      <w:color w:val="FFFFFF" w:themeColor="background1"/>
                      <w:sz w:val="22"/>
                      <w:szCs w:val="22"/>
                      <w14:textFill>
                        <w14:solidFill>
                          <w14:schemeClr w14:val="bg1"/>
                        </w14:solidFill>
                      </w14:textFill>
                    </w:rPr>
                    <w:t>年份</w:t>
                  </w:r>
                </w:p>
              </w:tc>
              <w:tc>
                <w:tcPr>
                  <w:tcW w:w="5808" w:type="dxa"/>
                  <w:tcBorders>
                    <w:top w:val="nil"/>
                    <w:left w:val="nil"/>
                    <w:bottom w:val="single" w:color="auto" w:sz="4" w:space="0"/>
                    <w:right w:val="single" w:color="auto" w:sz="4" w:space="0"/>
                  </w:tcBorders>
                  <w:shd w:val="clear" w:color="auto" w:fill="23558C"/>
                  <w:noWrap/>
                  <w:vAlign w:val="center"/>
                </w:tcPr>
                <w:p w14:paraId="63F51CD1">
                  <w:pPr>
                    <w:rPr>
                      <w:rFonts w:hint="eastAsia" w:ascii="楷体" w:hAnsi="楷体" w:eastAsia="楷体" w:cs="楷体"/>
                      <w:snapToGrid/>
                      <w:color w:val="FFFFFF" w:themeColor="background1"/>
                      <w:sz w:val="22"/>
                      <w:szCs w:val="22"/>
                      <w14:textFill>
                        <w14:solidFill>
                          <w14:schemeClr w14:val="bg1"/>
                        </w14:solidFill>
                      </w14:textFill>
                    </w:rPr>
                  </w:pPr>
                  <w:r>
                    <w:rPr>
                      <w:rFonts w:hint="eastAsia" w:ascii="楷体" w:hAnsi="楷体" w:eastAsia="楷体" w:cs="楷体"/>
                      <w:snapToGrid/>
                      <w:color w:val="FFFFFF" w:themeColor="background1"/>
                      <w:sz w:val="22"/>
                      <w:szCs w:val="22"/>
                      <w14:textFill>
                        <w14:solidFill>
                          <w14:schemeClr w14:val="bg1"/>
                        </w14:solidFill>
                      </w14:textFill>
                    </w:rPr>
                    <w:t>　</w:t>
                  </w:r>
                  <w:r>
                    <w:rPr>
                      <w:rFonts w:hint="eastAsia" w:ascii="楷体" w:hAnsi="楷体" w:eastAsia="楷体" w:cs="楷体"/>
                      <w:b/>
                      <w:bCs/>
                      <w:snapToGrid/>
                      <w:color w:val="FFFFFF" w:themeColor="background1"/>
                      <w:sz w:val="22"/>
                      <w:szCs w:val="22"/>
                      <w14:textFill>
                        <w14:solidFill>
                          <w14:schemeClr w14:val="bg1"/>
                        </w14:solidFill>
                      </w14:textFill>
                    </w:rPr>
                    <w:t>重大事件</w:t>
                  </w:r>
                </w:p>
              </w:tc>
            </w:tr>
            <w:tr w14:paraId="63F51CD5">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14:paraId="63F51CD3">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1984</w:t>
                  </w:r>
                </w:p>
              </w:tc>
              <w:tc>
                <w:tcPr>
                  <w:tcW w:w="5808" w:type="dxa"/>
                  <w:tcBorders>
                    <w:top w:val="nil"/>
                    <w:left w:val="nil"/>
                    <w:bottom w:val="single" w:color="auto" w:sz="4" w:space="0"/>
                    <w:right w:val="single" w:color="auto" w:sz="4" w:space="0"/>
                  </w:tcBorders>
                  <w:noWrap/>
                  <w:vAlign w:val="center"/>
                </w:tcPr>
                <w:p w14:paraId="63F51CD4">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西锐设计公司成立</w:t>
                  </w:r>
                </w:p>
              </w:tc>
            </w:tr>
            <w:tr w14:paraId="63F51CD8">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14:paraId="63F51CD6">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1988</w:t>
                  </w:r>
                </w:p>
              </w:tc>
              <w:tc>
                <w:tcPr>
                  <w:tcW w:w="5808" w:type="dxa"/>
                  <w:tcBorders>
                    <w:top w:val="nil"/>
                    <w:left w:val="nil"/>
                    <w:bottom w:val="single" w:color="auto" w:sz="4" w:space="0"/>
                    <w:right w:val="single" w:color="auto" w:sz="4" w:space="0"/>
                  </w:tcBorders>
                  <w:noWrap/>
                  <w:vAlign w:val="center"/>
                </w:tcPr>
                <w:p w14:paraId="63F51CD7">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VK-30原型机成功首飞</w:t>
                  </w:r>
                </w:p>
              </w:tc>
            </w:tr>
            <w:tr w14:paraId="63F51CDB">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14:paraId="63F51CD9">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1999</w:t>
                  </w:r>
                </w:p>
              </w:tc>
              <w:tc>
                <w:tcPr>
                  <w:tcW w:w="5808" w:type="dxa"/>
                  <w:tcBorders>
                    <w:top w:val="nil"/>
                    <w:left w:val="nil"/>
                    <w:bottom w:val="single" w:color="auto" w:sz="4" w:space="0"/>
                    <w:right w:val="single" w:color="auto" w:sz="4" w:space="0"/>
                  </w:tcBorders>
                  <w:noWrap/>
                  <w:vAlign w:val="center"/>
                </w:tcPr>
                <w:p w14:paraId="63F51CDA">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首架SR20飞机交付</w:t>
                  </w:r>
                </w:p>
              </w:tc>
            </w:tr>
            <w:tr w14:paraId="63F51CDE">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14:paraId="63F51CDC">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2001</w:t>
                  </w:r>
                </w:p>
              </w:tc>
              <w:tc>
                <w:tcPr>
                  <w:tcW w:w="5808" w:type="dxa"/>
                  <w:tcBorders>
                    <w:top w:val="nil"/>
                    <w:left w:val="nil"/>
                    <w:bottom w:val="single" w:color="auto" w:sz="4" w:space="0"/>
                    <w:right w:val="single" w:color="auto" w:sz="4" w:space="0"/>
                  </w:tcBorders>
                  <w:noWrap/>
                  <w:vAlign w:val="center"/>
                </w:tcPr>
                <w:p w14:paraId="63F51CDD">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首架SR22飞机交付</w:t>
                  </w:r>
                </w:p>
              </w:tc>
            </w:tr>
            <w:tr w14:paraId="63F51CE1">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14:paraId="63F51CDF">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2004-2006</w:t>
                  </w:r>
                </w:p>
              </w:tc>
              <w:tc>
                <w:tcPr>
                  <w:tcW w:w="5808" w:type="dxa"/>
                  <w:tcBorders>
                    <w:top w:val="nil"/>
                    <w:left w:val="nil"/>
                    <w:bottom w:val="single" w:color="auto" w:sz="4" w:space="0"/>
                    <w:right w:val="single" w:color="auto" w:sz="4" w:space="0"/>
                  </w:tcBorders>
                  <w:noWrap/>
                  <w:vAlign w:val="center"/>
                </w:tcPr>
                <w:p w14:paraId="63F51CE0">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推出SR2X第二代机型；SR22TN首次交付</w:t>
                  </w:r>
                </w:p>
              </w:tc>
            </w:tr>
            <w:tr w14:paraId="63F51CE4">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14:paraId="63F51CE2">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2007-2010</w:t>
                  </w:r>
                </w:p>
              </w:tc>
              <w:tc>
                <w:tcPr>
                  <w:tcW w:w="5808" w:type="dxa"/>
                  <w:tcBorders>
                    <w:top w:val="nil"/>
                    <w:left w:val="nil"/>
                    <w:bottom w:val="single" w:color="auto" w:sz="4" w:space="0"/>
                    <w:right w:val="single" w:color="auto" w:sz="4" w:space="0"/>
                  </w:tcBorders>
                  <w:noWrap/>
                  <w:vAlign w:val="center"/>
                </w:tcPr>
                <w:p w14:paraId="63F51CE3">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推出SR2X第三代机型；SR22T首次交付</w:t>
                  </w:r>
                </w:p>
              </w:tc>
            </w:tr>
            <w:tr w14:paraId="63F51CE7">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14:paraId="63F51CE5">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2013</w:t>
                  </w:r>
                </w:p>
              </w:tc>
              <w:tc>
                <w:tcPr>
                  <w:tcW w:w="5808" w:type="dxa"/>
                  <w:tcBorders>
                    <w:top w:val="nil"/>
                    <w:left w:val="nil"/>
                    <w:bottom w:val="single" w:color="auto" w:sz="4" w:space="0"/>
                    <w:right w:val="single" w:color="auto" w:sz="4" w:space="0"/>
                  </w:tcBorders>
                  <w:noWrap/>
                  <w:vAlign w:val="center"/>
                </w:tcPr>
                <w:p w14:paraId="63F51CE6">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推出SR2X第五代机型</w:t>
                  </w:r>
                </w:p>
              </w:tc>
            </w:tr>
            <w:tr w14:paraId="63F51CEA">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14:paraId="63F51CE8">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2016</w:t>
                  </w:r>
                </w:p>
              </w:tc>
              <w:tc>
                <w:tcPr>
                  <w:tcW w:w="5808" w:type="dxa"/>
                  <w:tcBorders>
                    <w:top w:val="nil"/>
                    <w:left w:val="nil"/>
                    <w:bottom w:val="single" w:color="auto" w:sz="4" w:space="0"/>
                    <w:right w:val="single" w:color="auto" w:sz="4" w:space="0"/>
                  </w:tcBorders>
                  <w:noWrap/>
                  <w:vAlign w:val="center"/>
                </w:tcPr>
                <w:p w14:paraId="63F51CE9">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Vision Jet首次交付</w:t>
                  </w:r>
                </w:p>
              </w:tc>
            </w:tr>
            <w:tr w14:paraId="63F51CED">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14:paraId="63F51CEB">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2017</w:t>
                  </w:r>
                </w:p>
              </w:tc>
              <w:tc>
                <w:tcPr>
                  <w:tcW w:w="5808" w:type="dxa"/>
                  <w:tcBorders>
                    <w:top w:val="nil"/>
                    <w:left w:val="nil"/>
                    <w:bottom w:val="single" w:color="auto" w:sz="4" w:space="0"/>
                    <w:right w:val="single" w:color="auto" w:sz="4" w:space="0"/>
                  </w:tcBorders>
                  <w:noWrap/>
                  <w:vAlign w:val="center"/>
                </w:tcPr>
                <w:p w14:paraId="63F51CEC">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Vision Jet获FAA生产许可证；SR2X第六代发布</w:t>
                  </w:r>
                </w:p>
              </w:tc>
            </w:tr>
            <w:tr w14:paraId="63F51CF0">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14:paraId="63F51CEE">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2019</w:t>
                  </w:r>
                </w:p>
              </w:tc>
              <w:tc>
                <w:tcPr>
                  <w:tcW w:w="5808" w:type="dxa"/>
                  <w:tcBorders>
                    <w:top w:val="nil"/>
                    <w:left w:val="nil"/>
                    <w:bottom w:val="single" w:color="auto" w:sz="4" w:space="0"/>
                    <w:right w:val="single" w:color="auto" w:sz="4" w:space="0"/>
                  </w:tcBorders>
                  <w:noWrap/>
                  <w:vAlign w:val="center"/>
                </w:tcPr>
                <w:p w14:paraId="63F51CEF">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开曼群岛注册；Vision Jet第二代发布</w:t>
                  </w:r>
                </w:p>
              </w:tc>
            </w:tr>
            <w:tr w14:paraId="63F51CF3">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shd w:val="clear" w:color="auto" w:fill="A5C9EB" w:themeFill="text2" w:themeFillTint="40"/>
                  <w:noWrap/>
                  <w:vAlign w:val="center"/>
                </w:tcPr>
                <w:p w14:paraId="63F51CF1">
                  <w:pPr>
                    <w:rPr>
                      <w:rFonts w:hint="eastAsia" w:ascii="楷体" w:hAnsi="楷体" w:eastAsia="楷体" w:cs="楷体"/>
                      <w:b/>
                      <w:bCs/>
                      <w:snapToGrid/>
                      <w:color w:val="000000"/>
                      <w:sz w:val="21"/>
                      <w:szCs w:val="21"/>
                    </w:rPr>
                  </w:pPr>
                  <w:r>
                    <w:rPr>
                      <w:rFonts w:hint="eastAsia" w:ascii="楷体" w:hAnsi="楷体" w:eastAsia="楷体" w:cs="楷体"/>
                      <w:b/>
                      <w:bCs/>
                      <w:snapToGrid/>
                      <w:color w:val="000000"/>
                      <w:sz w:val="21"/>
                      <w:szCs w:val="21"/>
                    </w:rPr>
                    <w:t>2024</w:t>
                  </w:r>
                </w:p>
              </w:tc>
              <w:tc>
                <w:tcPr>
                  <w:tcW w:w="5808" w:type="dxa"/>
                  <w:tcBorders>
                    <w:top w:val="nil"/>
                    <w:left w:val="nil"/>
                    <w:bottom w:val="single" w:color="auto" w:sz="4" w:space="0"/>
                    <w:right w:val="single" w:color="auto" w:sz="4" w:space="0"/>
                  </w:tcBorders>
                  <w:shd w:val="clear" w:color="auto" w:fill="A5C9EB" w:themeFill="text2" w:themeFillTint="40"/>
                  <w:noWrap/>
                  <w:vAlign w:val="center"/>
                </w:tcPr>
                <w:p w14:paraId="63F51CF2">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在香港联合交易所上市</w:t>
                  </w:r>
                </w:p>
              </w:tc>
            </w:tr>
          </w:tbl>
          <w:p w14:paraId="63F51CF4">
            <w:pPr>
              <w:spacing w:before="48" w:beforeLines="20" w:after="48" w:afterLines="20"/>
              <w:jc w:val="center"/>
              <w:textAlignment w:val="center"/>
              <w:rPr>
                <w:rFonts w:hint="eastAsia" w:ascii="楷体" w:hAnsi="楷体" w:eastAsia="楷体" w:cs="楷体"/>
                <w:b/>
                <w:bCs/>
                <w:sz w:val="22"/>
                <w:szCs w:val="22"/>
              </w:rPr>
            </w:pPr>
          </w:p>
        </w:tc>
      </w:tr>
      <w:tr w14:paraId="63F51CF7">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63F51CF6">
            <w:pPr>
              <w:spacing w:line="240" w:lineRule="atLeast"/>
              <w:jc w:val="both"/>
              <w:textAlignment w:val="center"/>
              <w:rPr>
                <w:rFonts w:hint="eastAsia" w:ascii="楷体" w:hAnsi="楷体" w:eastAsia="楷体" w:cs="楷体"/>
                <w:sz w:val="22"/>
                <w:szCs w:val="22"/>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p w14:paraId="63F51CF8">
      <w:pPr>
        <w:rPr>
          <w:rFonts w:cs="Calibri" w:eastAsiaTheme="minorEastAsia"/>
          <w:sz w:val="22"/>
          <w:szCs w:val="22"/>
        </w:rPr>
      </w:pPr>
    </w:p>
    <w:p w14:paraId="63F51CF9">
      <w:pPr>
        <w:pStyle w:val="77"/>
        <w:jc w:val="both"/>
        <w:rPr>
          <w:rFonts w:hint="eastAsia" w:ascii="楷体" w:hAnsi="楷体" w:eastAsia="楷体" w:cs="楷体"/>
          <w:color w:val="23558C"/>
          <w:sz w:val="24"/>
          <w:szCs w:val="24"/>
        </w:rPr>
      </w:pPr>
      <w:bookmarkStart w:id="2" w:name="_Toc219028016"/>
      <w:r>
        <w:rPr>
          <w:rFonts w:hint="eastAsia" w:ascii="楷体" w:hAnsi="楷体" w:eastAsia="楷体" w:cs="楷体"/>
          <w:color w:val="23558C"/>
          <w:sz w:val="24"/>
          <w:szCs w:val="24"/>
        </w:rPr>
        <w:t>1.2 股权结构与管理层情况</w:t>
      </w:r>
      <w:bookmarkEnd w:id="2"/>
    </w:p>
    <w:p w14:paraId="63F51CFA">
      <w:pPr>
        <w:widowControl w:val="0"/>
        <w:jc w:val="both"/>
        <w:rPr>
          <w:rFonts w:hint="eastAsia" w:ascii="楷体" w:hAnsi="楷体" w:eastAsia="楷体" w:cs="楷体"/>
          <w:kern w:val="2"/>
          <w:sz w:val="22"/>
          <w:szCs w:val="22"/>
        </w:rPr>
      </w:pPr>
      <w:r>
        <w:rPr>
          <w:rFonts w:hint="eastAsia" w:ascii="楷体" w:hAnsi="楷体" w:eastAsia="楷体" w:cs="楷体"/>
          <w:b/>
          <w:bCs/>
          <w:kern w:val="2"/>
          <w:sz w:val="22"/>
          <w:szCs w:val="22"/>
        </w:rPr>
        <w:t>西锐的最终控股大股东是中国航空工业集团公司（AVIC）</w:t>
      </w:r>
      <w:r>
        <w:rPr>
          <w:rFonts w:hint="eastAsia" w:ascii="楷体" w:hAnsi="楷体" w:eastAsia="楷体" w:cs="楷体"/>
          <w:kern w:val="2"/>
          <w:sz w:val="22"/>
          <w:szCs w:val="22"/>
        </w:rPr>
        <w:t>。</w:t>
      </w:r>
      <w:r>
        <w:rPr>
          <w:rFonts w:ascii="楷体" w:hAnsi="楷体" w:eastAsia="楷体" w:cs="楷体"/>
          <w:kern w:val="2"/>
          <w:sz w:val="22"/>
          <w:szCs w:val="22"/>
        </w:rPr>
        <w:t>AVIC</w:t>
      </w:r>
      <w:r>
        <w:rPr>
          <w:rFonts w:hint="eastAsia" w:ascii="楷体" w:hAnsi="楷体" w:eastAsia="楷体" w:cs="楷体"/>
          <w:kern w:val="2"/>
          <w:sz w:val="22"/>
          <w:szCs w:val="22"/>
        </w:rPr>
        <w:t>通过持有</w:t>
      </w:r>
      <w:r>
        <w:rPr>
          <w:rFonts w:ascii="楷体" w:hAnsi="楷体" w:eastAsia="楷体" w:cs="楷体"/>
          <w:kern w:val="2"/>
          <w:sz w:val="22"/>
          <w:szCs w:val="22"/>
        </w:rPr>
        <w:t xml:space="preserve"> AVIC</w:t>
      </w:r>
      <w:r>
        <w:rPr>
          <w:rFonts w:hint="eastAsia" w:ascii="楷体" w:hAnsi="楷体" w:eastAsia="楷体" w:cs="楷体"/>
          <w:kern w:val="2"/>
          <w:sz w:val="22"/>
          <w:szCs w:val="22"/>
        </w:rPr>
        <w:t>通用航空</w:t>
      </w:r>
      <w:r>
        <w:rPr>
          <w:rFonts w:ascii="楷体" w:hAnsi="楷体" w:eastAsia="楷体" w:cs="楷体"/>
          <w:kern w:val="2"/>
          <w:sz w:val="22"/>
          <w:szCs w:val="22"/>
        </w:rPr>
        <w:t xml:space="preserve"> 73.39% </w:t>
      </w:r>
      <w:r>
        <w:rPr>
          <w:rFonts w:hint="eastAsia" w:ascii="楷体" w:hAnsi="楷体" w:eastAsia="楷体" w:cs="楷体"/>
          <w:kern w:val="2"/>
          <w:sz w:val="22"/>
          <w:szCs w:val="22"/>
        </w:rPr>
        <w:t>的股权，间接持有中航通飞香港，</w:t>
      </w:r>
      <w:r>
        <w:rPr>
          <w:rFonts w:ascii="楷体" w:hAnsi="楷体" w:eastAsia="楷体" w:cs="楷体"/>
          <w:kern w:val="2"/>
          <w:sz w:val="22"/>
          <w:szCs w:val="22"/>
        </w:rPr>
        <w:t>AVIC</w:t>
      </w:r>
      <w:r>
        <w:rPr>
          <w:rFonts w:hint="eastAsia" w:ascii="楷体" w:hAnsi="楷体" w:eastAsia="楷体" w:cs="楷体"/>
          <w:kern w:val="2"/>
          <w:sz w:val="22"/>
          <w:szCs w:val="22"/>
        </w:rPr>
        <w:t>通用航空香港有限公司作为西锐飞机的直接控股股东（持股80%）。因此通过股权穿透，AVIC持有西锐58.71%</w:t>
      </w:r>
      <w:r>
        <w:rPr>
          <w:rFonts w:ascii="楷体" w:hAnsi="楷体" w:eastAsia="楷体" w:cs="楷体"/>
          <w:kern w:val="2"/>
          <w:sz w:val="22"/>
          <w:szCs w:val="22"/>
        </w:rPr>
        <w:t>%</w:t>
      </w:r>
      <w:r>
        <w:rPr>
          <w:rFonts w:hint="eastAsia" w:ascii="楷体" w:hAnsi="楷体" w:eastAsia="楷体" w:cs="楷体"/>
          <w:kern w:val="2"/>
          <w:sz w:val="22"/>
          <w:szCs w:val="22"/>
        </w:rPr>
        <w:t>已发行股份。</w:t>
      </w:r>
    </w:p>
    <w:p w14:paraId="52F59BA5">
      <w:pPr>
        <w:widowControl w:val="0"/>
        <w:jc w:val="both"/>
        <w:rPr>
          <w:rFonts w:hint="eastAsia" w:ascii="楷体" w:hAnsi="楷体" w:eastAsia="楷体" w:cs="楷体"/>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63F51CFC">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63F51CFB">
            <w:pPr>
              <w:spacing w:before="48" w:beforeLines="20" w:after="48" w:afterLines="20"/>
              <w:jc w:val="both"/>
              <w:textAlignment w:val="center"/>
              <w:rPr>
                <w:rFonts w:cs="Calibri"/>
                <w:sz w:val="20"/>
                <w:szCs w:val="20"/>
              </w:rPr>
            </w:pPr>
            <w:bookmarkStart w:id="3" w:name="_Hlk216641008"/>
            <w:r>
              <w:rPr>
                <w:rFonts w:hint="eastAsia" w:ascii="楷体" w:hAnsi="楷体" w:eastAsia="楷体" w:cs="楷体"/>
                <w:b/>
                <w:bCs/>
                <w:kern w:val="2"/>
                <w:sz w:val="20"/>
                <w:szCs w:val="20"/>
              </w:rPr>
              <w:t>图:西锐公司的股权结构</w:t>
            </w:r>
          </w:p>
        </w:tc>
      </w:tr>
      <w:tr w14:paraId="63F51CFE">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63F51CFD">
            <w:pPr>
              <w:spacing w:before="48" w:beforeLines="20" w:after="48" w:afterLines="20"/>
              <w:jc w:val="center"/>
              <w:textAlignment w:val="center"/>
              <w:rPr>
                <w:rFonts w:eastAsia="宋体" w:cs="Calibri"/>
                <w:b/>
                <w:bCs/>
                <w:sz w:val="20"/>
                <w:szCs w:val="20"/>
              </w:rPr>
            </w:pPr>
            <w:r>
              <w:rPr>
                <w:snapToGrid/>
              </w:rPr>
              <w:drawing>
                <wp:inline distT="0" distB="0" distL="0" distR="0">
                  <wp:extent cx="4603750" cy="2258060"/>
                  <wp:effectExtent l="0" t="0" r="6350" b="889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20"/>
                          <a:stretch>
                            <a:fillRect/>
                          </a:stretch>
                        </pic:blipFill>
                        <pic:spPr>
                          <a:xfrm>
                            <a:off x="0" y="0"/>
                            <a:ext cx="4603750" cy="2258060"/>
                          </a:xfrm>
                          <a:prstGeom prst="rect">
                            <a:avLst/>
                          </a:prstGeom>
                        </pic:spPr>
                      </pic:pic>
                    </a:graphicData>
                  </a:graphic>
                </wp:inline>
              </w:drawing>
            </w:r>
          </w:p>
        </w:tc>
      </w:tr>
      <w:tr w14:paraId="63F51D00">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63F51CFF">
            <w:pPr>
              <w:spacing w:line="240" w:lineRule="atLeast"/>
              <w:jc w:val="both"/>
              <w:textAlignment w:val="center"/>
              <w:rPr>
                <w:rFonts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bookmarkEnd w:id="3"/>
    </w:tbl>
    <w:p w14:paraId="63F51D01">
      <w:pPr>
        <w:widowControl w:val="0"/>
        <w:jc w:val="both"/>
        <w:rPr>
          <w:rFonts w:hint="eastAsia" w:eastAsia="楷体" w:asciiTheme="minorHAnsi" w:hAnsiTheme="minorHAnsi" w:cstheme="minorHAnsi"/>
          <w:kern w:val="2"/>
          <w:sz w:val="22"/>
          <w:szCs w:val="22"/>
        </w:rPr>
      </w:pPr>
    </w:p>
    <w:p w14:paraId="63F51D02">
      <w:pPr>
        <w:widowControl w:val="0"/>
        <w:jc w:val="both"/>
        <w:rPr>
          <w:rFonts w:hint="eastAsia" w:ascii="楷体" w:hAnsi="楷体" w:eastAsia="楷体" w:cs="楷体"/>
          <w:kern w:val="2"/>
          <w:sz w:val="22"/>
          <w:szCs w:val="22"/>
        </w:rPr>
      </w:pPr>
      <w:r>
        <w:rPr>
          <w:rFonts w:hint="eastAsia" w:ascii="楷体" w:hAnsi="楷体" w:eastAsia="楷体" w:cs="楷体"/>
          <w:b/>
          <w:bCs/>
          <w:kern w:val="2"/>
          <w:sz w:val="22"/>
          <w:szCs w:val="22"/>
        </w:rPr>
        <w:t>在治理结构方面，公司管理团队保持高度稳定，并采取高度本地化的管理模式。</w:t>
      </w:r>
      <w:r>
        <w:rPr>
          <w:rFonts w:hint="eastAsia" w:ascii="楷体" w:hAnsi="楷体" w:eastAsia="楷体" w:cs="楷体"/>
          <w:kern w:val="2"/>
          <w:sz w:val="22"/>
          <w:szCs w:val="22"/>
        </w:rPr>
        <w:t>Cirrus保留了核心高管和技术人员，美国本土员工本地化率达到100%。美国团队享有充分的决策自主权。这种本土化模式使员工对企业业务高度熟悉，有助于维持企业文化连续性、提升运营效率，有利于公司长期运营发展。</w:t>
      </w:r>
    </w:p>
    <w:p w14:paraId="63F51D03">
      <w:pPr>
        <w:widowControl w:val="0"/>
        <w:jc w:val="both"/>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63F51D05">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63F51D04">
            <w:pPr>
              <w:spacing w:before="48" w:beforeLines="20" w:after="48" w:afterLines="20"/>
              <w:jc w:val="both"/>
              <w:textAlignment w:val="center"/>
              <w:rPr>
                <w:rFonts w:hint="eastAsia" w:ascii="楷体" w:hAnsi="楷体" w:eastAsia="楷体" w:cs="楷体"/>
                <w:sz w:val="20"/>
                <w:szCs w:val="20"/>
              </w:rPr>
            </w:pPr>
            <w:r>
              <w:rPr>
                <w:rFonts w:hint="eastAsia" w:ascii="楷体" w:hAnsi="楷体" w:eastAsia="楷体" w:cs="Calibri"/>
                <w:b/>
                <w:sz w:val="20"/>
                <w:szCs w:val="20"/>
              </w:rPr>
              <w:t>表：集团高级管理人员</w:t>
            </w:r>
          </w:p>
        </w:tc>
      </w:tr>
      <w:tr w14:paraId="63F51D07">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63F51D06">
            <w:pPr>
              <w:spacing w:before="48" w:beforeLines="20" w:after="48" w:afterLines="20"/>
              <w:jc w:val="center"/>
              <w:textAlignment w:val="center"/>
              <w:rPr>
                <w:rFonts w:eastAsia="宋体" w:cs="Calibri"/>
                <w:b/>
                <w:bCs/>
                <w:sz w:val="20"/>
                <w:szCs w:val="20"/>
              </w:rPr>
            </w:pPr>
            <w:r>
              <w:rPr>
                <w:snapToGrid/>
              </w:rPr>
              <w:drawing>
                <wp:inline distT="0" distB="0" distL="0" distR="0">
                  <wp:extent cx="4686935" cy="1374140"/>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1"/>
                          <a:stretch>
                            <a:fillRect/>
                          </a:stretch>
                        </pic:blipFill>
                        <pic:spPr>
                          <a:xfrm>
                            <a:off x="0" y="0"/>
                            <a:ext cx="4692368" cy="1375996"/>
                          </a:xfrm>
                          <a:prstGeom prst="rect">
                            <a:avLst/>
                          </a:prstGeom>
                        </pic:spPr>
                      </pic:pic>
                    </a:graphicData>
                  </a:graphic>
                </wp:inline>
              </w:drawing>
            </w:r>
          </w:p>
        </w:tc>
      </w:tr>
      <w:tr w14:paraId="63F51D09">
        <w:trPr>
          <w:trHeight w:val="64" w:hRule="atLeast"/>
        </w:trPr>
        <w:tc>
          <w:tcPr>
            <w:tcW w:w="7466" w:type="dxa"/>
            <w:tcBorders>
              <w:top w:val="single" w:color="auto" w:sz="4" w:space="0"/>
            </w:tcBorders>
            <w:tcMar>
              <w:left w:w="0" w:type="dxa"/>
              <w:right w:w="28" w:type="dxa"/>
            </w:tcMar>
            <w:vAlign w:val="center"/>
          </w:tcPr>
          <w:p w14:paraId="63F51D08">
            <w:pPr>
              <w:spacing w:line="240" w:lineRule="atLeast"/>
              <w:jc w:val="both"/>
              <w:textAlignment w:val="center"/>
              <w:rPr>
                <w:rFonts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p w14:paraId="63F51D0A">
      <w:pPr>
        <w:widowControl w:val="0"/>
        <w:jc w:val="both"/>
        <w:rPr>
          <w:rFonts w:hint="eastAsia" w:eastAsia="楷体" w:asciiTheme="minorHAnsi" w:hAnsiTheme="minorHAnsi" w:cstheme="minorHAnsi"/>
          <w:kern w:val="2"/>
          <w:sz w:val="22"/>
          <w:szCs w:val="22"/>
        </w:rPr>
      </w:pPr>
    </w:p>
    <w:p w14:paraId="63F51D0B">
      <w:pPr>
        <w:pStyle w:val="77"/>
        <w:jc w:val="both"/>
        <w:rPr>
          <w:rFonts w:hint="eastAsia" w:ascii="楷体" w:hAnsi="楷体" w:eastAsia="楷体" w:cs="楷体"/>
          <w:color w:val="23558C"/>
          <w:sz w:val="24"/>
          <w:szCs w:val="24"/>
        </w:rPr>
      </w:pPr>
      <w:bookmarkStart w:id="4" w:name="_Toc219028017"/>
      <w:r>
        <w:rPr>
          <w:rFonts w:hint="eastAsia" w:ascii="楷体" w:hAnsi="楷体" w:eastAsia="楷体" w:cs="楷体"/>
          <w:color w:val="23558C"/>
          <w:sz w:val="24"/>
          <w:szCs w:val="24"/>
        </w:rPr>
        <w:t>1.3 主营产品</w:t>
      </w:r>
      <w:bookmarkEnd w:id="4"/>
    </w:p>
    <w:p w14:paraId="63F51D0C">
      <w:pPr>
        <w:widowControl w:val="0"/>
        <w:jc w:val="both"/>
        <w:rPr>
          <w:rFonts w:hint="eastAsia" w:ascii="楷体" w:hAnsi="楷体" w:eastAsia="楷体" w:cs="楷体"/>
          <w:kern w:val="2"/>
          <w:sz w:val="22"/>
          <w:szCs w:val="22"/>
        </w:rPr>
      </w:pPr>
      <w:r>
        <w:rPr>
          <w:rFonts w:hint="eastAsia" w:ascii="楷体" w:hAnsi="楷体" w:eastAsia="楷体" w:cs="楷体"/>
          <w:sz w:val="22"/>
          <w:szCs w:val="22"/>
        </w:rPr>
        <w:t>西锐飞机的核心产品主要包括</w:t>
      </w:r>
      <w:r>
        <w:rPr>
          <w:rStyle w:val="22"/>
          <w:rFonts w:hint="eastAsia" w:ascii="楷体" w:hAnsi="楷体" w:eastAsia="楷体" w:cs="楷体"/>
          <w:b w:val="0"/>
          <w:sz w:val="22"/>
          <w:szCs w:val="22"/>
        </w:rPr>
        <w:t>SR2X系列单发活塞飞机</w:t>
      </w:r>
      <w:r>
        <w:rPr>
          <w:rFonts w:hint="eastAsia" w:ascii="楷体" w:hAnsi="楷体" w:eastAsia="楷体" w:cs="楷体"/>
          <w:sz w:val="22"/>
          <w:szCs w:val="22"/>
        </w:rPr>
        <w:t xml:space="preserve"> 以及</w:t>
      </w:r>
      <w:r>
        <w:rPr>
          <w:rStyle w:val="22"/>
          <w:rFonts w:hint="eastAsia" w:ascii="楷体" w:hAnsi="楷体" w:eastAsia="楷体" w:cs="楷体"/>
          <w:b w:val="0"/>
          <w:sz w:val="22"/>
          <w:szCs w:val="22"/>
        </w:rPr>
        <w:t>愿景喷气机</w:t>
      </w:r>
      <w:r>
        <w:rPr>
          <w:rFonts w:hint="eastAsia" w:ascii="楷体" w:hAnsi="楷体" w:eastAsia="楷体" w:cs="楷体"/>
          <w:sz w:val="22"/>
          <w:szCs w:val="22"/>
        </w:rPr>
        <w:t>两大产品线。</w:t>
      </w:r>
    </w:p>
    <w:p w14:paraId="5DEFDA49">
      <w:pPr>
        <w:widowControl w:val="0"/>
        <w:numPr>
          <w:ilvl w:val="0"/>
          <w:numId w:val="12"/>
        </w:numPr>
        <w:jc w:val="both"/>
        <w:rPr>
          <w:rFonts w:hint="eastAsia" w:ascii="楷体" w:hAnsi="楷体" w:eastAsia="楷体" w:cs="楷体"/>
          <w:kern w:val="2"/>
          <w:sz w:val="22"/>
          <w:szCs w:val="22"/>
        </w:rPr>
      </w:pPr>
      <w:r>
        <w:rPr>
          <w:rFonts w:hint="eastAsia" w:ascii="楷体" w:hAnsi="楷体" w:eastAsia="楷体" w:cs="楷体"/>
          <w:b/>
          <w:bCs/>
          <w:kern w:val="2"/>
          <w:sz w:val="22"/>
          <w:szCs w:val="22"/>
        </w:rPr>
        <w:t>SR2X系列</w:t>
      </w:r>
      <w:r>
        <w:rPr>
          <w:rFonts w:hint="eastAsia" w:ascii="楷体" w:hAnsi="楷体" w:eastAsia="楷体" w:cs="楷体"/>
          <w:kern w:val="2"/>
          <w:sz w:val="22"/>
          <w:szCs w:val="22"/>
        </w:rPr>
        <w:t>：主要为SR20、SR22和SR22T三款机型。该系列定位为入门级单引擎活塞式飞机，适用于私人飞行和飞行训练等多种用途。各型号单价从60万美元到100万美元以上不等。</w:t>
      </w:r>
    </w:p>
    <w:p w14:paraId="31E5289E">
      <w:pPr>
        <w:widowControl w:val="0"/>
        <w:numPr>
          <w:ilvl w:val="0"/>
          <w:numId w:val="12"/>
        </w:numPr>
        <w:jc w:val="both"/>
        <w:rPr>
          <w:rFonts w:hint="eastAsia" w:ascii="微软雅黑" w:hAnsi="微软雅黑" w:eastAsia="微软雅黑" w:cs="微软雅黑"/>
          <w:kern w:val="2"/>
          <w:sz w:val="20"/>
          <w:szCs w:val="20"/>
        </w:rPr>
      </w:pPr>
      <w:r>
        <w:rPr>
          <w:rStyle w:val="22"/>
          <w:rFonts w:hint="eastAsia" w:ascii="楷体" w:hAnsi="楷体" w:eastAsia="楷体" w:cs="楷体"/>
          <w:bCs/>
          <w:sz w:val="22"/>
          <w:szCs w:val="22"/>
        </w:rPr>
        <w:t>愿景喷气机：</w:t>
      </w:r>
      <w:r>
        <w:rPr>
          <w:rFonts w:hint="eastAsia" w:ascii="楷体" w:hAnsi="楷体" w:eastAsia="楷体" w:cs="楷体"/>
          <w:kern w:val="2"/>
          <w:sz w:val="22"/>
          <w:szCs w:val="22"/>
        </w:rPr>
        <w:t>为公司高端产品线。是全球首款获得美国联邦航空管理局（FAA）认证的单引擎喷气式飞机，该机型主要面向高端私人航空市场。</w:t>
      </w:r>
    </w:p>
    <w:p w14:paraId="1848074A">
      <w:pPr>
        <w:widowControl w:val="0"/>
        <w:tabs>
          <w:tab w:val="left" w:pos="720"/>
        </w:tabs>
        <w:jc w:val="both"/>
        <w:rPr>
          <w:rFonts w:hint="eastAsia" w:ascii="微软雅黑" w:hAnsi="微软雅黑" w:eastAsia="微软雅黑" w:cs="微软雅黑"/>
          <w:kern w:val="2"/>
          <w:sz w:val="20"/>
          <w:szCs w:val="20"/>
        </w:rPr>
      </w:pPr>
    </w:p>
    <w:tbl>
      <w:tblPr>
        <w:tblStyle w:val="20"/>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14:paraId="63F51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206" w:type="dxa"/>
            <w:tcBorders>
              <w:bottom w:val="single" w:color="023F97" w:sz="4" w:space="0"/>
            </w:tcBorders>
          </w:tcPr>
          <w:p w14:paraId="63F51D0F">
            <w:pPr>
              <w:pStyle w:val="74"/>
              <w:keepNext/>
              <w:numPr>
                <w:ilvl w:val="0"/>
                <w:numId w:val="0"/>
              </w:numPr>
              <w:rPr>
                <w:rFonts w:hint="eastAsia" w:ascii="楷体" w:hAnsi="楷体" w:eastAsia="楷体"/>
              </w:rPr>
            </w:pPr>
            <w:r>
              <w:rPr>
                <w:rFonts w:hint="eastAsia" w:ascii="楷体" w:hAnsi="楷体" w:eastAsia="楷体" w:cs="Calibri"/>
                <w:bCs w:val="0"/>
                <w:snapToGrid w:val="0"/>
                <w:sz w:val="20"/>
                <w:szCs w:val="20"/>
              </w:rPr>
              <w:t>图：西锐飞机主要产品</w:t>
            </w:r>
          </w:p>
        </w:tc>
      </w:tr>
      <w:tr w14:paraId="63F51D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5" w:hRule="atLeast"/>
        </w:trPr>
        <w:tc>
          <w:tcPr>
            <w:tcW w:w="10206" w:type="dxa"/>
            <w:tcBorders>
              <w:top w:val="single" w:color="023F97" w:sz="4" w:space="0"/>
              <w:bottom w:val="single" w:color="023F97" w:sz="4" w:space="0"/>
            </w:tcBorders>
            <w:vAlign w:val="center"/>
          </w:tcPr>
          <w:p w14:paraId="63F51D11">
            <w:pPr>
              <w:pStyle w:val="75"/>
              <w:keepNext/>
              <w:jc w:val="center"/>
              <w:rPr>
                <w:rFonts w:hint="eastAsia" w:ascii="等线" w:hAnsi="等线"/>
              </w:rPr>
            </w:pPr>
            <w:r>
              <w:rPr>
                <w:rFonts w:ascii="等线" w:hAnsi="等线"/>
              </w:rPr>
              <w:drawing>
                <wp:inline distT="0" distB="0" distL="0" distR="0">
                  <wp:extent cx="6343650" cy="4146550"/>
                  <wp:effectExtent l="0" t="0" r="0" b="635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22"/>
                          <a:stretch>
                            <a:fillRect/>
                          </a:stretch>
                        </pic:blipFill>
                        <pic:spPr>
                          <a:xfrm>
                            <a:off x="0" y="0"/>
                            <a:ext cx="6343650" cy="4146550"/>
                          </a:xfrm>
                          <a:prstGeom prst="rect">
                            <a:avLst/>
                          </a:prstGeom>
                          <a:noFill/>
                          <a:ln w="9525">
                            <a:noFill/>
                          </a:ln>
                        </pic:spPr>
                      </pic:pic>
                    </a:graphicData>
                  </a:graphic>
                </wp:inline>
              </w:drawing>
            </w:r>
          </w:p>
        </w:tc>
      </w:tr>
      <w:tr w14:paraId="63F51D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single" w:color="023F97" w:sz="4" w:space="0"/>
            </w:tcBorders>
          </w:tcPr>
          <w:p w14:paraId="63F51D13">
            <w:pPr>
              <w:pStyle w:val="76"/>
              <w:rPr>
                <w:rFonts w:hint="eastAsia" w:ascii="等线" w:hAnsi="等线"/>
              </w:rPr>
            </w:pPr>
            <w:r>
              <w:rPr>
                <w:rFonts w:hint="eastAsia" w:ascii="楷体" w:hAnsi="楷体" w:eastAsia="楷体" w:cs="楷体"/>
                <w:b/>
                <w:bCs/>
                <w:sz w:val="20"/>
                <w:szCs w:val="20"/>
              </w:rPr>
              <w:t>资料来源：</w:t>
            </w:r>
            <w:r>
              <w:rPr>
                <w:rFonts w:hint="eastAsia" w:ascii="楷体" w:hAnsi="楷体" w:eastAsia="楷体" w:cs="楷体"/>
                <w:sz w:val="20"/>
                <w:szCs w:val="20"/>
              </w:rPr>
              <w:t>公司公告、HFI</w:t>
            </w:r>
          </w:p>
        </w:tc>
      </w:tr>
    </w:tbl>
    <w:p w14:paraId="63F51D15">
      <w:pPr>
        <w:widowControl w:val="0"/>
        <w:jc w:val="both"/>
        <w:rPr>
          <w:rFonts w:eastAsia="楷体" w:cs="Calibri"/>
          <w:kern w:val="2"/>
          <w:sz w:val="22"/>
          <w:szCs w:val="22"/>
        </w:rPr>
      </w:pPr>
    </w:p>
    <w:p w14:paraId="63F51D16">
      <w:pPr>
        <w:pStyle w:val="77"/>
        <w:jc w:val="both"/>
        <w:rPr>
          <w:rFonts w:hint="eastAsia" w:ascii="楷体" w:hAnsi="楷体" w:eastAsia="楷体" w:cs="楷体"/>
          <w:color w:val="23558C"/>
          <w:sz w:val="24"/>
          <w:szCs w:val="24"/>
        </w:rPr>
      </w:pPr>
      <w:bookmarkStart w:id="5" w:name="_Toc219028018"/>
      <w:r>
        <w:rPr>
          <w:rFonts w:hint="eastAsia" w:ascii="楷体" w:hAnsi="楷体" w:eastAsia="楷体" w:cs="楷体"/>
          <w:color w:val="23558C"/>
          <w:sz w:val="24"/>
          <w:szCs w:val="24"/>
        </w:rPr>
        <w:t>1.4 财务表现</w:t>
      </w:r>
      <w:bookmarkEnd w:id="5"/>
    </w:p>
    <w:p w14:paraId="63F51D17">
      <w:pPr>
        <w:widowControl w:val="0"/>
        <w:jc w:val="both"/>
        <w:rPr>
          <w:rFonts w:hint="eastAsia" w:ascii="楷体" w:hAnsi="楷体" w:eastAsia="楷体" w:cs="楷体"/>
          <w:kern w:val="2"/>
          <w:sz w:val="22"/>
          <w:szCs w:val="22"/>
        </w:rPr>
      </w:pPr>
      <w:r>
        <w:rPr>
          <w:rFonts w:hint="eastAsia" w:ascii="楷体" w:hAnsi="楷体" w:eastAsia="楷体" w:cs="楷体"/>
          <w:b/>
          <w:bCs/>
          <w:kern w:val="2"/>
          <w:sz w:val="22"/>
          <w:szCs w:val="22"/>
        </w:rPr>
        <w:t>2020-2024年公司收入呈现较强劲的增长。</w:t>
      </w:r>
      <w:r>
        <w:rPr>
          <w:rFonts w:hint="eastAsia" w:ascii="楷体" w:hAnsi="楷体" w:eastAsia="楷体" w:cs="楷体"/>
          <w:kern w:val="2"/>
          <w:sz w:val="22"/>
          <w:szCs w:val="22"/>
        </w:rPr>
        <w:t>其总营收从2020年的5.87亿美元提升至2024年的11.97亿美元，4年CAGR达19.4%。具体来看，2021年得益于航空需求回暖，增速达到26.2%；2022-2023年受供应链中断影响，增速放缓至约20%；2024年通过优化产品结构，公司收入实现同比增长12.1%，较前一年有所放缓。</w:t>
      </w:r>
    </w:p>
    <w:p w14:paraId="63F51D18">
      <w:pPr>
        <w:widowControl w:val="0"/>
        <w:jc w:val="both"/>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63F51D1A">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63F51D19">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图：西锐飞机营收及增长率（单位：百万美元）</w:t>
            </w:r>
          </w:p>
        </w:tc>
      </w:tr>
      <w:tr w14:paraId="63F51D1C">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63F51D1B">
            <w:pPr>
              <w:spacing w:before="48" w:beforeLines="20" w:after="48" w:afterLines="20"/>
              <w:jc w:val="center"/>
              <w:textAlignment w:val="center"/>
              <w:rPr>
                <w:rFonts w:eastAsia="宋体" w:cs="Calibri"/>
                <w:b/>
                <w:bCs/>
                <w:sz w:val="20"/>
                <w:szCs w:val="20"/>
              </w:rPr>
            </w:pPr>
            <w:r>
              <w:drawing>
                <wp:inline distT="0" distB="0" distL="114300" distR="114300">
                  <wp:extent cx="3844925" cy="2260600"/>
                  <wp:effectExtent l="0" t="0" r="0" b="0"/>
                  <wp:docPr id="6" name="图表 11"/>
                  <wp:cNvGraphicFramePr/>
                  <a:graphic xmlns:a="http://schemas.openxmlformats.org/drawingml/2006/main">
                    <a:graphicData uri="http://schemas.openxmlformats.org/drawingml/2006/chart">
                      <c:chart xmlns:c="http://schemas.openxmlformats.org/drawingml/2006/chart" r:id="rId74"/>
                    </a:graphicData>
                  </a:graphic>
                </wp:inline>
              </w:drawing>
            </w:r>
          </w:p>
        </w:tc>
      </w:tr>
      <w:tr w14:paraId="63F51D1E">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63F51D1D">
            <w:pPr>
              <w:spacing w:line="240" w:lineRule="atLeast"/>
              <w:jc w:val="both"/>
              <w:textAlignment w:val="center"/>
              <w:rPr>
                <w:rFonts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p w14:paraId="63F51D1F">
      <w:pPr>
        <w:rPr>
          <w:rFonts w:cs="Calibri" w:eastAsiaTheme="minorEastAsia"/>
          <w:sz w:val="22"/>
          <w:szCs w:val="22"/>
        </w:rPr>
      </w:pPr>
    </w:p>
    <w:p w14:paraId="63F51D20">
      <w:pPr>
        <w:widowControl w:val="0"/>
        <w:jc w:val="both"/>
        <w:rPr>
          <w:rFonts w:hint="eastAsia" w:ascii="楷体" w:hAnsi="楷体" w:eastAsia="楷体" w:cs="楷体"/>
          <w:kern w:val="2"/>
          <w:sz w:val="22"/>
          <w:szCs w:val="22"/>
        </w:rPr>
      </w:pPr>
      <w:bookmarkStart w:id="6" w:name="_Hlk216641762"/>
      <w:r>
        <w:rPr>
          <w:rFonts w:hint="eastAsia" w:ascii="楷体" w:hAnsi="楷体" w:eastAsia="楷体" w:cs="楷体"/>
          <w:b/>
          <w:bCs/>
          <w:kern w:val="2"/>
          <w:sz w:val="22"/>
          <w:szCs w:val="22"/>
        </w:rPr>
        <w:t>在业务结构方面</w:t>
      </w:r>
      <w:r>
        <w:rPr>
          <w:rFonts w:hint="eastAsia" w:ascii="楷体" w:hAnsi="楷体" w:eastAsia="楷体" w:cs="楷体"/>
          <w:kern w:val="2"/>
          <w:sz w:val="22"/>
          <w:szCs w:val="22"/>
        </w:rPr>
        <w:t>，飞机制造业务始终占据主导地位，其营收占比从2020年的83.3%小幅上升至2024年的85.5%；服务业务的占比从16.7%降至14.5%（但收入绝对值增长了13.8%）。</w:t>
      </w:r>
    </w:p>
    <w:bookmarkEnd w:id="6"/>
    <w:p w14:paraId="3A3D2E1F">
      <w:pPr>
        <w:widowControl w:val="0"/>
        <w:jc w:val="both"/>
        <w:rPr>
          <w:rFonts w:eastAsia="楷体" w:cs="Calibri"/>
          <w:kern w:val="2"/>
          <w:sz w:val="22"/>
          <w:szCs w:val="22"/>
        </w:rPr>
      </w:pPr>
      <w:bookmarkStart w:id="7" w:name="_Hlk216642019"/>
    </w:p>
    <w:tbl>
      <w:tblPr>
        <w:tblStyle w:val="19"/>
        <w:tblW w:w="7466" w:type="dxa"/>
        <w:tblInd w:w="0" w:type="dxa"/>
        <w:tblLayout w:type="fixed"/>
        <w:tblCellMar>
          <w:top w:w="0" w:type="dxa"/>
          <w:left w:w="108" w:type="dxa"/>
          <w:bottom w:w="0" w:type="dxa"/>
          <w:right w:w="108" w:type="dxa"/>
        </w:tblCellMar>
      </w:tblPr>
      <w:tblGrid>
        <w:gridCol w:w="7466"/>
      </w:tblGrid>
      <w:tr w14:paraId="3EAFAA5A">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581F2A89">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图：西锐飞机业务板块收入及增长率（百万美元）</w:t>
            </w:r>
          </w:p>
        </w:tc>
      </w:tr>
      <w:tr w14:paraId="1BAB6885">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74271DB4">
            <w:pPr>
              <w:spacing w:before="48" w:beforeLines="20" w:after="48" w:afterLines="20"/>
              <w:jc w:val="center"/>
              <w:textAlignment w:val="center"/>
              <w:rPr>
                <w:rFonts w:eastAsia="宋体" w:cs="Calibri"/>
                <w:b/>
                <w:bCs/>
                <w:sz w:val="20"/>
                <w:szCs w:val="20"/>
              </w:rPr>
            </w:pPr>
            <w:r>
              <w:rPr>
                <w:snapToGrid/>
                <w:sz w:val="20"/>
                <w:szCs w:val="20"/>
              </w:rPr>
              <w:drawing>
                <wp:inline distT="0" distB="0" distL="0" distR="0">
                  <wp:extent cx="4035425" cy="2677795"/>
                  <wp:effectExtent l="0" t="0" r="3175" b="0"/>
                  <wp:docPr id="7" name="图表 1"/>
                  <wp:cNvGraphicFramePr/>
                  <a:graphic xmlns:a="http://schemas.openxmlformats.org/drawingml/2006/main">
                    <a:graphicData uri="http://schemas.openxmlformats.org/drawingml/2006/chart">
                      <c:chart xmlns:c="http://schemas.openxmlformats.org/drawingml/2006/chart" r:id="rId75"/>
                    </a:graphicData>
                  </a:graphic>
                </wp:inline>
              </w:drawing>
            </w:r>
          </w:p>
        </w:tc>
      </w:tr>
      <w:tr w14:paraId="2E9B3C24">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19D57FF9">
            <w:pPr>
              <w:spacing w:line="240" w:lineRule="atLeast"/>
              <w:jc w:val="both"/>
              <w:textAlignment w:val="center"/>
              <w:rPr>
                <w:rFonts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p w14:paraId="145EEBE6">
      <w:pPr>
        <w:widowControl w:val="0"/>
        <w:jc w:val="both"/>
        <w:rPr>
          <w:rFonts w:eastAsia="楷体" w:cs="Calibri"/>
          <w:kern w:val="2"/>
          <w:sz w:val="22"/>
          <w:szCs w:val="22"/>
        </w:rPr>
      </w:pPr>
    </w:p>
    <w:p w14:paraId="44096565">
      <w:pPr>
        <w:pStyle w:val="37"/>
        <w:numPr>
          <w:ilvl w:val="0"/>
          <w:numId w:val="14"/>
        </w:numPr>
        <w:rPr>
          <w:rFonts w:eastAsia="楷体" w:cs="Calibri"/>
          <w:kern w:val="2"/>
          <w:sz w:val="22"/>
          <w:szCs w:val="22"/>
        </w:rPr>
      </w:pPr>
      <w:r>
        <w:rPr>
          <w:rFonts w:hint="eastAsia" w:eastAsia="楷体" w:cs="Calibri"/>
          <w:b/>
          <w:bCs/>
          <w:kern w:val="2"/>
          <w:sz w:val="22"/>
          <w:szCs w:val="22"/>
        </w:rPr>
        <w:t>飞机业务方面：</w:t>
      </w:r>
      <w:r>
        <w:rPr>
          <w:rFonts w:hint="eastAsia" w:eastAsia="楷体" w:cs="Calibri"/>
          <w:kern w:val="2"/>
          <w:sz w:val="22"/>
          <w:szCs w:val="22"/>
        </w:rPr>
        <w:t>从</w:t>
      </w:r>
      <w:r>
        <w:rPr>
          <w:rFonts w:eastAsia="楷体" w:cs="Calibri"/>
          <w:kern w:val="2"/>
          <w:sz w:val="22"/>
          <w:szCs w:val="22"/>
        </w:rPr>
        <w:t>2021</w:t>
      </w:r>
      <w:r>
        <w:rPr>
          <w:rFonts w:hint="eastAsia" w:eastAsia="楷体" w:cs="Calibri"/>
          <w:kern w:val="2"/>
          <w:sz w:val="22"/>
          <w:szCs w:val="22"/>
        </w:rPr>
        <w:t>年至</w:t>
      </w:r>
      <w:r>
        <w:rPr>
          <w:rFonts w:eastAsia="楷体" w:cs="Calibri"/>
          <w:kern w:val="2"/>
          <w:sz w:val="22"/>
          <w:szCs w:val="22"/>
        </w:rPr>
        <w:t>2024</w:t>
      </w:r>
      <w:r>
        <w:rPr>
          <w:rFonts w:hint="eastAsia" w:eastAsia="楷体" w:cs="Calibri"/>
          <w:kern w:val="2"/>
          <w:sz w:val="22"/>
          <w:szCs w:val="22"/>
        </w:rPr>
        <w:t>年，西锐的航空器总收入从</w:t>
      </w:r>
      <w:r>
        <w:rPr>
          <w:rFonts w:eastAsia="楷体" w:cs="Calibri"/>
          <w:kern w:val="2"/>
          <w:sz w:val="22"/>
          <w:szCs w:val="22"/>
        </w:rPr>
        <w:t>6.1961</w:t>
      </w:r>
      <w:r>
        <w:rPr>
          <w:rFonts w:hint="eastAsia" w:eastAsia="楷体" w:cs="Calibri"/>
          <w:kern w:val="2"/>
          <w:sz w:val="22"/>
          <w:szCs w:val="22"/>
        </w:rPr>
        <w:t>亿美元增长至</w:t>
      </w:r>
      <w:r>
        <w:rPr>
          <w:rFonts w:eastAsia="楷体" w:cs="Calibri"/>
          <w:kern w:val="2"/>
          <w:sz w:val="22"/>
          <w:szCs w:val="22"/>
        </w:rPr>
        <w:t>9.1565</w:t>
      </w:r>
      <w:r>
        <w:rPr>
          <w:rFonts w:hint="eastAsia" w:eastAsia="楷体" w:cs="Calibri"/>
          <w:kern w:val="2"/>
          <w:sz w:val="22"/>
          <w:szCs w:val="22"/>
        </w:rPr>
        <w:t>亿美元。截至</w:t>
      </w:r>
      <w:r>
        <w:rPr>
          <w:rFonts w:eastAsia="楷体" w:cs="Calibri"/>
          <w:kern w:val="2"/>
          <w:sz w:val="22"/>
          <w:szCs w:val="22"/>
        </w:rPr>
        <w:t>2024</w:t>
      </w:r>
      <w:r>
        <w:rPr>
          <w:rFonts w:hint="eastAsia" w:eastAsia="楷体" w:cs="Calibri"/>
          <w:kern w:val="2"/>
          <w:sz w:val="22"/>
          <w:szCs w:val="22"/>
        </w:rPr>
        <w:t>年末，</w:t>
      </w:r>
      <w:r>
        <w:rPr>
          <w:rFonts w:eastAsia="楷体" w:cs="Calibri"/>
          <w:kern w:val="2"/>
          <w:sz w:val="22"/>
          <w:szCs w:val="22"/>
        </w:rPr>
        <w:t>SR2X</w:t>
      </w:r>
      <w:r>
        <w:rPr>
          <w:rFonts w:hint="eastAsia" w:eastAsia="楷体" w:cs="Calibri"/>
          <w:kern w:val="2"/>
          <w:sz w:val="22"/>
          <w:szCs w:val="22"/>
        </w:rPr>
        <w:t>系列和</w:t>
      </w:r>
      <w:r>
        <w:rPr>
          <w:rFonts w:eastAsia="楷体" w:cs="Calibri"/>
          <w:kern w:val="2"/>
          <w:sz w:val="22"/>
          <w:szCs w:val="22"/>
        </w:rPr>
        <w:t>Vision Jet</w:t>
      </w:r>
      <w:r>
        <w:rPr>
          <w:rFonts w:hint="eastAsia" w:eastAsia="楷体" w:cs="Calibri"/>
          <w:kern w:val="2"/>
          <w:sz w:val="22"/>
          <w:szCs w:val="22"/>
        </w:rPr>
        <w:t>的交付量分别增至</w:t>
      </w:r>
      <w:r>
        <w:rPr>
          <w:rFonts w:eastAsia="楷体" w:cs="Calibri"/>
          <w:kern w:val="2"/>
          <w:sz w:val="22"/>
          <w:szCs w:val="22"/>
        </w:rPr>
        <w:t>630</w:t>
      </w:r>
      <w:r>
        <w:rPr>
          <w:rFonts w:hint="eastAsia" w:eastAsia="楷体" w:cs="Calibri"/>
          <w:kern w:val="2"/>
          <w:sz w:val="22"/>
          <w:szCs w:val="22"/>
        </w:rPr>
        <w:t>架和</w:t>
      </w:r>
      <w:r>
        <w:rPr>
          <w:rFonts w:eastAsia="楷体" w:cs="Calibri"/>
          <w:kern w:val="2"/>
          <w:sz w:val="22"/>
          <w:szCs w:val="22"/>
        </w:rPr>
        <w:t>101</w:t>
      </w:r>
      <w:r>
        <w:rPr>
          <w:rFonts w:hint="eastAsia" w:eastAsia="楷体" w:cs="Calibri"/>
          <w:kern w:val="2"/>
          <w:sz w:val="22"/>
          <w:szCs w:val="22"/>
        </w:rPr>
        <w:t>架，同时它们的平均销售价格分别上涨了</w:t>
      </w:r>
      <w:r>
        <w:rPr>
          <w:rFonts w:eastAsia="楷体" w:cs="Calibri"/>
          <w:kern w:val="2"/>
          <w:sz w:val="22"/>
          <w:szCs w:val="22"/>
        </w:rPr>
        <w:t>9.7%</w:t>
      </w:r>
      <w:r>
        <w:rPr>
          <w:rFonts w:hint="eastAsia" w:eastAsia="楷体" w:cs="Calibri"/>
          <w:kern w:val="2"/>
          <w:sz w:val="22"/>
          <w:szCs w:val="22"/>
        </w:rPr>
        <w:t>和</w:t>
      </w:r>
      <w:r>
        <w:rPr>
          <w:rFonts w:eastAsia="楷体" w:cs="Calibri"/>
          <w:kern w:val="2"/>
          <w:sz w:val="22"/>
          <w:szCs w:val="22"/>
        </w:rPr>
        <w:t>8.0%</w:t>
      </w:r>
      <w:r>
        <w:rPr>
          <w:rFonts w:hint="eastAsia" w:eastAsia="楷体" w:cs="Calibri"/>
          <w:kern w:val="2"/>
          <w:sz w:val="22"/>
          <w:szCs w:val="22"/>
        </w:rPr>
        <w:t>。</w:t>
      </w:r>
    </w:p>
    <w:p w14:paraId="2AD7563F">
      <w:pPr>
        <w:pStyle w:val="37"/>
        <w:widowControl w:val="0"/>
        <w:ind w:left="360"/>
        <w:jc w:val="both"/>
        <w:rPr>
          <w:rFonts w:eastAsia="楷体" w:cs="Calibri"/>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14:paraId="0F40F186">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14:paraId="22147ACB">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图：西锐飞机业务板块收入（百万美元）</w:t>
            </w:r>
          </w:p>
        </w:tc>
        <w:tc>
          <w:tcPr>
            <w:tcW w:w="241" w:type="dxa"/>
            <w:tcMar>
              <w:left w:w="0" w:type="dxa"/>
              <w:right w:w="28" w:type="dxa"/>
            </w:tcMar>
          </w:tcPr>
          <w:p w14:paraId="06B7714D">
            <w:pPr>
              <w:spacing w:before="48" w:beforeLines="20" w:after="48" w:afterLines="20"/>
              <w:jc w:val="both"/>
              <w:rPr>
                <w:rFonts w:eastAsia="楷体_GB2312" w:cs="Calibri"/>
                <w:sz w:val="20"/>
                <w:szCs w:val="20"/>
              </w:rPr>
            </w:pPr>
          </w:p>
        </w:tc>
        <w:tc>
          <w:tcPr>
            <w:tcW w:w="5149" w:type="dxa"/>
            <w:tcBorders>
              <w:bottom w:val="single" w:color="auto" w:sz="4" w:space="0"/>
            </w:tcBorders>
            <w:tcMar>
              <w:left w:w="0" w:type="dxa"/>
              <w:right w:w="28" w:type="dxa"/>
            </w:tcMar>
          </w:tcPr>
          <w:p w14:paraId="46824940">
            <w:pPr>
              <w:spacing w:before="48" w:beforeLines="20" w:after="48" w:afterLines="20"/>
              <w:jc w:val="both"/>
              <w:rPr>
                <w:rFonts w:hint="eastAsia" w:ascii="楷体" w:hAnsi="楷体" w:eastAsia="楷体" w:cs="Calibri"/>
                <w:b/>
                <w:sz w:val="20"/>
                <w:szCs w:val="20"/>
              </w:rPr>
            </w:pPr>
            <w:r>
              <w:rPr>
                <w:rFonts w:hint="eastAsia" w:ascii="楷体" w:hAnsi="楷体" w:eastAsia="楷体" w:cs="Calibri"/>
                <w:b/>
                <w:sz w:val="20"/>
                <w:szCs w:val="20"/>
              </w:rPr>
              <w:t>图：西锐飞机销量细分</w:t>
            </w:r>
          </w:p>
        </w:tc>
      </w:tr>
      <w:tr w14:paraId="196D26F8">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497E49EA">
            <w:pPr>
              <w:spacing w:before="48" w:beforeLines="20" w:after="48" w:afterLines="20"/>
              <w:jc w:val="both"/>
              <w:textAlignment w:val="center"/>
              <w:rPr>
                <w:rFonts w:eastAsia="楷体_GB2312" w:cs="Calibri"/>
                <w:b/>
                <w:color w:val="000000"/>
                <w:sz w:val="20"/>
                <w:szCs w:val="20"/>
                <w:lang w:bidi="ar"/>
              </w:rPr>
            </w:pPr>
            <w:r>
              <w:rPr>
                <w:snapToGrid/>
              </w:rPr>
              <w:drawing>
                <wp:inline distT="0" distB="0" distL="0" distR="0">
                  <wp:extent cx="3101340" cy="1818005"/>
                  <wp:effectExtent l="0" t="0" r="3810" b="0"/>
                  <wp:docPr id="8" name="图表 1"/>
                  <wp:cNvGraphicFramePr/>
                  <a:graphic xmlns:a="http://schemas.openxmlformats.org/drawingml/2006/main">
                    <a:graphicData uri="http://schemas.openxmlformats.org/drawingml/2006/chart">
                      <c:chart xmlns:c="http://schemas.openxmlformats.org/drawingml/2006/chart" r:id="rId76"/>
                    </a:graphicData>
                  </a:graphic>
                </wp:inline>
              </w:drawing>
            </w:r>
          </w:p>
        </w:tc>
        <w:tc>
          <w:tcPr>
            <w:tcW w:w="241" w:type="dxa"/>
          </w:tcPr>
          <w:p w14:paraId="0CE6849B">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14:paraId="0279E5AF">
            <w:pPr>
              <w:spacing w:before="48" w:beforeLines="20" w:after="48" w:afterLines="20"/>
              <w:jc w:val="both"/>
              <w:rPr>
                <w:rFonts w:eastAsia="楷体_GB2312" w:cs="Calibri"/>
                <w:b/>
                <w:sz w:val="20"/>
                <w:szCs w:val="20"/>
              </w:rPr>
            </w:pPr>
            <w:r>
              <w:rPr>
                <w:snapToGrid/>
              </w:rPr>
              <w:drawing>
                <wp:inline distT="0" distB="0" distL="0" distR="0">
                  <wp:extent cx="3132455" cy="1870710"/>
                  <wp:effectExtent l="0" t="0" r="0" b="0"/>
                  <wp:docPr id="9" name="图表 1"/>
                  <wp:cNvGraphicFramePr/>
                  <a:graphic xmlns:a="http://schemas.openxmlformats.org/drawingml/2006/main">
                    <a:graphicData uri="http://schemas.openxmlformats.org/drawingml/2006/chart">
                      <c:chart xmlns:c="http://schemas.openxmlformats.org/drawingml/2006/chart" r:id="rId77"/>
                    </a:graphicData>
                  </a:graphic>
                </wp:inline>
              </w:drawing>
            </w:r>
          </w:p>
        </w:tc>
      </w:tr>
      <w:tr w14:paraId="1CD62BA8">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14:paraId="0B7CBB03">
            <w:pPr>
              <w:spacing w:before="48" w:beforeLines="20" w:after="48" w:afterLines="20"/>
              <w:jc w:val="both"/>
              <w:textAlignment w:val="center"/>
              <w:rPr>
                <w:rFonts w:eastAsia="楷体_GB2312"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c>
          <w:tcPr>
            <w:tcW w:w="241" w:type="dxa"/>
            <w:tcMar>
              <w:left w:w="0" w:type="dxa"/>
              <w:right w:w="28" w:type="dxa"/>
            </w:tcMar>
          </w:tcPr>
          <w:p w14:paraId="4B1F0E13">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14:paraId="016BBA49">
            <w:pPr>
              <w:spacing w:before="48" w:beforeLines="20" w:after="48" w:afterLines="20"/>
              <w:jc w:val="both"/>
              <w:rPr>
                <w:rFonts w:eastAsia="楷体_GB2312"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p w14:paraId="5F559B28">
      <w:pPr>
        <w:widowControl w:val="0"/>
        <w:jc w:val="both"/>
        <w:rPr>
          <w:rFonts w:eastAsia="楷体_GB2312" w:cs="Calibri"/>
          <w:kern w:val="2"/>
          <w:sz w:val="20"/>
          <w:szCs w:val="20"/>
        </w:rPr>
      </w:pPr>
    </w:p>
    <w:p w14:paraId="7664C42F">
      <w:pPr>
        <w:rPr>
          <w:rFonts w:eastAsia="楷体" w:cs="Calibri"/>
          <w:kern w:val="2"/>
          <w:sz w:val="22"/>
          <w:szCs w:val="22"/>
        </w:rPr>
      </w:pPr>
      <w:r>
        <w:rPr>
          <w:rFonts w:hint="eastAsia" w:eastAsia="楷体" w:cs="Calibri"/>
          <w:b/>
          <w:bCs/>
          <w:kern w:val="2"/>
          <w:sz w:val="22"/>
          <w:szCs w:val="22"/>
        </w:rPr>
        <w:t>2</w:t>
      </w:r>
      <w:r>
        <w:rPr>
          <w:rFonts w:eastAsia="楷体" w:cs="Calibri"/>
          <w:b/>
          <w:bCs/>
          <w:kern w:val="2"/>
          <w:sz w:val="22"/>
          <w:szCs w:val="22"/>
        </w:rPr>
        <w:t>)</w:t>
      </w:r>
      <w:r>
        <w:rPr>
          <w:rFonts w:eastAsia="楷体" w:cs="Calibri"/>
          <w:b/>
          <w:bCs/>
          <w:kern w:val="2"/>
          <w:sz w:val="22"/>
          <w:szCs w:val="22"/>
        </w:rPr>
        <w:tab/>
      </w:r>
      <w:r>
        <w:rPr>
          <w:rFonts w:hint="eastAsia" w:eastAsia="楷体" w:cs="Calibri"/>
          <w:b/>
          <w:bCs/>
          <w:kern w:val="2"/>
          <w:sz w:val="22"/>
          <w:szCs w:val="22"/>
        </w:rPr>
        <w:t>服务业务方面：</w:t>
      </w:r>
      <w:r>
        <w:rPr>
          <w:rFonts w:hint="eastAsia" w:eastAsia="楷体" w:cs="Calibri"/>
          <w:kern w:val="2"/>
          <w:sz w:val="22"/>
          <w:szCs w:val="22"/>
        </w:rPr>
        <w:t>从</w:t>
      </w:r>
      <w:r>
        <w:rPr>
          <w:rFonts w:eastAsia="楷体" w:cs="Calibri"/>
          <w:kern w:val="2"/>
          <w:sz w:val="22"/>
          <w:szCs w:val="22"/>
        </w:rPr>
        <w:t>2021</w:t>
      </w:r>
      <w:r>
        <w:rPr>
          <w:rFonts w:hint="eastAsia" w:eastAsia="楷体" w:cs="Calibri"/>
          <w:kern w:val="2"/>
          <w:sz w:val="22"/>
          <w:szCs w:val="22"/>
        </w:rPr>
        <w:t>年至</w:t>
      </w:r>
      <w:r>
        <w:rPr>
          <w:rFonts w:eastAsia="楷体" w:cs="Calibri"/>
          <w:kern w:val="2"/>
          <w:sz w:val="22"/>
          <w:szCs w:val="22"/>
        </w:rPr>
        <w:t>2023</w:t>
      </w:r>
      <w:r>
        <w:rPr>
          <w:rFonts w:hint="eastAsia" w:eastAsia="楷体" w:cs="Calibri"/>
          <w:kern w:val="2"/>
          <w:sz w:val="22"/>
          <w:szCs w:val="22"/>
        </w:rPr>
        <w:t>年，西锐的服务总收入从</w:t>
      </w:r>
      <w:r>
        <w:rPr>
          <w:rFonts w:eastAsia="楷体" w:cs="Calibri"/>
          <w:kern w:val="2"/>
          <w:sz w:val="22"/>
          <w:szCs w:val="22"/>
        </w:rPr>
        <w:t>1.185</w:t>
      </w:r>
      <w:r>
        <w:rPr>
          <w:rFonts w:hint="eastAsia" w:eastAsia="楷体" w:cs="Calibri"/>
          <w:kern w:val="2"/>
          <w:sz w:val="22"/>
          <w:szCs w:val="22"/>
        </w:rPr>
        <w:t>亿美元增长至</w:t>
      </w:r>
      <w:r>
        <w:rPr>
          <w:rFonts w:eastAsia="楷体" w:cs="Calibri"/>
          <w:kern w:val="2"/>
          <w:sz w:val="22"/>
          <w:szCs w:val="22"/>
        </w:rPr>
        <w:t>1.521</w:t>
      </w:r>
      <w:r>
        <w:rPr>
          <w:rFonts w:hint="eastAsia" w:eastAsia="楷体" w:cs="Calibri"/>
          <w:kern w:val="2"/>
          <w:sz w:val="22"/>
          <w:szCs w:val="22"/>
        </w:rPr>
        <w:t>亿美元。其中，售后零部件</w:t>
      </w:r>
      <w:r>
        <w:rPr>
          <w:rFonts w:eastAsia="楷体" w:cs="Calibri"/>
          <w:kern w:val="2"/>
          <w:sz w:val="22"/>
          <w:szCs w:val="22"/>
        </w:rPr>
        <w:t>/</w:t>
      </w:r>
      <w:r>
        <w:rPr>
          <w:rFonts w:hint="eastAsia" w:eastAsia="楷体" w:cs="Calibri"/>
          <w:kern w:val="2"/>
          <w:sz w:val="22"/>
          <w:szCs w:val="22"/>
        </w:rPr>
        <w:t>维护的占比从</w:t>
      </w:r>
      <w:r>
        <w:rPr>
          <w:rFonts w:eastAsia="楷体" w:cs="Calibri"/>
          <w:kern w:val="2"/>
          <w:sz w:val="22"/>
          <w:szCs w:val="22"/>
        </w:rPr>
        <w:t>40.5%</w:t>
      </w:r>
      <w:r>
        <w:rPr>
          <w:rFonts w:hint="eastAsia" w:eastAsia="楷体" w:cs="Calibri"/>
          <w:kern w:val="2"/>
          <w:sz w:val="22"/>
          <w:szCs w:val="22"/>
        </w:rPr>
        <w:t>上升至</w:t>
      </w:r>
      <w:r>
        <w:rPr>
          <w:rFonts w:eastAsia="楷体" w:cs="Calibri"/>
          <w:kern w:val="2"/>
          <w:sz w:val="22"/>
          <w:szCs w:val="22"/>
        </w:rPr>
        <w:t>53.1%</w:t>
      </w:r>
      <w:r>
        <w:rPr>
          <w:rFonts w:hint="eastAsia" w:eastAsia="楷体" w:cs="Calibri"/>
          <w:kern w:val="2"/>
          <w:sz w:val="22"/>
          <w:szCs w:val="22"/>
        </w:rPr>
        <w:t>，而二手飞机销售的占比则从</w:t>
      </w:r>
      <w:r>
        <w:rPr>
          <w:rFonts w:eastAsia="楷体" w:cs="Calibri"/>
          <w:kern w:val="2"/>
          <w:sz w:val="22"/>
          <w:szCs w:val="22"/>
        </w:rPr>
        <w:t>8.7%</w:t>
      </w:r>
      <w:r>
        <w:rPr>
          <w:rFonts w:hint="eastAsia" w:eastAsia="楷体" w:cs="Calibri"/>
          <w:kern w:val="2"/>
          <w:sz w:val="22"/>
          <w:szCs w:val="22"/>
        </w:rPr>
        <w:t>增加到</w:t>
      </w:r>
      <w:r>
        <w:rPr>
          <w:rFonts w:eastAsia="楷体" w:cs="Calibri"/>
          <w:kern w:val="2"/>
          <w:sz w:val="22"/>
          <w:szCs w:val="22"/>
        </w:rPr>
        <w:t>17.5%</w:t>
      </w:r>
      <w:r>
        <w:rPr>
          <w:rFonts w:hint="eastAsia" w:eastAsia="楷体" w:cs="Calibri"/>
          <w:kern w:val="2"/>
          <w:sz w:val="22"/>
          <w:szCs w:val="22"/>
        </w:rPr>
        <w:t>。</w:t>
      </w:r>
    </w:p>
    <w:p w14:paraId="704E81C8">
      <w:pPr>
        <w:jc w:val="both"/>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3BF030E0">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0ED5D244">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w:t>
            </w:r>
            <w:r>
              <w:rPr>
                <w:rFonts w:ascii="楷体" w:hAnsi="楷体" w:eastAsia="楷体" w:cs="Calibri"/>
                <w:b/>
                <w:sz w:val="20"/>
                <w:szCs w:val="20"/>
              </w:rPr>
              <w:t>2021-2023</w:t>
            </w:r>
            <w:r>
              <w:rPr>
                <w:rFonts w:hint="eastAsia" w:ascii="楷体" w:hAnsi="楷体" w:eastAsia="楷体" w:cs="Calibri"/>
                <w:b/>
                <w:sz w:val="20"/>
                <w:szCs w:val="20"/>
              </w:rPr>
              <w:t>年西锐飞机售后服务收入明细</w:t>
            </w:r>
          </w:p>
        </w:tc>
      </w:tr>
      <w:tr w14:paraId="13B9A90F">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088FE7BB">
            <w:pPr>
              <w:spacing w:before="48" w:beforeLines="20" w:after="48" w:afterLines="20"/>
              <w:jc w:val="center"/>
              <w:textAlignment w:val="center"/>
              <w:rPr>
                <w:rFonts w:eastAsia="宋体" w:cs="Calibri"/>
                <w:b/>
                <w:bCs/>
                <w:sz w:val="20"/>
                <w:szCs w:val="20"/>
              </w:rPr>
            </w:pPr>
            <w:r>
              <w:rPr>
                <w:snapToGrid/>
              </w:rPr>
              <w:drawing>
                <wp:inline distT="0" distB="0" distL="0" distR="0">
                  <wp:extent cx="4211955" cy="2541905"/>
                  <wp:effectExtent l="0" t="0" r="0" b="0"/>
                  <wp:docPr id="10" name="图表 1"/>
                  <wp:cNvGraphicFramePr/>
                  <a:graphic xmlns:a="http://schemas.openxmlformats.org/drawingml/2006/main">
                    <a:graphicData uri="http://schemas.openxmlformats.org/drawingml/2006/chart">
                      <c:chart xmlns:c="http://schemas.openxmlformats.org/drawingml/2006/chart" r:id="rId78"/>
                    </a:graphicData>
                  </a:graphic>
                </wp:inline>
              </w:drawing>
            </w:r>
          </w:p>
        </w:tc>
      </w:tr>
      <w:tr w14:paraId="4D5CCD89">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549759CC">
            <w:pPr>
              <w:spacing w:line="240" w:lineRule="atLeast"/>
              <w:jc w:val="both"/>
              <w:textAlignment w:val="center"/>
              <w:rPr>
                <w:rFonts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p w14:paraId="64C5454A">
      <w:pPr>
        <w:widowControl w:val="0"/>
        <w:jc w:val="both"/>
        <w:rPr>
          <w:rFonts w:hint="eastAsia" w:ascii="楷体" w:hAnsi="楷体" w:eastAsia="楷体" w:cs="楷体"/>
          <w:b/>
          <w:bCs/>
          <w:kern w:val="2"/>
          <w:sz w:val="22"/>
          <w:szCs w:val="22"/>
        </w:rPr>
      </w:pPr>
    </w:p>
    <w:p w14:paraId="63F51D31">
      <w:pPr>
        <w:widowControl w:val="0"/>
        <w:jc w:val="both"/>
        <w:rPr>
          <w:rFonts w:hint="eastAsia" w:ascii="楷体" w:hAnsi="楷体" w:eastAsia="楷体" w:cs="楷体"/>
          <w:b/>
          <w:bCs/>
          <w:kern w:val="2"/>
          <w:sz w:val="22"/>
          <w:szCs w:val="22"/>
        </w:rPr>
      </w:pPr>
      <w:r>
        <w:rPr>
          <w:rFonts w:hint="eastAsia" w:ascii="楷体" w:hAnsi="楷体" w:eastAsia="楷体" w:cs="楷体"/>
          <w:b/>
          <w:bCs/>
          <w:kern w:val="2"/>
          <w:sz w:val="22"/>
          <w:szCs w:val="22"/>
        </w:rPr>
        <w:t>该公司盈利能力在2020至2024年间持续提升。</w:t>
      </w:r>
    </w:p>
    <w:p w14:paraId="63F51D32">
      <w:pPr>
        <w:widowControl w:val="0"/>
        <w:jc w:val="both"/>
        <w:rPr>
          <w:rFonts w:hint="eastAsia" w:ascii="楷体" w:hAnsi="楷体" w:eastAsia="楷体" w:cs="楷体"/>
          <w:kern w:val="2"/>
          <w:sz w:val="22"/>
          <w:szCs w:val="22"/>
        </w:rPr>
      </w:pPr>
      <w:r>
        <w:rPr>
          <w:rFonts w:hint="eastAsia" w:ascii="楷体" w:hAnsi="楷体" w:eastAsia="楷体" w:cs="楷体"/>
          <w:b/>
          <w:bCs/>
          <w:kern w:val="2"/>
          <w:sz w:val="22"/>
          <w:szCs w:val="22"/>
        </w:rPr>
        <w:t>1) 从毛利率和毛利润的角度来看：</w:t>
      </w:r>
      <w:r>
        <w:rPr>
          <w:rFonts w:hint="eastAsia" w:ascii="楷体" w:hAnsi="楷体" w:eastAsia="楷体" w:cs="楷体"/>
          <w:kern w:val="2"/>
          <w:sz w:val="22"/>
          <w:szCs w:val="22"/>
        </w:rPr>
        <w:t>2020至2024年间，公司毛利润从1.85亿美元增至4.14亿美元，年复合增长率（CAGR）达22.3%。毛利率则从2020年的31.6%提升至2024年的34.6%。</w:t>
      </w:r>
    </w:p>
    <w:p w14:paraId="63F51D33">
      <w:pPr>
        <w:widowControl w:val="0"/>
        <w:jc w:val="both"/>
        <w:rPr>
          <w:rFonts w:hint="eastAsia" w:ascii="楷体" w:hAnsi="楷体" w:eastAsia="楷体" w:cs="楷体"/>
          <w:kern w:val="2"/>
          <w:sz w:val="22"/>
          <w:szCs w:val="22"/>
        </w:rPr>
      </w:pPr>
      <w:r>
        <w:rPr>
          <w:rFonts w:hint="eastAsia" w:ascii="楷体" w:hAnsi="楷体" w:eastAsia="楷体" w:cs="楷体"/>
          <w:b/>
          <w:bCs/>
          <w:kern w:val="2"/>
          <w:sz w:val="22"/>
          <w:szCs w:val="22"/>
        </w:rPr>
        <w:t>2) 从净利润和净利润率来看：</w:t>
      </w:r>
      <w:r>
        <w:rPr>
          <w:rFonts w:hint="eastAsia" w:ascii="楷体" w:hAnsi="楷体" w:eastAsia="楷体" w:cs="楷体"/>
          <w:kern w:val="2"/>
          <w:sz w:val="22"/>
          <w:szCs w:val="22"/>
        </w:rPr>
        <w:t>净利润从2020年的3600万美元激增至2024年的1.21亿美元，净利润 CAGR 高达32.3%。净利润率从2020年的6.2%提升至2024年的10.1%。</w:t>
      </w:r>
    </w:p>
    <w:p w14:paraId="63F51D34">
      <w:pPr>
        <w:widowControl w:val="0"/>
        <w:jc w:val="both"/>
        <w:rPr>
          <w:rFonts w:hint="eastAsia" w:ascii="楷体" w:hAnsi="楷体" w:eastAsia="楷体" w:cs="楷体"/>
          <w:kern w:val="2"/>
          <w:sz w:val="22"/>
          <w:szCs w:val="22"/>
        </w:rPr>
      </w:pPr>
      <w:r>
        <w:rPr>
          <w:rFonts w:hint="eastAsia" w:ascii="楷体" w:hAnsi="楷体" w:eastAsia="楷体" w:cs="楷体"/>
          <w:kern w:val="2"/>
          <w:sz w:val="22"/>
          <w:szCs w:val="22"/>
        </w:rPr>
        <w:t>盈利能力的显著提升主要由产品定价策略（SR2X系列平均价格每年增长9.8%）、高毛利率业务占比上升（Vision Jet贡献了29.9%的收入）以及西锐飞机操作系统（COS）带来的生产效率改进所驱动。</w:t>
      </w:r>
    </w:p>
    <w:p w14:paraId="63F51D35">
      <w:pPr>
        <w:widowControl w:val="0"/>
        <w:jc w:val="both"/>
        <w:rPr>
          <w:rFonts w:hint="eastAsia" w:ascii="楷体" w:hAnsi="楷体" w:eastAsia="楷体" w:cs="楷体"/>
          <w:kern w:val="2"/>
          <w:sz w:val="22"/>
          <w:szCs w:val="22"/>
        </w:rPr>
      </w:pPr>
      <w:r>
        <w:rPr>
          <w:rFonts w:hint="eastAsia" w:ascii="楷体" w:hAnsi="楷体" w:eastAsia="楷体" w:cs="楷体"/>
          <w:b/>
          <w:bCs/>
          <w:kern w:val="2"/>
          <w:sz w:val="22"/>
          <w:szCs w:val="22"/>
        </w:rPr>
        <w:t>3)</w:t>
      </w:r>
      <w:r>
        <w:rPr>
          <w:rFonts w:hint="eastAsia" w:ascii="楷体" w:hAnsi="楷体" w:eastAsia="楷体" w:cs="楷体"/>
          <w:b/>
          <w:bCs/>
          <w:spacing w:val="-2"/>
          <w:sz w:val="22"/>
          <w:szCs w:val="22"/>
          <w:shd w:val="clear" w:color="auto" w:fill="FCFCFC"/>
        </w:rPr>
        <w:t xml:space="preserve"> 费用比率保持稳定：</w:t>
      </w:r>
      <w:r>
        <w:rPr>
          <w:rFonts w:hint="eastAsia" w:ascii="楷体" w:hAnsi="楷体" w:eastAsia="楷体" w:cs="楷体"/>
          <w:spacing w:val="-2"/>
          <w:sz w:val="22"/>
          <w:szCs w:val="22"/>
          <w:shd w:val="clear" w:color="auto" w:fill="FCFCFC"/>
        </w:rPr>
        <w:t>Cirrus Aircraft的销售费用比率维持在12%左右，管理费用比率保持在10%，财务费用比率则稳定在0.4%。</w:t>
      </w:r>
    </w:p>
    <w:p w14:paraId="63F51D36">
      <w:pPr>
        <w:widowControl w:val="0"/>
        <w:jc w:val="both"/>
        <w:rPr>
          <w:rFonts w:eastAsia="楷体" w:cs="Calibri"/>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14:paraId="63F51D3A">
        <w:trPr>
          <w:trHeight w:val="227" w:hRule="atLeast"/>
        </w:trPr>
        <w:tc>
          <w:tcPr>
            <w:tcW w:w="5100" w:type="dxa"/>
            <w:tcBorders>
              <w:bottom w:val="single" w:color="auto" w:sz="4" w:space="0"/>
            </w:tcBorders>
            <w:tcMar>
              <w:left w:w="0" w:type="dxa"/>
              <w:right w:w="28" w:type="dxa"/>
            </w:tcMar>
          </w:tcPr>
          <w:p w14:paraId="63F51D37">
            <w:pPr>
              <w:spacing w:before="48" w:beforeLines="20" w:after="48" w:afterLines="20"/>
              <w:jc w:val="both"/>
              <w:textAlignment w:val="center"/>
              <w:rPr>
                <w:rFonts w:hint="eastAsia" w:ascii="楷体" w:hAnsi="楷体" w:eastAsia="楷体" w:cs="Calibri"/>
                <w:b/>
                <w:sz w:val="20"/>
                <w:szCs w:val="20"/>
                <w:highlight w:val="yellow"/>
              </w:rPr>
            </w:pPr>
            <w:r>
              <w:rPr>
                <w:rFonts w:hint="eastAsia" w:ascii="楷体" w:hAnsi="楷体" w:eastAsia="楷体" w:cs="Calibri"/>
                <w:b/>
                <w:sz w:val="20"/>
                <w:szCs w:val="20"/>
              </w:rPr>
              <w:t>图：西锐飞机公司净利润/毛利润及增长率（单位：百万美元）</w:t>
            </w:r>
          </w:p>
        </w:tc>
        <w:tc>
          <w:tcPr>
            <w:tcW w:w="241" w:type="dxa"/>
            <w:tcMar>
              <w:left w:w="0" w:type="dxa"/>
              <w:right w:w="28" w:type="dxa"/>
            </w:tcMar>
          </w:tcPr>
          <w:p w14:paraId="63F51D38">
            <w:pPr>
              <w:spacing w:before="48" w:beforeLines="20" w:after="48" w:afterLines="20"/>
              <w:jc w:val="both"/>
              <w:rPr>
                <w:rFonts w:hint="eastAsia" w:ascii="楷体" w:hAnsi="楷体" w:eastAsia="楷体" w:cs="Calibri"/>
                <w:sz w:val="20"/>
                <w:szCs w:val="20"/>
                <w:highlight w:val="yellow"/>
              </w:rPr>
            </w:pPr>
          </w:p>
        </w:tc>
        <w:tc>
          <w:tcPr>
            <w:tcW w:w="5149" w:type="dxa"/>
            <w:tcBorders>
              <w:bottom w:val="single" w:color="auto" w:sz="4" w:space="0"/>
            </w:tcBorders>
            <w:tcMar>
              <w:left w:w="0" w:type="dxa"/>
              <w:right w:w="28" w:type="dxa"/>
            </w:tcMar>
          </w:tcPr>
          <w:p w14:paraId="63F51D39">
            <w:pPr>
              <w:spacing w:before="48" w:beforeLines="20" w:after="48" w:afterLines="20"/>
              <w:jc w:val="both"/>
              <w:rPr>
                <w:rFonts w:hint="eastAsia" w:ascii="楷体" w:hAnsi="楷体" w:eastAsia="楷体" w:cs="Calibri"/>
                <w:b/>
                <w:sz w:val="20"/>
                <w:szCs w:val="20"/>
              </w:rPr>
            </w:pPr>
            <w:r>
              <w:rPr>
                <w:rFonts w:hint="eastAsia" w:ascii="楷体" w:hAnsi="楷体" w:eastAsia="楷体" w:cs="Calibri"/>
                <w:b/>
                <w:sz w:val="20"/>
                <w:szCs w:val="20"/>
              </w:rPr>
              <w:t>图：西锐飞机公司净利润率/毛利率</w:t>
            </w:r>
          </w:p>
        </w:tc>
      </w:tr>
      <w:tr w14:paraId="63F51D3E">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63F51D3B">
            <w:pPr>
              <w:spacing w:before="48" w:beforeLines="20" w:after="48" w:afterLines="20"/>
              <w:jc w:val="both"/>
              <w:textAlignment w:val="center"/>
              <w:rPr>
                <w:rFonts w:eastAsia="楷体_GB2312" w:cs="Calibri"/>
                <w:b/>
                <w:color w:val="000000"/>
                <w:sz w:val="20"/>
                <w:szCs w:val="20"/>
                <w:lang w:bidi="ar"/>
              </w:rPr>
            </w:pPr>
            <w:r>
              <w:drawing>
                <wp:inline distT="0" distB="0" distL="114300" distR="114300">
                  <wp:extent cx="3098165" cy="2058670"/>
                  <wp:effectExtent l="0" t="0" r="0" b="0"/>
                  <wp:docPr id="11" name="图表 21"/>
                  <wp:cNvGraphicFramePr/>
                  <a:graphic xmlns:a="http://schemas.openxmlformats.org/drawingml/2006/main">
                    <a:graphicData uri="http://schemas.openxmlformats.org/drawingml/2006/chart">
                      <c:chart xmlns:c="http://schemas.openxmlformats.org/drawingml/2006/chart" r:id="rId79"/>
                    </a:graphicData>
                  </a:graphic>
                </wp:inline>
              </w:drawing>
            </w:r>
          </w:p>
        </w:tc>
        <w:tc>
          <w:tcPr>
            <w:tcW w:w="241" w:type="dxa"/>
          </w:tcPr>
          <w:p w14:paraId="63F51D3C">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14:paraId="63F51D3D">
            <w:pPr>
              <w:spacing w:before="48" w:beforeLines="20" w:after="48" w:afterLines="20"/>
              <w:jc w:val="both"/>
              <w:rPr>
                <w:rFonts w:eastAsia="楷体_GB2312" w:cs="Calibri"/>
                <w:b/>
                <w:sz w:val="20"/>
                <w:szCs w:val="20"/>
              </w:rPr>
            </w:pPr>
            <w:r>
              <w:drawing>
                <wp:inline distT="0" distB="0" distL="114300" distR="114300">
                  <wp:extent cx="3128645" cy="2232025"/>
                  <wp:effectExtent l="0" t="0" r="0" b="0"/>
                  <wp:docPr id="12" name="图表 20"/>
                  <wp:cNvGraphicFramePr/>
                  <a:graphic xmlns:a="http://schemas.openxmlformats.org/drawingml/2006/main">
                    <a:graphicData uri="http://schemas.openxmlformats.org/drawingml/2006/chart">
                      <c:chart xmlns:c="http://schemas.openxmlformats.org/drawingml/2006/chart" r:id="rId80"/>
                    </a:graphicData>
                  </a:graphic>
                </wp:inline>
              </w:drawing>
            </w:r>
          </w:p>
        </w:tc>
      </w:tr>
      <w:tr w14:paraId="63F51D42">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14:paraId="63F51D3F">
            <w:pPr>
              <w:spacing w:before="48" w:beforeLines="20" w:after="48" w:afterLines="20"/>
              <w:jc w:val="both"/>
              <w:textAlignment w:val="center"/>
              <w:rPr>
                <w:rFonts w:eastAsia="楷体_GB2312"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c>
          <w:tcPr>
            <w:tcW w:w="241" w:type="dxa"/>
            <w:tcMar>
              <w:left w:w="0" w:type="dxa"/>
              <w:right w:w="28" w:type="dxa"/>
            </w:tcMar>
          </w:tcPr>
          <w:p w14:paraId="63F51D40">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14:paraId="63F51D41">
            <w:pPr>
              <w:spacing w:before="48" w:beforeLines="20" w:after="48" w:afterLines="20"/>
              <w:jc w:val="both"/>
              <w:rPr>
                <w:rFonts w:eastAsia="楷体_GB2312"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p w14:paraId="63F51D43">
      <w:pPr>
        <w:widowControl w:val="0"/>
        <w:jc w:val="both"/>
        <w:rPr>
          <w:rFonts w:hint="eastAsia" w:eastAsia="楷体" w:asciiTheme="minorHAnsi" w:hAnsiTheme="minorHAnsi" w:cstheme="minorHAns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63F51D45">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63F51D44">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图：西锐飞机费用比率</w:t>
            </w:r>
          </w:p>
        </w:tc>
      </w:tr>
      <w:tr w14:paraId="63F51D47">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63F51D46">
            <w:pPr>
              <w:spacing w:before="48" w:beforeLines="20" w:after="48" w:afterLines="20"/>
              <w:jc w:val="center"/>
              <w:textAlignment w:val="center"/>
              <w:rPr>
                <w:rFonts w:eastAsia="宋体" w:cs="Calibri"/>
                <w:b/>
                <w:bCs/>
                <w:sz w:val="20"/>
                <w:szCs w:val="20"/>
              </w:rPr>
            </w:pPr>
            <w:r>
              <w:drawing>
                <wp:inline distT="0" distB="0" distL="114300" distR="114300">
                  <wp:extent cx="4294505" cy="2292985"/>
                  <wp:effectExtent l="0" t="0" r="0" b="0"/>
                  <wp:docPr id="13" name="图表 23"/>
                  <wp:cNvGraphicFramePr/>
                  <a:graphic xmlns:a="http://schemas.openxmlformats.org/drawingml/2006/main">
                    <a:graphicData uri="http://schemas.openxmlformats.org/drawingml/2006/chart">
                      <c:chart xmlns:c="http://schemas.openxmlformats.org/drawingml/2006/chart" r:id="rId81"/>
                    </a:graphicData>
                  </a:graphic>
                </wp:inline>
              </w:drawing>
            </w:r>
          </w:p>
        </w:tc>
      </w:tr>
      <w:tr w14:paraId="63F51D49">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63F51D48">
            <w:pPr>
              <w:spacing w:line="240" w:lineRule="atLeast"/>
              <w:jc w:val="both"/>
              <w:textAlignment w:val="center"/>
              <w:rPr>
                <w:rFonts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p w14:paraId="63F51D4A">
      <w:pPr>
        <w:widowControl w:val="0"/>
        <w:jc w:val="both"/>
        <w:rPr>
          <w:rFonts w:hint="eastAsia" w:eastAsia="楷体" w:asciiTheme="minorHAnsi" w:hAnsiTheme="minorHAnsi" w:cstheme="minorHAnsi"/>
          <w:kern w:val="2"/>
          <w:sz w:val="22"/>
          <w:szCs w:val="22"/>
        </w:rPr>
      </w:pPr>
    </w:p>
    <w:bookmarkEnd w:id="7"/>
    <w:p w14:paraId="63F51D4B">
      <w:pPr>
        <w:pStyle w:val="2"/>
        <w:spacing w:before="240" w:beforeLines="100" w:after="240" w:afterLines="100"/>
        <w:jc w:val="both"/>
        <w:rPr>
          <w:rFonts w:hint="eastAsia" w:ascii="楷体" w:hAnsi="楷体" w:eastAsia="楷体" w:cs="楷体"/>
          <w:color w:val="23558C"/>
          <w:sz w:val="28"/>
          <w:szCs w:val="28"/>
        </w:rPr>
      </w:pPr>
      <w:bookmarkStart w:id="8" w:name="_Toc219028019"/>
      <w:bookmarkStart w:id="9" w:name="_Hlk216642041"/>
      <w:bookmarkStart w:id="10" w:name="_Toc186105500"/>
      <w:r>
        <w:rPr>
          <w:rFonts w:hint="eastAsia" w:ascii="楷体" w:hAnsi="楷体" w:eastAsia="楷体" w:cs="楷体"/>
          <w:color w:val="23558C"/>
          <w:sz w:val="28"/>
          <w:szCs w:val="28"/>
        </w:rPr>
        <w:t>2 私人航空需求稳健增长，消费型应用场景持续拓展</w:t>
      </w:r>
      <w:bookmarkEnd w:id="8"/>
    </w:p>
    <w:p w14:paraId="63F51D4C">
      <w:pPr>
        <w:pStyle w:val="77"/>
        <w:jc w:val="both"/>
        <w:rPr>
          <w:rFonts w:hint="eastAsia" w:ascii="楷体" w:hAnsi="楷体" w:eastAsia="楷体" w:cs="楷体"/>
          <w:color w:val="23558C"/>
          <w:sz w:val="24"/>
        </w:rPr>
      </w:pPr>
      <w:bookmarkStart w:id="11" w:name="_Toc219028020"/>
      <w:r>
        <w:rPr>
          <w:rFonts w:hint="eastAsia" w:ascii="楷体" w:hAnsi="楷体" w:eastAsia="楷体" w:cs="楷体"/>
          <w:color w:val="23558C"/>
          <w:sz w:val="24"/>
        </w:rPr>
        <w:t>2.1 通用航空行业概览</w:t>
      </w:r>
      <w:bookmarkEnd w:id="9"/>
    </w:p>
    <w:bookmarkEnd w:id="10"/>
    <w:p w14:paraId="63F51D4D">
      <w:pPr>
        <w:widowControl w:val="0"/>
        <w:jc w:val="both"/>
        <w:rPr>
          <w:rFonts w:hint="eastAsia" w:ascii="楷体" w:hAnsi="楷体" w:eastAsia="楷体" w:cs="楷体"/>
          <w:b/>
          <w:bCs/>
          <w:kern w:val="2"/>
          <w:sz w:val="22"/>
          <w:szCs w:val="22"/>
        </w:rPr>
      </w:pPr>
      <w:r>
        <w:rPr>
          <w:rFonts w:hint="eastAsia" w:ascii="楷体" w:hAnsi="楷体" w:eastAsia="楷体" w:cs="楷体"/>
          <w:b/>
          <w:bCs/>
          <w:sz w:val="22"/>
          <w:szCs w:val="22"/>
        </w:rPr>
        <w:t>通用航空是指除军事航空和定期商业航空运输以外的所有航空活动，涵盖私人航空及专业航空。</w:t>
      </w:r>
    </w:p>
    <w:p w14:paraId="63F51D4E">
      <w:pPr>
        <w:widowControl w:val="0"/>
        <w:jc w:val="both"/>
        <w:rPr>
          <w:rFonts w:hint="eastAsia" w:ascii="楷体" w:hAnsi="楷体" w:eastAsia="楷体" w:cs="楷体"/>
          <w:kern w:val="2"/>
          <w:sz w:val="22"/>
          <w:szCs w:val="22"/>
        </w:rPr>
      </w:pPr>
      <w:r>
        <w:rPr>
          <w:rFonts w:hint="eastAsia" w:ascii="楷体" w:hAnsi="楷体" w:eastAsia="楷体" w:cs="楷体"/>
          <w:b/>
          <w:bCs/>
          <w:sz w:val="22"/>
          <w:szCs w:val="22"/>
        </w:rPr>
        <w:t>私人航空</w:t>
      </w:r>
      <w:r>
        <w:rPr>
          <w:rFonts w:hint="eastAsia" w:ascii="楷体" w:hAnsi="楷体" w:eastAsia="楷体" w:cs="楷体"/>
          <w:sz w:val="22"/>
          <w:szCs w:val="22"/>
        </w:rPr>
        <w:t>主要指非商业性质的固定翼通用航空飞行活动，包括个人飞行和飞行培训等，主要面向私人机主、飞行教员及航空爱好者。该类飞机单机价格通常低于700万美元，在通用航空飞机交付量中占据主导地位，占比约为76%。</w:t>
      </w:r>
    </w:p>
    <w:p w14:paraId="63F51D4F">
      <w:pPr>
        <w:widowControl w:val="0"/>
        <w:jc w:val="both"/>
        <w:rPr>
          <w:rFonts w:hint="eastAsia" w:ascii="楷体" w:hAnsi="楷体" w:eastAsia="楷体" w:cs="楷体"/>
          <w:sz w:val="22"/>
          <w:szCs w:val="22"/>
        </w:rPr>
      </w:pPr>
      <w:r>
        <w:rPr>
          <w:rFonts w:hint="eastAsia" w:ascii="楷体" w:hAnsi="楷体" w:eastAsia="楷体" w:cs="楷体"/>
          <w:b/>
          <w:bCs/>
          <w:sz w:val="22"/>
          <w:szCs w:val="22"/>
        </w:rPr>
        <w:t>专业航空</w:t>
      </w:r>
      <w:r>
        <w:rPr>
          <w:rFonts w:hint="eastAsia" w:ascii="楷体" w:hAnsi="楷体" w:eastAsia="楷体" w:cs="楷体"/>
          <w:sz w:val="22"/>
          <w:szCs w:val="22"/>
        </w:rPr>
        <w:t>领域涵盖企业包机服务及特殊用途的飞行器。这类飞机通常配备先进技术与多引擎系统，具备远程、跨洲际及洲际飞行能力，可实现高速飞行。</w:t>
      </w:r>
    </w:p>
    <w:tbl>
      <w:tblPr>
        <w:tblStyle w:val="20"/>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14:paraId="63F51D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206" w:type="dxa"/>
            <w:tcBorders>
              <w:bottom w:val="single" w:color="023F97" w:sz="4" w:space="0"/>
            </w:tcBorders>
          </w:tcPr>
          <w:p w14:paraId="63F51D50">
            <w:pPr>
              <w:pStyle w:val="74"/>
              <w:keepNext/>
              <w:numPr>
                <w:ilvl w:val="0"/>
                <w:numId w:val="0"/>
              </w:numPr>
              <w:rPr>
                <w:rFonts w:hint="eastAsia" w:ascii="楷体" w:hAnsi="楷体" w:eastAsia="楷体"/>
              </w:rPr>
            </w:pPr>
            <w:r>
              <w:rPr>
                <w:rFonts w:hint="eastAsia" w:ascii="楷体" w:hAnsi="楷体" w:eastAsia="楷体" w:cs="Calibri"/>
                <w:bCs w:val="0"/>
                <w:snapToGrid w:val="0"/>
                <w:sz w:val="20"/>
                <w:szCs w:val="20"/>
              </w:rPr>
              <w:t>表：私人航空器与专业航空器对比</w:t>
            </w:r>
          </w:p>
        </w:tc>
      </w:tr>
      <w:tr w14:paraId="63F51D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5" w:hRule="atLeast"/>
        </w:trPr>
        <w:tc>
          <w:tcPr>
            <w:tcW w:w="10206" w:type="dxa"/>
            <w:tcBorders>
              <w:top w:val="single" w:color="023F97" w:sz="4" w:space="0"/>
              <w:bottom w:val="single" w:color="023F97" w:sz="4" w:space="0"/>
            </w:tcBorders>
            <w:vAlign w:val="center"/>
          </w:tcPr>
          <w:p w14:paraId="63F51D52">
            <w:pPr>
              <w:pStyle w:val="75"/>
              <w:keepNext/>
              <w:rPr>
                <w:rFonts w:hint="eastAsia" w:ascii="等线" w:hAnsi="等线"/>
              </w:rPr>
            </w:pPr>
            <w:r>
              <w:rPr>
                <w:rFonts w:hint="eastAsia" w:ascii="等线" w:hAnsi="等线"/>
              </w:rPr>
              <w:drawing>
                <wp:inline distT="0" distB="0" distL="0" distR="0">
                  <wp:extent cx="6343650" cy="1943100"/>
                  <wp:effectExtent l="0" t="0" r="0" b="0"/>
                  <wp:docPr id="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6343650" cy="1943100"/>
                          </a:xfrm>
                          <a:prstGeom prst="rect">
                            <a:avLst/>
                          </a:prstGeom>
                          <a:noFill/>
                          <a:ln>
                            <a:noFill/>
                          </a:ln>
                        </pic:spPr>
                      </pic:pic>
                    </a:graphicData>
                  </a:graphic>
                </wp:inline>
              </w:drawing>
            </w:r>
          </w:p>
        </w:tc>
      </w:tr>
      <w:tr w14:paraId="63F51D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single" w:color="023F97" w:sz="4" w:space="0"/>
            </w:tcBorders>
          </w:tcPr>
          <w:p w14:paraId="63F51D54">
            <w:pPr>
              <w:pStyle w:val="76"/>
              <w:rPr>
                <w:rFonts w:hint="eastAsia" w:ascii="楷体" w:hAnsi="楷体" w:eastAsia="楷体"/>
              </w:rPr>
            </w:pPr>
            <w:r>
              <w:rPr>
                <w:rFonts w:hint="eastAsia" w:ascii="楷体" w:hAnsi="楷体" w:eastAsia="楷体" w:cs="Calibri"/>
                <w:b/>
                <w:bCs/>
                <w:snapToGrid w:val="0"/>
                <w:sz w:val="20"/>
                <w:szCs w:val="20"/>
              </w:rPr>
              <w:t>资料来源：公司公告，HFI</w:t>
            </w:r>
          </w:p>
        </w:tc>
      </w:tr>
    </w:tbl>
    <w:p w14:paraId="63F51D56">
      <w:pPr>
        <w:widowControl w:val="0"/>
        <w:jc w:val="both"/>
        <w:rPr>
          <w:rFonts w:hint="eastAsia" w:ascii="微软雅黑" w:hAnsi="微软雅黑" w:eastAsia="微软雅黑" w:cs="微软雅黑"/>
          <w:kern w:val="2"/>
          <w:sz w:val="22"/>
          <w:szCs w:val="22"/>
        </w:rPr>
      </w:pPr>
    </w:p>
    <w:p w14:paraId="63F51D57">
      <w:pPr>
        <w:widowControl w:val="0"/>
        <w:jc w:val="both"/>
        <w:rPr>
          <w:rFonts w:hint="eastAsia" w:ascii="楷体" w:hAnsi="楷体" w:eastAsia="楷体" w:cs="楷体"/>
          <w:b/>
          <w:bCs/>
          <w:kern w:val="2"/>
          <w:sz w:val="22"/>
          <w:szCs w:val="22"/>
        </w:rPr>
      </w:pPr>
      <w:r>
        <w:rPr>
          <w:rFonts w:hint="eastAsia" w:ascii="楷体" w:hAnsi="楷体" w:eastAsia="楷体" w:cs="楷体"/>
          <w:b/>
          <w:bCs/>
          <w:kern w:val="2"/>
          <w:sz w:val="22"/>
          <w:szCs w:val="22"/>
        </w:rPr>
        <w:t>目前主流的飞机类型包括活塞发动机和涡轮发动机机型。</w:t>
      </w:r>
    </w:p>
    <w:p w14:paraId="63F51D58">
      <w:pPr>
        <w:pStyle w:val="37"/>
        <w:widowControl w:val="0"/>
        <w:numPr>
          <w:ilvl w:val="0"/>
          <w:numId w:val="15"/>
        </w:numPr>
        <w:jc w:val="both"/>
        <w:rPr>
          <w:rFonts w:hint="eastAsia" w:ascii="楷体" w:hAnsi="楷体" w:eastAsia="楷体" w:cs="楷体"/>
          <w:kern w:val="2"/>
          <w:sz w:val="22"/>
          <w:szCs w:val="22"/>
        </w:rPr>
      </w:pPr>
      <w:r>
        <w:rPr>
          <w:rFonts w:hint="eastAsia" w:ascii="楷体" w:hAnsi="楷体" w:eastAsia="楷体" w:cs="楷体"/>
          <w:b/>
          <w:bCs/>
          <w:kern w:val="2"/>
          <w:sz w:val="22"/>
          <w:szCs w:val="22"/>
        </w:rPr>
        <w:t>活塞发动机飞机：</w:t>
      </w:r>
      <w:r>
        <w:rPr>
          <w:rFonts w:hint="eastAsia" w:ascii="楷体" w:hAnsi="楷体" w:eastAsia="楷体" w:cs="楷体"/>
          <w:kern w:val="2"/>
          <w:sz w:val="22"/>
          <w:szCs w:val="22"/>
        </w:rPr>
        <w:t>通过燃油与空气混合燃烧驱动活塞带动螺旋桨产生推力，具有成本低、维护简单的特点，适用于低速、短航程飞行，是短途交通、飞行培训及私人飞行的主流选择。</w:t>
      </w:r>
    </w:p>
    <w:p w14:paraId="63F51D59">
      <w:pPr>
        <w:pStyle w:val="37"/>
        <w:widowControl w:val="0"/>
        <w:ind w:left="360"/>
        <w:jc w:val="both"/>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63F51D5B">
        <w:trPr>
          <w:trHeight w:val="302" w:hRule="atLeast"/>
        </w:trPr>
        <w:tc>
          <w:tcPr>
            <w:tcW w:w="7466" w:type="dxa"/>
            <w:tcBorders>
              <w:bottom w:val="single" w:color="auto" w:sz="4" w:space="0"/>
            </w:tcBorders>
            <w:tcMar>
              <w:left w:w="0" w:type="dxa"/>
              <w:right w:w="28" w:type="dxa"/>
            </w:tcMar>
          </w:tcPr>
          <w:p w14:paraId="63F51D5A">
            <w:pPr>
              <w:spacing w:before="48" w:beforeLines="20" w:after="48" w:afterLines="20"/>
              <w:jc w:val="both"/>
              <w:textAlignment w:val="center"/>
              <w:rPr>
                <w:rFonts w:hint="eastAsia" w:ascii="楷体" w:hAnsi="楷体" w:eastAsia="楷体" w:cs="Calibri"/>
                <w:sz w:val="20"/>
                <w:szCs w:val="20"/>
              </w:rPr>
            </w:pPr>
            <w:r>
              <w:rPr>
                <w:rFonts w:hint="eastAsia" w:ascii="楷体" w:hAnsi="楷体" w:eastAsia="楷体" w:cs="Calibri"/>
                <w:b/>
                <w:sz w:val="20"/>
                <w:szCs w:val="20"/>
              </w:rPr>
              <w:t>图：活塞式飞机的类型和历史</w:t>
            </w:r>
          </w:p>
        </w:tc>
      </w:tr>
      <w:tr w14:paraId="63F51D5D">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63F51D5C">
            <w:pPr>
              <w:spacing w:before="48" w:beforeLines="20" w:after="48" w:afterLines="20"/>
              <w:jc w:val="center"/>
              <w:textAlignment w:val="center"/>
              <w:rPr>
                <w:rFonts w:eastAsia="宋体" w:cs="Calibri"/>
                <w:b/>
                <w:bCs/>
                <w:sz w:val="20"/>
                <w:szCs w:val="20"/>
              </w:rPr>
            </w:pPr>
            <w:r>
              <w:rPr>
                <w:snapToGrid/>
              </w:rPr>
              <w:drawing>
                <wp:inline distT="0" distB="0" distL="0" distR="0">
                  <wp:extent cx="4449445" cy="2219325"/>
                  <wp:effectExtent l="0" t="0" r="8255" b="9525"/>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4"/>
                          <pic:cNvPicPr>
                            <a:picLocks noChangeAspect="1"/>
                          </pic:cNvPicPr>
                        </pic:nvPicPr>
                        <pic:blipFill>
                          <a:blip r:embed="rId32"/>
                          <a:stretch>
                            <a:fillRect/>
                          </a:stretch>
                        </pic:blipFill>
                        <pic:spPr>
                          <a:xfrm>
                            <a:off x="0" y="0"/>
                            <a:ext cx="4463141" cy="2226444"/>
                          </a:xfrm>
                          <a:prstGeom prst="rect">
                            <a:avLst/>
                          </a:prstGeom>
                          <a:noFill/>
                          <a:ln w="9525">
                            <a:noFill/>
                          </a:ln>
                        </pic:spPr>
                      </pic:pic>
                    </a:graphicData>
                  </a:graphic>
                </wp:inline>
              </w:drawing>
            </w:r>
          </w:p>
        </w:tc>
      </w:tr>
      <w:tr w14:paraId="63F51D5F">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63F51D5E">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hint="eastAsia" w:ascii="楷体" w:hAnsi="楷体" w:eastAsia="楷体" w:cs="Calibri"/>
                <w:kern w:val="2"/>
                <w:sz w:val="22"/>
                <w:szCs w:val="22"/>
              </w:rPr>
              <w:t>T</w:t>
            </w:r>
            <w:r>
              <w:rPr>
                <w:rFonts w:ascii="楷体" w:hAnsi="楷体" w:eastAsia="楷体" w:cs="Calibri"/>
                <w:kern w:val="2"/>
                <w:sz w:val="22"/>
                <w:szCs w:val="22"/>
              </w:rPr>
              <w:t>sunami</w:t>
            </w:r>
            <w:r>
              <w:rPr>
                <w:rFonts w:hint="eastAsia" w:ascii="楷体" w:hAnsi="楷体" w:eastAsia="楷体" w:cs="Calibri"/>
                <w:kern w:val="2"/>
                <w:sz w:val="22"/>
                <w:szCs w:val="22"/>
              </w:rPr>
              <w:t xml:space="preserve"> A</w:t>
            </w:r>
            <w:r>
              <w:rPr>
                <w:rFonts w:ascii="楷体" w:hAnsi="楷体" w:eastAsia="楷体" w:cs="Calibri"/>
                <w:kern w:val="2"/>
                <w:sz w:val="22"/>
                <w:szCs w:val="22"/>
              </w:rPr>
              <w:t>ir</w:t>
            </w:r>
            <w:r>
              <w:rPr>
                <w:rFonts w:hint="eastAsia" w:ascii="楷体" w:hAnsi="楷体" w:eastAsia="楷体" w:cs="Calibri"/>
                <w:sz w:val="20"/>
                <w:szCs w:val="20"/>
              </w:rPr>
              <w:t>, HFI</w:t>
            </w:r>
          </w:p>
        </w:tc>
      </w:tr>
    </w:tbl>
    <w:p w14:paraId="63F51D60">
      <w:pPr>
        <w:widowControl w:val="0"/>
        <w:jc w:val="both"/>
        <w:rPr>
          <w:rFonts w:eastAsia="楷体" w:cs="Calibri"/>
          <w:kern w:val="2"/>
          <w:sz w:val="22"/>
          <w:szCs w:val="22"/>
        </w:rPr>
      </w:pPr>
    </w:p>
    <w:p w14:paraId="63F51D61">
      <w:pPr>
        <w:pStyle w:val="37"/>
        <w:widowControl w:val="0"/>
        <w:numPr>
          <w:ilvl w:val="0"/>
          <w:numId w:val="15"/>
        </w:numPr>
        <w:jc w:val="both"/>
        <w:rPr>
          <w:rFonts w:hint="eastAsia" w:ascii="楷体" w:hAnsi="楷体" w:eastAsia="楷体" w:cs="楷体"/>
          <w:kern w:val="2"/>
          <w:sz w:val="22"/>
          <w:szCs w:val="22"/>
        </w:rPr>
      </w:pPr>
      <w:r>
        <w:rPr>
          <w:rFonts w:hint="eastAsia" w:ascii="楷体" w:hAnsi="楷体" w:eastAsia="楷体" w:cs="楷体"/>
          <w:b/>
          <w:bCs/>
          <w:kern w:val="2"/>
          <w:sz w:val="22"/>
          <w:szCs w:val="22"/>
        </w:rPr>
        <w:t>涡轮发动机飞机主要分为四大类，其中涡轮螺旋桨和涡轮喷气式飞机占据主流地位。</w:t>
      </w:r>
      <w:r>
        <w:rPr>
          <w:rFonts w:hint="eastAsia" w:ascii="楷体" w:hAnsi="楷体" w:eastAsia="楷体" w:cs="楷体"/>
          <w:kern w:val="2"/>
          <w:sz w:val="22"/>
          <w:szCs w:val="22"/>
        </w:rPr>
        <w:t>从成本效益和性能表现来看，这类飞机在中远程飞行、高空作业及复杂天气条件下展现出卓越的适应性和可靠性，因此被广泛应用于商务差旅、应急救援及专业工业任务领域。</w:t>
      </w:r>
    </w:p>
    <w:p w14:paraId="63F51D62">
      <w:pPr>
        <w:pStyle w:val="37"/>
        <w:widowControl w:val="0"/>
        <w:numPr>
          <w:ilvl w:val="0"/>
          <w:numId w:val="16"/>
        </w:numPr>
        <w:jc w:val="both"/>
        <w:rPr>
          <w:rFonts w:hint="eastAsia" w:ascii="楷体" w:hAnsi="楷体" w:eastAsia="楷体" w:cs="楷体"/>
          <w:kern w:val="2"/>
          <w:sz w:val="22"/>
          <w:szCs w:val="22"/>
        </w:rPr>
      </w:pPr>
      <w:r>
        <w:rPr>
          <w:rFonts w:hint="eastAsia" w:ascii="楷体" w:hAnsi="楷体" w:eastAsia="楷体" w:cs="楷体"/>
          <w:b/>
          <w:bCs/>
          <w:kern w:val="2"/>
          <w:sz w:val="22"/>
          <w:szCs w:val="22"/>
        </w:rPr>
        <w:t>涡轮喷气式发动机：</w:t>
      </w:r>
      <w:r>
        <w:rPr>
          <w:rFonts w:hint="eastAsia" w:ascii="楷体" w:hAnsi="楷体" w:eastAsia="楷体" w:cs="楷体"/>
          <w:kern w:val="2"/>
          <w:sz w:val="22"/>
          <w:szCs w:val="22"/>
        </w:rPr>
        <w:t>通过高速排气产生推力，适用于高空高速飞行。然而，其高燃油消耗率导致在现代民航中的应用受到限制。</w:t>
      </w:r>
    </w:p>
    <w:p w14:paraId="63F51D63">
      <w:pPr>
        <w:widowControl w:val="0"/>
        <w:numPr>
          <w:ilvl w:val="0"/>
          <w:numId w:val="16"/>
        </w:numPr>
        <w:jc w:val="both"/>
        <w:rPr>
          <w:rFonts w:hint="eastAsia" w:ascii="楷体" w:hAnsi="楷体" w:eastAsia="楷体" w:cs="楷体"/>
          <w:kern w:val="2"/>
          <w:sz w:val="22"/>
          <w:szCs w:val="22"/>
        </w:rPr>
      </w:pPr>
      <w:r>
        <w:rPr>
          <w:rFonts w:hint="eastAsia" w:ascii="楷体" w:hAnsi="楷体" w:eastAsia="楷体" w:cs="楷体"/>
          <w:b/>
          <w:bCs/>
          <w:kern w:val="2"/>
          <w:sz w:val="22"/>
          <w:szCs w:val="22"/>
        </w:rPr>
        <w:t>涡扇发动机：</w:t>
      </w:r>
      <w:r>
        <w:rPr>
          <w:rFonts w:hint="eastAsia" w:ascii="楷体" w:hAnsi="楷体" w:eastAsia="楷体" w:cs="楷体"/>
          <w:kern w:val="2"/>
          <w:sz w:val="22"/>
          <w:szCs w:val="22"/>
        </w:rPr>
        <w:t>通过增设风扇绕流核心区域的空气，从而提升推进效率、燃油经济性并降低噪音。该机型是商用客机和军用运输机的首选。</w:t>
      </w:r>
    </w:p>
    <w:p w14:paraId="63F51D64">
      <w:pPr>
        <w:widowControl w:val="0"/>
        <w:numPr>
          <w:ilvl w:val="0"/>
          <w:numId w:val="16"/>
        </w:numPr>
        <w:jc w:val="both"/>
        <w:rPr>
          <w:rFonts w:hint="eastAsia" w:ascii="楷体" w:hAnsi="楷体" w:eastAsia="楷体" w:cs="楷体"/>
          <w:kern w:val="2"/>
          <w:sz w:val="22"/>
          <w:szCs w:val="22"/>
        </w:rPr>
      </w:pPr>
      <w:r>
        <w:rPr>
          <w:rFonts w:hint="eastAsia" w:ascii="楷体" w:hAnsi="楷体" w:eastAsia="楷体" w:cs="楷体"/>
          <w:b/>
          <w:bCs/>
          <w:kern w:val="2"/>
          <w:sz w:val="22"/>
          <w:szCs w:val="22"/>
        </w:rPr>
        <w:t>涡轮螺旋桨发动机：</w:t>
      </w:r>
      <w:r>
        <w:rPr>
          <w:rFonts w:hint="eastAsia" w:ascii="楷体" w:hAnsi="楷体" w:eastAsia="楷体" w:cs="楷体"/>
          <w:kern w:val="2"/>
          <w:sz w:val="22"/>
          <w:szCs w:val="22"/>
        </w:rPr>
        <w:t>通过涡轮驱动螺旋桨，将喷气动力转化为机械能；具有高燃油效率，广泛应用于支线客机和军用运输机，但高速性能有限。</w:t>
      </w:r>
    </w:p>
    <w:p w14:paraId="63F51D65">
      <w:pPr>
        <w:widowControl w:val="0"/>
        <w:numPr>
          <w:ilvl w:val="0"/>
          <w:numId w:val="16"/>
        </w:numPr>
        <w:jc w:val="both"/>
        <w:rPr>
          <w:rFonts w:hint="eastAsia" w:ascii="楷体" w:hAnsi="楷体" w:eastAsia="楷体" w:cs="楷体"/>
          <w:kern w:val="2"/>
          <w:sz w:val="22"/>
          <w:szCs w:val="22"/>
        </w:rPr>
      </w:pPr>
      <w:r>
        <w:rPr>
          <w:rFonts w:hint="eastAsia" w:ascii="楷体" w:hAnsi="楷体" w:eastAsia="楷体" w:cs="楷体"/>
          <w:b/>
          <w:bCs/>
          <w:kern w:val="2"/>
          <w:sz w:val="22"/>
          <w:szCs w:val="22"/>
        </w:rPr>
        <w:t>涡轮轴发动机：</w:t>
      </w:r>
      <w:r>
        <w:rPr>
          <w:rFonts w:hint="eastAsia" w:ascii="楷体" w:hAnsi="楷体" w:eastAsia="楷体" w:cs="楷体"/>
          <w:kern w:val="2"/>
          <w:sz w:val="22"/>
          <w:szCs w:val="22"/>
        </w:rPr>
        <w:t>可将喷气动力完全转化为轴功率，广泛应用于直升机等旋翼飞行器，实现垂直起降与悬停功能。</w:t>
      </w:r>
    </w:p>
    <w:p w14:paraId="63F51D66">
      <w:pPr>
        <w:widowControl w:val="0"/>
        <w:ind w:left="360"/>
        <w:jc w:val="both"/>
        <w:rPr>
          <w:rFonts w:eastAsia="楷体" w:cs="Calibri"/>
          <w:b/>
          <w:bCs/>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63F51D68">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63F51D67">
            <w:pPr>
              <w:spacing w:before="48" w:beforeLines="20" w:after="48" w:afterLines="20"/>
              <w:jc w:val="both"/>
              <w:textAlignment w:val="center"/>
              <w:rPr>
                <w:rFonts w:hint="eastAsia" w:ascii="楷体" w:hAnsi="楷体" w:eastAsia="楷体" w:cs="Calibri"/>
                <w:sz w:val="20"/>
                <w:szCs w:val="20"/>
              </w:rPr>
            </w:pPr>
            <w:r>
              <w:rPr>
                <w:rFonts w:hint="eastAsia" w:ascii="楷体" w:hAnsi="楷体" w:eastAsia="楷体" w:cs="Calibri"/>
                <w:b/>
                <w:sz w:val="20"/>
                <w:szCs w:val="20"/>
              </w:rPr>
              <w:t>图:涡轮发动机飞机的比较</w:t>
            </w:r>
          </w:p>
        </w:tc>
      </w:tr>
      <w:tr w14:paraId="63F51D6A">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63F51D69">
            <w:pPr>
              <w:spacing w:before="48" w:beforeLines="20" w:after="48" w:afterLines="20"/>
              <w:jc w:val="center"/>
              <w:textAlignment w:val="center"/>
              <w:rPr>
                <w:rFonts w:eastAsia="宋体" w:cs="Calibri"/>
                <w:b/>
                <w:bCs/>
                <w:sz w:val="20"/>
                <w:szCs w:val="20"/>
              </w:rPr>
            </w:pPr>
            <w:r>
              <w:rPr>
                <w:rFonts w:eastAsia="宋体" w:cs="Calibri"/>
                <w:b/>
                <w:bCs/>
                <w:sz w:val="20"/>
                <w:szCs w:val="20"/>
              </w:rPr>
              <w:drawing>
                <wp:inline distT="0" distB="0" distL="0" distR="0">
                  <wp:extent cx="4535170" cy="2273935"/>
                  <wp:effectExtent l="0" t="0" r="0" b="0"/>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33"/>
                          <a:stretch>
                            <a:fillRect/>
                          </a:stretch>
                        </pic:blipFill>
                        <pic:spPr>
                          <a:xfrm>
                            <a:off x="0" y="0"/>
                            <a:ext cx="4541191" cy="2277486"/>
                          </a:xfrm>
                          <a:prstGeom prst="rect">
                            <a:avLst/>
                          </a:prstGeom>
                        </pic:spPr>
                      </pic:pic>
                    </a:graphicData>
                  </a:graphic>
                </wp:inline>
              </w:drawing>
            </w:r>
          </w:p>
        </w:tc>
      </w:tr>
      <w:tr w14:paraId="63F51D6C">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63F51D6B">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kern w:val="2"/>
                <w:sz w:val="22"/>
                <w:szCs w:val="22"/>
              </w:rPr>
              <w:t>Boldmethod</w:t>
            </w:r>
            <w:r>
              <w:rPr>
                <w:rFonts w:hint="eastAsia" w:ascii="楷体" w:hAnsi="楷体" w:eastAsia="楷体" w:cs="Calibri"/>
                <w:sz w:val="20"/>
                <w:szCs w:val="20"/>
              </w:rPr>
              <w:t>, HFI</w:t>
            </w:r>
          </w:p>
        </w:tc>
      </w:tr>
    </w:tbl>
    <w:p w14:paraId="63F51D6D">
      <w:pPr>
        <w:jc w:val="both"/>
        <w:rPr>
          <w:rFonts w:hint="eastAsia" w:ascii="微软雅黑" w:hAnsi="微软雅黑" w:eastAsia="微软雅黑" w:cs="微软雅黑"/>
          <w:b/>
          <w:bCs/>
          <w:kern w:val="2"/>
          <w:sz w:val="20"/>
          <w:szCs w:val="20"/>
        </w:rPr>
      </w:pPr>
    </w:p>
    <w:p w14:paraId="63F51D6E">
      <w:pPr>
        <w:jc w:val="both"/>
        <w:rPr>
          <w:rFonts w:hint="eastAsia" w:ascii="楷体" w:hAnsi="楷体" w:eastAsia="楷体" w:cs="楷体"/>
          <w:kern w:val="2"/>
          <w:sz w:val="22"/>
          <w:szCs w:val="22"/>
        </w:rPr>
      </w:pPr>
      <w:r>
        <w:rPr>
          <w:rFonts w:hint="eastAsia" w:ascii="楷体" w:hAnsi="楷体" w:eastAsia="楷体" w:cs="楷体"/>
          <w:b/>
          <w:bCs/>
          <w:kern w:val="2"/>
          <w:sz w:val="22"/>
          <w:szCs w:val="22"/>
        </w:rPr>
        <w:t>全球通用航空器交付量呈现稳步增长态势。</w:t>
      </w:r>
      <w:r>
        <w:rPr>
          <w:rFonts w:hint="eastAsia" w:ascii="楷体" w:hAnsi="楷体" w:eastAsia="楷体" w:cs="楷体"/>
          <w:kern w:val="2"/>
          <w:sz w:val="22"/>
          <w:szCs w:val="22"/>
        </w:rPr>
        <w:t>2019至2023年间，交付量从2,657架增至3,050架，五年 CAGR 达3.5%。同期交付价值保持相对稳定，2019年为236亿美元，2023年为234亿美元。根据通用航空制造商协会（GAMA）预测，2024至2028年交付量与交付价值的五年 CAGR 预计将超过6%，到2028年交付量预计达3,779架，交付价值达342.4亿美元。</w:t>
      </w:r>
    </w:p>
    <w:p w14:paraId="63F51D6F">
      <w:pPr>
        <w:jc w:val="both"/>
        <w:rPr>
          <w:rFonts w:eastAsia="楷体" w:cs="Calibri"/>
          <w:b/>
          <w:bCs/>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14:paraId="63F51D73">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14:paraId="63F51D70">
            <w:pPr>
              <w:spacing w:before="48" w:beforeLines="20" w:after="48" w:afterLines="20"/>
              <w:jc w:val="both"/>
              <w:textAlignment w:val="center"/>
              <w:rPr>
                <w:rFonts w:hint="eastAsia" w:ascii="楷体" w:hAnsi="楷体" w:eastAsia="楷体" w:cs="Calibri"/>
                <w:b/>
                <w:sz w:val="20"/>
                <w:szCs w:val="20"/>
                <w:highlight w:val="yellow"/>
              </w:rPr>
            </w:pPr>
            <w:r>
              <w:rPr>
                <w:rFonts w:hint="eastAsia" w:ascii="楷体" w:hAnsi="楷体" w:eastAsia="楷体" w:cs="Calibri"/>
                <w:b/>
                <w:sz w:val="20"/>
                <w:szCs w:val="20"/>
              </w:rPr>
              <w:t>图：全球通用航空器交付量（架）</w:t>
            </w:r>
          </w:p>
        </w:tc>
        <w:tc>
          <w:tcPr>
            <w:tcW w:w="241" w:type="dxa"/>
            <w:tcMar>
              <w:left w:w="0" w:type="dxa"/>
              <w:right w:w="28" w:type="dxa"/>
            </w:tcMar>
          </w:tcPr>
          <w:p w14:paraId="63F51D71">
            <w:pPr>
              <w:spacing w:before="48" w:beforeLines="20" w:after="48" w:afterLines="20"/>
              <w:jc w:val="both"/>
              <w:rPr>
                <w:rFonts w:eastAsia="楷体_GB2312" w:cs="Calibri"/>
                <w:sz w:val="20"/>
                <w:szCs w:val="20"/>
                <w:highlight w:val="yellow"/>
              </w:rPr>
            </w:pPr>
          </w:p>
        </w:tc>
        <w:tc>
          <w:tcPr>
            <w:tcW w:w="5149" w:type="dxa"/>
            <w:tcBorders>
              <w:bottom w:val="single" w:color="auto" w:sz="4" w:space="0"/>
            </w:tcBorders>
            <w:tcMar>
              <w:left w:w="0" w:type="dxa"/>
              <w:right w:w="28" w:type="dxa"/>
            </w:tcMar>
          </w:tcPr>
          <w:p w14:paraId="63F51D72">
            <w:pPr>
              <w:spacing w:before="48" w:beforeLines="20" w:after="48" w:afterLines="20"/>
              <w:jc w:val="both"/>
              <w:rPr>
                <w:rFonts w:hint="eastAsia" w:ascii="楷体" w:hAnsi="楷体" w:eastAsia="楷体" w:cs="Calibri"/>
                <w:b/>
                <w:sz w:val="20"/>
                <w:szCs w:val="20"/>
              </w:rPr>
            </w:pPr>
            <w:r>
              <w:rPr>
                <w:rFonts w:hint="eastAsia" w:ascii="楷体" w:hAnsi="楷体" w:eastAsia="楷体" w:cs="Calibri"/>
                <w:b/>
                <w:sz w:val="20"/>
                <w:szCs w:val="20"/>
              </w:rPr>
              <w:t>图：全球通用航空器交付量（美元）</w:t>
            </w:r>
          </w:p>
        </w:tc>
      </w:tr>
      <w:tr w14:paraId="63F51D77">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63F51D74">
            <w:pPr>
              <w:spacing w:before="48" w:beforeLines="20" w:after="48" w:afterLines="20"/>
              <w:jc w:val="both"/>
              <w:textAlignment w:val="center"/>
              <w:rPr>
                <w:rFonts w:eastAsia="楷体_GB2312" w:cs="Calibri"/>
                <w:b/>
                <w:color w:val="000000"/>
                <w:sz w:val="20"/>
                <w:szCs w:val="20"/>
                <w:lang w:bidi="ar"/>
              </w:rPr>
            </w:pPr>
            <w:r>
              <w:drawing>
                <wp:inline distT="0" distB="0" distL="114300" distR="114300">
                  <wp:extent cx="3100705" cy="2042160"/>
                  <wp:effectExtent l="0" t="0" r="0" b="0"/>
                  <wp:docPr id="17" name="图表 7"/>
                  <wp:cNvGraphicFramePr/>
                  <a:graphic xmlns:a="http://schemas.openxmlformats.org/drawingml/2006/main">
                    <a:graphicData uri="http://schemas.openxmlformats.org/drawingml/2006/chart">
                      <c:chart xmlns:c="http://schemas.openxmlformats.org/drawingml/2006/chart" r:id="rId82"/>
                    </a:graphicData>
                  </a:graphic>
                </wp:inline>
              </w:drawing>
            </w:r>
          </w:p>
        </w:tc>
        <w:tc>
          <w:tcPr>
            <w:tcW w:w="241" w:type="dxa"/>
          </w:tcPr>
          <w:p w14:paraId="63F51D75">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14:paraId="63F51D76">
            <w:pPr>
              <w:spacing w:before="48" w:beforeLines="20" w:after="48" w:afterLines="20"/>
              <w:jc w:val="both"/>
              <w:rPr>
                <w:rFonts w:eastAsia="楷体_GB2312" w:cs="Calibri"/>
                <w:b/>
                <w:sz w:val="20"/>
                <w:szCs w:val="20"/>
              </w:rPr>
            </w:pPr>
            <w:r>
              <w:drawing>
                <wp:inline distT="0" distB="0" distL="114300" distR="114300">
                  <wp:extent cx="3131820" cy="2037715"/>
                  <wp:effectExtent l="0" t="0" r="0" b="0"/>
                  <wp:docPr id="18" name="图表 8"/>
                  <wp:cNvGraphicFramePr/>
                  <a:graphic xmlns:a="http://schemas.openxmlformats.org/drawingml/2006/main">
                    <a:graphicData uri="http://schemas.openxmlformats.org/drawingml/2006/chart">
                      <c:chart xmlns:c="http://schemas.openxmlformats.org/drawingml/2006/chart" r:id="rId83"/>
                    </a:graphicData>
                  </a:graphic>
                </wp:inline>
              </w:drawing>
            </w:r>
          </w:p>
        </w:tc>
      </w:tr>
      <w:tr w14:paraId="63F51D7B">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14:paraId="63F51D78">
            <w:pPr>
              <w:spacing w:before="48" w:beforeLines="20" w:after="48" w:afterLines="20"/>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c>
          <w:tcPr>
            <w:tcW w:w="241" w:type="dxa"/>
            <w:tcMar>
              <w:left w:w="0" w:type="dxa"/>
              <w:right w:w="28" w:type="dxa"/>
            </w:tcMar>
          </w:tcPr>
          <w:p w14:paraId="63F51D79">
            <w:pPr>
              <w:spacing w:before="48" w:beforeLines="20" w:after="48" w:afterLines="20"/>
              <w:jc w:val="both"/>
              <w:rPr>
                <w:rFonts w:hint="eastAsia" w:ascii="楷体" w:hAnsi="楷体" w:eastAsia="楷体" w:cs="Calibri"/>
                <w:sz w:val="20"/>
                <w:szCs w:val="20"/>
              </w:rPr>
            </w:pPr>
          </w:p>
        </w:tc>
        <w:tc>
          <w:tcPr>
            <w:tcW w:w="5149" w:type="dxa"/>
            <w:tcBorders>
              <w:top w:val="single" w:color="auto" w:sz="4" w:space="0"/>
            </w:tcBorders>
            <w:tcMar>
              <w:left w:w="0" w:type="dxa"/>
              <w:right w:w="28" w:type="dxa"/>
            </w:tcMar>
          </w:tcPr>
          <w:p w14:paraId="63F51D7A">
            <w:pPr>
              <w:spacing w:before="48" w:beforeLines="20" w:after="48" w:afterLines="20"/>
              <w:jc w:val="both"/>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w:t>
            </w:r>
            <w:r>
              <w:rPr>
                <w:rFonts w:ascii="楷体" w:hAnsi="楷体" w:eastAsia="楷体" w:cs="Calibri"/>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Wind,HFI</w:t>
            </w:r>
          </w:p>
        </w:tc>
      </w:tr>
    </w:tbl>
    <w:p w14:paraId="63F51D7C">
      <w:pPr>
        <w:jc w:val="both"/>
        <w:rPr>
          <w:rFonts w:eastAsia="楷体" w:cs="Calibri"/>
          <w:b/>
          <w:bCs/>
          <w:kern w:val="2"/>
          <w:sz w:val="22"/>
          <w:szCs w:val="22"/>
        </w:rPr>
      </w:pPr>
    </w:p>
    <w:p w14:paraId="63F51D7D">
      <w:pPr>
        <w:jc w:val="both"/>
        <w:rPr>
          <w:rFonts w:hint="eastAsia" w:ascii="楷体" w:hAnsi="楷体" w:eastAsia="楷体" w:cs="楷体"/>
          <w:kern w:val="2"/>
          <w:sz w:val="22"/>
          <w:szCs w:val="22"/>
        </w:rPr>
      </w:pPr>
      <w:r>
        <w:rPr>
          <w:rFonts w:hint="eastAsia" w:ascii="楷体" w:hAnsi="楷体" w:eastAsia="楷体" w:cs="楷体"/>
          <w:b/>
          <w:bCs/>
          <w:kern w:val="2"/>
          <w:sz w:val="22"/>
          <w:szCs w:val="22"/>
        </w:rPr>
        <w:t>全球通用航空市场呈现北美地区增长为主</w:t>
      </w:r>
      <w:r>
        <w:rPr>
          <w:rFonts w:hint="eastAsia" w:ascii="楷体" w:hAnsi="楷体" w:eastAsia="楷体" w:cs="楷体"/>
          <w:kern w:val="2"/>
          <w:sz w:val="22"/>
          <w:szCs w:val="22"/>
        </w:rPr>
        <w:t>、</w:t>
      </w:r>
      <w:r>
        <w:rPr>
          <w:rFonts w:hint="eastAsia" w:ascii="楷体" w:hAnsi="楷体" w:eastAsia="楷体" w:cs="楷体"/>
          <w:b/>
          <w:bCs/>
          <w:kern w:val="2"/>
          <w:sz w:val="22"/>
          <w:szCs w:val="22"/>
        </w:rPr>
        <w:t>欧洲保持稳定、亚太地区面临调整压力、拉美/中东及非洲地区增速放缓的格局。</w:t>
      </w:r>
      <w:r>
        <w:rPr>
          <w:rFonts w:hint="eastAsia" w:ascii="楷体" w:hAnsi="楷体" w:eastAsia="楷体" w:cs="楷体"/>
          <w:kern w:val="2"/>
          <w:sz w:val="22"/>
          <w:szCs w:val="22"/>
        </w:rPr>
        <w:t>未来随着各国政策落地实施，特别是中国持续推进低空经济与通用航空发展，亚太地区的市场份额有望回升。</w:t>
      </w:r>
    </w:p>
    <w:p w14:paraId="63F51D7E">
      <w:pPr>
        <w:rPr>
          <w:rFonts w:hint="eastAsia" w:eastAsia="楷体" w:asciiTheme="minorHAnsi" w:hAnsiTheme="minorHAnsi" w:cstheme="minorHAns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63F51D80">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63F51D7F">
            <w:pPr>
              <w:spacing w:before="48" w:beforeLines="20" w:after="48" w:afterLines="20"/>
              <w:jc w:val="both"/>
              <w:textAlignment w:val="center"/>
              <w:rPr>
                <w:rFonts w:hint="eastAsia" w:ascii="楷体" w:hAnsi="楷体" w:eastAsia="楷体" w:cs="Calibri"/>
                <w:sz w:val="20"/>
                <w:szCs w:val="20"/>
              </w:rPr>
            </w:pPr>
            <w:r>
              <w:rPr>
                <w:rFonts w:hint="eastAsia" w:ascii="楷体" w:hAnsi="楷体" w:eastAsia="楷体" w:cs="Calibri"/>
                <w:b/>
                <w:sz w:val="20"/>
                <w:szCs w:val="20"/>
              </w:rPr>
              <w:t>图：全球通用航空器按地区交付量（架）</w:t>
            </w:r>
          </w:p>
        </w:tc>
      </w:tr>
      <w:tr w14:paraId="63F51D82">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63F51D81">
            <w:pPr>
              <w:spacing w:before="48" w:beforeLines="20" w:after="48" w:afterLines="20"/>
              <w:jc w:val="center"/>
              <w:textAlignment w:val="center"/>
              <w:rPr>
                <w:rFonts w:eastAsia="宋体" w:cs="Calibri"/>
                <w:b/>
                <w:bCs/>
                <w:sz w:val="20"/>
                <w:szCs w:val="20"/>
              </w:rPr>
            </w:pPr>
            <w:r>
              <w:drawing>
                <wp:inline distT="0" distB="0" distL="114300" distR="114300">
                  <wp:extent cx="4380865" cy="2126615"/>
                  <wp:effectExtent l="0" t="0" r="635" b="6985"/>
                  <wp:docPr id="19" name="图表 10"/>
                  <wp:cNvGraphicFramePr/>
                  <a:graphic xmlns:a="http://schemas.openxmlformats.org/drawingml/2006/main">
                    <a:graphicData uri="http://schemas.openxmlformats.org/drawingml/2006/chart">
                      <c:chart xmlns:c="http://schemas.openxmlformats.org/drawingml/2006/chart" r:id="rId84"/>
                    </a:graphicData>
                  </a:graphic>
                </wp:inline>
              </w:drawing>
            </w:r>
          </w:p>
        </w:tc>
      </w:tr>
      <w:tr w14:paraId="63F51D84">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63F51D83">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r>
    </w:tbl>
    <w:p w14:paraId="63F51D85">
      <w:pPr>
        <w:rPr>
          <w:rFonts w:hint="eastAsia" w:eastAsia="楷体" w:asciiTheme="minorHAnsi" w:hAnsiTheme="minorHAnsi" w:cstheme="minorHAnsi"/>
          <w:kern w:val="2"/>
          <w:sz w:val="22"/>
          <w:szCs w:val="22"/>
        </w:rPr>
      </w:pPr>
    </w:p>
    <w:p w14:paraId="63F51D86">
      <w:pPr>
        <w:pStyle w:val="77"/>
        <w:jc w:val="both"/>
        <w:rPr>
          <w:rFonts w:hint="eastAsia" w:ascii="楷体" w:hAnsi="楷体" w:eastAsia="楷体" w:cs="楷体"/>
          <w:b w:val="0"/>
          <w:bCs w:val="0"/>
          <w:color w:val="23558C"/>
          <w:kern w:val="2"/>
          <w:sz w:val="24"/>
          <w:szCs w:val="24"/>
        </w:rPr>
      </w:pPr>
      <w:bookmarkStart w:id="12" w:name="_Toc219028021"/>
      <w:r>
        <w:rPr>
          <w:rFonts w:hint="eastAsia" w:ascii="楷体" w:hAnsi="楷体" w:eastAsia="楷体" w:cs="楷体"/>
          <w:color w:val="23558C"/>
          <w:sz w:val="24"/>
          <w:szCs w:val="24"/>
        </w:rPr>
        <w:t>2.2 全球私人飞机市场：交付稳步增长，行业集中度较高</w:t>
      </w:r>
      <w:bookmarkEnd w:id="11"/>
    </w:p>
    <w:p w14:paraId="63F51D87">
      <w:pPr>
        <w:rPr>
          <w:rFonts w:eastAsia="楷体" w:cs="Calibri"/>
          <w:b/>
          <w:bCs/>
          <w:kern w:val="2"/>
          <w:sz w:val="22"/>
          <w:szCs w:val="22"/>
        </w:rPr>
      </w:pPr>
      <w:r>
        <w:rPr>
          <w:rFonts w:hint="eastAsia" w:ascii="楷体" w:hAnsi="楷体" w:eastAsia="楷体" w:cs="楷体"/>
          <w:b/>
          <w:bCs/>
          <w:kern w:val="2"/>
          <w:sz w:val="22"/>
          <w:szCs w:val="22"/>
        </w:rPr>
        <w:t>全球私人飞机市场在交付量和价值方面持续增长，平均售价也呈现上升趋势。</w:t>
      </w:r>
      <w:r>
        <w:rPr>
          <w:rFonts w:hint="eastAsia" w:ascii="楷体" w:hAnsi="楷体" w:eastAsia="楷体" w:cs="楷体"/>
          <w:kern w:val="2"/>
          <w:sz w:val="22"/>
          <w:szCs w:val="22"/>
        </w:rPr>
        <w:t>私人飞机因其高度灵活性、隐私保护、安全性、时间效率及全年可用性而日益受到青睐。全球交付量从2019年的1,894架增至2023年的2,215架（4年CAGR 为4%），交付价值从27亿美元增长至37亿美元（4年CAGR为8.5%）。平均售价从2019年的143万美元攀升至2023年的167万美元，主要受原材料和劳动力成本上涨以及制造商对高端机型研发投资增加的推动。</w:t>
      </w:r>
    </w:p>
    <w:p w14:paraId="63F51D88">
      <w:pPr>
        <w:rPr>
          <w:rFonts w:eastAsia="楷体" w:cs="Calibri"/>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14:paraId="63F51D8C">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14:paraId="63F51D89">
            <w:pPr>
              <w:spacing w:before="48" w:beforeLines="20" w:after="48" w:afterLines="20"/>
              <w:jc w:val="both"/>
              <w:textAlignment w:val="center"/>
              <w:rPr>
                <w:rFonts w:hint="eastAsia" w:ascii="楷体" w:hAnsi="楷体" w:eastAsia="楷体" w:cs="Calibri"/>
                <w:b/>
                <w:sz w:val="20"/>
                <w:szCs w:val="20"/>
                <w:highlight w:val="yellow"/>
              </w:rPr>
            </w:pPr>
            <w:r>
              <w:rPr>
                <w:rFonts w:hint="eastAsia" w:ascii="楷体" w:hAnsi="楷体" w:eastAsia="楷体" w:cs="Calibri"/>
                <w:b/>
                <w:sz w:val="20"/>
                <w:szCs w:val="20"/>
              </w:rPr>
              <w:t>图：全球私人飞机交付量（架）</w:t>
            </w:r>
          </w:p>
        </w:tc>
        <w:tc>
          <w:tcPr>
            <w:tcW w:w="241" w:type="dxa"/>
            <w:tcMar>
              <w:left w:w="0" w:type="dxa"/>
              <w:right w:w="28" w:type="dxa"/>
            </w:tcMar>
          </w:tcPr>
          <w:p w14:paraId="63F51D8A">
            <w:pPr>
              <w:spacing w:before="48" w:beforeLines="20" w:after="48" w:afterLines="20"/>
              <w:jc w:val="both"/>
              <w:rPr>
                <w:rFonts w:eastAsia="楷体_GB2312" w:cs="Calibri"/>
                <w:sz w:val="20"/>
                <w:szCs w:val="20"/>
                <w:highlight w:val="yellow"/>
              </w:rPr>
            </w:pPr>
          </w:p>
        </w:tc>
        <w:tc>
          <w:tcPr>
            <w:tcW w:w="5149" w:type="dxa"/>
            <w:tcBorders>
              <w:bottom w:val="single" w:color="auto" w:sz="4" w:space="0"/>
            </w:tcBorders>
            <w:tcMar>
              <w:left w:w="0" w:type="dxa"/>
              <w:right w:w="28" w:type="dxa"/>
            </w:tcMar>
          </w:tcPr>
          <w:p w14:paraId="63F51D8B">
            <w:pPr>
              <w:spacing w:before="48" w:beforeLines="20" w:after="48" w:afterLines="20"/>
              <w:jc w:val="both"/>
              <w:rPr>
                <w:rFonts w:hint="eastAsia" w:ascii="楷体" w:hAnsi="楷体" w:eastAsia="楷体" w:cs="Calibri"/>
                <w:b/>
                <w:sz w:val="20"/>
                <w:szCs w:val="20"/>
              </w:rPr>
            </w:pPr>
            <w:r>
              <w:rPr>
                <w:rFonts w:hint="eastAsia" w:ascii="楷体" w:hAnsi="楷体" w:eastAsia="楷体" w:cs="Calibri"/>
                <w:b/>
                <w:sz w:val="20"/>
                <w:szCs w:val="20"/>
              </w:rPr>
              <w:t>图：全球私人飞机交付价值（美元）</w:t>
            </w:r>
          </w:p>
        </w:tc>
      </w:tr>
      <w:tr w14:paraId="63F51D90">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63F51D8D">
            <w:pPr>
              <w:spacing w:before="48" w:beforeLines="20" w:after="48" w:afterLines="20"/>
              <w:jc w:val="both"/>
              <w:textAlignment w:val="center"/>
              <w:rPr>
                <w:rFonts w:eastAsia="楷体_GB2312" w:cs="Calibri"/>
                <w:b/>
                <w:color w:val="000000"/>
                <w:sz w:val="20"/>
                <w:szCs w:val="20"/>
                <w:lang w:bidi="ar"/>
              </w:rPr>
            </w:pPr>
            <w:r>
              <w:drawing>
                <wp:inline distT="0" distB="0" distL="114300" distR="114300">
                  <wp:extent cx="3098800" cy="2212975"/>
                  <wp:effectExtent l="0" t="0" r="6350" b="0"/>
                  <wp:docPr id="20" name="图表 1"/>
                  <wp:cNvGraphicFramePr/>
                  <a:graphic xmlns:a="http://schemas.openxmlformats.org/drawingml/2006/main">
                    <a:graphicData uri="http://schemas.openxmlformats.org/drawingml/2006/chart">
                      <c:chart xmlns:c="http://schemas.openxmlformats.org/drawingml/2006/chart" r:id="rId85"/>
                    </a:graphicData>
                  </a:graphic>
                </wp:inline>
              </w:drawing>
            </w:r>
          </w:p>
        </w:tc>
        <w:tc>
          <w:tcPr>
            <w:tcW w:w="241" w:type="dxa"/>
          </w:tcPr>
          <w:p w14:paraId="63F51D8E">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14:paraId="63F51D8F">
            <w:pPr>
              <w:spacing w:before="48" w:beforeLines="20" w:after="48" w:afterLines="20"/>
              <w:jc w:val="both"/>
              <w:rPr>
                <w:rFonts w:eastAsia="楷体_GB2312" w:cs="Calibri"/>
                <w:b/>
                <w:sz w:val="20"/>
                <w:szCs w:val="20"/>
              </w:rPr>
            </w:pPr>
            <w:r>
              <w:drawing>
                <wp:inline distT="0" distB="0" distL="114300" distR="114300">
                  <wp:extent cx="3130550" cy="2239010"/>
                  <wp:effectExtent l="0" t="0" r="0" b="8890"/>
                  <wp:docPr id="21" name="图表 2"/>
                  <wp:cNvGraphicFramePr/>
                  <a:graphic xmlns:a="http://schemas.openxmlformats.org/drawingml/2006/main">
                    <a:graphicData uri="http://schemas.openxmlformats.org/drawingml/2006/chart">
                      <c:chart xmlns:c="http://schemas.openxmlformats.org/drawingml/2006/chart" r:id="rId86"/>
                    </a:graphicData>
                  </a:graphic>
                </wp:inline>
              </w:drawing>
            </w:r>
          </w:p>
        </w:tc>
      </w:tr>
      <w:tr w14:paraId="63F51D94">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14:paraId="63F51D91">
            <w:pPr>
              <w:spacing w:before="48" w:beforeLines="20" w:after="48" w:afterLines="20"/>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c>
          <w:tcPr>
            <w:tcW w:w="241" w:type="dxa"/>
            <w:tcMar>
              <w:left w:w="0" w:type="dxa"/>
              <w:right w:w="28" w:type="dxa"/>
            </w:tcMar>
          </w:tcPr>
          <w:p w14:paraId="63F51D92">
            <w:pPr>
              <w:spacing w:before="48" w:beforeLines="20" w:after="48" w:afterLines="20"/>
              <w:jc w:val="both"/>
              <w:rPr>
                <w:rFonts w:hint="eastAsia" w:ascii="楷体" w:hAnsi="楷体" w:eastAsia="楷体" w:cs="Calibri"/>
                <w:sz w:val="20"/>
                <w:szCs w:val="20"/>
              </w:rPr>
            </w:pPr>
          </w:p>
        </w:tc>
        <w:tc>
          <w:tcPr>
            <w:tcW w:w="5149" w:type="dxa"/>
            <w:tcBorders>
              <w:top w:val="single" w:color="auto" w:sz="4" w:space="0"/>
            </w:tcBorders>
            <w:tcMar>
              <w:left w:w="0" w:type="dxa"/>
              <w:right w:w="28" w:type="dxa"/>
            </w:tcMar>
          </w:tcPr>
          <w:p w14:paraId="63F51D93">
            <w:pPr>
              <w:spacing w:before="48" w:beforeLines="20" w:after="48" w:afterLines="20"/>
              <w:jc w:val="both"/>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r>
    </w:tbl>
    <w:p w14:paraId="63F51D95">
      <w:pPr>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63F51D97">
        <w:trPr>
          <w:trHeight w:val="302" w:hRule="atLeast"/>
        </w:trPr>
        <w:tc>
          <w:tcPr>
            <w:tcW w:w="7466" w:type="dxa"/>
            <w:tcBorders>
              <w:bottom w:val="single" w:color="auto" w:sz="4" w:space="0"/>
            </w:tcBorders>
            <w:tcMar>
              <w:left w:w="0" w:type="dxa"/>
              <w:right w:w="28" w:type="dxa"/>
            </w:tcMar>
          </w:tcPr>
          <w:p w14:paraId="63F51D96">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图：私人飞机平均售价历史趋势（百万美元）</w:t>
            </w:r>
          </w:p>
        </w:tc>
      </w:tr>
      <w:tr w14:paraId="63F51D99">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63F51D98">
            <w:pPr>
              <w:spacing w:before="48" w:beforeLines="20" w:after="48" w:afterLines="20"/>
              <w:jc w:val="center"/>
              <w:textAlignment w:val="center"/>
              <w:rPr>
                <w:rFonts w:eastAsia="宋体" w:cs="Calibri"/>
                <w:b/>
                <w:bCs/>
                <w:sz w:val="20"/>
                <w:szCs w:val="20"/>
              </w:rPr>
            </w:pPr>
            <w:r>
              <w:drawing>
                <wp:inline distT="0" distB="0" distL="114300" distR="114300">
                  <wp:extent cx="4483735" cy="1950720"/>
                  <wp:effectExtent l="0" t="0" r="0" b="0"/>
                  <wp:docPr id="22" name="图表 5"/>
                  <wp:cNvGraphicFramePr/>
                  <a:graphic xmlns:a="http://schemas.openxmlformats.org/drawingml/2006/main">
                    <a:graphicData uri="http://schemas.openxmlformats.org/drawingml/2006/chart">
                      <c:chart xmlns:c="http://schemas.openxmlformats.org/drawingml/2006/chart" r:id="rId87"/>
                    </a:graphicData>
                  </a:graphic>
                </wp:inline>
              </w:drawing>
            </w:r>
          </w:p>
        </w:tc>
      </w:tr>
      <w:tr w14:paraId="63F51D9B">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63F51D9A">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r>
    </w:tbl>
    <w:p w14:paraId="63F51D9C">
      <w:pPr>
        <w:jc w:val="both"/>
        <w:rPr>
          <w:rFonts w:eastAsia="楷体" w:cs="Calibri"/>
          <w:b/>
          <w:bCs/>
          <w:kern w:val="2"/>
          <w:sz w:val="22"/>
          <w:szCs w:val="22"/>
        </w:rPr>
      </w:pPr>
    </w:p>
    <w:p w14:paraId="63F51D9D">
      <w:pPr>
        <w:jc w:val="both"/>
        <w:rPr>
          <w:rFonts w:hint="eastAsia" w:ascii="楷体" w:hAnsi="楷体" w:eastAsia="楷体" w:cs="楷体"/>
          <w:b/>
          <w:bCs/>
          <w:kern w:val="2"/>
          <w:sz w:val="22"/>
          <w:szCs w:val="22"/>
        </w:rPr>
      </w:pPr>
      <w:r>
        <w:rPr>
          <w:rFonts w:hint="eastAsia" w:ascii="楷体" w:hAnsi="楷体" w:eastAsia="楷体" w:cs="楷体"/>
          <w:b/>
          <w:bCs/>
          <w:kern w:val="2"/>
          <w:sz w:val="22"/>
          <w:szCs w:val="22"/>
        </w:rPr>
        <w:t xml:space="preserve">全球私人飞机交付量的持续增长主要受三大因素驱动：一方面是高净值人群（HNWIs）和飞行学员的持续增加，另一方面是基础设施的不断完善。 </w:t>
      </w:r>
    </w:p>
    <w:p w14:paraId="63F51D9E">
      <w:pPr>
        <w:numPr>
          <w:ilvl w:val="0"/>
          <w:numId w:val="17"/>
        </w:numPr>
        <w:jc w:val="both"/>
        <w:rPr>
          <w:rFonts w:hint="eastAsia" w:ascii="楷体" w:hAnsi="楷体" w:eastAsia="楷体" w:cs="楷体"/>
          <w:kern w:val="2"/>
          <w:sz w:val="22"/>
          <w:szCs w:val="22"/>
        </w:rPr>
      </w:pPr>
      <w:r>
        <w:rPr>
          <w:rFonts w:hint="eastAsia" w:ascii="楷体" w:hAnsi="楷体" w:eastAsia="楷体" w:cs="楷体"/>
          <w:kern w:val="2"/>
          <w:sz w:val="22"/>
          <w:szCs w:val="22"/>
        </w:rPr>
        <w:t>私人飞机是高净值人士短途通勤、观光游览及休闲活动的热门选择。2018至2023年间，全球 HNWI 人口从5200万增至7400万（CAGR 为7.2%），预计到2028年将达到1.2亿，2024至2028年复合年增长率（CAGR）达10.6%。</w:t>
      </w:r>
    </w:p>
    <w:p w14:paraId="63F51D9F">
      <w:pPr>
        <w:numPr>
          <w:ilvl w:val="0"/>
          <w:numId w:val="17"/>
        </w:numPr>
        <w:jc w:val="both"/>
        <w:rPr>
          <w:rFonts w:hint="eastAsia" w:ascii="楷体" w:hAnsi="楷体" w:eastAsia="楷体" w:cs="楷体"/>
          <w:kern w:val="2"/>
          <w:sz w:val="22"/>
          <w:szCs w:val="22"/>
        </w:rPr>
      </w:pPr>
      <w:r>
        <w:rPr>
          <w:rFonts w:hint="eastAsia" w:ascii="楷体" w:hAnsi="楷体" w:eastAsia="楷体" w:cs="楷体"/>
          <w:kern w:val="2"/>
          <w:sz w:val="22"/>
          <w:szCs w:val="22"/>
        </w:rPr>
        <w:t>美国飞行学员人数从2019年的19.77万增至2023年的31.65万，复合年增长率（CAGR）达12.5%。</w:t>
      </w:r>
    </w:p>
    <w:p w14:paraId="63F51DA0">
      <w:pPr>
        <w:numPr>
          <w:ilvl w:val="0"/>
          <w:numId w:val="17"/>
        </w:numPr>
        <w:jc w:val="both"/>
        <w:rPr>
          <w:rFonts w:hint="eastAsia" w:ascii="楷体" w:hAnsi="楷体" w:eastAsia="楷体" w:cs="楷体"/>
          <w:kern w:val="2"/>
          <w:sz w:val="22"/>
          <w:szCs w:val="22"/>
        </w:rPr>
      </w:pPr>
      <w:r>
        <w:rPr>
          <w:rFonts w:hint="eastAsia" w:ascii="楷体" w:hAnsi="楷体" w:eastAsia="楷体" w:cs="楷体"/>
          <w:kern w:val="2"/>
          <w:sz w:val="22"/>
          <w:szCs w:val="22"/>
        </w:rPr>
        <w:t>基础设施扩建已奠定坚实基础：Statista数据显示，2022年美国私人机场数量达14,776座，较2014年增长13,863座。</w:t>
      </w:r>
    </w:p>
    <w:p w14:paraId="63F51DA1">
      <w:pPr>
        <w:jc w:val="both"/>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63F51DA3">
        <w:trPr>
          <w:trHeight w:val="302" w:hRule="atLeast"/>
        </w:trPr>
        <w:tc>
          <w:tcPr>
            <w:tcW w:w="7466" w:type="dxa"/>
            <w:tcBorders>
              <w:bottom w:val="single" w:color="auto" w:sz="4" w:space="0"/>
            </w:tcBorders>
            <w:tcMar>
              <w:left w:w="0" w:type="dxa"/>
              <w:right w:w="28" w:type="dxa"/>
            </w:tcMar>
          </w:tcPr>
          <w:p w14:paraId="63F51DA2">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图：1990年至2022年美国私人机场数量</w:t>
            </w:r>
          </w:p>
        </w:tc>
      </w:tr>
      <w:tr w14:paraId="63F51DA5">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63F51DA4">
            <w:pPr>
              <w:spacing w:before="48" w:beforeLines="20" w:after="48" w:afterLines="20"/>
              <w:jc w:val="center"/>
              <w:textAlignment w:val="center"/>
              <w:rPr>
                <w:rFonts w:eastAsia="宋体" w:cs="Calibri"/>
                <w:b/>
                <w:bCs/>
                <w:sz w:val="20"/>
                <w:szCs w:val="20"/>
              </w:rPr>
            </w:pPr>
            <w:r>
              <w:rPr>
                <w:rFonts w:eastAsia="宋体" w:cs="Calibri"/>
                <w:b/>
                <w:bCs/>
                <w:sz w:val="20"/>
                <w:szCs w:val="20"/>
              </w:rPr>
              <w:drawing>
                <wp:inline distT="0" distB="0" distL="0" distR="0">
                  <wp:extent cx="4391025" cy="2636520"/>
                  <wp:effectExtent l="0" t="0" r="0" b="0"/>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40"/>
                          <a:stretch>
                            <a:fillRect/>
                          </a:stretch>
                        </pic:blipFill>
                        <pic:spPr>
                          <a:xfrm>
                            <a:off x="0" y="0"/>
                            <a:ext cx="4402495" cy="2643925"/>
                          </a:xfrm>
                          <a:prstGeom prst="rect">
                            <a:avLst/>
                          </a:prstGeom>
                        </pic:spPr>
                      </pic:pic>
                    </a:graphicData>
                  </a:graphic>
                </wp:inline>
              </w:drawing>
            </w:r>
          </w:p>
        </w:tc>
      </w:tr>
      <w:tr w14:paraId="63F51DA7">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63F51DA6">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eastAsia="楷体" w:cs="Calibri"/>
                <w:kern w:val="2"/>
                <w:sz w:val="22"/>
                <w:szCs w:val="22"/>
              </w:rPr>
              <w:t>Statista</w:t>
            </w:r>
            <w:r>
              <w:rPr>
                <w:rFonts w:eastAsia="楷体" w:cs="Calibri"/>
                <w:sz w:val="20"/>
                <w:szCs w:val="20"/>
              </w:rPr>
              <w:t xml:space="preserve">, </w:t>
            </w:r>
            <w:r>
              <w:rPr>
                <w:rFonts w:hint="eastAsia" w:ascii="楷体" w:hAnsi="楷体" w:eastAsia="楷体" w:cs="Calibri"/>
                <w:sz w:val="20"/>
                <w:szCs w:val="20"/>
              </w:rPr>
              <w:t>HFI</w:t>
            </w:r>
          </w:p>
        </w:tc>
      </w:tr>
    </w:tbl>
    <w:p w14:paraId="63F51DA8">
      <w:pPr>
        <w:jc w:val="both"/>
        <w:rPr>
          <w:rFonts w:eastAsia="楷体" w:cs="Calibri"/>
          <w:kern w:val="2"/>
          <w:sz w:val="22"/>
          <w:szCs w:val="22"/>
        </w:rPr>
      </w:pPr>
    </w:p>
    <w:p w14:paraId="63F51DA9">
      <w:pPr>
        <w:rPr>
          <w:rFonts w:hint="eastAsia" w:ascii="楷体" w:hAnsi="楷体" w:eastAsia="楷体" w:cs="楷体"/>
          <w:kern w:val="2"/>
          <w:sz w:val="22"/>
          <w:szCs w:val="22"/>
        </w:rPr>
      </w:pPr>
      <w:r>
        <w:rPr>
          <w:rFonts w:hint="eastAsia" w:ascii="楷体" w:hAnsi="楷体" w:eastAsia="楷体" w:cs="楷体"/>
          <w:b/>
          <w:bCs/>
          <w:kern w:val="2"/>
          <w:sz w:val="22"/>
          <w:szCs w:val="22"/>
        </w:rPr>
        <w:t>该行业呈现高度集中格局，西锐航空占据主导地位。</w:t>
      </w:r>
      <w:r>
        <w:rPr>
          <w:rFonts w:hint="eastAsia" w:ascii="楷体" w:hAnsi="楷体" w:eastAsia="楷体" w:cs="楷体"/>
          <w:kern w:val="2"/>
          <w:sz w:val="22"/>
          <w:szCs w:val="22"/>
        </w:rPr>
        <w:t>在全球私人飞机市场中，西锐航空、塞斯纳（自2014年起归属德事隆航空）和钻石飞机是主要制造商。根据GAMA报告，2023年西锐航空、塞斯纳和钻石飞机的交付量分别为708架、618架和273架。三家公司合计占据总销量市场份额的47.6%，其中西锐航空占比23.2%。</w:t>
      </w:r>
    </w:p>
    <w:p w14:paraId="63F51DAA">
      <w:pPr>
        <w:rPr>
          <w:rFonts w:hint="eastAsia" w:ascii="微软雅黑" w:hAnsi="微软雅黑" w:eastAsia="微软雅黑" w:cs="微软雅黑"/>
          <w:kern w:val="2"/>
          <w:sz w:val="20"/>
          <w:szCs w:val="20"/>
        </w:rPr>
      </w:pPr>
    </w:p>
    <w:tbl>
      <w:tblPr>
        <w:tblStyle w:val="19"/>
        <w:tblW w:w="7466" w:type="dxa"/>
        <w:tblInd w:w="0" w:type="dxa"/>
        <w:tblLayout w:type="fixed"/>
        <w:tblCellMar>
          <w:top w:w="0" w:type="dxa"/>
          <w:left w:w="108" w:type="dxa"/>
          <w:bottom w:w="0" w:type="dxa"/>
          <w:right w:w="108" w:type="dxa"/>
        </w:tblCellMar>
      </w:tblPr>
      <w:tblGrid>
        <w:gridCol w:w="7466"/>
      </w:tblGrid>
      <w:tr w14:paraId="63F51DAC">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63F51DAB">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表：飞机制造商排名</w:t>
            </w:r>
          </w:p>
        </w:tc>
      </w:tr>
      <w:tr w14:paraId="63F51DAE">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63F51DAD">
            <w:pPr>
              <w:spacing w:before="48" w:beforeLines="20" w:after="48" w:afterLines="20"/>
              <w:jc w:val="center"/>
              <w:textAlignment w:val="center"/>
              <w:rPr>
                <w:rFonts w:eastAsia="宋体" w:cs="Calibri"/>
                <w:b/>
                <w:bCs/>
                <w:sz w:val="20"/>
                <w:szCs w:val="20"/>
              </w:rPr>
            </w:pPr>
            <w:r>
              <w:rPr>
                <w:snapToGrid/>
              </w:rPr>
              <w:drawing>
                <wp:inline distT="0" distB="0" distL="0" distR="0">
                  <wp:extent cx="4603750" cy="2086610"/>
                  <wp:effectExtent l="0" t="0" r="6350" b="8890"/>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41"/>
                          <a:stretch>
                            <a:fillRect/>
                          </a:stretch>
                        </pic:blipFill>
                        <pic:spPr>
                          <a:xfrm>
                            <a:off x="0" y="0"/>
                            <a:ext cx="4603750" cy="2086610"/>
                          </a:xfrm>
                          <a:prstGeom prst="rect">
                            <a:avLst/>
                          </a:prstGeom>
                        </pic:spPr>
                      </pic:pic>
                    </a:graphicData>
                  </a:graphic>
                </wp:inline>
              </w:drawing>
            </w:r>
          </w:p>
        </w:tc>
      </w:tr>
      <w:tr w14:paraId="63F51DB0">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63F51DAF">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r>
    </w:tbl>
    <w:p w14:paraId="63F51DB1">
      <w:pPr>
        <w:rPr>
          <w:rFonts w:hint="eastAsia" w:eastAsia="楷体" w:asciiTheme="minorHAnsi" w:hAnsiTheme="minorHAnsi" w:cstheme="minorHAnsi"/>
          <w:kern w:val="2"/>
          <w:sz w:val="22"/>
          <w:szCs w:val="22"/>
        </w:rPr>
      </w:pPr>
    </w:p>
    <w:p w14:paraId="63F51DB2">
      <w:pPr>
        <w:rPr>
          <w:rFonts w:hint="eastAsia" w:ascii="楷体" w:hAnsi="楷体" w:eastAsia="楷体" w:cs="楷体"/>
          <w:b/>
          <w:bCs/>
          <w:sz w:val="22"/>
          <w:szCs w:val="22"/>
        </w:rPr>
      </w:pPr>
      <w:r>
        <w:rPr>
          <w:rFonts w:hint="eastAsia" w:ascii="楷体" w:hAnsi="楷体" w:eastAsia="楷体" w:cs="楷体"/>
          <w:b/>
          <w:bCs/>
          <w:sz w:val="22"/>
          <w:szCs w:val="22"/>
        </w:rPr>
        <w:t>西锐飞机在活塞发动机飞机领域占据显著领先地位，其两大主要型号系列的市场份额均呈现上升趋势。</w:t>
      </w:r>
    </w:p>
    <w:p w14:paraId="06C5F923">
      <w:pPr>
        <w:pStyle w:val="37"/>
        <w:numPr>
          <w:ilvl w:val="0"/>
          <w:numId w:val="18"/>
        </w:numPr>
        <w:rPr>
          <w:rFonts w:hint="eastAsia" w:ascii="楷体" w:hAnsi="楷体" w:eastAsia="楷体" w:cs="楷体"/>
          <w:sz w:val="22"/>
          <w:szCs w:val="22"/>
        </w:rPr>
      </w:pPr>
      <w:r>
        <w:rPr>
          <w:rFonts w:hint="eastAsia" w:ascii="楷体" w:hAnsi="楷体" w:eastAsia="楷体" w:cs="楷体"/>
          <w:b/>
          <w:bCs/>
          <w:sz w:val="22"/>
          <w:szCs w:val="22"/>
        </w:rPr>
        <w:t>活塞发动机飞机：</w:t>
      </w:r>
      <w:r>
        <w:rPr>
          <w:rFonts w:hint="eastAsia" w:ascii="楷体" w:hAnsi="楷体" w:eastAsia="楷体" w:cs="楷体"/>
          <w:sz w:val="22"/>
          <w:szCs w:val="22"/>
        </w:rPr>
        <w:t>从出货量来看，2024年全球五大活塞发动机飞机制造商合计市场份额达84.6%，其中西锐飞机以31.9%的份额位居榜首（较2020年约24.1%的份额显著提升）。西锐飞机处于高端市场，出货量领先。</w:t>
      </w:r>
    </w:p>
    <w:p w14:paraId="513A47EE">
      <w:pPr>
        <w:rPr>
          <w:rFonts w:hint="eastAsia" w:ascii="楷体" w:hAnsi="楷体" w:eastAsia="楷体" w:cs="楷体"/>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63F51DB5">
        <w:trPr>
          <w:trHeight w:val="302" w:hRule="atLeast"/>
        </w:trPr>
        <w:tc>
          <w:tcPr>
            <w:tcW w:w="7466" w:type="dxa"/>
            <w:tcBorders>
              <w:bottom w:val="single" w:color="auto" w:sz="4" w:space="0"/>
            </w:tcBorders>
            <w:tcMar>
              <w:left w:w="0" w:type="dxa"/>
              <w:right w:w="28" w:type="dxa"/>
            </w:tcMar>
          </w:tcPr>
          <w:p w14:paraId="63F51DB4">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图：全球活塞式飞机交付量市场份额（单位：架）</w:t>
            </w:r>
          </w:p>
        </w:tc>
      </w:tr>
      <w:tr w14:paraId="63F51DB7">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63F51DB6">
            <w:pPr>
              <w:spacing w:before="48" w:beforeLines="20" w:after="48" w:afterLines="20"/>
              <w:jc w:val="center"/>
              <w:textAlignment w:val="center"/>
              <w:rPr>
                <w:rFonts w:eastAsia="宋体" w:cs="Calibri"/>
                <w:b/>
                <w:bCs/>
                <w:sz w:val="20"/>
                <w:szCs w:val="20"/>
              </w:rPr>
            </w:pPr>
            <w:r>
              <w:drawing>
                <wp:inline distT="0" distB="0" distL="114300" distR="114300">
                  <wp:extent cx="4598670" cy="2923540"/>
                  <wp:effectExtent l="0" t="0" r="0" b="0"/>
                  <wp:docPr id="25" name="图表 1"/>
                  <wp:cNvGraphicFramePr/>
                  <a:graphic xmlns:a="http://schemas.openxmlformats.org/drawingml/2006/main">
                    <a:graphicData uri="http://schemas.openxmlformats.org/drawingml/2006/chart">
                      <c:chart xmlns:c="http://schemas.openxmlformats.org/drawingml/2006/chart" r:id="rId88"/>
                    </a:graphicData>
                  </a:graphic>
                </wp:inline>
              </w:drawing>
            </w:r>
          </w:p>
        </w:tc>
      </w:tr>
      <w:tr w14:paraId="63F51DB9">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63F51DB8">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r>
    </w:tbl>
    <w:p w14:paraId="63F51DBA">
      <w:pPr>
        <w:rPr>
          <w:rFonts w:hint="eastAsia" w:eastAsia="楷体" w:asciiTheme="minorHAnsi" w:hAnsiTheme="minorHAnsi" w:cstheme="minorHAnsi"/>
          <w:kern w:val="2"/>
          <w:sz w:val="22"/>
          <w:szCs w:val="22"/>
        </w:rPr>
      </w:pPr>
    </w:p>
    <w:p w14:paraId="63F51DBB">
      <w:pPr>
        <w:rPr>
          <w:rFonts w:hint="eastAsia" w:ascii="楷体" w:hAnsi="楷体" w:eastAsia="楷体" w:cs="楷体"/>
          <w:kern w:val="2"/>
          <w:sz w:val="22"/>
          <w:szCs w:val="22"/>
        </w:rPr>
      </w:pPr>
      <w:r>
        <w:rPr>
          <w:rFonts w:hint="eastAsia" w:ascii="楷体" w:hAnsi="楷体" w:eastAsia="楷体" w:cs="楷体"/>
          <w:b/>
          <w:bCs/>
          <w:kern w:val="2"/>
          <w:sz w:val="22"/>
          <w:szCs w:val="22"/>
        </w:rPr>
        <w:t>2)喷气式飞机：</w:t>
      </w:r>
      <w:r>
        <w:rPr>
          <w:rFonts w:hint="eastAsia" w:ascii="楷体" w:hAnsi="楷体" w:eastAsia="楷体" w:cs="楷体"/>
          <w:kern w:val="2"/>
          <w:sz w:val="22"/>
          <w:szCs w:val="22"/>
        </w:rPr>
        <w:t>2024年全球五大喷气式飞机制造商合计市场份额达86.91%，其中西锐飞机以约13.22%的份额位列第五（较2019年的约10.0%有所提升）。</w:t>
      </w:r>
    </w:p>
    <w:p w14:paraId="63F51DBC">
      <w:pPr>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63F51DBE">
        <w:trPr>
          <w:trHeight w:val="302" w:hRule="atLeast"/>
        </w:trPr>
        <w:tc>
          <w:tcPr>
            <w:tcW w:w="7466" w:type="dxa"/>
            <w:tcBorders>
              <w:bottom w:val="single" w:color="auto" w:sz="4" w:space="0"/>
            </w:tcBorders>
            <w:tcMar>
              <w:left w:w="0" w:type="dxa"/>
              <w:right w:w="28" w:type="dxa"/>
            </w:tcMar>
          </w:tcPr>
          <w:p w14:paraId="63F51DBD">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图：全球喷气式飞机交付量市场份额（单位：架）</w:t>
            </w:r>
          </w:p>
        </w:tc>
      </w:tr>
      <w:tr w14:paraId="63F51DC0">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63F51DBF">
            <w:pPr>
              <w:spacing w:before="48" w:beforeLines="20" w:after="48" w:afterLines="20"/>
              <w:jc w:val="center"/>
              <w:textAlignment w:val="center"/>
              <w:rPr>
                <w:rFonts w:eastAsia="宋体" w:cs="Calibri"/>
                <w:b/>
                <w:bCs/>
                <w:sz w:val="15"/>
                <w:szCs w:val="15"/>
              </w:rPr>
            </w:pPr>
            <w:r>
              <w:rPr>
                <w:sz w:val="15"/>
                <w:szCs w:val="15"/>
              </w:rPr>
              <w:drawing>
                <wp:inline distT="0" distB="0" distL="114300" distR="114300">
                  <wp:extent cx="4338320" cy="2731135"/>
                  <wp:effectExtent l="0" t="0" r="5080" b="12065"/>
                  <wp:docPr id="26" name="图表 1"/>
                  <wp:cNvGraphicFramePr/>
                  <a:graphic xmlns:a="http://schemas.openxmlformats.org/drawingml/2006/main">
                    <a:graphicData uri="http://schemas.openxmlformats.org/drawingml/2006/chart">
                      <c:chart xmlns:c="http://schemas.openxmlformats.org/drawingml/2006/chart" r:id="rId89"/>
                    </a:graphicData>
                  </a:graphic>
                </wp:inline>
              </w:drawing>
            </w:r>
          </w:p>
        </w:tc>
      </w:tr>
      <w:tr w14:paraId="63F51DC2">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63F51DC1">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r>
    </w:tbl>
    <w:p w14:paraId="63F51DC3">
      <w:pPr>
        <w:rPr>
          <w:rFonts w:hint="eastAsia" w:eastAsia="楷体" w:asciiTheme="minorHAnsi" w:hAnsiTheme="minorHAnsi" w:cstheme="minorHAnsi"/>
          <w:kern w:val="2"/>
          <w:sz w:val="22"/>
          <w:szCs w:val="22"/>
        </w:rPr>
      </w:pPr>
    </w:p>
    <w:p w14:paraId="63F51DC4">
      <w:pPr>
        <w:pStyle w:val="2"/>
        <w:spacing w:before="240" w:beforeLines="100" w:after="240" w:afterLines="100"/>
        <w:jc w:val="both"/>
        <w:rPr>
          <w:rFonts w:hint="eastAsia" w:ascii="楷体" w:hAnsi="楷体" w:eastAsia="楷体" w:cs="楷体"/>
          <w:b/>
          <w:bCs/>
          <w:color w:val="23558C"/>
          <w:sz w:val="28"/>
          <w:szCs w:val="28"/>
        </w:rPr>
      </w:pPr>
      <w:bookmarkStart w:id="13" w:name="_Toc219028022"/>
      <w:r>
        <w:rPr>
          <w:rFonts w:hint="eastAsia" w:ascii="楷体" w:hAnsi="楷体" w:eastAsia="楷体" w:cs="楷体"/>
          <w:b/>
          <w:bCs/>
          <w:color w:val="23558C"/>
          <w:sz w:val="28"/>
          <w:szCs w:val="28"/>
        </w:rPr>
        <w:t>3 高安全性产品与成熟服务生态构筑强大品牌护城河</w:t>
      </w:r>
      <w:bookmarkEnd w:id="12"/>
    </w:p>
    <w:p w14:paraId="63F51DC5">
      <w:pPr>
        <w:pStyle w:val="77"/>
        <w:jc w:val="both"/>
        <w:rPr>
          <w:rFonts w:hint="eastAsia" w:ascii="楷体" w:hAnsi="楷体" w:eastAsia="楷体" w:cs="楷体"/>
          <w:color w:val="23558C"/>
          <w:sz w:val="24"/>
          <w:szCs w:val="24"/>
        </w:rPr>
      </w:pPr>
      <w:bookmarkStart w:id="14" w:name="_Toc219028023"/>
      <w:r>
        <w:rPr>
          <w:rFonts w:hint="eastAsia" w:ascii="楷体" w:hAnsi="楷体" w:eastAsia="楷体" w:cs="楷体"/>
          <w:color w:val="23558C"/>
          <w:sz w:val="24"/>
          <w:szCs w:val="24"/>
        </w:rPr>
        <w:t>3.1 产品矩阵覆盖全谱系需求，高安全性有效解决行业核心痛点</w:t>
      </w:r>
      <w:bookmarkEnd w:id="13"/>
    </w:p>
    <w:p w14:paraId="63F51DC6">
      <w:pPr>
        <w:jc w:val="both"/>
        <w:rPr>
          <w:rFonts w:hint="eastAsia" w:ascii="楷体" w:hAnsi="楷体" w:eastAsia="楷体" w:cs="楷体"/>
          <w:kern w:val="2"/>
          <w:sz w:val="22"/>
          <w:szCs w:val="22"/>
        </w:rPr>
      </w:pPr>
      <w:r>
        <w:rPr>
          <w:rFonts w:hint="eastAsia" w:ascii="楷体" w:hAnsi="楷体" w:eastAsia="楷体" w:cs="楷体"/>
          <w:b/>
          <w:bCs/>
          <w:kern w:val="2"/>
          <w:sz w:val="22"/>
          <w:szCs w:val="22"/>
        </w:rPr>
        <w:t>西锐飞机通过“入门级—进阶型—旗舰型”的产品矩阵，覆盖从初级飞行用户到高净值客户的全谱系需求，实现精准市场分层与收入结构多元化。</w:t>
      </w:r>
      <w:r>
        <w:rPr>
          <w:rFonts w:hint="eastAsia" w:ascii="楷体" w:hAnsi="楷体" w:eastAsia="楷体" w:cs="楷体"/>
          <w:kern w:val="2"/>
          <w:sz w:val="22"/>
          <w:szCs w:val="22"/>
        </w:rPr>
        <w:t>公司产品战略的核心为SR2X系列（包括SR20、SR22及SR22T），构成由入门级向高性能单发活塞飞机逐级升级的产品体系，其中SR20面向基础需求市场，而SR22与SR22T则通过持续的性能迭代满足更高阶飞行需求。</w:t>
      </w:r>
    </w:p>
    <w:p w14:paraId="63F51DC7">
      <w:pPr>
        <w:jc w:val="both"/>
        <w:rPr>
          <w:rFonts w:hint="eastAsia" w:ascii="楷体" w:hAnsi="楷体" w:eastAsia="楷体" w:cs="楷体"/>
          <w:kern w:val="2"/>
          <w:sz w:val="22"/>
          <w:szCs w:val="22"/>
        </w:rPr>
      </w:pPr>
      <w:r>
        <w:rPr>
          <w:rFonts w:hint="eastAsia" w:ascii="楷体" w:hAnsi="楷体" w:eastAsia="楷体" w:cs="楷体"/>
          <w:kern w:val="2"/>
          <w:sz w:val="22"/>
          <w:szCs w:val="22"/>
        </w:rPr>
        <w:t>在此基础上，Vision Jet作为公司高端产品线，定位于轻型喷气公务机市场，具备更强的飞行性能、更先进的航电系统以及更宽敞的客舱空间，可容纳5名成人及2名儿童，定价显著高于 SR 系列，进一步拓展了公司在高端私人航空领域的市场边界。</w:t>
      </w:r>
    </w:p>
    <w:p w14:paraId="63F51DC8">
      <w:pPr>
        <w:jc w:val="both"/>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63F51DCA">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63F51DC9">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图：主要产品</w:t>
            </w:r>
          </w:p>
        </w:tc>
      </w:tr>
      <w:tr w14:paraId="63F51DCC">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63F51DCB">
            <w:pPr>
              <w:spacing w:before="48" w:beforeLines="20" w:after="48" w:afterLines="20"/>
              <w:jc w:val="center"/>
              <w:textAlignment w:val="center"/>
              <w:rPr>
                <w:rFonts w:eastAsia="宋体" w:cs="Calibri"/>
                <w:b/>
                <w:bCs/>
                <w:sz w:val="20"/>
                <w:szCs w:val="20"/>
              </w:rPr>
            </w:pPr>
            <w:r>
              <w:rPr>
                <w:snapToGrid/>
              </w:rPr>
              <w:drawing>
                <wp:inline distT="0" distB="0" distL="0" distR="0">
                  <wp:extent cx="4067810" cy="2209800"/>
                  <wp:effectExtent l="0" t="0" r="8890" b="0"/>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44"/>
                          <a:stretch>
                            <a:fillRect/>
                          </a:stretch>
                        </pic:blipFill>
                        <pic:spPr>
                          <a:xfrm>
                            <a:off x="0" y="0"/>
                            <a:ext cx="4081436" cy="2217487"/>
                          </a:xfrm>
                          <a:prstGeom prst="rect">
                            <a:avLst/>
                          </a:prstGeom>
                        </pic:spPr>
                      </pic:pic>
                    </a:graphicData>
                  </a:graphic>
                </wp:inline>
              </w:drawing>
            </w:r>
          </w:p>
        </w:tc>
      </w:tr>
      <w:tr w14:paraId="63F51DCE">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63F51DCD">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14:paraId="63F51DCF">
      <w:pPr>
        <w:jc w:val="both"/>
        <w:rPr>
          <w:rFonts w:eastAsia="楷体" w:cs="Calibri"/>
          <w:kern w:val="2"/>
          <w:sz w:val="22"/>
          <w:szCs w:val="22"/>
        </w:rPr>
      </w:pPr>
    </w:p>
    <w:p w14:paraId="63F51DD0">
      <w:pPr>
        <w:jc w:val="both"/>
        <w:rPr>
          <w:rFonts w:hint="eastAsia" w:ascii="楷体" w:hAnsi="楷体" w:eastAsia="楷体" w:cs="楷体"/>
          <w:b/>
          <w:bCs/>
          <w:kern w:val="2"/>
          <w:sz w:val="22"/>
          <w:szCs w:val="22"/>
          <w:u w:val="single"/>
        </w:rPr>
      </w:pPr>
      <w:r>
        <w:rPr>
          <w:rFonts w:hint="eastAsia" w:ascii="楷体" w:hAnsi="楷体" w:eastAsia="楷体" w:cs="楷体"/>
          <w:b/>
          <w:bCs/>
          <w:kern w:val="2"/>
          <w:sz w:val="22"/>
          <w:szCs w:val="22"/>
          <w:u w:val="single"/>
        </w:rPr>
        <w:t>与同行相比，西锐飞机的两大产品线具有鲜明的战略定位：SR系列瞄准高端活塞发动机市场，而Vision Jet则作为涡轮发动机领域的高性价比之选。</w:t>
      </w:r>
    </w:p>
    <w:p w14:paraId="63F51DD1">
      <w:pPr>
        <w:rPr>
          <w:rFonts w:hint="eastAsia" w:ascii="楷体" w:hAnsi="楷体" w:eastAsia="楷体" w:cs="楷体"/>
          <w:kern w:val="2"/>
          <w:sz w:val="22"/>
          <w:szCs w:val="22"/>
        </w:rPr>
      </w:pPr>
      <w:r>
        <w:rPr>
          <w:rFonts w:hint="eastAsia" w:ascii="楷体" w:hAnsi="楷体" w:eastAsia="楷体" w:cs="楷体"/>
          <w:b/>
          <w:bCs/>
          <w:kern w:val="2"/>
          <w:sz w:val="22"/>
          <w:szCs w:val="22"/>
        </w:rPr>
        <w:t>1)活塞发动机飞机：</w:t>
      </w:r>
      <w:r>
        <w:rPr>
          <w:rFonts w:hint="eastAsia" w:ascii="楷体" w:hAnsi="楷体" w:eastAsia="楷体" w:cs="楷体"/>
          <w:kern w:val="2"/>
          <w:sz w:val="22"/>
          <w:szCs w:val="22"/>
        </w:rPr>
        <w:t>从平均价格对比来看，Cirrus公司的三款主力机型——SR20、SR22和SR22T，其基础售价分别为63万美元、84万美元和96万美元，均高于活塞发动机飞机行业平均交付价76万美元。</w:t>
      </w:r>
    </w:p>
    <w:p w14:paraId="63F51DD2">
      <w:pPr>
        <w:rPr>
          <w:rFonts w:hint="eastAsia" w:ascii="楷体" w:hAnsi="楷体" w:eastAsia="楷体" w:cs="楷体"/>
          <w:kern w:val="2"/>
          <w:sz w:val="22"/>
          <w:szCs w:val="22"/>
        </w:rPr>
      </w:pPr>
      <w:r>
        <w:rPr>
          <w:rFonts w:hint="eastAsia" w:ascii="楷体" w:hAnsi="楷体" w:eastAsia="楷体" w:cs="楷体"/>
          <w:b/>
          <w:bCs/>
          <w:kern w:val="2"/>
          <w:sz w:val="22"/>
          <w:szCs w:val="22"/>
        </w:rPr>
        <w:t>2)</w:t>
      </w:r>
      <w:r>
        <w:rPr>
          <w:rFonts w:hint="eastAsia"/>
        </w:rPr>
        <w:t xml:space="preserve"> </w:t>
      </w:r>
      <w:r>
        <w:rPr>
          <w:rFonts w:hint="eastAsia" w:ascii="楷体" w:hAnsi="楷体" w:eastAsia="楷体" w:cs="楷体"/>
          <w:b/>
          <w:bCs/>
          <w:kern w:val="2"/>
          <w:sz w:val="22"/>
          <w:szCs w:val="22"/>
        </w:rPr>
        <w:t>涡轮式飞机：</w:t>
      </w:r>
      <w:r>
        <w:rPr>
          <w:rFonts w:hint="eastAsia" w:ascii="楷体" w:hAnsi="楷体" w:eastAsia="楷体" w:cs="楷体"/>
          <w:kern w:val="2"/>
          <w:sz w:val="22"/>
          <w:szCs w:val="22"/>
        </w:rPr>
        <w:t>Cirrus主打高性价比，其单座Vision Jet机型（7座）起售价为324万美元。作为对比：Piper M600（6座）352万美元，Epic E1000（6座）419万美元，Daher tBM960（6座）478万美元，Pilatus PC-12 NGX（11座）572万美元，Textron CitationM2（7座）586万美元。</w:t>
      </w:r>
    </w:p>
    <w:p w14:paraId="63F51DD3">
      <w:pPr>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63F51DD5">
        <w:trPr>
          <w:trHeight w:val="302" w:hRule="atLeast"/>
        </w:trPr>
        <w:tc>
          <w:tcPr>
            <w:tcW w:w="7466" w:type="dxa"/>
            <w:tcBorders>
              <w:bottom w:val="single" w:color="auto" w:sz="4" w:space="0"/>
            </w:tcBorders>
            <w:tcMar>
              <w:left w:w="0" w:type="dxa"/>
              <w:right w:w="28" w:type="dxa"/>
            </w:tcMar>
          </w:tcPr>
          <w:p w14:paraId="63F51DD4">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表：西锐飞机产品与竞品在价格、性能及规格方面的对比</w:t>
            </w:r>
          </w:p>
        </w:tc>
      </w:tr>
      <w:tr w14:paraId="63F51DD7">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63F51DD6">
            <w:pPr>
              <w:spacing w:before="48" w:beforeLines="20" w:after="48" w:afterLines="20"/>
              <w:jc w:val="center"/>
              <w:textAlignment w:val="center"/>
              <w:rPr>
                <w:rFonts w:eastAsia="宋体" w:cs="Calibri"/>
                <w:b/>
                <w:bCs/>
                <w:sz w:val="20"/>
                <w:szCs w:val="20"/>
              </w:rPr>
            </w:pPr>
            <w:r>
              <w:rPr>
                <w:snapToGrid/>
              </w:rPr>
              <w:drawing>
                <wp:inline distT="0" distB="0" distL="0" distR="0">
                  <wp:extent cx="4603750" cy="1750695"/>
                  <wp:effectExtent l="0" t="0" r="6350" b="1905"/>
                  <wp:docPr id="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45"/>
                          <a:stretch>
                            <a:fillRect/>
                          </a:stretch>
                        </pic:blipFill>
                        <pic:spPr>
                          <a:xfrm>
                            <a:off x="0" y="0"/>
                            <a:ext cx="4603750" cy="1750695"/>
                          </a:xfrm>
                          <a:prstGeom prst="rect">
                            <a:avLst/>
                          </a:prstGeom>
                        </pic:spPr>
                      </pic:pic>
                    </a:graphicData>
                  </a:graphic>
                </wp:inline>
              </w:drawing>
            </w:r>
          </w:p>
        </w:tc>
      </w:tr>
      <w:tr w14:paraId="63F51DD9">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63F51DD8">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14:paraId="63F51DDA">
      <w:pPr>
        <w:jc w:val="both"/>
        <w:rPr>
          <w:rFonts w:eastAsia="楷体" w:cs="Calibri"/>
          <w:b/>
          <w:bCs/>
          <w:kern w:val="2"/>
          <w:sz w:val="22"/>
          <w:szCs w:val="22"/>
        </w:rPr>
      </w:pPr>
    </w:p>
    <w:p w14:paraId="63F51DDB">
      <w:pPr>
        <w:jc w:val="both"/>
        <w:rPr>
          <w:rFonts w:hint="eastAsia" w:ascii="楷体" w:hAnsi="楷体" w:eastAsia="楷体" w:cs="楷体"/>
          <w:kern w:val="2"/>
          <w:sz w:val="22"/>
          <w:szCs w:val="22"/>
        </w:rPr>
      </w:pPr>
      <w:r>
        <w:rPr>
          <w:rFonts w:hint="eastAsia" w:ascii="楷体" w:hAnsi="楷体" w:eastAsia="楷体" w:cs="楷体"/>
          <w:b/>
          <w:bCs/>
          <w:kern w:val="2"/>
          <w:sz w:val="22"/>
          <w:szCs w:val="22"/>
        </w:rPr>
        <w:t>西锐通过高安全性产品解决了通用航空行业的核心痛点。</w:t>
      </w:r>
      <w:r>
        <w:rPr>
          <w:rFonts w:hint="eastAsia" w:ascii="楷体" w:hAnsi="楷体" w:eastAsia="楷体" w:cs="楷体"/>
          <w:kern w:val="2"/>
          <w:sz w:val="22"/>
          <w:szCs w:val="22"/>
        </w:rPr>
        <w:t>根据 Frost &amp; Sullivan 数据，西锐飞机每 10 万飞行小时的事故率仅为行业平均水平的约三分之一，显著优于同业。公司主要通过两项关键差异化安全技术有效降低飞行风险。</w:t>
      </w:r>
    </w:p>
    <w:p w14:paraId="63F51DDC">
      <w:pPr>
        <w:numPr>
          <w:ilvl w:val="0"/>
          <w:numId w:val="19"/>
        </w:numPr>
        <w:jc w:val="both"/>
        <w:rPr>
          <w:rFonts w:hint="eastAsia" w:ascii="楷体" w:hAnsi="楷体" w:eastAsia="楷体" w:cs="楷体"/>
          <w:kern w:val="2"/>
          <w:sz w:val="22"/>
          <w:szCs w:val="22"/>
        </w:rPr>
      </w:pPr>
      <w:r>
        <w:rPr>
          <w:rFonts w:hint="eastAsia" w:ascii="楷体" w:hAnsi="楷体" w:eastAsia="楷体" w:cs="楷体"/>
          <w:b/>
          <w:bCs/>
          <w:kern w:val="2"/>
          <w:sz w:val="22"/>
          <w:szCs w:val="22"/>
        </w:rPr>
        <w:t>全机身降落伞系统：</w:t>
      </w:r>
      <w:r>
        <w:rPr>
          <w:rFonts w:hint="eastAsia" w:ascii="楷体" w:hAnsi="楷体" w:eastAsia="楷体" w:cs="楷体"/>
          <w:kern w:val="2"/>
          <w:sz w:val="22"/>
          <w:szCs w:val="22"/>
        </w:rPr>
        <w:t>自1999年问世以来，这项专利技术已应用于所有西锐公司飞机，累计挽救了250余条生命。</w:t>
      </w:r>
    </w:p>
    <w:p w14:paraId="63F51DDD">
      <w:pPr>
        <w:numPr>
          <w:ilvl w:val="0"/>
          <w:numId w:val="19"/>
        </w:numPr>
        <w:jc w:val="both"/>
        <w:rPr>
          <w:rFonts w:hint="eastAsia" w:ascii="楷体" w:hAnsi="楷体" w:eastAsia="楷体" w:cs="楷体"/>
          <w:kern w:val="2"/>
          <w:sz w:val="22"/>
          <w:szCs w:val="22"/>
        </w:rPr>
      </w:pPr>
      <w:r>
        <w:rPr>
          <w:rFonts w:hint="eastAsia" w:ascii="楷体" w:hAnsi="楷体" w:eastAsia="楷体" w:cs="楷体"/>
          <w:b/>
          <w:bCs/>
          <w:kern w:val="2"/>
          <w:sz w:val="22"/>
          <w:szCs w:val="22"/>
        </w:rPr>
        <w:t>安全返航紧急自动着陆系统：</w:t>
      </w:r>
      <w:r>
        <w:rPr>
          <w:rFonts w:hint="eastAsia" w:ascii="楷体" w:hAnsi="楷体" w:eastAsia="楷体" w:cs="楷体"/>
          <w:kern w:val="2"/>
          <w:sz w:val="22"/>
          <w:szCs w:val="22"/>
        </w:rPr>
        <w:t>该系统于2019年末首次应用于Vision Jet客机，2025年5月在SR系列G7+机型上正式启用。当飞行员失去操作能力时，乘客只需轻按按钮即可实现飞机安全着陆。</w:t>
      </w:r>
    </w:p>
    <w:p w14:paraId="63F51DDE">
      <w:pPr>
        <w:ind w:left="360"/>
        <w:jc w:val="both"/>
        <w:rPr>
          <w:rFonts w:eastAsia="楷体" w:cs="Calibri"/>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14:paraId="63F51DE2">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14:paraId="63F51DDF">
            <w:pPr>
              <w:spacing w:before="48" w:beforeLines="20" w:after="48" w:afterLines="20"/>
              <w:jc w:val="both"/>
              <w:textAlignment w:val="center"/>
              <w:rPr>
                <w:rFonts w:hint="eastAsia" w:ascii="楷体" w:hAnsi="楷体" w:eastAsia="楷体" w:cs="Calibri"/>
                <w:b/>
                <w:sz w:val="20"/>
                <w:szCs w:val="20"/>
                <w:highlight w:val="yellow"/>
              </w:rPr>
            </w:pPr>
            <w:r>
              <w:rPr>
                <w:rFonts w:hint="eastAsia" w:ascii="楷体" w:hAnsi="楷体" w:eastAsia="楷体" w:cs="Calibri"/>
                <w:b/>
                <w:sz w:val="20"/>
                <w:szCs w:val="20"/>
              </w:rPr>
              <w:t>图：全机身降落伞系统</w:t>
            </w:r>
          </w:p>
        </w:tc>
        <w:tc>
          <w:tcPr>
            <w:tcW w:w="241" w:type="dxa"/>
            <w:tcMar>
              <w:left w:w="0" w:type="dxa"/>
              <w:right w:w="28" w:type="dxa"/>
            </w:tcMar>
          </w:tcPr>
          <w:p w14:paraId="63F51DE0">
            <w:pPr>
              <w:spacing w:before="48" w:beforeLines="20" w:after="48" w:afterLines="20"/>
              <w:jc w:val="both"/>
              <w:rPr>
                <w:rFonts w:eastAsia="楷体_GB2312" w:cs="Calibri"/>
                <w:sz w:val="20"/>
                <w:szCs w:val="20"/>
                <w:highlight w:val="yellow"/>
              </w:rPr>
            </w:pPr>
          </w:p>
        </w:tc>
        <w:tc>
          <w:tcPr>
            <w:tcW w:w="5149" w:type="dxa"/>
            <w:tcBorders>
              <w:bottom w:val="single" w:color="auto" w:sz="4" w:space="0"/>
            </w:tcBorders>
            <w:tcMar>
              <w:left w:w="0" w:type="dxa"/>
              <w:right w:w="28" w:type="dxa"/>
            </w:tcMar>
          </w:tcPr>
          <w:p w14:paraId="63F51DE1">
            <w:pPr>
              <w:spacing w:before="48" w:beforeLines="20" w:after="48" w:afterLines="20"/>
              <w:jc w:val="both"/>
              <w:rPr>
                <w:rFonts w:hint="eastAsia" w:ascii="楷体" w:hAnsi="楷体" w:eastAsia="楷体" w:cs="Calibri"/>
                <w:b/>
                <w:sz w:val="20"/>
                <w:szCs w:val="20"/>
              </w:rPr>
            </w:pPr>
            <w:r>
              <w:rPr>
                <w:rFonts w:hint="eastAsia" w:ascii="楷体" w:hAnsi="楷体" w:eastAsia="楷体" w:cs="Calibri"/>
                <w:b/>
                <w:sz w:val="20"/>
                <w:szCs w:val="20"/>
              </w:rPr>
              <w:t>图：安全返航紧急自动着陆系统</w:t>
            </w:r>
          </w:p>
        </w:tc>
      </w:tr>
      <w:tr w14:paraId="63F51DE6">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63F51DE3">
            <w:pPr>
              <w:spacing w:before="48" w:beforeLines="20" w:after="48" w:afterLines="20"/>
              <w:jc w:val="both"/>
              <w:textAlignment w:val="center"/>
              <w:rPr>
                <w:rFonts w:eastAsia="楷体_GB2312" w:cs="Calibri"/>
                <w:b/>
                <w:color w:val="000000"/>
                <w:sz w:val="20"/>
                <w:szCs w:val="20"/>
                <w:lang w:bidi="ar"/>
              </w:rPr>
            </w:pPr>
            <w:r>
              <w:rPr>
                <w:snapToGrid/>
              </w:rPr>
              <w:drawing>
                <wp:inline distT="0" distB="0" distL="0" distR="0">
                  <wp:extent cx="3107690" cy="2495550"/>
                  <wp:effectExtent l="0" t="0" r="0" b="0"/>
                  <wp:docPr id="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46"/>
                          <a:stretch>
                            <a:fillRect/>
                          </a:stretch>
                        </pic:blipFill>
                        <pic:spPr>
                          <a:xfrm>
                            <a:off x="0" y="0"/>
                            <a:ext cx="3112054" cy="2499208"/>
                          </a:xfrm>
                          <a:prstGeom prst="rect">
                            <a:avLst/>
                          </a:prstGeom>
                        </pic:spPr>
                      </pic:pic>
                    </a:graphicData>
                  </a:graphic>
                </wp:inline>
              </w:drawing>
            </w:r>
          </w:p>
        </w:tc>
        <w:tc>
          <w:tcPr>
            <w:tcW w:w="241" w:type="dxa"/>
          </w:tcPr>
          <w:p w14:paraId="63F51DE4">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14:paraId="63F51DE5">
            <w:pPr>
              <w:spacing w:before="48" w:beforeLines="20" w:after="48" w:afterLines="20"/>
              <w:jc w:val="both"/>
              <w:rPr>
                <w:rFonts w:eastAsia="楷体_GB2312" w:cs="Calibri"/>
                <w:b/>
                <w:sz w:val="20"/>
                <w:szCs w:val="20"/>
              </w:rPr>
            </w:pPr>
            <w:r>
              <w:rPr>
                <w:snapToGrid/>
              </w:rPr>
              <w:drawing>
                <wp:inline distT="0" distB="0" distL="0" distR="0">
                  <wp:extent cx="2957830" cy="2418715"/>
                  <wp:effectExtent l="0" t="0" r="0" b="635"/>
                  <wp:docPr id="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47"/>
                          <a:stretch>
                            <a:fillRect/>
                          </a:stretch>
                        </pic:blipFill>
                        <pic:spPr>
                          <a:xfrm>
                            <a:off x="0" y="0"/>
                            <a:ext cx="2985293" cy="2441283"/>
                          </a:xfrm>
                          <a:prstGeom prst="rect">
                            <a:avLst/>
                          </a:prstGeom>
                        </pic:spPr>
                      </pic:pic>
                    </a:graphicData>
                  </a:graphic>
                </wp:inline>
              </w:drawing>
            </w:r>
          </w:p>
        </w:tc>
      </w:tr>
      <w:tr w14:paraId="63F51DEA">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14:paraId="63F51DE7">
            <w:pPr>
              <w:spacing w:before="48" w:beforeLines="20" w:after="48" w:afterLines="20"/>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c>
          <w:tcPr>
            <w:tcW w:w="241" w:type="dxa"/>
            <w:tcMar>
              <w:left w:w="0" w:type="dxa"/>
              <w:right w:w="28" w:type="dxa"/>
            </w:tcMar>
          </w:tcPr>
          <w:p w14:paraId="63F51DE8">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14:paraId="63F51DE9">
            <w:pPr>
              <w:spacing w:before="48" w:beforeLines="20" w:after="48" w:afterLines="20"/>
              <w:jc w:val="both"/>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r>
    </w:tbl>
    <w:p w14:paraId="63F51DEE">
      <w:pPr>
        <w:rPr>
          <w:rFonts w:hint="eastAsia" w:eastAsia="楷体" w:asciiTheme="minorHAnsi" w:hAnsiTheme="minorHAnsi" w:cstheme="minorHAns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63F51DF0">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63F51DEF">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表：不同情境下的缓解措施</w:t>
            </w:r>
          </w:p>
        </w:tc>
      </w:tr>
      <w:tr w14:paraId="63F51DF2">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63F51DF1">
            <w:pPr>
              <w:spacing w:before="48" w:beforeLines="20" w:after="48" w:afterLines="20"/>
              <w:jc w:val="center"/>
              <w:textAlignment w:val="center"/>
              <w:rPr>
                <w:rFonts w:eastAsia="宋体" w:cs="Calibri"/>
                <w:b/>
                <w:bCs/>
                <w:sz w:val="20"/>
                <w:szCs w:val="20"/>
              </w:rPr>
            </w:pPr>
            <w:r>
              <w:rPr>
                <w:snapToGrid/>
              </w:rPr>
              <w:drawing>
                <wp:inline distT="0" distB="0" distL="0" distR="0">
                  <wp:extent cx="4603750" cy="2853055"/>
                  <wp:effectExtent l="0" t="0" r="6350" b="4445"/>
                  <wp:docPr id="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48"/>
                          <a:stretch>
                            <a:fillRect/>
                          </a:stretch>
                        </pic:blipFill>
                        <pic:spPr>
                          <a:xfrm>
                            <a:off x="0" y="0"/>
                            <a:ext cx="4603750" cy="2853055"/>
                          </a:xfrm>
                          <a:prstGeom prst="rect">
                            <a:avLst/>
                          </a:prstGeom>
                        </pic:spPr>
                      </pic:pic>
                    </a:graphicData>
                  </a:graphic>
                </wp:inline>
              </w:drawing>
            </w:r>
          </w:p>
        </w:tc>
      </w:tr>
      <w:tr w14:paraId="63F51DF4">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63F51DF3">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14:paraId="63F51DF5">
      <w:pPr>
        <w:rPr>
          <w:rFonts w:hint="eastAsia" w:eastAsia="楷体" w:asciiTheme="minorHAnsi" w:hAnsiTheme="minorHAnsi" w:cstheme="minorHAnsi"/>
          <w:kern w:val="2"/>
          <w:sz w:val="22"/>
          <w:szCs w:val="22"/>
        </w:rPr>
      </w:pPr>
    </w:p>
    <w:p w14:paraId="63F51DF6">
      <w:pPr>
        <w:pStyle w:val="77"/>
        <w:jc w:val="both"/>
        <w:rPr>
          <w:rFonts w:hint="eastAsia" w:ascii="楷体" w:hAnsi="楷体" w:eastAsia="楷体" w:cs="楷体"/>
          <w:b w:val="0"/>
          <w:bCs w:val="0"/>
          <w:color w:val="23558C"/>
          <w:kern w:val="2"/>
          <w:sz w:val="24"/>
          <w:szCs w:val="24"/>
        </w:rPr>
      </w:pPr>
      <w:bookmarkStart w:id="15" w:name="_Toc219028024"/>
      <w:r>
        <w:rPr>
          <w:rFonts w:hint="eastAsia" w:ascii="楷体" w:hAnsi="楷体" w:eastAsia="楷体" w:cs="楷体"/>
          <w:color w:val="23558C"/>
          <w:sz w:val="24"/>
          <w:szCs w:val="24"/>
        </w:rPr>
        <w:t>3.2 完整制造与服务生态体系，构建难以复制的竞争优势</w:t>
      </w:r>
      <w:bookmarkEnd w:id="14"/>
    </w:p>
    <w:p w14:paraId="63F51DF7">
      <w:pPr>
        <w:jc w:val="both"/>
        <w:rPr>
          <w:rFonts w:hint="eastAsia" w:ascii="楷体" w:hAnsi="楷体" w:eastAsia="楷体" w:cs="楷体"/>
          <w:b/>
          <w:bCs/>
          <w:kern w:val="2"/>
          <w:sz w:val="22"/>
          <w:szCs w:val="22"/>
          <w:u w:val="single"/>
        </w:rPr>
      </w:pPr>
      <w:r>
        <w:rPr>
          <w:rFonts w:hint="eastAsia" w:ascii="楷体" w:hAnsi="楷体" w:eastAsia="楷体" w:cs="楷体"/>
          <w:b/>
          <w:bCs/>
          <w:kern w:val="2"/>
          <w:sz w:val="22"/>
          <w:szCs w:val="22"/>
          <w:u w:val="single"/>
        </w:rPr>
        <w:t>西锐飞机凭借两大核心生产基地及与全球顶尖供应商的长期合作，有效实现了生产协同效应与供应链稳定。</w:t>
      </w:r>
    </w:p>
    <w:p w14:paraId="63F51DF8">
      <w:pPr>
        <w:pStyle w:val="37"/>
        <w:numPr>
          <w:ilvl w:val="0"/>
          <w:numId w:val="20"/>
        </w:numPr>
        <w:jc w:val="both"/>
        <w:rPr>
          <w:rFonts w:hint="eastAsia" w:ascii="楷体" w:hAnsi="楷体" w:eastAsia="楷体" w:cs="楷体"/>
          <w:kern w:val="2"/>
          <w:sz w:val="22"/>
          <w:szCs w:val="22"/>
        </w:rPr>
      </w:pPr>
      <w:r>
        <w:rPr>
          <w:rFonts w:hint="eastAsia" w:ascii="楷体" w:hAnsi="楷体" w:eastAsia="楷体" w:cs="楷体"/>
          <w:b/>
          <w:bCs/>
          <w:kern w:val="2"/>
          <w:sz w:val="22"/>
          <w:szCs w:val="22"/>
        </w:rPr>
        <w:t>两大核心生产基地：</w:t>
      </w:r>
      <w:r>
        <w:rPr>
          <w:rFonts w:hint="eastAsia" w:ascii="楷体" w:hAnsi="楷体" w:eastAsia="楷体" w:cs="楷体"/>
          <w:kern w:val="2"/>
          <w:sz w:val="22"/>
          <w:szCs w:val="22"/>
        </w:rPr>
        <w:t>北达科他州大福克斯工厂专注碳纤维等先进复合材料部件的研发与生产，明尼苏达州杜鲁斯工厂则负责飞机最终组装与测试。通过金属部件制造与子系统生产的垂直整合，实现高效协作。</w:t>
      </w:r>
    </w:p>
    <w:tbl>
      <w:tblPr>
        <w:tblStyle w:val="20"/>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14:paraId="63F51D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206" w:type="dxa"/>
            <w:tcBorders>
              <w:bottom w:val="single" w:color="023F97" w:sz="4" w:space="0"/>
            </w:tcBorders>
          </w:tcPr>
          <w:p w14:paraId="63F51DF9">
            <w:pPr>
              <w:pStyle w:val="74"/>
              <w:keepNext/>
              <w:numPr>
                <w:ilvl w:val="0"/>
                <w:numId w:val="0"/>
              </w:numPr>
              <w:rPr>
                <w:rFonts w:hint="eastAsia" w:ascii="楷体" w:hAnsi="楷体" w:eastAsia="楷体"/>
              </w:rPr>
            </w:pPr>
            <w:r>
              <w:rPr>
                <w:rFonts w:hint="eastAsia" w:ascii="楷体" w:hAnsi="楷体" w:eastAsia="楷体" w:cs="Calibri"/>
                <w:bCs w:val="0"/>
                <w:snapToGrid w:val="0"/>
                <w:sz w:val="20"/>
                <w:szCs w:val="20"/>
              </w:rPr>
              <w:t>表：西锐飞机物业概览</w:t>
            </w:r>
          </w:p>
        </w:tc>
      </w:tr>
      <w:tr w14:paraId="63F51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5" w:hRule="atLeast"/>
        </w:trPr>
        <w:tc>
          <w:tcPr>
            <w:tcW w:w="10206" w:type="dxa"/>
            <w:tcBorders>
              <w:top w:val="single" w:color="023F97" w:sz="4" w:space="0"/>
              <w:bottom w:val="single" w:color="023F97" w:sz="4" w:space="0"/>
            </w:tcBorders>
            <w:vAlign w:val="center"/>
          </w:tcPr>
          <w:p w14:paraId="63F51DFB">
            <w:pPr>
              <w:pStyle w:val="75"/>
              <w:keepNext/>
              <w:jc w:val="center"/>
              <w:rPr>
                <w:rFonts w:hint="eastAsia" w:ascii="等线" w:hAnsi="等线"/>
              </w:rPr>
            </w:pPr>
            <w:r>
              <w:rPr>
                <w:rFonts w:hint="eastAsia" w:ascii="等线" w:hAnsi="等线"/>
              </w:rPr>
              <w:drawing>
                <wp:inline distT="0" distB="0" distL="0" distR="0">
                  <wp:extent cx="6343650" cy="1219200"/>
                  <wp:effectExtent l="0" t="0" r="0" b="0"/>
                  <wp:docPr id="3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6343650" cy="1219200"/>
                          </a:xfrm>
                          <a:prstGeom prst="rect">
                            <a:avLst/>
                          </a:prstGeom>
                          <a:noFill/>
                          <a:ln>
                            <a:noFill/>
                          </a:ln>
                        </pic:spPr>
                      </pic:pic>
                    </a:graphicData>
                  </a:graphic>
                </wp:inline>
              </w:drawing>
            </w:r>
          </w:p>
        </w:tc>
      </w:tr>
      <w:tr w14:paraId="63F51D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single" w:color="023F97" w:sz="4" w:space="0"/>
            </w:tcBorders>
          </w:tcPr>
          <w:p w14:paraId="63F51DFD">
            <w:pPr>
              <w:pStyle w:val="76"/>
              <w:rPr>
                <w:rFonts w:hint="eastAsia" w:ascii="楷体" w:hAnsi="楷体" w:eastAsia="楷体"/>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14:paraId="63F51DFF">
      <w:pPr>
        <w:pStyle w:val="37"/>
        <w:numPr>
          <w:ilvl w:val="0"/>
          <w:numId w:val="20"/>
        </w:numPr>
        <w:jc w:val="both"/>
        <w:rPr>
          <w:rFonts w:hint="eastAsia" w:ascii="楷体" w:hAnsi="楷体" w:eastAsia="楷体" w:cs="楷体"/>
          <w:kern w:val="2"/>
          <w:sz w:val="22"/>
          <w:szCs w:val="22"/>
        </w:rPr>
      </w:pPr>
      <w:r>
        <w:rPr>
          <w:rFonts w:hint="eastAsia" w:ascii="楷体" w:hAnsi="楷体" w:eastAsia="楷体" w:cs="楷体"/>
          <w:b/>
          <w:bCs/>
          <w:kern w:val="2"/>
          <w:sz w:val="22"/>
          <w:szCs w:val="22"/>
        </w:rPr>
        <w:t>西锐公司拥有完善的供应链管理体系</w:t>
      </w:r>
      <w:r>
        <w:rPr>
          <w:rFonts w:hint="eastAsia" w:ascii="楷体" w:hAnsi="楷体" w:eastAsia="楷体" w:cs="楷体"/>
          <w:kern w:val="2"/>
          <w:sz w:val="22"/>
          <w:szCs w:val="22"/>
        </w:rPr>
        <w:t>，通过与全球顶尖供应商建立长期合作关系，主要保障原材料质量及零部件供应稳定性。其供应商主要来自航空电子系统、复合材料、推进系统以及客舱与内饰系统的制造商和开发商。</w:t>
      </w:r>
    </w:p>
    <w:tbl>
      <w:tblPr>
        <w:tblStyle w:val="20"/>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14:paraId="63F51E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206" w:type="dxa"/>
            <w:tcBorders>
              <w:bottom w:val="single" w:color="023F97" w:sz="4" w:space="0"/>
            </w:tcBorders>
          </w:tcPr>
          <w:p w14:paraId="63F51E00">
            <w:pPr>
              <w:pStyle w:val="74"/>
              <w:keepNext/>
              <w:numPr>
                <w:ilvl w:val="0"/>
                <w:numId w:val="0"/>
              </w:numPr>
              <w:rPr>
                <w:rFonts w:hint="eastAsia" w:ascii="楷体" w:hAnsi="楷体" w:eastAsia="楷体"/>
              </w:rPr>
            </w:pPr>
            <w:r>
              <w:rPr>
                <w:rFonts w:hint="eastAsia" w:ascii="楷体" w:hAnsi="楷体" w:eastAsia="楷体" w:cs="Calibri"/>
                <w:bCs w:val="0"/>
                <w:snapToGrid w:val="0"/>
                <w:sz w:val="20"/>
                <w:szCs w:val="20"/>
              </w:rPr>
              <w:t>表：西锐飞机主要供应商</w:t>
            </w:r>
          </w:p>
        </w:tc>
      </w:tr>
      <w:tr w14:paraId="63F51E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5" w:hRule="atLeast"/>
        </w:trPr>
        <w:tc>
          <w:tcPr>
            <w:tcW w:w="10206" w:type="dxa"/>
            <w:tcBorders>
              <w:top w:val="single" w:color="023F97" w:sz="4" w:space="0"/>
              <w:bottom w:val="single" w:color="023F97" w:sz="4" w:space="0"/>
            </w:tcBorders>
            <w:vAlign w:val="center"/>
          </w:tcPr>
          <w:p w14:paraId="63F51E02">
            <w:pPr>
              <w:pStyle w:val="75"/>
              <w:keepNext/>
              <w:jc w:val="center"/>
              <w:rPr>
                <w:rFonts w:hint="eastAsia" w:ascii="等线" w:hAnsi="等线"/>
              </w:rPr>
            </w:pPr>
            <w:r>
              <w:rPr>
                <w:rFonts w:hint="eastAsia" w:ascii="等线" w:hAnsi="等线"/>
              </w:rPr>
              <w:drawing>
                <wp:inline distT="0" distB="0" distL="0" distR="0">
                  <wp:extent cx="6343650" cy="1605280"/>
                  <wp:effectExtent l="0" t="0" r="0" b="0"/>
                  <wp:docPr id="3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6343650" cy="1605280"/>
                          </a:xfrm>
                          <a:prstGeom prst="rect">
                            <a:avLst/>
                          </a:prstGeom>
                          <a:noFill/>
                          <a:ln>
                            <a:noFill/>
                          </a:ln>
                        </pic:spPr>
                      </pic:pic>
                    </a:graphicData>
                  </a:graphic>
                </wp:inline>
              </w:drawing>
            </w:r>
          </w:p>
        </w:tc>
      </w:tr>
      <w:tr w14:paraId="63F51E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97" w:hRule="atLeast"/>
        </w:trPr>
        <w:tc>
          <w:tcPr>
            <w:tcW w:w="10206" w:type="dxa"/>
            <w:tcBorders>
              <w:top w:val="single" w:color="023F97" w:sz="4" w:space="0"/>
            </w:tcBorders>
          </w:tcPr>
          <w:p w14:paraId="63F51E04">
            <w:pPr>
              <w:pStyle w:val="76"/>
              <w:rPr>
                <w:rFonts w:hint="eastAsia" w:ascii="楷体" w:hAnsi="楷体" w:eastAsia="楷体"/>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14:paraId="33048D10">
      <w:pPr>
        <w:jc w:val="both"/>
        <w:rPr>
          <w:rFonts w:eastAsia="楷体" w:cs="Calibri"/>
          <w:kern w:val="2"/>
          <w:sz w:val="22"/>
          <w:szCs w:val="22"/>
        </w:rPr>
      </w:pPr>
      <w:r>
        <w:rPr>
          <w:rFonts w:hint="eastAsia" w:eastAsia="楷体" w:cs="Calibri"/>
          <w:b/>
          <w:bCs/>
          <w:kern w:val="2"/>
          <w:sz w:val="22"/>
          <w:szCs w:val="22"/>
        </w:rPr>
        <w:t>西锐不断构建其服务生态系统，以提升客户忠诚度。</w:t>
      </w:r>
      <w:r>
        <w:rPr>
          <w:rFonts w:hint="eastAsia" w:eastAsia="楷体" w:cs="Calibri"/>
          <w:kern w:val="2"/>
          <w:sz w:val="22"/>
          <w:szCs w:val="22"/>
        </w:rPr>
        <w:t>它提供包括飞行员培训中心、飞行培训、维护、飞机管理以及融资</w:t>
      </w:r>
      <w:r>
        <w:rPr>
          <w:rFonts w:eastAsia="楷体" w:cs="Calibri"/>
          <w:kern w:val="2"/>
          <w:sz w:val="22"/>
          <w:szCs w:val="22"/>
        </w:rPr>
        <w:t>/</w:t>
      </w:r>
      <w:r>
        <w:rPr>
          <w:rFonts w:hint="eastAsia" w:eastAsia="楷体" w:cs="Calibri"/>
          <w:kern w:val="2"/>
          <w:sz w:val="22"/>
          <w:szCs w:val="22"/>
        </w:rPr>
        <w:t>保险在内的全生命周期服务。公司以飞机销售为切入点，将变现能力延伸至整个所有权周期，从而形成一个高客户粘性的关系闭环，这标志着其从纯粹的硬件销售向“产品</w:t>
      </w:r>
      <w:r>
        <w:rPr>
          <w:rFonts w:eastAsia="楷体" w:cs="Calibri"/>
          <w:kern w:val="2"/>
          <w:sz w:val="22"/>
          <w:szCs w:val="22"/>
        </w:rPr>
        <w:t xml:space="preserve"> + </w:t>
      </w:r>
      <w:r>
        <w:rPr>
          <w:rFonts w:hint="eastAsia" w:eastAsia="楷体" w:cs="Calibri"/>
          <w:kern w:val="2"/>
          <w:sz w:val="22"/>
          <w:szCs w:val="22"/>
        </w:rPr>
        <w:t>服务”生态系统的战略转型。</w:t>
      </w:r>
    </w:p>
    <w:p w14:paraId="6632C3AD">
      <w:pPr>
        <w:jc w:val="both"/>
        <w:rPr>
          <w:rFonts w:eastAsia="楷体" w:cs="Calibri"/>
          <w:b/>
          <w:bCs/>
          <w:kern w:val="2"/>
          <w:sz w:val="22"/>
          <w:szCs w:val="22"/>
        </w:rPr>
      </w:pPr>
      <w:r>
        <w:rPr>
          <w:rFonts w:eastAsia="楷体" w:cs="Calibri"/>
          <w:b/>
          <w:bCs/>
          <w:kern w:val="2"/>
          <w:sz w:val="22"/>
          <w:szCs w:val="22"/>
        </w:rPr>
        <w:t xml:space="preserve">1) </w:t>
      </w:r>
      <w:r>
        <w:rPr>
          <w:rFonts w:hint="eastAsia" w:eastAsia="楷体" w:cs="Calibri"/>
          <w:b/>
          <w:bCs/>
          <w:kern w:val="2"/>
          <w:sz w:val="22"/>
          <w:szCs w:val="22"/>
        </w:rPr>
        <w:t>飞机维护与支持网络</w:t>
      </w:r>
    </w:p>
    <w:p w14:paraId="4489B883">
      <w:pPr>
        <w:jc w:val="both"/>
        <w:rPr>
          <w:rFonts w:eastAsia="楷体" w:cs="Calibri"/>
          <w:kern w:val="2"/>
          <w:sz w:val="22"/>
          <w:szCs w:val="22"/>
        </w:rPr>
      </w:pPr>
      <w:r>
        <w:rPr>
          <w:rFonts w:hint="eastAsia" w:eastAsia="楷体" w:cs="Calibri"/>
          <w:kern w:val="2"/>
          <w:sz w:val="22"/>
          <w:szCs w:val="22"/>
        </w:rPr>
        <w:t>西锐运营着</w:t>
      </w:r>
      <w:r>
        <w:rPr>
          <w:rFonts w:eastAsia="楷体" w:cs="Calibri"/>
          <w:kern w:val="2"/>
          <w:sz w:val="22"/>
          <w:szCs w:val="22"/>
        </w:rPr>
        <w:t xml:space="preserve"> 4 </w:t>
      </w:r>
      <w:r>
        <w:rPr>
          <w:rFonts w:hint="eastAsia" w:eastAsia="楷体" w:cs="Calibri"/>
          <w:kern w:val="2"/>
          <w:sz w:val="22"/>
          <w:szCs w:val="22"/>
        </w:rPr>
        <w:t>个公司自营服务中心和遍布全球的</w:t>
      </w:r>
      <w:r>
        <w:rPr>
          <w:rFonts w:eastAsia="楷体" w:cs="Calibri"/>
          <w:kern w:val="2"/>
          <w:sz w:val="22"/>
          <w:szCs w:val="22"/>
        </w:rPr>
        <w:t xml:space="preserve"> 242 </w:t>
      </w:r>
      <w:r>
        <w:rPr>
          <w:rFonts w:hint="eastAsia" w:eastAsia="楷体" w:cs="Calibri"/>
          <w:kern w:val="2"/>
          <w:sz w:val="22"/>
          <w:szCs w:val="22"/>
        </w:rPr>
        <w:t>个授权服务中心（分布：北美</w:t>
      </w:r>
      <w:r>
        <w:rPr>
          <w:rFonts w:eastAsia="楷体" w:cs="Calibri"/>
          <w:kern w:val="2"/>
          <w:sz w:val="22"/>
          <w:szCs w:val="22"/>
        </w:rPr>
        <w:t xml:space="preserve"> 183 </w:t>
      </w:r>
      <w:r>
        <w:rPr>
          <w:rFonts w:hint="eastAsia" w:eastAsia="楷体" w:cs="Calibri"/>
          <w:kern w:val="2"/>
          <w:sz w:val="22"/>
          <w:szCs w:val="22"/>
        </w:rPr>
        <w:t>个，欧洲</w:t>
      </w:r>
      <w:r>
        <w:rPr>
          <w:rFonts w:eastAsia="楷体" w:cs="Calibri"/>
          <w:kern w:val="2"/>
          <w:sz w:val="22"/>
          <w:szCs w:val="22"/>
        </w:rPr>
        <w:t xml:space="preserve"> 29 </w:t>
      </w:r>
      <w:r>
        <w:rPr>
          <w:rFonts w:hint="eastAsia" w:eastAsia="楷体" w:cs="Calibri"/>
          <w:kern w:val="2"/>
          <w:sz w:val="22"/>
          <w:szCs w:val="22"/>
        </w:rPr>
        <w:t>个，亚洲</w:t>
      </w:r>
      <w:r>
        <w:rPr>
          <w:rFonts w:eastAsia="楷体" w:cs="Calibri"/>
          <w:kern w:val="2"/>
          <w:sz w:val="22"/>
          <w:szCs w:val="22"/>
        </w:rPr>
        <w:t xml:space="preserve"> 7 </w:t>
      </w:r>
      <w:r>
        <w:rPr>
          <w:rFonts w:hint="eastAsia" w:eastAsia="楷体" w:cs="Calibri"/>
          <w:kern w:val="2"/>
          <w:sz w:val="22"/>
          <w:szCs w:val="22"/>
        </w:rPr>
        <w:t>个等），提供</w:t>
      </w:r>
      <w:r>
        <w:rPr>
          <w:rFonts w:eastAsia="楷体" w:cs="Calibri"/>
          <w:kern w:val="2"/>
          <w:sz w:val="22"/>
          <w:szCs w:val="22"/>
        </w:rPr>
        <w:t xml:space="preserve"> 24/7 </w:t>
      </w:r>
      <w:r>
        <w:rPr>
          <w:rFonts w:hint="eastAsia" w:eastAsia="楷体" w:cs="Calibri"/>
          <w:kern w:val="2"/>
          <w:sz w:val="22"/>
          <w:szCs w:val="22"/>
        </w:rPr>
        <w:t>全球范围内的</w:t>
      </w:r>
      <w:r>
        <w:rPr>
          <w:rFonts w:eastAsia="楷体" w:cs="Calibri"/>
          <w:kern w:val="2"/>
          <w:sz w:val="22"/>
          <w:szCs w:val="22"/>
        </w:rPr>
        <w:t xml:space="preserve"> AOG</w:t>
      </w:r>
      <w:r>
        <w:rPr>
          <w:rFonts w:hint="eastAsia" w:eastAsia="楷体" w:cs="Calibri"/>
          <w:kern w:val="2"/>
          <w:sz w:val="22"/>
          <w:szCs w:val="22"/>
        </w:rPr>
        <w:t>（飞机停场）移动支持服务。主要维护项目包括：</w:t>
      </w:r>
      <w:r>
        <w:rPr>
          <w:rFonts w:eastAsia="楷体" w:cs="Calibri"/>
          <w:kern w:val="2"/>
          <w:sz w:val="22"/>
          <w:szCs w:val="22"/>
        </w:rPr>
        <w:t xml:space="preserve">JetStream </w:t>
      </w:r>
      <w:r>
        <w:rPr>
          <w:rFonts w:hint="eastAsia" w:eastAsia="楷体" w:cs="Calibri"/>
          <w:kern w:val="2"/>
          <w:sz w:val="22"/>
          <w:szCs w:val="22"/>
        </w:rPr>
        <w:t>计划：全面的预付费维护计划（涵盖零件更换、培训、</w:t>
      </w:r>
      <w:r>
        <w:rPr>
          <w:rFonts w:eastAsia="楷体" w:cs="Calibri"/>
          <w:kern w:val="2"/>
          <w:sz w:val="22"/>
          <w:szCs w:val="22"/>
        </w:rPr>
        <w:t xml:space="preserve">10 </w:t>
      </w:r>
      <w:r>
        <w:rPr>
          <w:rFonts w:hint="eastAsia" w:eastAsia="楷体" w:cs="Calibri"/>
          <w:kern w:val="2"/>
          <w:sz w:val="22"/>
          <w:szCs w:val="22"/>
        </w:rPr>
        <w:t>年机身大修等），价格约为每年</w:t>
      </w:r>
      <w:r>
        <w:rPr>
          <w:rFonts w:eastAsia="楷体" w:cs="Calibri"/>
          <w:kern w:val="2"/>
          <w:sz w:val="22"/>
          <w:szCs w:val="22"/>
        </w:rPr>
        <w:t xml:space="preserve"> 96,000 </w:t>
      </w:r>
      <w:r>
        <w:rPr>
          <w:rFonts w:hint="eastAsia" w:eastAsia="楷体" w:cs="Calibri"/>
          <w:kern w:val="2"/>
          <w:sz w:val="22"/>
          <w:szCs w:val="22"/>
        </w:rPr>
        <w:t>至</w:t>
      </w:r>
      <w:r>
        <w:rPr>
          <w:rFonts w:eastAsia="楷体" w:cs="Calibri"/>
          <w:kern w:val="2"/>
          <w:sz w:val="22"/>
          <w:szCs w:val="22"/>
        </w:rPr>
        <w:t xml:space="preserve"> 225,000 </w:t>
      </w:r>
      <w:r>
        <w:rPr>
          <w:rFonts w:hint="eastAsia" w:eastAsia="楷体" w:cs="Calibri"/>
          <w:kern w:val="2"/>
          <w:sz w:val="22"/>
          <w:szCs w:val="22"/>
        </w:rPr>
        <w:t>美元，符合条件的机主参与率达</w:t>
      </w:r>
      <w:r>
        <w:rPr>
          <w:rFonts w:eastAsia="楷体" w:cs="Calibri"/>
          <w:kern w:val="2"/>
          <w:sz w:val="22"/>
          <w:szCs w:val="22"/>
        </w:rPr>
        <w:t xml:space="preserve"> 100%</w:t>
      </w:r>
      <w:r>
        <w:rPr>
          <w:rFonts w:hint="eastAsia" w:eastAsia="楷体" w:cs="Calibri"/>
          <w:kern w:val="2"/>
          <w:sz w:val="22"/>
          <w:szCs w:val="22"/>
        </w:rPr>
        <w:t>；</w:t>
      </w:r>
      <w:r>
        <w:rPr>
          <w:rFonts w:eastAsia="楷体" w:cs="Calibri"/>
          <w:kern w:val="2"/>
          <w:sz w:val="22"/>
          <w:szCs w:val="22"/>
        </w:rPr>
        <w:t>Cirrus ASSIST</w:t>
      </w:r>
      <w:r>
        <w:rPr>
          <w:rFonts w:hint="eastAsia" w:eastAsia="楷体" w:cs="Calibri"/>
          <w:kern w:val="2"/>
          <w:sz w:val="22"/>
          <w:szCs w:val="22"/>
        </w:rPr>
        <w:t>：快速</w:t>
      </w:r>
      <w:r>
        <w:rPr>
          <w:rFonts w:eastAsia="楷体" w:cs="Calibri"/>
          <w:kern w:val="2"/>
          <w:sz w:val="22"/>
          <w:szCs w:val="22"/>
        </w:rPr>
        <w:t xml:space="preserve"> AOG </w:t>
      </w:r>
      <w:r>
        <w:rPr>
          <w:rFonts w:hint="eastAsia" w:eastAsia="楷体" w:cs="Calibri"/>
          <w:kern w:val="2"/>
          <w:sz w:val="22"/>
          <w:szCs w:val="22"/>
        </w:rPr>
        <w:t>响应</w:t>
      </w:r>
      <w:r>
        <w:rPr>
          <w:rFonts w:eastAsia="楷体" w:cs="Calibri"/>
          <w:kern w:val="2"/>
          <w:sz w:val="22"/>
          <w:szCs w:val="22"/>
        </w:rPr>
        <w:t xml:space="preserve"> + </w:t>
      </w:r>
      <w:r>
        <w:rPr>
          <w:rFonts w:hint="eastAsia" w:eastAsia="楷体" w:cs="Calibri"/>
          <w:kern w:val="2"/>
          <w:sz w:val="22"/>
          <w:szCs w:val="22"/>
        </w:rPr>
        <w:t>内外升级和改装，按工时和零件收费；</w:t>
      </w:r>
      <w:r>
        <w:rPr>
          <w:rFonts w:eastAsia="楷体" w:cs="Calibri"/>
          <w:kern w:val="2"/>
          <w:sz w:val="22"/>
          <w:szCs w:val="22"/>
        </w:rPr>
        <w:t>Cirrus Direct</w:t>
      </w:r>
      <w:r>
        <w:rPr>
          <w:rFonts w:hint="eastAsia" w:eastAsia="楷体" w:cs="Calibri"/>
          <w:kern w:val="2"/>
          <w:sz w:val="22"/>
          <w:szCs w:val="22"/>
        </w:rPr>
        <w:t>：在线平台，客户可直接订购零件和升级服务，按组件计费。</w:t>
      </w:r>
    </w:p>
    <w:p w14:paraId="1FAE8D14">
      <w:pPr>
        <w:jc w:val="both"/>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63FBE79C">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05B74C6F">
            <w:pPr>
              <w:spacing w:before="48" w:beforeLines="20" w:after="48" w:afterLines="20"/>
              <w:jc w:val="both"/>
              <w:textAlignment w:val="center"/>
              <w:rPr>
                <w:rFonts w:eastAsia="楷体_GB2312" w:cs="Calibri"/>
                <w:b/>
                <w:bCs/>
                <w:sz w:val="20"/>
                <w:szCs w:val="20"/>
              </w:rPr>
            </w:pPr>
            <w:r>
              <w:rPr>
                <w:rFonts w:hint="eastAsia" w:eastAsia="楷体" w:cs="Calibri"/>
                <w:b/>
                <w:bCs/>
                <w:kern w:val="2"/>
                <w:sz w:val="20"/>
                <w:szCs w:val="20"/>
              </w:rPr>
              <w:t>图：飞机维护与支持网络</w:t>
            </w:r>
          </w:p>
        </w:tc>
      </w:tr>
      <w:tr w14:paraId="2BB47EB4">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51F128BB">
            <w:pPr>
              <w:spacing w:before="48" w:beforeLines="20" w:after="48" w:afterLines="20"/>
              <w:jc w:val="center"/>
              <w:textAlignment w:val="center"/>
              <w:rPr>
                <w:rFonts w:eastAsia="宋体" w:cs="Calibri"/>
                <w:b/>
                <w:bCs/>
                <w:sz w:val="20"/>
                <w:szCs w:val="20"/>
              </w:rPr>
            </w:pPr>
            <w:r>
              <w:rPr>
                <w:rFonts w:eastAsia="宋体" w:cs="Calibri"/>
                <w:b/>
                <w:bCs/>
                <w:sz w:val="20"/>
                <w:szCs w:val="20"/>
              </w:rPr>
              <w:drawing>
                <wp:inline distT="0" distB="0" distL="0" distR="0">
                  <wp:extent cx="3311525" cy="1446530"/>
                  <wp:effectExtent l="0" t="0" r="3175" b="1270"/>
                  <wp:docPr id="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pic:cNvPicPr>
                        </pic:nvPicPr>
                        <pic:blipFill>
                          <a:blip r:embed="rId51"/>
                          <a:stretch>
                            <a:fillRect/>
                          </a:stretch>
                        </pic:blipFill>
                        <pic:spPr>
                          <a:xfrm>
                            <a:off x="0" y="0"/>
                            <a:ext cx="3365668" cy="1470288"/>
                          </a:xfrm>
                          <a:prstGeom prst="rect">
                            <a:avLst/>
                          </a:prstGeom>
                        </pic:spPr>
                      </pic:pic>
                    </a:graphicData>
                  </a:graphic>
                </wp:inline>
              </w:drawing>
            </w:r>
          </w:p>
        </w:tc>
      </w:tr>
      <w:tr w14:paraId="71FBC7E0">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466D8107">
            <w:pPr>
              <w:spacing w:line="240" w:lineRule="atLeast"/>
              <w:jc w:val="both"/>
              <w:textAlignment w:val="center"/>
              <w:rPr>
                <w:rFonts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r>
    </w:tbl>
    <w:p w14:paraId="03B19613">
      <w:pPr>
        <w:rPr>
          <w:rFonts w:eastAsia="楷体" w:cs="Calibri"/>
          <w:b/>
          <w:bCs/>
          <w:kern w:val="2"/>
          <w:sz w:val="22"/>
          <w:szCs w:val="22"/>
        </w:rPr>
      </w:pPr>
      <w:r>
        <w:rPr>
          <w:rFonts w:eastAsia="楷体" w:cs="Calibri"/>
          <w:b/>
          <w:bCs/>
          <w:kern w:val="2"/>
          <w:sz w:val="22"/>
          <w:szCs w:val="22"/>
        </w:rPr>
        <w:t>2</w:t>
      </w:r>
      <w:r>
        <w:rPr>
          <w:rFonts w:hint="eastAsia" w:eastAsia="楷体" w:cs="Calibri"/>
          <w:b/>
          <w:bCs/>
          <w:kern w:val="2"/>
          <w:sz w:val="22"/>
          <w:szCs w:val="22"/>
        </w:rPr>
        <w:t>）二手飞机业务</w:t>
      </w:r>
    </w:p>
    <w:p w14:paraId="293A8DFC">
      <w:pPr>
        <w:rPr>
          <w:rFonts w:eastAsia="楷体" w:cs="Calibri"/>
          <w:kern w:val="2"/>
          <w:sz w:val="22"/>
          <w:szCs w:val="22"/>
        </w:rPr>
      </w:pPr>
      <w:r>
        <w:rPr>
          <w:rFonts w:hint="eastAsia" w:eastAsia="楷体" w:cs="Calibri"/>
          <w:kern w:val="2"/>
          <w:sz w:val="22"/>
          <w:szCs w:val="22"/>
        </w:rPr>
        <w:t>西锐运营着全球规模最大、最活跃的二手西锐飞机交易平台。公司收购二手飞机作为库存，然后加价出售以赚取差价（不收取任何额外服务费）。</w:t>
      </w:r>
    </w:p>
    <w:p w14:paraId="05DBA4D3">
      <w:pPr>
        <w:rPr>
          <w:rFonts w:eastAsia="楷体" w:cs="Calibri"/>
          <w:kern w:val="2"/>
          <w:sz w:val="22"/>
          <w:szCs w:val="22"/>
        </w:rPr>
      </w:pPr>
    </w:p>
    <w:p w14:paraId="4715DCBB">
      <w:pPr>
        <w:rPr>
          <w:rFonts w:eastAsia="楷体" w:cs="Calibri"/>
          <w:b/>
          <w:bCs/>
          <w:kern w:val="2"/>
          <w:sz w:val="22"/>
          <w:szCs w:val="22"/>
        </w:rPr>
      </w:pPr>
      <w:r>
        <w:rPr>
          <w:rFonts w:eastAsia="楷体" w:cs="Calibri"/>
          <w:b/>
          <w:bCs/>
          <w:kern w:val="2"/>
          <w:sz w:val="22"/>
          <w:szCs w:val="22"/>
        </w:rPr>
        <w:t>3</w:t>
      </w:r>
      <w:r>
        <w:rPr>
          <w:rFonts w:hint="eastAsia" w:eastAsia="楷体" w:cs="Calibri"/>
          <w:b/>
          <w:bCs/>
          <w:kern w:val="2"/>
          <w:sz w:val="22"/>
          <w:szCs w:val="22"/>
        </w:rPr>
        <w:t>）飞行培训服务</w:t>
      </w:r>
    </w:p>
    <w:p w14:paraId="705B7FB7">
      <w:pPr>
        <w:rPr>
          <w:rFonts w:eastAsia="楷体" w:cs="Calibri"/>
          <w:kern w:val="2"/>
          <w:sz w:val="22"/>
          <w:szCs w:val="22"/>
        </w:rPr>
      </w:pPr>
      <w:r>
        <w:rPr>
          <w:rFonts w:hint="eastAsia" w:eastAsia="楷体" w:cs="Calibri"/>
          <w:kern w:val="2"/>
          <w:sz w:val="22"/>
          <w:szCs w:val="22"/>
        </w:rPr>
        <w:t>截至</w:t>
      </w:r>
      <w:r>
        <w:rPr>
          <w:rFonts w:eastAsia="楷体" w:cs="Calibri"/>
          <w:kern w:val="2"/>
          <w:sz w:val="22"/>
          <w:szCs w:val="22"/>
        </w:rPr>
        <w:t xml:space="preserve"> 2023 </w:t>
      </w:r>
      <w:r>
        <w:rPr>
          <w:rFonts w:hint="eastAsia" w:eastAsia="楷体" w:cs="Calibri"/>
          <w:kern w:val="2"/>
          <w:sz w:val="22"/>
          <w:szCs w:val="22"/>
        </w:rPr>
        <w:t>年</w:t>
      </w:r>
      <w:r>
        <w:rPr>
          <w:rFonts w:eastAsia="楷体" w:cs="Calibri"/>
          <w:kern w:val="2"/>
          <w:sz w:val="22"/>
          <w:szCs w:val="22"/>
        </w:rPr>
        <w:t xml:space="preserve"> 12 </w:t>
      </w:r>
      <w:r>
        <w:rPr>
          <w:rFonts w:hint="eastAsia" w:eastAsia="楷体" w:cs="Calibri"/>
          <w:kern w:val="2"/>
          <w:sz w:val="22"/>
          <w:szCs w:val="22"/>
        </w:rPr>
        <w:t>月</w:t>
      </w:r>
      <w:r>
        <w:rPr>
          <w:rFonts w:eastAsia="楷体" w:cs="Calibri"/>
          <w:kern w:val="2"/>
          <w:sz w:val="22"/>
          <w:szCs w:val="22"/>
        </w:rPr>
        <w:t xml:space="preserve"> 31 </w:t>
      </w:r>
      <w:r>
        <w:rPr>
          <w:rFonts w:hint="eastAsia" w:eastAsia="楷体" w:cs="Calibri"/>
          <w:kern w:val="2"/>
          <w:sz w:val="22"/>
          <w:szCs w:val="22"/>
        </w:rPr>
        <w:t>日，公司在美国田纳西州、亚利桑那州、德克萨斯州和佛罗里达州设有四个原厂培训中心，并在</w:t>
      </w:r>
      <w:r>
        <w:rPr>
          <w:rFonts w:eastAsia="楷体" w:cs="Calibri"/>
          <w:kern w:val="2"/>
          <w:sz w:val="22"/>
          <w:szCs w:val="22"/>
        </w:rPr>
        <w:t xml:space="preserve"> 13 </w:t>
      </w:r>
      <w:r>
        <w:rPr>
          <w:rFonts w:hint="eastAsia" w:eastAsia="楷体" w:cs="Calibri"/>
          <w:kern w:val="2"/>
          <w:sz w:val="22"/>
          <w:szCs w:val="22"/>
        </w:rPr>
        <w:t>个国家</w:t>
      </w:r>
      <w:r>
        <w:rPr>
          <w:rFonts w:eastAsia="楷体" w:cs="Calibri"/>
          <w:kern w:val="2"/>
          <w:sz w:val="22"/>
          <w:szCs w:val="22"/>
        </w:rPr>
        <w:t>/</w:t>
      </w:r>
      <w:r>
        <w:rPr>
          <w:rFonts w:hint="eastAsia" w:eastAsia="楷体" w:cs="Calibri"/>
          <w:kern w:val="2"/>
          <w:sz w:val="22"/>
          <w:szCs w:val="22"/>
        </w:rPr>
        <w:t>地区拥有</w:t>
      </w:r>
      <w:r>
        <w:rPr>
          <w:rFonts w:eastAsia="楷体" w:cs="Calibri"/>
          <w:kern w:val="2"/>
          <w:sz w:val="22"/>
          <w:szCs w:val="22"/>
        </w:rPr>
        <w:t xml:space="preserve"> 118 </w:t>
      </w:r>
      <w:r>
        <w:rPr>
          <w:rFonts w:hint="eastAsia" w:eastAsia="楷体" w:cs="Calibri"/>
          <w:kern w:val="2"/>
          <w:sz w:val="22"/>
          <w:szCs w:val="22"/>
        </w:rPr>
        <w:t>个授权培训中心（其中</w:t>
      </w:r>
      <w:r>
        <w:rPr>
          <w:rFonts w:eastAsia="楷体" w:cs="Calibri"/>
          <w:kern w:val="2"/>
          <w:sz w:val="22"/>
          <w:szCs w:val="22"/>
        </w:rPr>
        <w:t xml:space="preserve"> 94 </w:t>
      </w:r>
      <w:r>
        <w:rPr>
          <w:rFonts w:hint="eastAsia" w:eastAsia="楷体" w:cs="Calibri"/>
          <w:kern w:val="2"/>
          <w:sz w:val="22"/>
          <w:szCs w:val="22"/>
        </w:rPr>
        <w:t>个位于美国，</w:t>
      </w:r>
      <w:r>
        <w:rPr>
          <w:rFonts w:eastAsia="楷体" w:cs="Calibri"/>
          <w:kern w:val="2"/>
          <w:sz w:val="22"/>
          <w:szCs w:val="22"/>
        </w:rPr>
        <w:t xml:space="preserve">16 </w:t>
      </w:r>
      <w:r>
        <w:rPr>
          <w:rFonts w:hint="eastAsia" w:eastAsia="楷体" w:cs="Calibri"/>
          <w:kern w:val="2"/>
          <w:sz w:val="22"/>
          <w:szCs w:val="22"/>
        </w:rPr>
        <w:t>个位于欧洲）。主要培训项目包括：现场模拟机及过渡培训；</w:t>
      </w:r>
      <w:r>
        <w:rPr>
          <w:rFonts w:eastAsia="楷体" w:cs="Calibri"/>
          <w:kern w:val="2"/>
          <w:sz w:val="22"/>
          <w:szCs w:val="22"/>
        </w:rPr>
        <w:t xml:space="preserve">Cirrus Approach——SR2X </w:t>
      </w:r>
      <w:r>
        <w:rPr>
          <w:rFonts w:hint="eastAsia" w:eastAsia="楷体" w:cs="Calibri"/>
          <w:kern w:val="2"/>
          <w:sz w:val="22"/>
          <w:szCs w:val="22"/>
        </w:rPr>
        <w:t>系列和</w:t>
      </w:r>
      <w:r>
        <w:rPr>
          <w:rFonts w:eastAsia="楷体" w:cs="Calibri"/>
          <w:kern w:val="2"/>
          <w:sz w:val="22"/>
          <w:szCs w:val="22"/>
        </w:rPr>
        <w:t xml:space="preserve"> Vision Jet </w:t>
      </w:r>
      <w:r>
        <w:rPr>
          <w:rFonts w:hint="eastAsia" w:eastAsia="楷体" w:cs="Calibri"/>
          <w:kern w:val="2"/>
          <w:sz w:val="22"/>
          <w:szCs w:val="22"/>
        </w:rPr>
        <w:t>的在线课程；</w:t>
      </w:r>
      <w:r>
        <w:rPr>
          <w:rFonts w:eastAsia="楷体" w:cs="Calibri"/>
          <w:kern w:val="2"/>
          <w:sz w:val="22"/>
          <w:szCs w:val="22"/>
        </w:rPr>
        <w:t>Cirrus Embark——</w:t>
      </w:r>
      <w:r>
        <w:rPr>
          <w:rFonts w:hint="eastAsia" w:eastAsia="楷体" w:cs="Calibri"/>
          <w:kern w:val="2"/>
          <w:sz w:val="22"/>
          <w:szCs w:val="22"/>
        </w:rPr>
        <w:t>为二手</w:t>
      </w:r>
      <w:r>
        <w:rPr>
          <w:rFonts w:eastAsia="楷体" w:cs="Calibri"/>
          <w:kern w:val="2"/>
          <w:sz w:val="22"/>
          <w:szCs w:val="22"/>
        </w:rPr>
        <w:t xml:space="preserve"> SR2X/Vision Jet </w:t>
      </w:r>
      <w:r>
        <w:rPr>
          <w:rFonts w:hint="eastAsia" w:eastAsia="楷体" w:cs="Calibri"/>
          <w:kern w:val="2"/>
          <w:sz w:val="22"/>
          <w:szCs w:val="22"/>
        </w:rPr>
        <w:t>买家提供的免费过渡培训；私人飞行员执照培训（包括强化型</w:t>
      </w:r>
      <w:r>
        <w:rPr>
          <w:rFonts w:eastAsia="楷体" w:cs="Calibri"/>
          <w:kern w:val="2"/>
          <w:sz w:val="22"/>
          <w:szCs w:val="22"/>
        </w:rPr>
        <w:t xml:space="preserve"> SR22 </w:t>
      </w:r>
      <w:r>
        <w:rPr>
          <w:rFonts w:hint="eastAsia" w:eastAsia="楷体" w:cs="Calibri"/>
          <w:kern w:val="2"/>
          <w:sz w:val="22"/>
          <w:szCs w:val="22"/>
        </w:rPr>
        <w:t>课程）。</w:t>
      </w: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14:paraId="411F9531">
        <w:trPr>
          <w:trHeight w:val="227" w:hRule="atLeast"/>
        </w:trPr>
        <w:tc>
          <w:tcPr>
            <w:tcW w:w="5100" w:type="dxa"/>
            <w:tcBorders>
              <w:bottom w:val="single" w:color="auto" w:sz="4" w:space="0"/>
            </w:tcBorders>
            <w:tcMar>
              <w:left w:w="0" w:type="dxa"/>
              <w:right w:w="28" w:type="dxa"/>
            </w:tcMar>
          </w:tcPr>
          <w:p w14:paraId="013F911C">
            <w:pPr>
              <w:spacing w:before="48" w:beforeLines="20" w:after="48" w:afterLines="20"/>
              <w:jc w:val="both"/>
              <w:textAlignment w:val="center"/>
              <w:rPr>
                <w:rFonts w:hint="eastAsia" w:ascii="楷体" w:hAnsi="楷体" w:eastAsia="楷体" w:cs="Calibri"/>
                <w:b/>
                <w:color w:val="000000"/>
                <w:sz w:val="20"/>
                <w:szCs w:val="20"/>
                <w:lang w:bidi="ar"/>
              </w:rPr>
            </w:pPr>
            <w:r>
              <w:rPr>
                <w:rFonts w:hint="eastAsia" w:ascii="楷体" w:hAnsi="楷体" w:eastAsia="楷体" w:cs="Calibri"/>
                <w:b/>
                <w:sz w:val="20"/>
                <w:szCs w:val="20"/>
              </w:rPr>
              <w:t>图：西锐飞机训练中心</w:t>
            </w:r>
          </w:p>
        </w:tc>
        <w:tc>
          <w:tcPr>
            <w:tcW w:w="241" w:type="dxa"/>
            <w:tcMar>
              <w:left w:w="0" w:type="dxa"/>
              <w:right w:w="28" w:type="dxa"/>
            </w:tcMar>
          </w:tcPr>
          <w:p w14:paraId="7EAE9BEF">
            <w:pPr>
              <w:spacing w:before="48" w:beforeLines="20" w:after="48" w:afterLines="20"/>
              <w:jc w:val="both"/>
              <w:rPr>
                <w:rFonts w:eastAsia="楷体_GB2312" w:cs="Calibri"/>
                <w:sz w:val="20"/>
                <w:szCs w:val="20"/>
              </w:rPr>
            </w:pPr>
          </w:p>
        </w:tc>
        <w:tc>
          <w:tcPr>
            <w:tcW w:w="5149" w:type="dxa"/>
            <w:tcBorders>
              <w:bottom w:val="single" w:color="auto" w:sz="4" w:space="0"/>
            </w:tcBorders>
            <w:tcMar>
              <w:left w:w="0" w:type="dxa"/>
              <w:right w:w="28" w:type="dxa"/>
            </w:tcMar>
          </w:tcPr>
          <w:p w14:paraId="0BA12BF2">
            <w:pPr>
              <w:spacing w:before="48" w:beforeLines="20" w:after="48" w:afterLines="20"/>
              <w:jc w:val="both"/>
              <w:rPr>
                <w:rFonts w:hint="eastAsia" w:ascii="楷体" w:hAnsi="楷体" w:eastAsia="楷体" w:cs="Calibri"/>
                <w:b/>
                <w:sz w:val="20"/>
                <w:szCs w:val="20"/>
              </w:rPr>
            </w:pPr>
            <w:r>
              <w:rPr>
                <w:rFonts w:hint="eastAsia" w:ascii="楷体" w:hAnsi="楷体" w:eastAsia="楷体" w:cs="Calibri"/>
                <w:b/>
                <w:sz w:val="20"/>
                <w:szCs w:val="20"/>
              </w:rPr>
              <w:t>图：西锐飞机授权培训中心</w:t>
            </w:r>
          </w:p>
        </w:tc>
      </w:tr>
      <w:tr w14:paraId="7515BC4D">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73AB4E11">
            <w:pPr>
              <w:spacing w:before="48" w:beforeLines="20" w:after="48" w:afterLines="20"/>
              <w:jc w:val="both"/>
              <w:textAlignment w:val="center"/>
              <w:rPr>
                <w:rFonts w:eastAsia="楷体_GB2312" w:cs="Calibri"/>
                <w:b/>
                <w:color w:val="000000"/>
                <w:sz w:val="20"/>
                <w:szCs w:val="20"/>
                <w:lang w:bidi="ar"/>
              </w:rPr>
            </w:pPr>
            <w:r>
              <w:rPr>
                <w:snapToGrid/>
              </w:rPr>
              <w:drawing>
                <wp:inline distT="0" distB="0" distL="0" distR="0">
                  <wp:extent cx="3239770" cy="2001520"/>
                  <wp:effectExtent l="0" t="0" r="0" b="0"/>
                  <wp:docPr id="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52"/>
                          <a:stretch>
                            <a:fillRect/>
                          </a:stretch>
                        </pic:blipFill>
                        <pic:spPr>
                          <a:xfrm>
                            <a:off x="0" y="0"/>
                            <a:ext cx="3240000" cy="2002113"/>
                          </a:xfrm>
                          <a:prstGeom prst="rect">
                            <a:avLst/>
                          </a:prstGeom>
                        </pic:spPr>
                      </pic:pic>
                    </a:graphicData>
                  </a:graphic>
                </wp:inline>
              </w:drawing>
            </w:r>
          </w:p>
        </w:tc>
        <w:tc>
          <w:tcPr>
            <w:tcW w:w="241" w:type="dxa"/>
          </w:tcPr>
          <w:p w14:paraId="0DDED724">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14:paraId="38F04862">
            <w:pPr>
              <w:spacing w:before="48" w:beforeLines="20" w:after="48" w:afterLines="20"/>
              <w:jc w:val="both"/>
              <w:rPr>
                <w:rFonts w:eastAsia="楷体_GB2312" w:cs="Calibri"/>
                <w:b/>
                <w:sz w:val="20"/>
                <w:szCs w:val="20"/>
              </w:rPr>
            </w:pPr>
            <w:r>
              <w:rPr>
                <w:snapToGrid/>
              </w:rPr>
              <w:drawing>
                <wp:inline distT="0" distB="0" distL="0" distR="0">
                  <wp:extent cx="3239770" cy="2040255"/>
                  <wp:effectExtent l="0" t="0" r="0" b="0"/>
                  <wp:docPr id="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pic:cNvPicPr>
                            <a:picLocks noChangeAspect="1"/>
                          </pic:cNvPicPr>
                        </pic:nvPicPr>
                        <pic:blipFill>
                          <a:blip r:embed="rId53"/>
                          <a:stretch>
                            <a:fillRect/>
                          </a:stretch>
                        </pic:blipFill>
                        <pic:spPr>
                          <a:xfrm>
                            <a:off x="0" y="0"/>
                            <a:ext cx="3240000" cy="2040681"/>
                          </a:xfrm>
                          <a:prstGeom prst="rect">
                            <a:avLst/>
                          </a:prstGeom>
                        </pic:spPr>
                      </pic:pic>
                    </a:graphicData>
                  </a:graphic>
                </wp:inline>
              </w:drawing>
            </w:r>
          </w:p>
        </w:tc>
      </w:tr>
      <w:tr w14:paraId="1F6F0959">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14:paraId="5DE5DAF8">
            <w:pPr>
              <w:spacing w:before="48" w:beforeLines="20" w:after="48" w:afterLines="20"/>
              <w:jc w:val="both"/>
              <w:textAlignment w:val="center"/>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c>
          <w:tcPr>
            <w:tcW w:w="241" w:type="dxa"/>
            <w:tcMar>
              <w:left w:w="0" w:type="dxa"/>
              <w:right w:w="28" w:type="dxa"/>
            </w:tcMar>
          </w:tcPr>
          <w:p w14:paraId="560E45D1">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14:paraId="7C994813">
            <w:pPr>
              <w:spacing w:before="48" w:beforeLines="20" w:after="48" w:afterLines="20"/>
              <w:jc w:val="both"/>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r>
    </w:tbl>
    <w:p w14:paraId="70821854">
      <w:pPr>
        <w:rPr>
          <w:rFonts w:eastAsia="楷体" w:cs="Calibri"/>
          <w:b/>
          <w:bCs/>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14:paraId="3D4DDE60">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14:paraId="3436B9EB">
            <w:pPr>
              <w:spacing w:before="48" w:beforeLines="20" w:after="48" w:afterLines="20"/>
              <w:jc w:val="both"/>
              <w:textAlignment w:val="center"/>
              <w:rPr>
                <w:rFonts w:hint="eastAsia" w:ascii="楷体" w:hAnsi="楷体" w:eastAsia="楷体" w:cs="Calibri"/>
                <w:b/>
                <w:color w:val="000000"/>
                <w:sz w:val="20"/>
                <w:szCs w:val="20"/>
                <w:lang w:bidi="ar"/>
              </w:rPr>
            </w:pPr>
            <w:r>
              <w:rPr>
                <w:rFonts w:hint="eastAsia" w:ascii="楷体" w:hAnsi="楷体" w:eastAsia="楷体" w:cs="Calibri"/>
                <w:b/>
                <w:sz w:val="20"/>
                <w:szCs w:val="20"/>
              </w:rPr>
              <w:t>图：西锐飞机基地</w:t>
            </w:r>
          </w:p>
        </w:tc>
        <w:tc>
          <w:tcPr>
            <w:tcW w:w="241" w:type="dxa"/>
            <w:tcMar>
              <w:left w:w="0" w:type="dxa"/>
              <w:right w:w="28" w:type="dxa"/>
            </w:tcMar>
          </w:tcPr>
          <w:p w14:paraId="32873953">
            <w:pPr>
              <w:spacing w:before="48" w:beforeLines="20" w:after="48" w:afterLines="20"/>
              <w:jc w:val="both"/>
              <w:rPr>
                <w:rFonts w:eastAsia="楷体_GB2312" w:cs="Calibri"/>
                <w:sz w:val="20"/>
                <w:szCs w:val="20"/>
              </w:rPr>
            </w:pPr>
          </w:p>
        </w:tc>
        <w:tc>
          <w:tcPr>
            <w:tcW w:w="5149" w:type="dxa"/>
            <w:tcBorders>
              <w:bottom w:val="single" w:color="auto" w:sz="4" w:space="0"/>
            </w:tcBorders>
            <w:tcMar>
              <w:left w:w="0" w:type="dxa"/>
              <w:right w:w="28" w:type="dxa"/>
            </w:tcMar>
          </w:tcPr>
          <w:p w14:paraId="08AF048A">
            <w:pPr>
              <w:spacing w:before="48" w:beforeLines="20" w:after="48" w:afterLines="20"/>
              <w:jc w:val="both"/>
              <w:rPr>
                <w:rFonts w:eastAsia="楷体_GB2312" w:cs="Calibri"/>
                <w:b/>
                <w:sz w:val="20"/>
                <w:szCs w:val="20"/>
              </w:rPr>
            </w:pPr>
            <w:r>
              <w:rPr>
                <w:rFonts w:hint="eastAsia" w:ascii="楷体" w:hAnsi="楷体" w:eastAsia="楷体" w:cs="Calibri"/>
                <w:b/>
                <w:bCs/>
                <w:sz w:val="20"/>
                <w:szCs w:val="20"/>
              </w:rPr>
              <w:t>图</w:t>
            </w:r>
            <w:r>
              <w:rPr>
                <w:rFonts w:ascii="楷体" w:hAnsi="楷体" w:eastAsia="楷体" w:cs="Calibri"/>
                <w:b/>
                <w:bCs/>
                <w:sz w:val="20"/>
                <w:szCs w:val="20"/>
              </w:rPr>
              <w:t>:</w:t>
            </w:r>
            <w:r>
              <w:rPr>
                <w:rFonts w:hint="eastAsia" w:ascii="楷体" w:hAnsi="楷体" w:eastAsia="楷体" w:cs="Calibri"/>
                <w:b/>
                <w:bCs/>
                <w:sz w:val="20"/>
                <w:szCs w:val="20"/>
              </w:rPr>
              <w:t>指导者(CSIPs)</w:t>
            </w:r>
          </w:p>
        </w:tc>
      </w:tr>
      <w:tr w14:paraId="26D9A4F9">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6F58E436">
            <w:pPr>
              <w:spacing w:before="48" w:beforeLines="20" w:after="48" w:afterLines="20"/>
              <w:jc w:val="both"/>
              <w:textAlignment w:val="center"/>
              <w:rPr>
                <w:rFonts w:eastAsia="楷体_GB2312" w:cs="Calibri"/>
                <w:b/>
                <w:color w:val="000000"/>
                <w:sz w:val="20"/>
                <w:szCs w:val="20"/>
                <w:lang w:bidi="ar"/>
              </w:rPr>
            </w:pPr>
            <w:r>
              <w:rPr>
                <w:snapToGrid/>
              </w:rPr>
              <w:drawing>
                <wp:inline distT="0" distB="0" distL="0" distR="0">
                  <wp:extent cx="3239770" cy="2274570"/>
                  <wp:effectExtent l="0" t="0" r="0" b="0"/>
                  <wp:docPr id="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pic:cNvPicPr>
                            <a:picLocks noChangeAspect="1"/>
                          </pic:cNvPicPr>
                        </pic:nvPicPr>
                        <pic:blipFill>
                          <a:blip r:embed="rId54"/>
                          <a:stretch>
                            <a:fillRect/>
                          </a:stretch>
                        </pic:blipFill>
                        <pic:spPr>
                          <a:xfrm>
                            <a:off x="0" y="0"/>
                            <a:ext cx="3240000" cy="2275009"/>
                          </a:xfrm>
                          <a:prstGeom prst="rect">
                            <a:avLst/>
                          </a:prstGeom>
                        </pic:spPr>
                      </pic:pic>
                    </a:graphicData>
                  </a:graphic>
                </wp:inline>
              </w:drawing>
            </w:r>
          </w:p>
        </w:tc>
        <w:tc>
          <w:tcPr>
            <w:tcW w:w="241" w:type="dxa"/>
          </w:tcPr>
          <w:p w14:paraId="4037D591">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14:paraId="3908EF85">
            <w:pPr>
              <w:spacing w:before="48" w:beforeLines="20" w:after="48" w:afterLines="20"/>
              <w:jc w:val="both"/>
              <w:rPr>
                <w:rFonts w:eastAsia="楷体_GB2312" w:cs="Calibri"/>
                <w:b/>
                <w:sz w:val="20"/>
                <w:szCs w:val="20"/>
              </w:rPr>
            </w:pPr>
            <w:r>
              <w:rPr>
                <w:snapToGrid/>
              </w:rPr>
              <w:drawing>
                <wp:inline distT="0" distB="0" distL="0" distR="0">
                  <wp:extent cx="3239770" cy="2257425"/>
                  <wp:effectExtent l="0" t="0" r="0" b="9525"/>
                  <wp:docPr id="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pic:cNvPicPr>
                            <a:picLocks noChangeAspect="1"/>
                          </pic:cNvPicPr>
                        </pic:nvPicPr>
                        <pic:blipFill>
                          <a:blip r:embed="rId55"/>
                          <a:stretch>
                            <a:fillRect/>
                          </a:stretch>
                        </pic:blipFill>
                        <pic:spPr>
                          <a:xfrm>
                            <a:off x="0" y="0"/>
                            <a:ext cx="3240000" cy="2257877"/>
                          </a:xfrm>
                          <a:prstGeom prst="rect">
                            <a:avLst/>
                          </a:prstGeom>
                        </pic:spPr>
                      </pic:pic>
                    </a:graphicData>
                  </a:graphic>
                </wp:inline>
              </w:drawing>
            </w:r>
          </w:p>
        </w:tc>
      </w:tr>
      <w:tr w14:paraId="02B747C6">
        <w:trPr>
          <w:trHeight w:val="227" w:hRule="atLeast"/>
        </w:trPr>
        <w:tc>
          <w:tcPr>
            <w:tcW w:w="5100" w:type="dxa"/>
            <w:tcBorders>
              <w:top w:val="single" w:color="auto" w:sz="4" w:space="0"/>
            </w:tcBorders>
            <w:tcMar>
              <w:left w:w="0" w:type="dxa"/>
              <w:right w:w="28" w:type="dxa"/>
            </w:tcMar>
            <w:vAlign w:val="center"/>
          </w:tcPr>
          <w:p w14:paraId="069AAE44">
            <w:pPr>
              <w:spacing w:before="48" w:beforeLines="20" w:after="48" w:afterLines="20"/>
              <w:jc w:val="both"/>
              <w:textAlignment w:val="center"/>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c>
          <w:tcPr>
            <w:tcW w:w="241" w:type="dxa"/>
            <w:tcMar>
              <w:left w:w="0" w:type="dxa"/>
              <w:right w:w="28" w:type="dxa"/>
            </w:tcMar>
          </w:tcPr>
          <w:p w14:paraId="771C16F4">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14:paraId="0BA98DF3">
            <w:pPr>
              <w:spacing w:before="48" w:beforeLines="20" w:after="48" w:afterLines="20"/>
              <w:jc w:val="both"/>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r>
    </w:tbl>
    <w:p w14:paraId="4C4915A6">
      <w:pPr>
        <w:rPr>
          <w:rFonts w:eastAsia="楷体" w:cs="Calibri"/>
          <w:b/>
          <w:bCs/>
          <w:kern w:val="2"/>
          <w:sz w:val="22"/>
          <w:szCs w:val="22"/>
        </w:rPr>
      </w:pPr>
    </w:p>
    <w:p w14:paraId="6D38B89E">
      <w:pPr>
        <w:rPr>
          <w:rFonts w:eastAsia="楷体" w:cs="Calibri"/>
          <w:b/>
          <w:bCs/>
          <w:kern w:val="2"/>
          <w:sz w:val="22"/>
          <w:szCs w:val="22"/>
        </w:rPr>
      </w:pPr>
      <w:r>
        <w:rPr>
          <w:rFonts w:eastAsia="楷体" w:cs="Calibri"/>
          <w:b/>
          <w:bCs/>
          <w:kern w:val="2"/>
          <w:sz w:val="22"/>
          <w:szCs w:val="22"/>
        </w:rPr>
        <w:t xml:space="preserve">4) </w:t>
      </w:r>
      <w:r>
        <w:rPr>
          <w:rFonts w:hint="eastAsia" w:eastAsia="楷体" w:cs="Calibri"/>
          <w:b/>
          <w:bCs/>
          <w:kern w:val="2"/>
          <w:sz w:val="22"/>
          <w:szCs w:val="22"/>
        </w:rPr>
        <w:t>飞机管理及增值服务</w:t>
      </w:r>
    </w:p>
    <w:p w14:paraId="3C2313A7">
      <w:pPr>
        <w:rPr>
          <w:rFonts w:eastAsia="楷体" w:cs="Calibri"/>
          <w:kern w:val="2"/>
          <w:sz w:val="22"/>
          <w:szCs w:val="22"/>
        </w:rPr>
      </w:pPr>
      <w:r>
        <w:rPr>
          <w:rFonts w:hint="eastAsia" w:eastAsia="楷体" w:cs="Calibri"/>
          <w:kern w:val="2"/>
          <w:sz w:val="22"/>
          <w:szCs w:val="22"/>
        </w:rPr>
        <w:t>西锐为</w:t>
      </w:r>
      <w:r>
        <w:rPr>
          <w:rFonts w:eastAsia="楷体" w:cs="Calibri"/>
          <w:kern w:val="2"/>
          <w:sz w:val="22"/>
          <w:szCs w:val="22"/>
        </w:rPr>
        <w:t xml:space="preserve"> Vision Jet </w:t>
      </w:r>
      <w:r>
        <w:rPr>
          <w:rFonts w:hint="eastAsia" w:eastAsia="楷体" w:cs="Calibri"/>
          <w:kern w:val="2"/>
          <w:sz w:val="22"/>
          <w:szCs w:val="22"/>
        </w:rPr>
        <w:t>机主提供</w:t>
      </w:r>
      <w:r>
        <w:rPr>
          <w:rFonts w:eastAsia="楷体" w:cs="Calibri"/>
          <w:kern w:val="2"/>
          <w:sz w:val="22"/>
          <w:szCs w:val="22"/>
        </w:rPr>
        <w:t xml:space="preserve"> Vision Air </w:t>
      </w:r>
      <w:r>
        <w:rPr>
          <w:rFonts w:hint="eastAsia" w:eastAsia="楷体" w:cs="Calibri"/>
          <w:kern w:val="2"/>
          <w:sz w:val="22"/>
          <w:szCs w:val="22"/>
        </w:rPr>
        <w:t>高级全年管理服务，年费为</w:t>
      </w:r>
      <w:r>
        <w:rPr>
          <w:rFonts w:eastAsia="楷体" w:cs="Calibri"/>
          <w:kern w:val="2"/>
          <w:sz w:val="22"/>
          <w:szCs w:val="22"/>
        </w:rPr>
        <w:t xml:space="preserve"> 30 </w:t>
      </w:r>
      <w:r>
        <w:rPr>
          <w:rFonts w:hint="eastAsia" w:eastAsia="楷体" w:cs="Calibri"/>
          <w:kern w:val="2"/>
          <w:sz w:val="22"/>
          <w:szCs w:val="22"/>
        </w:rPr>
        <w:t>万至</w:t>
      </w:r>
      <w:r>
        <w:rPr>
          <w:rFonts w:eastAsia="楷体" w:cs="Calibri"/>
          <w:kern w:val="2"/>
          <w:sz w:val="22"/>
          <w:szCs w:val="22"/>
        </w:rPr>
        <w:t xml:space="preserve"> 48.5 </w:t>
      </w:r>
      <w:r>
        <w:rPr>
          <w:rFonts w:hint="eastAsia" w:eastAsia="楷体" w:cs="Calibri"/>
          <w:kern w:val="2"/>
          <w:sz w:val="22"/>
          <w:szCs w:val="22"/>
        </w:rPr>
        <w:t>万美元；同时还提供</w:t>
      </w:r>
      <w:r>
        <w:rPr>
          <w:rFonts w:eastAsia="楷体" w:cs="Calibri"/>
          <w:kern w:val="2"/>
          <w:sz w:val="22"/>
          <w:szCs w:val="22"/>
        </w:rPr>
        <w:t xml:space="preserve"> Cirrus One </w:t>
      </w:r>
      <w:r>
        <w:rPr>
          <w:rFonts w:hint="eastAsia" w:eastAsia="楷体" w:cs="Calibri"/>
          <w:kern w:val="2"/>
          <w:sz w:val="22"/>
          <w:szCs w:val="22"/>
        </w:rPr>
        <w:t>服务，面向</w:t>
      </w:r>
      <w:r>
        <w:rPr>
          <w:rFonts w:eastAsia="楷体" w:cs="Calibri"/>
          <w:kern w:val="2"/>
          <w:sz w:val="22"/>
          <w:szCs w:val="22"/>
        </w:rPr>
        <w:t xml:space="preserve"> SR </w:t>
      </w:r>
      <w:r>
        <w:rPr>
          <w:rFonts w:hint="eastAsia" w:eastAsia="楷体" w:cs="Calibri"/>
          <w:kern w:val="2"/>
          <w:sz w:val="22"/>
          <w:szCs w:val="22"/>
        </w:rPr>
        <w:t>系列飞机，起价为每月</w:t>
      </w:r>
      <w:r>
        <w:rPr>
          <w:rFonts w:eastAsia="楷体" w:cs="Calibri"/>
          <w:kern w:val="2"/>
          <w:sz w:val="22"/>
          <w:szCs w:val="22"/>
        </w:rPr>
        <w:t xml:space="preserve"> 1500 </w:t>
      </w:r>
      <w:r>
        <w:rPr>
          <w:rFonts w:hint="eastAsia" w:eastAsia="楷体" w:cs="Calibri"/>
          <w:kern w:val="2"/>
          <w:sz w:val="22"/>
          <w:szCs w:val="22"/>
        </w:rPr>
        <w:t>美元（具体价格因服务而异）。</w:t>
      </w:r>
    </w:p>
    <w:p w14:paraId="4253FFC3">
      <w:pPr>
        <w:rPr>
          <w:rFonts w:eastAsia="楷体" w:cs="Calibri"/>
          <w:kern w:val="2"/>
          <w:sz w:val="22"/>
          <w:szCs w:val="22"/>
        </w:rPr>
      </w:pPr>
      <w:r>
        <w:rPr>
          <w:rFonts w:eastAsia="楷体" w:cs="Calibri"/>
          <w:kern w:val="2"/>
          <w:sz w:val="22"/>
          <w:szCs w:val="22"/>
        </w:rPr>
        <w:t xml:space="preserve">Cirrus Finance &amp; Insurance </w:t>
      </w:r>
      <w:r>
        <w:rPr>
          <w:rFonts w:hint="eastAsia" w:eastAsia="楷体" w:cs="Calibri"/>
          <w:kern w:val="2"/>
          <w:sz w:val="22"/>
          <w:szCs w:val="22"/>
        </w:rPr>
        <w:t>通过第三方合作伙伴提供融资和保险解决方案，</w:t>
      </w:r>
      <w:r>
        <w:rPr>
          <w:rFonts w:eastAsia="楷体" w:cs="Calibri"/>
          <w:kern w:val="2"/>
          <w:sz w:val="22"/>
          <w:szCs w:val="22"/>
        </w:rPr>
        <w:t xml:space="preserve">2021 </w:t>
      </w:r>
      <w:r>
        <w:rPr>
          <w:rFonts w:hint="eastAsia" w:eastAsia="楷体" w:cs="Calibri"/>
          <w:kern w:val="2"/>
          <w:sz w:val="22"/>
          <w:szCs w:val="22"/>
        </w:rPr>
        <w:t>年和</w:t>
      </w:r>
      <w:r>
        <w:rPr>
          <w:rFonts w:eastAsia="楷体" w:cs="Calibri"/>
          <w:kern w:val="2"/>
          <w:sz w:val="22"/>
          <w:szCs w:val="22"/>
        </w:rPr>
        <w:t xml:space="preserve"> 2022 </w:t>
      </w:r>
      <w:r>
        <w:rPr>
          <w:rFonts w:hint="eastAsia" w:eastAsia="楷体" w:cs="Calibri"/>
          <w:kern w:val="2"/>
          <w:sz w:val="22"/>
          <w:szCs w:val="22"/>
        </w:rPr>
        <w:t>年的经纪佣金收入为</w:t>
      </w:r>
      <w:r>
        <w:rPr>
          <w:rFonts w:eastAsia="楷体" w:cs="Calibri"/>
          <w:kern w:val="2"/>
          <w:sz w:val="22"/>
          <w:szCs w:val="22"/>
        </w:rPr>
        <w:t xml:space="preserve"> 160 </w:t>
      </w:r>
      <w:r>
        <w:rPr>
          <w:rFonts w:hint="eastAsia" w:eastAsia="楷体" w:cs="Calibri"/>
          <w:kern w:val="2"/>
          <w:sz w:val="22"/>
          <w:szCs w:val="22"/>
        </w:rPr>
        <w:t>万美元，预计</w:t>
      </w:r>
      <w:r>
        <w:rPr>
          <w:rFonts w:eastAsia="楷体" w:cs="Calibri"/>
          <w:kern w:val="2"/>
          <w:sz w:val="22"/>
          <w:szCs w:val="22"/>
        </w:rPr>
        <w:t xml:space="preserve"> 2023 </w:t>
      </w:r>
      <w:r>
        <w:rPr>
          <w:rFonts w:hint="eastAsia" w:eastAsia="楷体" w:cs="Calibri"/>
          <w:kern w:val="2"/>
          <w:sz w:val="22"/>
          <w:szCs w:val="22"/>
        </w:rPr>
        <w:t>年将增至</w:t>
      </w:r>
      <w:r>
        <w:rPr>
          <w:rFonts w:eastAsia="楷体" w:cs="Calibri"/>
          <w:kern w:val="2"/>
          <w:sz w:val="22"/>
          <w:szCs w:val="22"/>
        </w:rPr>
        <w:t xml:space="preserve"> 270 </w:t>
      </w:r>
      <w:r>
        <w:rPr>
          <w:rFonts w:hint="eastAsia" w:eastAsia="楷体" w:cs="Calibri"/>
          <w:kern w:val="2"/>
          <w:sz w:val="22"/>
          <w:szCs w:val="22"/>
        </w:rPr>
        <w:t>万美元。该公司累计促成了超过</w:t>
      </w:r>
      <w:r>
        <w:rPr>
          <w:rFonts w:eastAsia="楷体" w:cs="Calibri"/>
          <w:kern w:val="2"/>
          <w:sz w:val="22"/>
          <w:szCs w:val="22"/>
        </w:rPr>
        <w:t xml:space="preserve"> 3100 </w:t>
      </w:r>
      <w:r>
        <w:rPr>
          <w:rFonts w:hint="eastAsia" w:eastAsia="楷体" w:cs="Calibri"/>
          <w:kern w:val="2"/>
          <w:sz w:val="22"/>
          <w:szCs w:val="22"/>
        </w:rPr>
        <w:t>笔融资交易，并为</w:t>
      </w:r>
      <w:r>
        <w:rPr>
          <w:rFonts w:eastAsia="楷体" w:cs="Calibri"/>
          <w:kern w:val="2"/>
          <w:sz w:val="22"/>
          <w:szCs w:val="22"/>
        </w:rPr>
        <w:t xml:space="preserve"> 900 </w:t>
      </w:r>
      <w:r>
        <w:rPr>
          <w:rFonts w:hint="eastAsia" w:eastAsia="楷体" w:cs="Calibri"/>
          <w:kern w:val="2"/>
          <w:sz w:val="22"/>
          <w:szCs w:val="22"/>
        </w:rPr>
        <w:t>多架飞机提供了保险保障。</w:t>
      </w:r>
    </w:p>
    <w:p w14:paraId="50883677">
      <w:pPr>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10CA6074">
        <w:trPr>
          <w:trHeight w:val="302" w:hRule="atLeast"/>
        </w:trPr>
        <w:tc>
          <w:tcPr>
            <w:tcW w:w="7466" w:type="dxa"/>
            <w:tcBorders>
              <w:bottom w:val="single" w:color="auto" w:sz="4" w:space="0"/>
            </w:tcBorders>
            <w:tcMar>
              <w:left w:w="0" w:type="dxa"/>
              <w:right w:w="28" w:type="dxa"/>
            </w:tcMar>
          </w:tcPr>
          <w:p w14:paraId="2B87B8D4">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图：西锐飞机IQ应用</w:t>
            </w:r>
          </w:p>
        </w:tc>
      </w:tr>
      <w:tr w14:paraId="26B2E084">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3EE307E6">
            <w:pPr>
              <w:spacing w:before="48" w:beforeLines="20" w:after="48" w:afterLines="20"/>
              <w:jc w:val="center"/>
              <w:textAlignment w:val="center"/>
              <w:rPr>
                <w:rFonts w:eastAsia="宋体" w:cs="Calibri"/>
                <w:b/>
                <w:bCs/>
                <w:sz w:val="20"/>
                <w:szCs w:val="20"/>
              </w:rPr>
            </w:pPr>
            <w:r>
              <w:rPr>
                <w:snapToGrid/>
              </w:rPr>
              <w:drawing>
                <wp:inline distT="0" distB="0" distL="0" distR="0">
                  <wp:extent cx="4603750" cy="2074545"/>
                  <wp:effectExtent l="0" t="0" r="6350" b="1905"/>
                  <wp:docPr id="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pic:cNvPicPr>
                            <a:picLocks noChangeAspect="1"/>
                          </pic:cNvPicPr>
                        </pic:nvPicPr>
                        <pic:blipFill>
                          <a:blip r:embed="rId56"/>
                          <a:stretch>
                            <a:fillRect/>
                          </a:stretch>
                        </pic:blipFill>
                        <pic:spPr>
                          <a:xfrm>
                            <a:off x="0" y="0"/>
                            <a:ext cx="4603750" cy="2074545"/>
                          </a:xfrm>
                          <a:prstGeom prst="rect">
                            <a:avLst/>
                          </a:prstGeom>
                        </pic:spPr>
                      </pic:pic>
                    </a:graphicData>
                  </a:graphic>
                </wp:inline>
              </w:drawing>
            </w:r>
          </w:p>
        </w:tc>
      </w:tr>
      <w:tr w14:paraId="5E75E929">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375BF940">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hint="eastAsia" w:ascii="楷体" w:hAnsi="楷体" w:eastAsia="楷体" w:cs="Calibri"/>
                <w:sz w:val="20"/>
                <w:szCs w:val="20"/>
              </w:rPr>
              <w:t>公司公告，HFI</w:t>
            </w:r>
          </w:p>
        </w:tc>
      </w:tr>
    </w:tbl>
    <w:p w14:paraId="63F51E2C">
      <w:pPr>
        <w:rPr>
          <w:rFonts w:eastAsia="楷体" w:cs="Calibri"/>
          <w:kern w:val="2"/>
          <w:sz w:val="22"/>
          <w:szCs w:val="22"/>
        </w:rPr>
      </w:pPr>
    </w:p>
    <w:p w14:paraId="63F51E2D">
      <w:pPr>
        <w:pStyle w:val="77"/>
        <w:jc w:val="both"/>
        <w:rPr>
          <w:rFonts w:hint="eastAsia" w:ascii="楷体" w:hAnsi="楷体" w:eastAsia="楷体" w:cs="楷体"/>
          <w:b w:val="0"/>
          <w:bCs w:val="0"/>
          <w:color w:val="23558C"/>
          <w:kern w:val="2"/>
          <w:sz w:val="22"/>
          <w:szCs w:val="22"/>
        </w:rPr>
      </w:pPr>
      <w:bookmarkStart w:id="16" w:name="_Toc219028025"/>
      <w:r>
        <w:rPr>
          <w:rFonts w:hint="eastAsia" w:ascii="楷体" w:hAnsi="楷体" w:eastAsia="楷体" w:cs="楷体"/>
          <w:color w:val="23558C"/>
          <w:sz w:val="24"/>
        </w:rPr>
        <w:t>3.3 高复购率与定价能力彰显品牌价值</w:t>
      </w:r>
      <w:bookmarkEnd w:id="15"/>
    </w:p>
    <w:p w14:paraId="63F51E2E">
      <w:pPr>
        <w:jc w:val="both"/>
        <w:rPr>
          <w:rFonts w:eastAsia="楷体" w:cs="Calibri"/>
          <w:kern w:val="2"/>
          <w:sz w:val="22"/>
          <w:szCs w:val="22"/>
        </w:rPr>
      </w:pPr>
      <w:r>
        <w:rPr>
          <w:rFonts w:eastAsia="楷体" w:cs="Calibri"/>
          <w:b/>
          <w:bCs/>
          <w:kern w:val="2"/>
          <w:sz w:val="22"/>
          <w:szCs w:val="22"/>
        </w:rPr>
        <w:t>西锐飞机具备</w:t>
      </w:r>
      <w:r>
        <w:rPr>
          <w:rFonts w:hint="eastAsia" w:eastAsia="楷体" w:cs="Calibri"/>
          <w:b/>
          <w:bCs/>
          <w:kern w:val="2"/>
          <w:sz w:val="22"/>
          <w:szCs w:val="22"/>
        </w:rPr>
        <w:t>高</w:t>
      </w:r>
      <w:r>
        <w:rPr>
          <w:rFonts w:eastAsia="楷体" w:cs="Calibri"/>
          <w:b/>
          <w:bCs/>
          <w:kern w:val="2"/>
          <w:sz w:val="22"/>
          <w:szCs w:val="22"/>
        </w:rPr>
        <w:t>复购率及持续的定价能力，反映出其</w:t>
      </w:r>
      <w:r>
        <w:rPr>
          <w:rFonts w:hint="eastAsia" w:eastAsia="楷体" w:cs="Calibri"/>
          <w:b/>
          <w:bCs/>
          <w:kern w:val="2"/>
          <w:sz w:val="22"/>
          <w:szCs w:val="22"/>
        </w:rPr>
        <w:t>较强的品牌价值</w:t>
      </w:r>
      <w:r>
        <w:rPr>
          <w:rFonts w:eastAsia="楷体" w:cs="Calibri"/>
          <w:b/>
          <w:bCs/>
          <w:kern w:val="2"/>
          <w:sz w:val="22"/>
          <w:szCs w:val="22"/>
        </w:rPr>
        <w:t>。</w:t>
      </w:r>
      <w:r>
        <w:rPr>
          <w:rFonts w:eastAsia="楷体" w:cs="Calibri"/>
          <w:kern w:val="2"/>
          <w:sz w:val="22"/>
          <w:szCs w:val="22"/>
        </w:rPr>
        <w:t>过去九年间，公司产品平均售价复合年增长率达到 7.5%，显著高于同期美国人均可支配收入 5.24% 的增速、美国 CPI 的 1.38%，亦高于法拉利约 4.8% 的涨幅，显示出公司在高端私人航空市场中突出的品牌溢价能力。</w:t>
      </w:r>
    </w:p>
    <w:p w14:paraId="63F51E2F">
      <w:pPr>
        <w:jc w:val="both"/>
        <w:rPr>
          <w:rFonts w:eastAsia="楷体" w:cs="Calibri"/>
          <w:b/>
          <w:bCs/>
          <w:kern w:val="2"/>
          <w:sz w:val="22"/>
          <w:szCs w:val="22"/>
        </w:rPr>
      </w:pPr>
      <w:r>
        <w:rPr>
          <w:rFonts w:eastAsia="楷体" w:cs="Calibri"/>
          <w:kern w:val="2"/>
          <w:sz w:val="22"/>
          <w:szCs w:val="22"/>
        </w:rPr>
        <w:t>从客户结构来看，根据公司招股说明书披露，Vision Jet 的销售中约 75% 来自既有客户，较高的复购比例进一步验证了公司产品满意度与品牌黏性的持续提升。</w:t>
      </w:r>
    </w:p>
    <w:p w14:paraId="63F51E30">
      <w:pPr>
        <w:jc w:val="both"/>
        <w:rPr>
          <w:rFonts w:hint="eastAsia" w:eastAsia="楷体" w:asciiTheme="minorHAnsi" w:hAnsiTheme="minorHAnsi" w:cstheme="minorHAnsi"/>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14:paraId="63F51E34">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14:paraId="63F51E31">
            <w:pPr>
              <w:spacing w:before="48" w:beforeLines="20" w:after="48" w:afterLines="20"/>
              <w:jc w:val="both"/>
              <w:textAlignment w:val="center"/>
              <w:rPr>
                <w:rFonts w:ascii="楷体" w:hAnsi="楷体" w:eastAsia="楷体" w:cs="Calibri"/>
                <w:b/>
                <w:color w:val="000000"/>
                <w:sz w:val="20"/>
                <w:szCs w:val="20"/>
                <w:lang w:bidi="ar"/>
              </w:rPr>
            </w:pPr>
            <w:r>
              <w:rPr>
                <w:rFonts w:hint="eastAsia" w:ascii="楷体" w:hAnsi="楷体" w:eastAsia="楷体" w:cs="Calibri"/>
                <w:b/>
                <w:sz w:val="20"/>
                <w:szCs w:val="20"/>
              </w:rPr>
              <w:t>图：2015年至2024年西锐飞机平均价格</w:t>
            </w:r>
          </w:p>
        </w:tc>
        <w:tc>
          <w:tcPr>
            <w:tcW w:w="241" w:type="dxa"/>
            <w:tcMar>
              <w:left w:w="0" w:type="dxa"/>
              <w:right w:w="28" w:type="dxa"/>
            </w:tcMar>
          </w:tcPr>
          <w:p w14:paraId="63F51E32">
            <w:pPr>
              <w:spacing w:before="48" w:beforeLines="20" w:after="48" w:afterLines="20"/>
              <w:jc w:val="both"/>
              <w:rPr>
                <w:rFonts w:ascii="楷体" w:hAnsi="楷体" w:eastAsia="楷体" w:cs="Calibri"/>
                <w:sz w:val="20"/>
                <w:szCs w:val="20"/>
              </w:rPr>
            </w:pPr>
          </w:p>
        </w:tc>
        <w:tc>
          <w:tcPr>
            <w:tcW w:w="5149" w:type="dxa"/>
            <w:tcBorders>
              <w:bottom w:val="single" w:color="auto" w:sz="4" w:space="0"/>
            </w:tcBorders>
            <w:tcMar>
              <w:left w:w="0" w:type="dxa"/>
              <w:right w:w="28" w:type="dxa"/>
            </w:tcMar>
          </w:tcPr>
          <w:p w14:paraId="63F51E33">
            <w:pPr>
              <w:spacing w:before="48" w:beforeLines="20" w:after="48" w:afterLines="20"/>
              <w:jc w:val="both"/>
              <w:rPr>
                <w:rFonts w:ascii="楷体" w:hAnsi="楷体" w:eastAsia="楷体" w:cs="Calibri"/>
                <w:b/>
                <w:sz w:val="20"/>
                <w:szCs w:val="20"/>
              </w:rPr>
            </w:pPr>
            <w:r>
              <w:rPr>
                <w:rFonts w:hint="eastAsia" w:ascii="楷体" w:hAnsi="楷体" w:eastAsia="楷体" w:cs="Calibri"/>
                <w:b/>
                <w:sz w:val="20"/>
                <w:szCs w:val="20"/>
              </w:rPr>
              <w:t>图：2015-2024年法拉利平均价格</w:t>
            </w:r>
          </w:p>
        </w:tc>
      </w:tr>
      <w:tr w14:paraId="63F51E38">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63F51E35">
            <w:pPr>
              <w:spacing w:before="48" w:beforeLines="20" w:after="48" w:afterLines="20"/>
              <w:jc w:val="both"/>
              <w:textAlignment w:val="center"/>
              <w:rPr>
                <w:rFonts w:eastAsia="楷体_GB2312" w:cs="Calibri"/>
                <w:b/>
                <w:color w:val="000000"/>
                <w:sz w:val="20"/>
                <w:szCs w:val="20"/>
                <w:lang w:bidi="ar"/>
              </w:rPr>
            </w:pPr>
            <w:r>
              <w:drawing>
                <wp:inline distT="0" distB="0" distL="114300" distR="114300">
                  <wp:extent cx="3046730" cy="1882775"/>
                  <wp:effectExtent l="0" t="0" r="0" b="0"/>
                  <wp:docPr id="40" name="图表 12"/>
                  <wp:cNvGraphicFramePr/>
                  <a:graphic xmlns:a="http://schemas.openxmlformats.org/drawingml/2006/main">
                    <a:graphicData uri="http://schemas.openxmlformats.org/drawingml/2006/chart">
                      <c:chart xmlns:c="http://schemas.openxmlformats.org/drawingml/2006/chart" r:id="rId90"/>
                    </a:graphicData>
                  </a:graphic>
                </wp:inline>
              </w:drawing>
            </w:r>
          </w:p>
        </w:tc>
        <w:tc>
          <w:tcPr>
            <w:tcW w:w="241" w:type="dxa"/>
          </w:tcPr>
          <w:p w14:paraId="63F51E36">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14:paraId="63F51E37">
            <w:pPr>
              <w:spacing w:before="48" w:beforeLines="20" w:after="48" w:afterLines="20"/>
              <w:jc w:val="both"/>
              <w:rPr>
                <w:rFonts w:eastAsia="楷体_GB2312" w:cs="Calibri"/>
                <w:b/>
                <w:sz w:val="20"/>
                <w:szCs w:val="20"/>
              </w:rPr>
            </w:pPr>
            <w:r>
              <w:drawing>
                <wp:inline distT="0" distB="0" distL="114300" distR="114300">
                  <wp:extent cx="3129280" cy="1835785"/>
                  <wp:effectExtent l="0" t="0" r="0" b="0"/>
                  <wp:docPr id="41" name="图表 15"/>
                  <wp:cNvGraphicFramePr/>
                  <a:graphic xmlns:a="http://schemas.openxmlformats.org/drawingml/2006/main">
                    <a:graphicData uri="http://schemas.openxmlformats.org/drawingml/2006/chart">
                      <c:chart xmlns:c="http://schemas.openxmlformats.org/drawingml/2006/chart" r:id="rId91"/>
                    </a:graphicData>
                  </a:graphic>
                </wp:inline>
              </w:drawing>
            </w:r>
          </w:p>
        </w:tc>
      </w:tr>
      <w:tr w14:paraId="63F51E3C">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14:paraId="63F51E39">
            <w:pPr>
              <w:spacing w:before="48" w:beforeLines="20" w:after="48" w:afterLines="20"/>
              <w:jc w:val="both"/>
              <w:textAlignment w:val="center"/>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c>
          <w:tcPr>
            <w:tcW w:w="241" w:type="dxa"/>
            <w:tcMar>
              <w:left w:w="0" w:type="dxa"/>
              <w:right w:w="28" w:type="dxa"/>
            </w:tcMar>
          </w:tcPr>
          <w:p w14:paraId="63F51E3A">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14:paraId="63F51E3B">
            <w:pPr>
              <w:spacing w:before="48" w:beforeLines="20" w:after="48" w:afterLines="20"/>
              <w:jc w:val="both"/>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r>
    </w:tbl>
    <w:p w14:paraId="63F51E3D">
      <w:pPr>
        <w:jc w:val="both"/>
        <w:rPr>
          <w:rFonts w:hint="eastAsia" w:eastAsia="楷体" w:asciiTheme="minorHAnsi" w:hAnsiTheme="minorHAnsi" w:cstheme="minorHAnsi"/>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14:paraId="63F51E41">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14:paraId="63F51E3E">
            <w:pPr>
              <w:spacing w:before="48" w:beforeLines="20" w:after="48" w:afterLines="20"/>
              <w:jc w:val="both"/>
              <w:textAlignment w:val="center"/>
              <w:rPr>
                <w:rFonts w:ascii="楷体" w:hAnsi="楷体" w:eastAsia="楷体" w:cs="Calibri"/>
                <w:b/>
                <w:color w:val="000000"/>
                <w:sz w:val="20"/>
                <w:szCs w:val="20"/>
                <w:lang w:bidi="ar"/>
              </w:rPr>
            </w:pPr>
            <w:r>
              <w:rPr>
                <w:rFonts w:hint="eastAsia" w:ascii="楷体" w:hAnsi="楷体" w:eastAsia="楷体" w:cs="Calibri"/>
                <w:b/>
                <w:sz w:val="20"/>
                <w:szCs w:val="20"/>
              </w:rPr>
              <w:t>图：2015年至2024年美国人均可支配收入</w:t>
            </w:r>
          </w:p>
        </w:tc>
        <w:tc>
          <w:tcPr>
            <w:tcW w:w="241" w:type="dxa"/>
            <w:tcMar>
              <w:left w:w="0" w:type="dxa"/>
              <w:right w:w="28" w:type="dxa"/>
            </w:tcMar>
          </w:tcPr>
          <w:p w14:paraId="63F51E3F">
            <w:pPr>
              <w:spacing w:before="48" w:beforeLines="20" w:after="48" w:afterLines="20"/>
              <w:jc w:val="both"/>
              <w:rPr>
                <w:rFonts w:ascii="楷体" w:hAnsi="楷体" w:eastAsia="楷体" w:cs="Calibri"/>
                <w:sz w:val="20"/>
                <w:szCs w:val="20"/>
              </w:rPr>
            </w:pPr>
          </w:p>
        </w:tc>
        <w:tc>
          <w:tcPr>
            <w:tcW w:w="5149" w:type="dxa"/>
            <w:tcBorders>
              <w:bottom w:val="single" w:color="auto" w:sz="4" w:space="0"/>
            </w:tcBorders>
            <w:tcMar>
              <w:left w:w="0" w:type="dxa"/>
              <w:right w:w="28" w:type="dxa"/>
            </w:tcMar>
          </w:tcPr>
          <w:p w14:paraId="63F51E40">
            <w:pPr>
              <w:spacing w:before="48" w:beforeLines="20" w:after="48" w:afterLines="20"/>
              <w:jc w:val="both"/>
              <w:rPr>
                <w:rFonts w:ascii="楷体" w:hAnsi="楷体" w:eastAsia="楷体" w:cs="Calibri"/>
                <w:b/>
                <w:sz w:val="20"/>
                <w:szCs w:val="20"/>
              </w:rPr>
            </w:pPr>
            <w:r>
              <w:rPr>
                <w:rFonts w:hint="eastAsia" w:ascii="楷体" w:hAnsi="楷体" w:eastAsia="楷体" w:cs="Calibri"/>
                <w:b/>
                <w:sz w:val="20"/>
                <w:szCs w:val="20"/>
              </w:rPr>
              <w:t>图：2015年至2024年美国CPI</w:t>
            </w:r>
          </w:p>
        </w:tc>
      </w:tr>
      <w:tr w14:paraId="63F51E45">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63F51E42">
            <w:pPr>
              <w:spacing w:before="48" w:beforeLines="20" w:after="48" w:afterLines="20"/>
              <w:jc w:val="both"/>
              <w:textAlignment w:val="center"/>
              <w:rPr>
                <w:rFonts w:eastAsia="楷体_GB2312" w:cs="Calibri"/>
                <w:b/>
                <w:color w:val="000000"/>
                <w:sz w:val="20"/>
                <w:szCs w:val="20"/>
                <w:lang w:bidi="ar"/>
              </w:rPr>
            </w:pPr>
            <w:r>
              <w:drawing>
                <wp:inline distT="0" distB="0" distL="114300" distR="114300">
                  <wp:extent cx="3075305" cy="1828165"/>
                  <wp:effectExtent l="0" t="0" r="0" b="635"/>
                  <wp:docPr id="42" name="图表 19"/>
                  <wp:cNvGraphicFramePr/>
                  <a:graphic xmlns:a="http://schemas.openxmlformats.org/drawingml/2006/main">
                    <a:graphicData uri="http://schemas.openxmlformats.org/drawingml/2006/chart">
                      <c:chart xmlns:c="http://schemas.openxmlformats.org/drawingml/2006/chart" r:id="rId92"/>
                    </a:graphicData>
                  </a:graphic>
                </wp:inline>
              </w:drawing>
            </w:r>
          </w:p>
        </w:tc>
        <w:tc>
          <w:tcPr>
            <w:tcW w:w="241" w:type="dxa"/>
          </w:tcPr>
          <w:p w14:paraId="63F51E43">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14:paraId="63F51E44">
            <w:pPr>
              <w:spacing w:before="48" w:beforeLines="20" w:after="48" w:afterLines="20"/>
              <w:jc w:val="both"/>
              <w:rPr>
                <w:rFonts w:eastAsia="楷体_GB2312" w:cs="Calibri"/>
                <w:b/>
                <w:sz w:val="20"/>
                <w:szCs w:val="20"/>
              </w:rPr>
            </w:pPr>
            <w:r>
              <w:drawing>
                <wp:inline distT="0" distB="0" distL="114300" distR="114300">
                  <wp:extent cx="3132455" cy="1828165"/>
                  <wp:effectExtent l="0" t="0" r="0" b="635"/>
                  <wp:docPr id="43" name="图表 21"/>
                  <wp:cNvGraphicFramePr/>
                  <a:graphic xmlns:a="http://schemas.openxmlformats.org/drawingml/2006/main">
                    <a:graphicData uri="http://schemas.openxmlformats.org/drawingml/2006/chart">
                      <c:chart xmlns:c="http://schemas.openxmlformats.org/drawingml/2006/chart" r:id="rId93"/>
                    </a:graphicData>
                  </a:graphic>
                </wp:inline>
              </w:drawing>
            </w:r>
          </w:p>
        </w:tc>
      </w:tr>
      <w:tr w14:paraId="63F51E49">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14:paraId="63F51E46">
            <w:pPr>
              <w:spacing w:before="48" w:beforeLines="20" w:after="48" w:afterLines="20"/>
              <w:jc w:val="both"/>
              <w:textAlignment w:val="center"/>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c>
          <w:tcPr>
            <w:tcW w:w="241" w:type="dxa"/>
            <w:tcMar>
              <w:left w:w="0" w:type="dxa"/>
              <w:right w:w="28" w:type="dxa"/>
            </w:tcMar>
          </w:tcPr>
          <w:p w14:paraId="63F51E47">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14:paraId="63F51E48">
            <w:pPr>
              <w:spacing w:before="48" w:beforeLines="20" w:after="48" w:afterLines="20"/>
              <w:jc w:val="both"/>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14:paraId="63F51E4A">
      <w:pPr>
        <w:jc w:val="both"/>
        <w:rPr>
          <w:rFonts w:hint="eastAsia" w:eastAsia="楷体" w:asciiTheme="minorHAnsi" w:hAnsiTheme="minorHAnsi" w:cstheme="minorHAnsi"/>
          <w:kern w:val="2"/>
          <w:sz w:val="22"/>
          <w:szCs w:val="22"/>
        </w:rPr>
      </w:pPr>
    </w:p>
    <w:p w14:paraId="63F51E4B">
      <w:pPr>
        <w:pStyle w:val="2"/>
        <w:spacing w:before="240" w:beforeLines="100" w:after="240" w:afterLines="100"/>
        <w:jc w:val="both"/>
        <w:rPr>
          <w:rFonts w:hint="eastAsia" w:ascii="楷体" w:hAnsi="楷体" w:eastAsia="楷体" w:cs="楷体"/>
          <w:b/>
          <w:bCs/>
          <w:color w:val="23558C"/>
          <w:sz w:val="28"/>
          <w:szCs w:val="28"/>
        </w:rPr>
      </w:pPr>
      <w:bookmarkStart w:id="17" w:name="_Toc219028026"/>
      <w:r>
        <w:rPr>
          <w:rFonts w:hint="eastAsia" w:ascii="楷体" w:hAnsi="楷体" w:eastAsia="楷体" w:cs="楷体"/>
          <w:b/>
          <w:bCs/>
          <w:color w:val="23558C"/>
          <w:sz w:val="28"/>
          <w:szCs w:val="28"/>
        </w:rPr>
        <w:t xml:space="preserve">4. </w:t>
      </w:r>
      <w:bookmarkEnd w:id="16"/>
      <w:r>
        <w:rPr>
          <w:rFonts w:hint="eastAsia" w:ascii="楷体" w:hAnsi="楷体" w:eastAsia="楷体" w:cs="楷体"/>
          <w:b/>
          <w:bCs/>
          <w:color w:val="23558C"/>
          <w:sz w:val="28"/>
          <w:szCs w:val="28"/>
        </w:rPr>
        <w:t>未来展望：增长具备韧性，发展路径清晰</w:t>
      </w:r>
      <w:bookmarkEnd w:id="17"/>
    </w:p>
    <w:p w14:paraId="63F51E4C">
      <w:pPr>
        <w:jc w:val="both"/>
        <w:rPr>
          <w:rFonts w:eastAsia="楷体" w:cs="Calibri"/>
          <w:sz w:val="22"/>
          <w:szCs w:val="22"/>
        </w:rPr>
      </w:pPr>
      <w:r>
        <w:rPr>
          <w:rFonts w:hint="eastAsia" w:eastAsia="楷体" w:cs="Calibri"/>
          <w:b/>
          <w:bCs/>
          <w:sz w:val="22"/>
          <w:szCs w:val="22"/>
        </w:rPr>
        <w:t>强劲的订单积压确保了稳健的业绩表现。</w:t>
      </w:r>
      <w:r>
        <w:rPr>
          <w:rFonts w:hint="eastAsia" w:eastAsia="楷体" w:cs="Calibri"/>
          <w:sz w:val="22"/>
          <w:szCs w:val="22"/>
        </w:rPr>
        <w:t>由于客户对机型和配置的偏好差异，客户按订单支付的每架飞机交付周期通常为18至24个月。根据GAMA数据，西锐飞机在2025年前三个季度交付了555架飞机，其订单积压依然充足，为未来业绩提供了有力支撑。</w:t>
      </w:r>
    </w:p>
    <w:p w14:paraId="63F51E4D">
      <w:pPr>
        <w:jc w:val="both"/>
        <w:rPr>
          <w:rFonts w:eastAsia="楷体" w:cs="Calibri"/>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14:paraId="63F51E51">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14:paraId="63F51E4E">
            <w:pPr>
              <w:spacing w:before="48" w:beforeLines="20" w:after="48" w:afterLines="20"/>
              <w:jc w:val="both"/>
              <w:textAlignment w:val="center"/>
              <w:rPr>
                <w:rFonts w:ascii="楷体" w:hAnsi="楷体" w:eastAsia="楷体" w:cs="Calibri"/>
                <w:b/>
                <w:sz w:val="20"/>
                <w:szCs w:val="20"/>
              </w:rPr>
            </w:pPr>
            <w:r>
              <w:rPr>
                <w:rFonts w:hint="eastAsia" w:ascii="楷体" w:hAnsi="楷体" w:eastAsia="楷体" w:cs="Calibri"/>
                <w:b/>
                <w:sz w:val="20"/>
                <w:szCs w:val="20"/>
              </w:rPr>
              <w:t>图：西锐飞机季度出货量（架）</w:t>
            </w:r>
          </w:p>
        </w:tc>
        <w:tc>
          <w:tcPr>
            <w:tcW w:w="241" w:type="dxa"/>
            <w:tcMar>
              <w:left w:w="0" w:type="dxa"/>
              <w:right w:w="28" w:type="dxa"/>
            </w:tcMar>
          </w:tcPr>
          <w:p w14:paraId="63F51E4F">
            <w:pPr>
              <w:spacing w:before="48" w:beforeLines="20" w:after="48" w:afterLines="20"/>
              <w:jc w:val="both"/>
              <w:rPr>
                <w:rFonts w:ascii="楷体" w:hAnsi="楷体" w:eastAsia="楷体" w:cs="Calibri"/>
                <w:sz w:val="20"/>
                <w:szCs w:val="20"/>
              </w:rPr>
            </w:pPr>
          </w:p>
        </w:tc>
        <w:tc>
          <w:tcPr>
            <w:tcW w:w="5149" w:type="dxa"/>
            <w:tcBorders>
              <w:bottom w:val="single" w:color="auto" w:sz="4" w:space="0"/>
            </w:tcBorders>
            <w:tcMar>
              <w:left w:w="0" w:type="dxa"/>
              <w:right w:w="28" w:type="dxa"/>
            </w:tcMar>
          </w:tcPr>
          <w:p w14:paraId="63F51E50">
            <w:pPr>
              <w:spacing w:before="48" w:beforeLines="20" w:after="48" w:afterLines="20"/>
              <w:jc w:val="both"/>
              <w:rPr>
                <w:rFonts w:ascii="楷体" w:hAnsi="楷体" w:eastAsia="楷体" w:cs="Calibri"/>
                <w:b/>
                <w:sz w:val="20"/>
                <w:szCs w:val="20"/>
              </w:rPr>
            </w:pPr>
            <w:r>
              <w:rPr>
                <w:rFonts w:hint="eastAsia" w:ascii="楷体" w:hAnsi="楷体" w:eastAsia="楷体" w:cs="Calibri"/>
                <w:b/>
                <w:sz w:val="20"/>
                <w:szCs w:val="20"/>
              </w:rPr>
              <w:t>表：西锐飞机订单与交付统计数据</w:t>
            </w:r>
          </w:p>
        </w:tc>
      </w:tr>
      <w:tr w14:paraId="63F51E55">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63F51E52">
            <w:pPr>
              <w:spacing w:before="48" w:beforeLines="20" w:after="48" w:afterLines="20"/>
              <w:jc w:val="both"/>
              <w:textAlignment w:val="center"/>
              <w:rPr>
                <w:rFonts w:eastAsia="楷体_GB2312" w:cs="Calibri"/>
                <w:b/>
                <w:color w:val="000000"/>
                <w:sz w:val="20"/>
                <w:szCs w:val="20"/>
                <w:lang w:bidi="ar"/>
              </w:rPr>
            </w:pPr>
            <w:r>
              <w:rPr>
                <w:snapToGrid/>
              </w:rPr>
              <w:drawing>
                <wp:inline distT="0" distB="0" distL="0" distR="0">
                  <wp:extent cx="3012440" cy="1828800"/>
                  <wp:effectExtent l="0" t="0" r="0" b="0"/>
                  <wp:docPr id="44" name="图表 1"/>
                  <wp:cNvGraphicFramePr/>
                  <a:graphic xmlns:a="http://schemas.openxmlformats.org/drawingml/2006/main">
                    <a:graphicData uri="http://schemas.openxmlformats.org/drawingml/2006/chart">
                      <c:chart xmlns:c="http://schemas.openxmlformats.org/drawingml/2006/chart" r:id="rId94"/>
                    </a:graphicData>
                  </a:graphic>
                </wp:inline>
              </w:drawing>
            </w:r>
          </w:p>
        </w:tc>
        <w:tc>
          <w:tcPr>
            <w:tcW w:w="241" w:type="dxa"/>
          </w:tcPr>
          <w:p w14:paraId="63F51E53">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14:paraId="63F51E54">
            <w:pPr>
              <w:spacing w:before="48" w:beforeLines="20" w:after="48" w:afterLines="20"/>
              <w:jc w:val="both"/>
              <w:rPr>
                <w:rFonts w:eastAsia="楷体_GB2312" w:cs="Calibri"/>
                <w:b/>
                <w:sz w:val="20"/>
                <w:szCs w:val="20"/>
              </w:rPr>
            </w:pPr>
            <w:r>
              <w:rPr>
                <w:snapToGrid/>
              </w:rPr>
              <w:drawing>
                <wp:inline distT="0" distB="0" distL="0" distR="0">
                  <wp:extent cx="3251200" cy="1795145"/>
                  <wp:effectExtent l="0" t="0" r="6350" b="0"/>
                  <wp:docPr id="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62"/>
                          <a:stretch>
                            <a:fillRect/>
                          </a:stretch>
                        </pic:blipFill>
                        <pic:spPr>
                          <a:xfrm>
                            <a:off x="0" y="0"/>
                            <a:ext cx="3253976" cy="1796844"/>
                          </a:xfrm>
                          <a:prstGeom prst="rect">
                            <a:avLst/>
                          </a:prstGeom>
                        </pic:spPr>
                      </pic:pic>
                    </a:graphicData>
                  </a:graphic>
                </wp:inline>
              </w:drawing>
            </w:r>
          </w:p>
        </w:tc>
      </w:tr>
      <w:tr w14:paraId="63F51E59">
        <w:tblPrEx>
          <w:tblCellMar>
            <w:top w:w="0" w:type="dxa"/>
            <w:left w:w="108" w:type="dxa"/>
            <w:bottom w:w="0" w:type="dxa"/>
            <w:right w:w="108" w:type="dxa"/>
          </w:tblCellMar>
        </w:tblPrEx>
        <w:trPr>
          <w:trHeight w:val="377" w:hRule="atLeast"/>
        </w:trPr>
        <w:tc>
          <w:tcPr>
            <w:tcW w:w="5100" w:type="dxa"/>
            <w:tcBorders>
              <w:top w:val="single" w:color="auto" w:sz="4" w:space="0"/>
            </w:tcBorders>
            <w:tcMar>
              <w:left w:w="0" w:type="dxa"/>
              <w:right w:w="28" w:type="dxa"/>
            </w:tcMar>
            <w:vAlign w:val="center"/>
          </w:tcPr>
          <w:p w14:paraId="63F51E56">
            <w:pPr>
              <w:spacing w:before="48" w:beforeLines="20" w:after="48" w:afterLines="20"/>
              <w:jc w:val="both"/>
              <w:textAlignment w:val="center"/>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GAMA, HFI</w:t>
            </w:r>
          </w:p>
        </w:tc>
        <w:tc>
          <w:tcPr>
            <w:tcW w:w="241" w:type="dxa"/>
            <w:tcMar>
              <w:left w:w="0" w:type="dxa"/>
              <w:right w:w="28" w:type="dxa"/>
            </w:tcMar>
          </w:tcPr>
          <w:p w14:paraId="63F51E57">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14:paraId="63F51E58">
            <w:pPr>
              <w:spacing w:before="48" w:beforeLines="20" w:after="48" w:afterLines="20"/>
              <w:jc w:val="both"/>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公司年报,公司招股说明书，HFI</w:t>
            </w:r>
          </w:p>
        </w:tc>
      </w:tr>
    </w:tbl>
    <w:p w14:paraId="63F51E5A">
      <w:pPr>
        <w:jc w:val="both"/>
        <w:rPr>
          <w:rFonts w:eastAsia="楷体" w:cs="Calibri"/>
          <w:sz w:val="22"/>
          <w:szCs w:val="22"/>
        </w:rPr>
      </w:pPr>
    </w:p>
    <w:p w14:paraId="553EB314">
      <w:pPr>
        <w:jc w:val="both"/>
        <w:rPr>
          <w:rFonts w:hint="eastAsia" w:eastAsia="楷体" w:cs="Calibri"/>
          <w:sz w:val="22"/>
          <w:szCs w:val="22"/>
        </w:rPr>
      </w:pPr>
      <w:r>
        <w:rPr>
          <w:rFonts w:hint="eastAsia" w:eastAsia="楷体" w:cs="Calibri"/>
          <w:b/>
          <w:bCs/>
          <w:sz w:val="22"/>
          <w:szCs w:val="22"/>
        </w:rPr>
        <w:t>产能扩张计划助力业务稳步增长。</w:t>
      </w:r>
      <w:r>
        <w:rPr>
          <w:rFonts w:hint="eastAsia" w:eastAsia="楷体" w:cs="Calibri"/>
          <w:sz w:val="22"/>
          <w:szCs w:val="22"/>
        </w:rPr>
        <w:t>西锐公司历年交付量从500多台稳步攀升至700多台，目前产能已接近满负荷。2025年6月，该公司宣布斥资1300万美元扩建北达科他州大福克斯工厂，预计2026年投产后，交付量将逐步提升。</w:t>
      </w:r>
    </w:p>
    <w:p w14:paraId="0F1CA0FA">
      <w:pPr>
        <w:jc w:val="both"/>
        <w:rPr>
          <w:rFonts w:eastAsia="楷体" w:cs="Calibri"/>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63F51E5E">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63F51E5D">
            <w:pPr>
              <w:spacing w:before="48" w:beforeLines="20" w:after="48" w:afterLines="20"/>
              <w:jc w:val="both"/>
              <w:textAlignment w:val="center"/>
              <w:rPr>
                <w:rFonts w:ascii="楷体" w:hAnsi="楷体" w:eastAsia="楷体" w:cs="Calibri"/>
                <w:b/>
                <w:sz w:val="20"/>
                <w:szCs w:val="20"/>
              </w:rPr>
            </w:pPr>
            <w:r>
              <w:rPr>
                <w:rFonts w:hint="eastAsia" w:ascii="楷体" w:hAnsi="楷体" w:eastAsia="楷体" w:cs="Calibri"/>
                <w:b/>
                <w:sz w:val="20"/>
                <w:szCs w:val="20"/>
              </w:rPr>
              <w:t>表:产能与利用率</w:t>
            </w:r>
          </w:p>
        </w:tc>
      </w:tr>
      <w:tr w14:paraId="63F51E60">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63F51E5F">
            <w:pPr>
              <w:spacing w:before="48" w:beforeLines="20" w:after="48" w:afterLines="20"/>
              <w:jc w:val="center"/>
              <w:textAlignment w:val="center"/>
              <w:rPr>
                <w:rFonts w:eastAsia="宋体" w:cs="Calibri"/>
                <w:b/>
                <w:bCs/>
                <w:sz w:val="20"/>
                <w:szCs w:val="20"/>
              </w:rPr>
            </w:pPr>
            <w:r>
              <w:rPr>
                <w:snapToGrid/>
              </w:rPr>
              <w:drawing>
                <wp:inline distT="0" distB="0" distL="0" distR="0">
                  <wp:extent cx="4603750" cy="1635760"/>
                  <wp:effectExtent l="0" t="0" r="6350" b="2540"/>
                  <wp:docPr id="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pic:cNvPicPr>
                            <a:picLocks noChangeAspect="1"/>
                          </pic:cNvPicPr>
                        </pic:nvPicPr>
                        <pic:blipFill>
                          <a:blip r:embed="rId63"/>
                          <a:stretch>
                            <a:fillRect/>
                          </a:stretch>
                        </pic:blipFill>
                        <pic:spPr>
                          <a:xfrm>
                            <a:off x="0" y="0"/>
                            <a:ext cx="4603750" cy="1635760"/>
                          </a:xfrm>
                          <a:prstGeom prst="rect">
                            <a:avLst/>
                          </a:prstGeom>
                        </pic:spPr>
                      </pic:pic>
                    </a:graphicData>
                  </a:graphic>
                </wp:inline>
              </w:drawing>
            </w:r>
          </w:p>
        </w:tc>
      </w:tr>
      <w:tr w14:paraId="18C6B5C2">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6D776766">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hint="eastAsia" w:ascii="楷体" w:hAnsi="楷体" w:eastAsia="楷体" w:cs="Calibri"/>
                <w:sz w:val="20"/>
                <w:szCs w:val="20"/>
              </w:rPr>
              <w:t>公司公告，HFI</w:t>
            </w:r>
          </w:p>
        </w:tc>
      </w:tr>
    </w:tbl>
    <w:p w14:paraId="63F51E63">
      <w:pPr>
        <w:rPr>
          <w:rFonts w:eastAsia="楷体" w:cs="Calibri"/>
          <w:kern w:val="2"/>
          <w:sz w:val="22"/>
          <w:szCs w:val="22"/>
        </w:rPr>
      </w:pPr>
    </w:p>
    <w:p w14:paraId="63F51E64">
      <w:pPr>
        <w:rPr>
          <w:rFonts w:eastAsia="楷体" w:cs="Calibri"/>
          <w:sz w:val="22"/>
          <w:szCs w:val="22"/>
        </w:rPr>
      </w:pPr>
      <w:r>
        <w:rPr>
          <w:rFonts w:hint="eastAsia" w:eastAsia="楷体" w:cs="Calibri"/>
          <w:b/>
          <w:bCs/>
          <w:sz w:val="22"/>
          <w:szCs w:val="22"/>
        </w:rPr>
        <w:t>全球通用航空服务市场广阔的发展潜力驱动公司服务收入持续向上</w:t>
      </w:r>
      <w:r>
        <w:rPr>
          <w:rFonts w:hint="eastAsia" w:eastAsia="楷体" w:cs="Calibri"/>
          <w:sz w:val="22"/>
          <w:szCs w:val="22"/>
        </w:rPr>
        <w:t>。近年来，全球通用航空飞机服务市场保持较快增长态势，随着在役机队规模持续扩大，特别是个人用户及中小企业使用频率提升，固定运营基地（FBO）、维修与大修（MRO）、零部件供应、性能升级、飞行培训、保险及金融服务等需求显著增强。对于机队规模庞大且成熟的主机厂而言，服务业务收入通常可占总收入的 35%–40%。相比之下，西锐飞机 2024 年售后服务收入占比仅为 14.5%，仍显著低于行业成熟水平。随着公司在役机队规模持续扩大及服务体系不断完善，服务业务在整体收入结构中的占比具备较大的提升空间，有望成为未来中长期增长的重要驱动因素。</w:t>
      </w:r>
    </w:p>
    <w:p w14:paraId="63F51E65">
      <w:pPr>
        <w:rPr>
          <w:rFonts w:eastAsia="楷体" w:cs="Calibri"/>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14:paraId="63F51E6A">
        <w:trPr>
          <w:trHeight w:val="227" w:hRule="atLeast"/>
        </w:trPr>
        <w:tc>
          <w:tcPr>
            <w:tcW w:w="5100" w:type="dxa"/>
            <w:tcBorders>
              <w:bottom w:val="single" w:color="auto" w:sz="4" w:space="0"/>
            </w:tcBorders>
            <w:tcMar>
              <w:left w:w="0" w:type="dxa"/>
              <w:right w:w="28" w:type="dxa"/>
            </w:tcMar>
          </w:tcPr>
          <w:p w14:paraId="63F51E67">
            <w:pPr>
              <w:spacing w:before="48" w:beforeLines="20" w:after="48" w:afterLines="20"/>
              <w:jc w:val="both"/>
              <w:textAlignment w:val="center"/>
              <w:rPr>
                <w:rFonts w:ascii="楷体" w:hAnsi="楷体" w:eastAsia="楷体" w:cs="Calibri"/>
                <w:b/>
                <w:sz w:val="20"/>
                <w:szCs w:val="20"/>
              </w:rPr>
            </w:pPr>
            <w:r>
              <w:rPr>
                <w:rFonts w:hint="eastAsia" w:ascii="楷体" w:hAnsi="楷体" w:eastAsia="楷体" w:cs="Calibri"/>
                <w:b/>
                <w:sz w:val="20"/>
                <w:szCs w:val="20"/>
              </w:rPr>
              <w:t>图：西锐飞机售后服务收入占比</w:t>
            </w:r>
          </w:p>
        </w:tc>
        <w:tc>
          <w:tcPr>
            <w:tcW w:w="241" w:type="dxa"/>
            <w:tcMar>
              <w:left w:w="0" w:type="dxa"/>
              <w:right w:w="28" w:type="dxa"/>
            </w:tcMar>
          </w:tcPr>
          <w:p w14:paraId="63F51E68">
            <w:pPr>
              <w:spacing w:before="48" w:beforeLines="20" w:after="48" w:afterLines="20"/>
              <w:jc w:val="both"/>
              <w:rPr>
                <w:rFonts w:ascii="楷体" w:hAnsi="楷体" w:eastAsia="楷体" w:cs="Calibri"/>
                <w:sz w:val="20"/>
                <w:szCs w:val="20"/>
              </w:rPr>
            </w:pPr>
          </w:p>
        </w:tc>
        <w:tc>
          <w:tcPr>
            <w:tcW w:w="5149" w:type="dxa"/>
            <w:tcBorders>
              <w:bottom w:val="single" w:color="auto" w:sz="4" w:space="0"/>
            </w:tcBorders>
            <w:tcMar>
              <w:left w:w="0" w:type="dxa"/>
              <w:right w:w="28" w:type="dxa"/>
            </w:tcMar>
          </w:tcPr>
          <w:p w14:paraId="63F51E69">
            <w:pPr>
              <w:spacing w:before="48" w:beforeLines="20" w:after="48" w:afterLines="20"/>
              <w:jc w:val="both"/>
              <w:rPr>
                <w:rFonts w:ascii="楷体" w:hAnsi="楷体" w:eastAsia="楷体" w:cs="Calibri"/>
                <w:b/>
                <w:sz w:val="20"/>
                <w:szCs w:val="20"/>
              </w:rPr>
            </w:pPr>
            <w:r>
              <w:rPr>
                <w:rFonts w:hint="eastAsia" w:ascii="楷体" w:hAnsi="楷体" w:eastAsia="楷体" w:cs="Calibri"/>
                <w:b/>
                <w:sz w:val="20"/>
                <w:szCs w:val="20"/>
              </w:rPr>
              <w:t>表:全球通用航空器服务需求增长的原因</w:t>
            </w:r>
          </w:p>
        </w:tc>
      </w:tr>
      <w:tr w14:paraId="63F51E6E">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63F51E6B">
            <w:pPr>
              <w:spacing w:before="48" w:beforeLines="20" w:after="48" w:afterLines="20"/>
              <w:jc w:val="both"/>
              <w:textAlignment w:val="center"/>
              <w:rPr>
                <w:rFonts w:eastAsia="楷体_GB2312" w:cs="Calibri"/>
                <w:b/>
                <w:color w:val="000000"/>
                <w:sz w:val="20"/>
                <w:szCs w:val="20"/>
                <w:lang w:bidi="ar"/>
              </w:rPr>
            </w:pPr>
            <w:r>
              <w:drawing>
                <wp:inline distT="0" distB="0" distL="114300" distR="114300">
                  <wp:extent cx="3098800" cy="1837690"/>
                  <wp:effectExtent l="0" t="0" r="6350" b="0"/>
                  <wp:docPr id="47" name="图表 16"/>
                  <wp:cNvGraphicFramePr/>
                  <a:graphic xmlns:a="http://schemas.openxmlformats.org/drawingml/2006/main">
                    <a:graphicData uri="http://schemas.openxmlformats.org/drawingml/2006/chart">
                      <c:chart xmlns:c="http://schemas.openxmlformats.org/drawingml/2006/chart" r:id="rId95"/>
                    </a:graphicData>
                  </a:graphic>
                </wp:inline>
              </w:drawing>
            </w:r>
          </w:p>
        </w:tc>
        <w:tc>
          <w:tcPr>
            <w:tcW w:w="241" w:type="dxa"/>
          </w:tcPr>
          <w:p w14:paraId="63F51E6C">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14:paraId="63F51E6D">
            <w:pPr>
              <w:spacing w:before="48" w:beforeLines="20" w:after="48" w:afterLines="20"/>
              <w:jc w:val="both"/>
              <w:rPr>
                <w:rFonts w:eastAsia="楷体_GB2312" w:cs="Calibri"/>
                <w:b/>
                <w:sz w:val="20"/>
                <w:szCs w:val="20"/>
              </w:rPr>
            </w:pPr>
            <w:r>
              <w:rPr>
                <w:snapToGrid/>
              </w:rPr>
              <w:drawing>
                <wp:inline distT="0" distB="0" distL="0" distR="0">
                  <wp:extent cx="3132455" cy="1749425"/>
                  <wp:effectExtent l="0" t="0" r="0" b="3175"/>
                  <wp:docPr id="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
                          <pic:cNvPicPr>
                            <a:picLocks noChangeAspect="1"/>
                          </pic:cNvPicPr>
                        </pic:nvPicPr>
                        <pic:blipFill>
                          <a:blip r:embed="rId65"/>
                          <a:stretch>
                            <a:fillRect/>
                          </a:stretch>
                        </pic:blipFill>
                        <pic:spPr>
                          <a:xfrm>
                            <a:off x="0" y="0"/>
                            <a:ext cx="3132455" cy="1749425"/>
                          </a:xfrm>
                          <a:prstGeom prst="rect">
                            <a:avLst/>
                          </a:prstGeom>
                        </pic:spPr>
                      </pic:pic>
                    </a:graphicData>
                  </a:graphic>
                </wp:inline>
              </w:drawing>
            </w:r>
          </w:p>
        </w:tc>
      </w:tr>
      <w:tr w14:paraId="58B0CD25">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14:paraId="4A0A6835">
            <w:pPr>
              <w:spacing w:before="48" w:beforeLines="20" w:after="48" w:afterLines="20"/>
              <w:jc w:val="both"/>
              <w:textAlignment w:val="center"/>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c>
          <w:tcPr>
            <w:tcW w:w="241" w:type="dxa"/>
            <w:tcMar>
              <w:left w:w="0" w:type="dxa"/>
              <w:right w:w="28" w:type="dxa"/>
            </w:tcMar>
          </w:tcPr>
          <w:p w14:paraId="0C4CA082">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14:paraId="72B65A3D">
            <w:pPr>
              <w:spacing w:before="48" w:beforeLines="20" w:after="48" w:afterLines="20"/>
              <w:jc w:val="both"/>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14:paraId="65C33DEB">
      <w:pPr>
        <w:jc w:val="both"/>
        <w:rPr>
          <w:rFonts w:eastAsia="宋体" w:cs="Calibri"/>
        </w:rPr>
      </w:pPr>
    </w:p>
    <w:p w14:paraId="63F51E79">
      <w:pPr>
        <w:pStyle w:val="2"/>
        <w:spacing w:before="240" w:beforeLines="100" w:after="240" w:afterLines="100"/>
        <w:jc w:val="both"/>
        <w:rPr>
          <w:rFonts w:hint="eastAsia" w:ascii="楷体" w:hAnsi="楷体" w:eastAsia="楷体" w:cs="楷体"/>
          <w:b/>
          <w:bCs/>
          <w:color w:val="23558C"/>
          <w:sz w:val="28"/>
          <w:szCs w:val="28"/>
        </w:rPr>
      </w:pPr>
      <w:bookmarkStart w:id="18" w:name="_Toc219028027"/>
      <w:r>
        <w:rPr>
          <w:rFonts w:hint="eastAsia" w:ascii="楷体" w:hAnsi="楷体" w:eastAsia="楷体" w:cs="楷体"/>
          <w:b/>
          <w:bCs/>
          <w:color w:val="23558C"/>
          <w:sz w:val="28"/>
          <w:szCs w:val="28"/>
        </w:rPr>
        <w:t>5.估值与投资建议</w:t>
      </w:r>
      <w:bookmarkEnd w:id="18"/>
    </w:p>
    <w:p w14:paraId="30869BC4">
      <w:pPr>
        <w:pStyle w:val="77"/>
        <w:jc w:val="both"/>
        <w:rPr>
          <w:rFonts w:hint="eastAsia" w:ascii="楷体" w:hAnsi="楷体" w:eastAsia="楷体" w:cs="楷体"/>
          <w:color w:val="23558C"/>
          <w:sz w:val="24"/>
        </w:rPr>
      </w:pPr>
      <w:r>
        <w:rPr>
          <w:rFonts w:hint="eastAsia" w:ascii="楷体" w:hAnsi="楷体" w:eastAsia="楷体" w:cs="楷体"/>
          <w:color w:val="23558C"/>
          <w:sz w:val="24"/>
        </w:rPr>
        <w:t>5.1 盈利预测</w:t>
      </w:r>
    </w:p>
    <w:p w14:paraId="77BC6B52">
      <w:pPr>
        <w:pStyle w:val="37"/>
        <w:numPr>
          <w:ilvl w:val="0"/>
          <w:numId w:val="21"/>
        </w:numPr>
        <w:jc w:val="both"/>
        <w:rPr>
          <w:rFonts w:hint="eastAsia" w:ascii="楷体" w:hAnsi="楷体" w:eastAsia="楷体" w:cs="楷体"/>
          <w:sz w:val="22"/>
          <w:szCs w:val="22"/>
        </w:rPr>
      </w:pPr>
      <w:r>
        <w:rPr>
          <w:rFonts w:hint="eastAsia" w:ascii="楷体" w:hAnsi="楷体" w:eastAsia="楷体" w:cs="楷体"/>
          <w:b/>
          <w:bCs/>
          <w:sz w:val="22"/>
          <w:szCs w:val="22"/>
        </w:rPr>
        <w:t>总营收</w:t>
      </w:r>
    </w:p>
    <w:p w14:paraId="496FC87A">
      <w:pPr>
        <w:jc w:val="both"/>
        <w:rPr>
          <w:rFonts w:hint="eastAsia" w:ascii="楷体" w:hAnsi="楷体" w:eastAsia="楷体" w:cs="楷体"/>
          <w:sz w:val="22"/>
          <w:szCs w:val="22"/>
        </w:rPr>
      </w:pPr>
      <w:r>
        <w:rPr>
          <w:rFonts w:hint="eastAsia" w:ascii="楷体" w:hAnsi="楷体" w:eastAsia="楷体" w:cs="楷体"/>
          <w:b/>
          <w:bCs/>
          <w:sz w:val="22"/>
          <w:szCs w:val="22"/>
        </w:rPr>
        <w:t>1）</w:t>
      </w:r>
      <w:r>
        <w:rPr>
          <w:rFonts w:eastAsia="楷体" w:cs="Calibri"/>
          <w:b/>
          <w:bCs/>
          <w:sz w:val="22"/>
          <w:szCs w:val="22"/>
        </w:rPr>
        <w:t>SR</w:t>
      </w:r>
      <w:r>
        <w:rPr>
          <w:rFonts w:hint="eastAsia" w:ascii="楷体" w:hAnsi="楷体" w:eastAsia="楷体" w:cs="楷体"/>
          <w:b/>
          <w:bCs/>
          <w:sz w:val="22"/>
          <w:szCs w:val="22"/>
        </w:rPr>
        <w:t>系列飞机：</w:t>
      </w:r>
      <w:r>
        <w:rPr>
          <w:rFonts w:hint="eastAsia" w:ascii="楷体" w:hAnsi="楷体" w:eastAsia="楷体" w:cs="楷体"/>
          <w:sz w:val="22"/>
          <w:szCs w:val="22"/>
        </w:rPr>
        <w:t>预计2025-2027年</w:t>
      </w:r>
      <w:r>
        <w:rPr>
          <w:rFonts w:ascii="楷体" w:hAnsi="楷体" w:eastAsia="楷体" w:cs="楷体"/>
          <w:sz w:val="22"/>
          <w:szCs w:val="22"/>
        </w:rPr>
        <w:t xml:space="preserve"> SR2X</w:t>
      </w:r>
      <w:r>
        <w:rPr>
          <w:rFonts w:hint="eastAsia" w:ascii="楷体" w:hAnsi="楷体" w:eastAsia="楷体" w:cs="楷体"/>
          <w:sz w:val="22"/>
          <w:szCs w:val="22"/>
        </w:rPr>
        <w:t>总收入分别为8.23/9.71/11.43亿美元，对应同比增速分别为18.8%/17.97%/17.72%。</w:t>
      </w:r>
    </w:p>
    <w:p w14:paraId="28A898B1">
      <w:pPr>
        <w:jc w:val="both"/>
        <w:rPr>
          <w:rFonts w:hint="eastAsia" w:ascii="楷体" w:hAnsi="楷体" w:eastAsia="楷体" w:cs="楷体"/>
          <w:sz w:val="22"/>
          <w:szCs w:val="22"/>
        </w:rPr>
      </w:pPr>
      <w:r>
        <w:rPr>
          <w:rFonts w:hint="eastAsia" w:ascii="楷体" w:hAnsi="楷体" w:eastAsia="楷体" w:cs="楷体"/>
          <w:sz w:val="22"/>
          <w:szCs w:val="22"/>
        </w:rPr>
        <w:t>其中交付量分别为693/750/810架，对应年均增长约</w:t>
      </w:r>
      <w:r>
        <w:rPr>
          <w:rFonts w:ascii="楷体" w:hAnsi="楷体" w:eastAsia="楷体" w:cs="楷体"/>
          <w:sz w:val="22"/>
          <w:szCs w:val="22"/>
        </w:rPr>
        <w:t>8%</w:t>
      </w:r>
      <w:r>
        <w:rPr>
          <w:rFonts w:hint="eastAsia" w:ascii="楷体" w:hAnsi="楷体" w:eastAsia="楷体" w:cs="楷体"/>
          <w:sz w:val="22"/>
          <w:szCs w:val="22"/>
        </w:rPr>
        <w:t>；预计平均售价分别为</w:t>
      </w:r>
      <w:r>
        <w:rPr>
          <w:rFonts w:ascii="楷体" w:hAnsi="楷体" w:eastAsia="楷体" w:cs="楷体"/>
          <w:sz w:val="22"/>
          <w:szCs w:val="22"/>
        </w:rPr>
        <w:t>1.1</w:t>
      </w:r>
      <w:r>
        <w:rPr>
          <w:rFonts w:hint="eastAsia" w:ascii="楷体" w:hAnsi="楷体" w:eastAsia="楷体" w:cs="楷体"/>
          <w:sz w:val="22"/>
          <w:szCs w:val="22"/>
        </w:rPr>
        <w:t>9/1.29/</w:t>
      </w:r>
      <w:r>
        <w:rPr>
          <w:rFonts w:ascii="楷体" w:hAnsi="楷体" w:eastAsia="楷体" w:cs="楷体"/>
          <w:sz w:val="22"/>
          <w:szCs w:val="22"/>
        </w:rPr>
        <w:t>1.41</w:t>
      </w:r>
      <w:r>
        <w:rPr>
          <w:rFonts w:hint="eastAsia" w:ascii="楷体" w:hAnsi="楷体" w:eastAsia="楷体" w:cs="楷体"/>
          <w:sz w:val="22"/>
          <w:szCs w:val="22"/>
        </w:rPr>
        <w:t>百万美元，年均提升</w:t>
      </w:r>
      <w:r>
        <w:rPr>
          <w:rFonts w:ascii="楷体" w:hAnsi="楷体" w:eastAsia="楷体" w:cs="楷体"/>
          <w:sz w:val="22"/>
          <w:szCs w:val="22"/>
        </w:rPr>
        <w:t>8%–9%</w:t>
      </w:r>
      <w:r>
        <w:rPr>
          <w:rFonts w:hint="eastAsia" w:ascii="楷体" w:hAnsi="楷体" w:eastAsia="楷体" w:cs="楷体"/>
          <w:sz w:val="22"/>
          <w:szCs w:val="22"/>
        </w:rPr>
        <w:t xml:space="preserve">。 </w:t>
      </w:r>
    </w:p>
    <w:p w14:paraId="1A3E4CFD">
      <w:pPr>
        <w:jc w:val="both"/>
        <w:rPr>
          <w:rFonts w:hint="eastAsia" w:ascii="楷体" w:hAnsi="楷体" w:eastAsia="楷体" w:cs="楷体"/>
          <w:sz w:val="22"/>
          <w:szCs w:val="22"/>
        </w:rPr>
      </w:pPr>
      <w:r>
        <w:rPr>
          <w:rFonts w:hint="eastAsia" w:ascii="楷体" w:hAnsi="楷体" w:eastAsia="楷体" w:cs="楷体"/>
          <w:b/>
          <w:bCs/>
          <w:sz w:val="22"/>
          <w:szCs w:val="22"/>
        </w:rPr>
        <w:t>2）</w:t>
      </w:r>
      <w:r>
        <w:rPr>
          <w:rFonts w:eastAsia="楷体" w:cs="Calibri"/>
          <w:b/>
          <w:bCs/>
          <w:sz w:val="22"/>
          <w:szCs w:val="22"/>
        </w:rPr>
        <w:t>Vision Jet</w:t>
      </w:r>
      <w:r>
        <w:rPr>
          <w:rFonts w:hint="eastAsia" w:ascii="楷体" w:hAnsi="楷体" w:eastAsia="楷体" w:cs="楷体"/>
          <w:b/>
          <w:bCs/>
          <w:sz w:val="22"/>
          <w:szCs w:val="22"/>
        </w:rPr>
        <w:t>系列飞机：预计</w:t>
      </w:r>
      <w:r>
        <w:rPr>
          <w:rFonts w:hint="eastAsia" w:ascii="楷体" w:hAnsi="楷体" w:eastAsia="楷体" w:cs="楷体"/>
          <w:sz w:val="22"/>
          <w:szCs w:val="22"/>
        </w:rPr>
        <w:t>2025-2027年总收入分别为4.04/4.44/5.14</w:t>
      </w:r>
      <w:r>
        <w:rPr>
          <w:rFonts w:ascii="楷体" w:hAnsi="楷体" w:eastAsia="楷体" w:cs="楷体"/>
          <w:sz w:val="22"/>
          <w:szCs w:val="22"/>
        </w:rPr>
        <w:t xml:space="preserve"> </w:t>
      </w:r>
      <w:r>
        <w:rPr>
          <w:rFonts w:hint="eastAsia" w:ascii="楷体" w:hAnsi="楷体" w:eastAsia="楷体" w:cs="楷体"/>
          <w:sz w:val="22"/>
          <w:szCs w:val="22"/>
        </w:rPr>
        <w:t>百万美元。</w:t>
      </w:r>
      <w:r>
        <w:rPr>
          <w:rFonts w:ascii="楷体" w:hAnsi="楷体" w:eastAsia="楷体" w:cs="楷体"/>
          <w:sz w:val="22"/>
          <w:szCs w:val="22"/>
        </w:rPr>
        <w:t xml:space="preserve"> </w:t>
      </w:r>
      <w:r>
        <w:rPr>
          <w:rFonts w:hint="eastAsia" w:ascii="楷体" w:hAnsi="楷体" w:eastAsia="楷体" w:cs="楷体"/>
          <w:sz w:val="22"/>
          <w:szCs w:val="22"/>
        </w:rPr>
        <w:t>其中交付量分别为110/114/120架，对应年均增长约6</w:t>
      </w:r>
      <w:r>
        <w:rPr>
          <w:rFonts w:ascii="楷体" w:hAnsi="楷体" w:eastAsia="楷体" w:cs="楷体"/>
          <w:sz w:val="22"/>
          <w:szCs w:val="22"/>
        </w:rPr>
        <w:t>%</w:t>
      </w:r>
      <w:r>
        <w:rPr>
          <w:rFonts w:hint="eastAsia" w:ascii="楷体" w:hAnsi="楷体" w:eastAsia="楷体" w:cs="楷体"/>
          <w:sz w:val="22"/>
          <w:szCs w:val="22"/>
        </w:rPr>
        <w:t>；预计平均售价分别为3.67/3.97/4.28百万美元，年均提升</w:t>
      </w:r>
      <w:r>
        <w:rPr>
          <w:rFonts w:ascii="楷体" w:hAnsi="楷体" w:eastAsia="楷体" w:cs="楷体"/>
          <w:sz w:val="22"/>
          <w:szCs w:val="22"/>
        </w:rPr>
        <w:t>8%</w:t>
      </w:r>
      <w:r>
        <w:rPr>
          <w:rFonts w:hint="eastAsia" w:ascii="楷体" w:hAnsi="楷体" w:eastAsia="楷体" w:cs="楷体"/>
          <w:sz w:val="22"/>
          <w:szCs w:val="22"/>
        </w:rPr>
        <w:t>。</w:t>
      </w:r>
    </w:p>
    <w:p w14:paraId="3AEDCA23">
      <w:pPr>
        <w:jc w:val="both"/>
        <w:rPr>
          <w:rFonts w:hint="eastAsia" w:ascii="楷体" w:hAnsi="楷体" w:eastAsia="楷体" w:cs="楷体"/>
          <w:sz w:val="22"/>
          <w:szCs w:val="22"/>
        </w:rPr>
      </w:pPr>
      <w:r>
        <w:rPr>
          <w:rFonts w:hint="eastAsia" w:ascii="楷体" w:hAnsi="楷体" w:eastAsia="楷体" w:cs="楷体"/>
          <w:b/>
          <w:bCs/>
          <w:sz w:val="22"/>
          <w:szCs w:val="22"/>
        </w:rPr>
        <w:t>3）服务业务</w:t>
      </w:r>
      <w:r>
        <w:rPr>
          <w:rFonts w:hint="eastAsia" w:ascii="楷体" w:hAnsi="楷体" w:eastAsia="楷体" w:cs="楷体"/>
          <w:sz w:val="22"/>
          <w:szCs w:val="22"/>
        </w:rPr>
        <w:t>：</w:t>
      </w:r>
      <w:r>
        <w:rPr>
          <w:rFonts w:ascii="楷体" w:hAnsi="楷体" w:eastAsia="楷体" w:cs="楷体"/>
          <w:sz w:val="22"/>
          <w:szCs w:val="22"/>
        </w:rPr>
        <w:t>伴随存量机型机龄增长，零部件更换需求</w:t>
      </w:r>
      <w:r>
        <w:rPr>
          <w:rFonts w:hint="eastAsia" w:ascii="楷体" w:hAnsi="楷体" w:eastAsia="楷体" w:cs="楷体"/>
          <w:sz w:val="22"/>
          <w:szCs w:val="22"/>
        </w:rPr>
        <w:t>增加</w:t>
      </w:r>
      <w:r>
        <w:rPr>
          <w:rFonts w:ascii="楷体" w:hAnsi="楷体" w:eastAsia="楷体" w:cs="楷体"/>
          <w:sz w:val="22"/>
          <w:szCs w:val="22"/>
        </w:rPr>
        <w:t>，</w:t>
      </w:r>
      <w:r>
        <w:rPr>
          <w:rFonts w:hint="eastAsia" w:ascii="楷体" w:hAnsi="楷体" w:eastAsia="楷体" w:cs="楷体"/>
          <w:sz w:val="22"/>
          <w:szCs w:val="22"/>
        </w:rPr>
        <w:t>后续服务业务将持续表现亮眼，2025-2027年预计收入分别为1.99/2.31/2.70亿美元，同比增速为15%/16%/17%。</w:t>
      </w:r>
    </w:p>
    <w:p w14:paraId="35B3B199">
      <w:pPr>
        <w:jc w:val="both"/>
        <w:rPr>
          <w:rFonts w:hint="eastAsia" w:ascii="楷体" w:hAnsi="楷体" w:eastAsia="楷体" w:cs="楷体"/>
          <w:b/>
          <w:bCs/>
          <w:sz w:val="22"/>
          <w:szCs w:val="22"/>
        </w:rPr>
      </w:pPr>
    </w:p>
    <w:p w14:paraId="3BD7078A">
      <w:pPr>
        <w:jc w:val="both"/>
        <w:rPr>
          <w:rFonts w:hint="eastAsia" w:ascii="楷体" w:hAnsi="楷体" w:eastAsia="楷体" w:cs="楷体"/>
          <w:b/>
          <w:bCs/>
          <w:sz w:val="22"/>
          <w:szCs w:val="22"/>
          <w:u w:val="single"/>
        </w:rPr>
      </w:pPr>
      <w:r>
        <w:rPr>
          <w:rFonts w:hint="eastAsia" w:ascii="楷体" w:hAnsi="楷体" w:eastAsia="楷体" w:cs="楷体"/>
          <w:b/>
          <w:bCs/>
          <w:sz w:val="22"/>
          <w:szCs w:val="22"/>
          <w:u w:val="single"/>
        </w:rPr>
        <w:t>基于以上，2025-2027年预计公司总收入为14.26/16.54/19.28亿美元。</w:t>
      </w:r>
    </w:p>
    <w:p w14:paraId="1A612411">
      <w:pPr>
        <w:jc w:val="both"/>
        <w:rPr>
          <w:rFonts w:hint="eastAsia" w:ascii="楷体" w:hAnsi="楷体" w:eastAsia="楷体" w:cs="楷体"/>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2E1CFBD0">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78213C8E">
            <w:pPr>
              <w:spacing w:before="48" w:beforeLines="20" w:after="48" w:afterLines="20"/>
              <w:jc w:val="both"/>
              <w:textAlignment w:val="center"/>
              <w:rPr>
                <w:rFonts w:hint="eastAsia" w:ascii="楷体" w:hAnsi="楷体" w:eastAsia="楷体" w:cs="Calibri"/>
                <w:b/>
                <w:sz w:val="20"/>
                <w:szCs w:val="20"/>
              </w:rPr>
            </w:pPr>
            <w:bookmarkStart w:id="19" w:name="_Hlk219374613"/>
            <w:r>
              <w:rPr>
                <w:rFonts w:hint="eastAsia" w:ascii="楷体" w:hAnsi="楷体" w:eastAsia="楷体" w:cs="Calibri"/>
                <w:b/>
                <w:sz w:val="20"/>
                <w:szCs w:val="20"/>
              </w:rPr>
              <w:t>表：2025-2027年收入量价拆分假设（百万美元）</w:t>
            </w:r>
          </w:p>
        </w:tc>
      </w:tr>
      <w:tr w14:paraId="5FF9BB55">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28F52784">
            <w:pPr>
              <w:spacing w:before="48" w:beforeLines="20" w:after="48" w:afterLines="20"/>
              <w:jc w:val="center"/>
              <w:textAlignment w:val="center"/>
              <w:rPr>
                <w:rFonts w:eastAsia="宋体" w:cs="Calibri"/>
                <w:b/>
                <w:bCs/>
                <w:sz w:val="20"/>
                <w:szCs w:val="20"/>
              </w:rPr>
            </w:pPr>
            <w:r>
              <w:rPr>
                <w:snapToGrid/>
              </w:rPr>
              <w:drawing>
                <wp:inline distT="0" distB="0" distL="0" distR="0">
                  <wp:extent cx="4133850" cy="2628900"/>
                  <wp:effectExtent l="0" t="0" r="0" b="0"/>
                  <wp:docPr id="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a:xfrm>
                            <a:off x="0" y="0"/>
                            <a:ext cx="4137666" cy="2631555"/>
                          </a:xfrm>
                          <a:prstGeom prst="rect">
                            <a:avLst/>
                          </a:prstGeom>
                          <a:noFill/>
                        </pic:spPr>
                      </pic:pic>
                    </a:graphicData>
                  </a:graphic>
                </wp:inline>
              </w:drawing>
            </w:r>
          </w:p>
        </w:tc>
      </w:tr>
      <w:tr w14:paraId="0186D6BD">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0A94978E">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bookmarkEnd w:id="19"/>
    </w:tbl>
    <w:p w14:paraId="6F1C0696">
      <w:pPr>
        <w:pStyle w:val="37"/>
        <w:numPr>
          <w:ilvl w:val="0"/>
          <w:numId w:val="21"/>
        </w:numPr>
        <w:jc w:val="both"/>
        <w:rPr>
          <w:rFonts w:hint="eastAsia" w:ascii="楷体" w:hAnsi="楷体" w:eastAsia="楷体" w:cs="楷体"/>
          <w:sz w:val="22"/>
          <w:szCs w:val="22"/>
        </w:rPr>
      </w:pPr>
      <w:r>
        <w:rPr>
          <w:rFonts w:hint="eastAsia" w:ascii="楷体" w:hAnsi="楷体" w:eastAsia="楷体" w:cs="楷体"/>
          <w:b/>
          <w:bCs/>
          <w:sz w:val="22"/>
          <w:szCs w:val="22"/>
        </w:rPr>
        <w:t>毛利率</w:t>
      </w:r>
    </w:p>
    <w:p w14:paraId="21359F41">
      <w:pPr>
        <w:jc w:val="both"/>
        <w:rPr>
          <w:rFonts w:hint="eastAsia" w:ascii="楷体" w:hAnsi="楷体" w:eastAsia="楷体" w:cs="楷体"/>
          <w:sz w:val="22"/>
          <w:szCs w:val="22"/>
        </w:rPr>
      </w:pPr>
      <w:r>
        <w:rPr>
          <w:rFonts w:ascii="楷体" w:hAnsi="楷体" w:eastAsia="楷体" w:cs="楷体"/>
          <w:sz w:val="22"/>
          <w:szCs w:val="22"/>
        </w:rPr>
        <w:t>在</w:t>
      </w:r>
      <w:r>
        <w:rPr>
          <w:rFonts w:hint="eastAsia" w:ascii="楷体" w:hAnsi="楷体" w:eastAsia="楷体" w:cs="楷体"/>
          <w:sz w:val="22"/>
          <w:szCs w:val="22"/>
        </w:rPr>
        <w:t>产品结构升级、以</w:t>
      </w:r>
      <w:r>
        <w:rPr>
          <w:rFonts w:ascii="楷体" w:hAnsi="楷体" w:eastAsia="楷体" w:cs="楷体"/>
          <w:sz w:val="22"/>
          <w:szCs w:val="22"/>
        </w:rPr>
        <w:t>及高毛利服务拉动下，</w:t>
      </w:r>
      <w:r>
        <w:rPr>
          <w:rFonts w:hint="eastAsia" w:ascii="楷体" w:hAnsi="楷体" w:eastAsia="楷体" w:cs="楷体"/>
          <w:sz w:val="22"/>
          <w:szCs w:val="22"/>
        </w:rPr>
        <w:t>公司整体</w:t>
      </w:r>
      <w:r>
        <w:rPr>
          <w:rFonts w:ascii="楷体" w:hAnsi="楷体" w:eastAsia="楷体" w:cs="楷体"/>
          <w:sz w:val="22"/>
          <w:szCs w:val="22"/>
        </w:rPr>
        <w:t>毛利率有望稳步提升</w:t>
      </w:r>
      <w:r>
        <w:rPr>
          <w:rFonts w:hint="eastAsia" w:ascii="楷体" w:hAnsi="楷体" w:eastAsia="楷体" w:cs="楷体"/>
          <w:sz w:val="22"/>
          <w:szCs w:val="22"/>
        </w:rPr>
        <w:t>，其中预计2025-2027年飞机业务毛利率达到34.9%/35.1%/35.5%，服务业务毛利率分别为34.5%/36.2%/38.9%。</w:t>
      </w:r>
      <w:r>
        <w:rPr>
          <w:rFonts w:hint="eastAsia" w:ascii="楷体" w:hAnsi="楷体" w:eastAsia="楷体" w:cs="楷体"/>
          <w:b/>
          <w:bCs/>
          <w:sz w:val="22"/>
          <w:szCs w:val="22"/>
          <w:u w:val="single"/>
        </w:rPr>
        <w:t>综上，公司整体毛利率分别为34.8%/35.3%/36.0%。</w:t>
      </w:r>
    </w:p>
    <w:p w14:paraId="6D25AEA3">
      <w:pPr>
        <w:jc w:val="both"/>
        <w:rPr>
          <w:rFonts w:hint="eastAsia" w:ascii="楷体" w:hAnsi="楷体" w:eastAsia="楷体" w:cs="楷体"/>
          <w:b/>
          <w:bCs/>
          <w:sz w:val="22"/>
          <w:szCs w:val="22"/>
        </w:rPr>
      </w:pPr>
    </w:p>
    <w:p w14:paraId="2DE413B9">
      <w:pPr>
        <w:pStyle w:val="37"/>
        <w:numPr>
          <w:ilvl w:val="0"/>
          <w:numId w:val="21"/>
        </w:numPr>
        <w:jc w:val="both"/>
        <w:rPr>
          <w:rFonts w:hint="eastAsia" w:ascii="楷体" w:hAnsi="楷体" w:eastAsia="楷体" w:cs="楷体"/>
          <w:sz w:val="22"/>
          <w:szCs w:val="22"/>
        </w:rPr>
      </w:pPr>
      <w:r>
        <w:rPr>
          <w:rFonts w:hint="eastAsia" w:ascii="楷体" w:hAnsi="楷体" w:eastAsia="楷体" w:cs="楷体"/>
          <w:b/>
          <w:bCs/>
          <w:sz w:val="22"/>
          <w:szCs w:val="22"/>
        </w:rPr>
        <w:t>期间费用率</w:t>
      </w:r>
    </w:p>
    <w:p w14:paraId="1B7EBD5A">
      <w:pPr>
        <w:pStyle w:val="37"/>
        <w:numPr>
          <w:ilvl w:val="0"/>
          <w:numId w:val="22"/>
        </w:numPr>
        <w:jc w:val="both"/>
        <w:rPr>
          <w:rFonts w:hint="eastAsia" w:ascii="楷体" w:hAnsi="楷体" w:eastAsia="楷体" w:cs="楷体"/>
          <w:sz w:val="22"/>
          <w:szCs w:val="22"/>
        </w:rPr>
      </w:pPr>
      <w:r>
        <w:rPr>
          <w:rFonts w:hint="eastAsia" w:ascii="楷体" w:hAnsi="楷体" w:eastAsia="楷体" w:cs="楷体"/>
          <w:b/>
          <w:bCs/>
          <w:sz w:val="22"/>
          <w:szCs w:val="22"/>
        </w:rPr>
        <w:t>销售费用率：</w:t>
      </w:r>
      <w:r>
        <w:rPr>
          <w:rFonts w:hint="eastAsia" w:ascii="楷体" w:hAnsi="楷体" w:eastAsia="楷体" w:cs="楷体"/>
          <w:sz w:val="22"/>
          <w:szCs w:val="22"/>
        </w:rPr>
        <w:t>2</w:t>
      </w:r>
      <w:r>
        <w:rPr>
          <w:rFonts w:ascii="楷体" w:hAnsi="楷体" w:eastAsia="楷体" w:cs="楷体"/>
          <w:sz w:val="22"/>
          <w:szCs w:val="22"/>
        </w:rPr>
        <w:t>02</w:t>
      </w:r>
      <w:r>
        <w:rPr>
          <w:rFonts w:hint="eastAsia" w:ascii="楷体" w:hAnsi="楷体" w:eastAsia="楷体" w:cs="楷体"/>
          <w:sz w:val="22"/>
          <w:szCs w:val="22"/>
        </w:rPr>
        <w:t>3年与</w:t>
      </w:r>
      <w:r>
        <w:rPr>
          <w:rFonts w:ascii="楷体" w:hAnsi="楷体" w:eastAsia="楷体" w:cs="楷体"/>
          <w:sz w:val="22"/>
          <w:szCs w:val="22"/>
        </w:rPr>
        <w:t>202</w:t>
      </w:r>
      <w:r>
        <w:rPr>
          <w:rFonts w:hint="eastAsia" w:ascii="楷体" w:hAnsi="楷体" w:eastAsia="楷体" w:cs="楷体"/>
          <w:sz w:val="22"/>
          <w:szCs w:val="22"/>
        </w:rPr>
        <w:t>4年，销售费用率分别为10.00</w:t>
      </w:r>
      <w:r>
        <w:rPr>
          <w:rFonts w:ascii="楷体" w:hAnsi="楷体" w:eastAsia="楷体" w:cs="楷体"/>
          <w:sz w:val="22"/>
          <w:szCs w:val="22"/>
        </w:rPr>
        <w:t>%</w:t>
      </w:r>
      <w:r>
        <w:rPr>
          <w:rFonts w:hint="eastAsia" w:ascii="楷体" w:hAnsi="楷体" w:eastAsia="楷体" w:cs="楷体"/>
          <w:sz w:val="22"/>
          <w:szCs w:val="22"/>
        </w:rPr>
        <w:t>与10.32</w:t>
      </w:r>
      <w:r>
        <w:rPr>
          <w:rFonts w:ascii="楷体" w:hAnsi="楷体" w:eastAsia="楷体" w:cs="楷体"/>
          <w:sz w:val="22"/>
          <w:szCs w:val="22"/>
        </w:rPr>
        <w:t>%</w:t>
      </w:r>
      <w:r>
        <w:rPr>
          <w:rFonts w:hint="eastAsia" w:ascii="楷体" w:hAnsi="楷体" w:eastAsia="楷体" w:cs="楷体"/>
          <w:sz w:val="22"/>
          <w:szCs w:val="22"/>
        </w:rPr>
        <w:t>，随公司规模化优势进一步显现，控费能力提升，预计2</w:t>
      </w:r>
      <w:r>
        <w:rPr>
          <w:rFonts w:ascii="楷体" w:hAnsi="楷体" w:eastAsia="楷体" w:cs="楷体"/>
          <w:sz w:val="22"/>
          <w:szCs w:val="22"/>
        </w:rPr>
        <w:t>02</w:t>
      </w:r>
      <w:r>
        <w:rPr>
          <w:rFonts w:hint="eastAsia" w:ascii="楷体" w:hAnsi="楷体" w:eastAsia="楷体" w:cs="楷体"/>
          <w:sz w:val="22"/>
          <w:szCs w:val="22"/>
        </w:rPr>
        <w:t>5-</w:t>
      </w:r>
      <w:r>
        <w:rPr>
          <w:rFonts w:ascii="楷体" w:hAnsi="楷体" w:eastAsia="楷体" w:cs="楷体"/>
          <w:sz w:val="22"/>
          <w:szCs w:val="22"/>
        </w:rPr>
        <w:t>202</w:t>
      </w:r>
      <w:r>
        <w:rPr>
          <w:rFonts w:hint="eastAsia" w:ascii="楷体" w:hAnsi="楷体" w:eastAsia="楷体" w:cs="楷体"/>
          <w:sz w:val="22"/>
          <w:szCs w:val="22"/>
        </w:rPr>
        <w:t>7年销售费用率分别为10.00%/9.90%/9.80%。</w:t>
      </w:r>
    </w:p>
    <w:p w14:paraId="2271411F">
      <w:pPr>
        <w:pStyle w:val="37"/>
        <w:numPr>
          <w:ilvl w:val="0"/>
          <w:numId w:val="22"/>
        </w:numPr>
        <w:jc w:val="both"/>
        <w:rPr>
          <w:rFonts w:hint="eastAsia" w:ascii="楷体" w:hAnsi="楷体" w:eastAsia="楷体" w:cs="楷体"/>
          <w:sz w:val="22"/>
          <w:szCs w:val="22"/>
        </w:rPr>
      </w:pPr>
      <w:r>
        <w:rPr>
          <w:rFonts w:hint="eastAsia" w:ascii="楷体" w:hAnsi="楷体" w:eastAsia="楷体" w:cs="楷体"/>
          <w:b/>
          <w:bCs/>
          <w:sz w:val="22"/>
          <w:szCs w:val="22"/>
        </w:rPr>
        <w:t>管理费用率：</w:t>
      </w:r>
      <w:r>
        <w:rPr>
          <w:rFonts w:hint="eastAsia" w:ascii="楷体" w:hAnsi="楷体" w:eastAsia="楷体" w:cs="楷体"/>
          <w:sz w:val="22"/>
          <w:szCs w:val="22"/>
        </w:rPr>
        <w:t>公司管理费用率水平逐年降低，从2</w:t>
      </w:r>
      <w:r>
        <w:rPr>
          <w:rFonts w:ascii="楷体" w:hAnsi="楷体" w:eastAsia="楷体" w:cs="楷体"/>
          <w:sz w:val="22"/>
          <w:szCs w:val="22"/>
        </w:rPr>
        <w:t>0</w:t>
      </w:r>
      <w:r>
        <w:rPr>
          <w:rFonts w:hint="eastAsia" w:ascii="楷体" w:hAnsi="楷体" w:eastAsia="楷体" w:cs="楷体"/>
          <w:sz w:val="22"/>
          <w:szCs w:val="22"/>
        </w:rPr>
        <w:t>23年的12.66%降低至2</w:t>
      </w:r>
      <w:r>
        <w:rPr>
          <w:rFonts w:ascii="楷体" w:hAnsi="楷体" w:eastAsia="楷体" w:cs="楷体"/>
          <w:sz w:val="22"/>
          <w:szCs w:val="22"/>
        </w:rPr>
        <w:t>02</w:t>
      </w:r>
      <w:r>
        <w:rPr>
          <w:rFonts w:hint="eastAsia" w:ascii="楷体" w:hAnsi="楷体" w:eastAsia="楷体" w:cs="楷体"/>
          <w:sz w:val="22"/>
          <w:szCs w:val="22"/>
        </w:rPr>
        <w:t>4年的11.80%，预计2</w:t>
      </w:r>
      <w:r>
        <w:rPr>
          <w:rFonts w:ascii="楷体" w:hAnsi="楷体" w:eastAsia="楷体" w:cs="楷体"/>
          <w:sz w:val="22"/>
          <w:szCs w:val="22"/>
        </w:rPr>
        <w:t>02</w:t>
      </w:r>
      <w:r>
        <w:rPr>
          <w:rFonts w:hint="eastAsia" w:ascii="楷体" w:hAnsi="楷体" w:eastAsia="楷体" w:cs="楷体"/>
          <w:sz w:val="22"/>
          <w:szCs w:val="22"/>
        </w:rPr>
        <w:t>5-</w:t>
      </w:r>
      <w:r>
        <w:rPr>
          <w:rFonts w:ascii="楷体" w:hAnsi="楷体" w:eastAsia="楷体" w:cs="楷体"/>
          <w:sz w:val="22"/>
          <w:szCs w:val="22"/>
        </w:rPr>
        <w:t>202</w:t>
      </w:r>
      <w:r>
        <w:rPr>
          <w:rFonts w:hint="eastAsia" w:ascii="楷体" w:hAnsi="楷体" w:eastAsia="楷体" w:cs="楷体"/>
          <w:sz w:val="22"/>
          <w:szCs w:val="22"/>
        </w:rPr>
        <w:t>7年管理费用率分别为10.90%/10.60%/10.40%。</w:t>
      </w:r>
    </w:p>
    <w:p w14:paraId="40DC10F1">
      <w:pPr>
        <w:jc w:val="both"/>
        <w:rPr>
          <w:rFonts w:hint="eastAsia" w:ascii="楷体" w:hAnsi="楷体" w:eastAsia="楷体" w:cs="楷体"/>
          <w:sz w:val="22"/>
          <w:szCs w:val="22"/>
        </w:rPr>
      </w:pPr>
    </w:p>
    <w:p w14:paraId="00E1F95F">
      <w:pPr>
        <w:jc w:val="both"/>
        <w:rPr>
          <w:rFonts w:hint="eastAsia" w:ascii="楷体" w:hAnsi="楷体" w:eastAsia="楷体" w:cs="楷体"/>
          <w:b/>
          <w:bCs/>
          <w:sz w:val="22"/>
          <w:szCs w:val="22"/>
          <w:u w:val="single"/>
        </w:rPr>
      </w:pPr>
      <w:r>
        <w:rPr>
          <w:rFonts w:hint="eastAsia" w:ascii="楷体" w:hAnsi="楷体" w:eastAsia="楷体" w:cs="楷体"/>
          <w:b/>
          <w:bCs/>
          <w:sz w:val="22"/>
          <w:szCs w:val="22"/>
          <w:u w:val="single"/>
        </w:rPr>
        <w:t>综上，预计公司2025-2027年的净利润分别为1.62/1.99/2.42亿美元，同比增速分别为34.2%/23.1%/21.3%。</w:t>
      </w:r>
    </w:p>
    <w:p w14:paraId="2D2714CA">
      <w:pPr>
        <w:pStyle w:val="77"/>
        <w:jc w:val="both"/>
        <w:rPr>
          <w:rFonts w:hint="eastAsia" w:ascii="楷体" w:hAnsi="楷体" w:eastAsia="楷体" w:cs="楷体"/>
          <w:color w:val="23558C"/>
          <w:sz w:val="24"/>
        </w:rPr>
      </w:pPr>
      <w:r>
        <w:rPr>
          <w:rFonts w:hint="eastAsia" w:ascii="楷体" w:hAnsi="楷体" w:eastAsia="楷体" w:cs="楷体"/>
          <w:color w:val="23558C"/>
          <w:sz w:val="24"/>
        </w:rPr>
        <w:t>5.2 估值分析</w:t>
      </w:r>
    </w:p>
    <w:p w14:paraId="63F51E7D">
      <w:pPr>
        <w:jc w:val="both"/>
        <w:rPr>
          <w:rFonts w:ascii="楷体" w:hAnsi="楷体" w:eastAsia="楷体" w:cs="楷体"/>
          <w:sz w:val="22"/>
          <w:szCs w:val="22"/>
        </w:rPr>
      </w:pPr>
      <w:r>
        <w:rPr>
          <w:rFonts w:hint="eastAsia" w:ascii="楷体" w:hAnsi="楷体" w:eastAsia="楷体" w:cs="楷体"/>
          <w:sz w:val="22"/>
          <w:szCs w:val="22"/>
        </w:rPr>
        <w:t>基于贴现现金流（DCF）估值模型，我们对公司未来经营现金流进行测算，并综合考虑行业增长前景、公司竞争地位及盈利能力改善趋势，给予公司目标价11.12美元（对应港币86.72元）。首次覆盖西锐飞机，给予“优于大市（Outperform）” 的投资评级。</w:t>
      </w:r>
    </w:p>
    <w:p w14:paraId="13E34DA6">
      <w:pPr>
        <w:jc w:val="both"/>
        <w:rPr>
          <w:rFonts w:ascii="楷体" w:hAnsi="楷体" w:eastAsia="楷体" w:cs="楷体"/>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0D8260DB">
        <w:trPr>
          <w:trHeight w:val="302" w:hRule="atLeast"/>
        </w:trPr>
        <w:tc>
          <w:tcPr>
            <w:tcW w:w="7466" w:type="dxa"/>
            <w:tcBorders>
              <w:bottom w:val="single" w:color="auto" w:sz="4" w:space="0"/>
            </w:tcBorders>
            <w:tcMar>
              <w:left w:w="0" w:type="dxa"/>
              <w:right w:w="28" w:type="dxa"/>
            </w:tcMar>
          </w:tcPr>
          <w:p w14:paraId="30677F10">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表：DCF模型</w:t>
            </w:r>
          </w:p>
        </w:tc>
      </w:tr>
      <w:tr w14:paraId="3B085F9F">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5DCA7571">
            <w:pPr>
              <w:spacing w:before="48" w:beforeLines="20" w:after="48" w:afterLines="20"/>
              <w:jc w:val="center"/>
              <w:textAlignment w:val="center"/>
              <w:rPr>
                <w:rFonts w:eastAsia="宋体" w:cs="Calibri"/>
                <w:b/>
                <w:bCs/>
                <w:sz w:val="20"/>
                <w:szCs w:val="20"/>
              </w:rPr>
            </w:pPr>
            <w:r>
              <w:rPr>
                <w:snapToGrid/>
              </w:rPr>
              <w:drawing>
                <wp:inline distT="0" distB="0" distL="0" distR="0">
                  <wp:extent cx="4916805" cy="4362450"/>
                  <wp:effectExtent l="0" t="0" r="0" b="0"/>
                  <wp:docPr id="5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9"/>
                          <pic:cNvPicPr>
                            <a:picLocks noChangeAspect="1"/>
                          </pic:cNvPicPr>
                        </pic:nvPicPr>
                        <pic:blipFill>
                          <a:blip r:embed="rId67"/>
                          <a:stretch>
                            <a:fillRect/>
                          </a:stretch>
                        </pic:blipFill>
                        <pic:spPr>
                          <a:xfrm>
                            <a:off x="0" y="0"/>
                            <a:ext cx="4916805" cy="4362450"/>
                          </a:xfrm>
                          <a:prstGeom prst="rect">
                            <a:avLst/>
                          </a:prstGeom>
                          <a:noFill/>
                          <a:ln w="9525">
                            <a:noFill/>
                          </a:ln>
                        </pic:spPr>
                      </pic:pic>
                    </a:graphicData>
                  </a:graphic>
                </wp:inline>
              </w:drawing>
            </w:r>
          </w:p>
        </w:tc>
      </w:tr>
      <w:tr w14:paraId="4EC3D92E">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4B491BFF">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14:paraId="6C3E62F7">
      <w:pPr>
        <w:jc w:val="both"/>
        <w:rPr>
          <w:rFonts w:hint="eastAsia" w:ascii="楷体" w:hAnsi="楷体" w:eastAsia="楷体" w:cs="楷体"/>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10D4E4F9">
        <w:trPr>
          <w:trHeight w:val="302" w:hRule="atLeast"/>
        </w:trPr>
        <w:tc>
          <w:tcPr>
            <w:tcW w:w="7466" w:type="dxa"/>
            <w:tcBorders>
              <w:bottom w:val="single" w:color="auto" w:sz="4" w:space="0"/>
            </w:tcBorders>
            <w:tcMar>
              <w:left w:w="0" w:type="dxa"/>
              <w:right w:w="28" w:type="dxa"/>
            </w:tcMar>
          </w:tcPr>
          <w:p w14:paraId="2C77F3E8">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表：财务汇总</w:t>
            </w:r>
          </w:p>
        </w:tc>
      </w:tr>
      <w:tr w14:paraId="6AB8816E">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5260E831">
            <w:pPr>
              <w:spacing w:before="48" w:beforeLines="20" w:after="48" w:afterLines="20"/>
              <w:jc w:val="center"/>
              <w:textAlignment w:val="center"/>
              <w:rPr>
                <w:rFonts w:eastAsia="宋体" w:cs="Calibri"/>
                <w:b/>
                <w:bCs/>
                <w:sz w:val="20"/>
                <w:szCs w:val="20"/>
              </w:rPr>
            </w:pPr>
            <w:r>
              <w:drawing>
                <wp:inline distT="0" distB="0" distL="0" distR="0">
                  <wp:extent cx="4916805" cy="3792855"/>
                  <wp:effectExtent l="0" t="0" r="0" b="0"/>
                  <wp:docPr id="5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1"/>
                          <pic:cNvPicPr>
                            <a:picLocks noChangeAspect="1"/>
                          </pic:cNvPicPr>
                        </pic:nvPicPr>
                        <pic:blipFill>
                          <a:blip r:embed="rId68"/>
                          <a:stretch>
                            <a:fillRect/>
                          </a:stretch>
                        </pic:blipFill>
                        <pic:spPr>
                          <a:xfrm>
                            <a:off x="0" y="0"/>
                            <a:ext cx="4916805" cy="3792855"/>
                          </a:xfrm>
                          <a:prstGeom prst="rect">
                            <a:avLst/>
                          </a:prstGeom>
                          <a:noFill/>
                          <a:ln w="9525">
                            <a:noFill/>
                          </a:ln>
                        </pic:spPr>
                      </pic:pic>
                    </a:graphicData>
                  </a:graphic>
                </wp:inline>
              </w:drawing>
            </w:r>
          </w:p>
        </w:tc>
      </w:tr>
      <w:tr w14:paraId="14712745">
        <w:trPr>
          <w:trHeight w:val="64" w:hRule="atLeast"/>
        </w:trPr>
        <w:tc>
          <w:tcPr>
            <w:tcW w:w="7466" w:type="dxa"/>
            <w:tcBorders>
              <w:top w:val="single" w:color="auto" w:sz="4" w:space="0"/>
            </w:tcBorders>
            <w:tcMar>
              <w:left w:w="0" w:type="dxa"/>
              <w:right w:w="28" w:type="dxa"/>
            </w:tcMar>
            <w:vAlign w:val="center"/>
          </w:tcPr>
          <w:p w14:paraId="434A4CCD">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14:paraId="6368B889">
      <w:pPr>
        <w:jc w:val="both"/>
        <w:rPr>
          <w:rFonts w:eastAsia="楷体_GB2312" w:cs="Calibri"/>
          <w:b/>
          <w:sz w:val="17"/>
        </w:rPr>
      </w:pPr>
    </w:p>
    <w:p w14:paraId="63F51EA2">
      <w:pPr>
        <w:pStyle w:val="2"/>
        <w:spacing w:before="240" w:beforeLines="100" w:after="240" w:afterLines="100"/>
        <w:jc w:val="both"/>
        <w:rPr>
          <w:rFonts w:hint="eastAsia" w:ascii="楷体" w:hAnsi="楷体" w:eastAsia="楷体" w:cs="楷体"/>
          <w:b/>
          <w:bCs/>
          <w:color w:val="23558C"/>
          <w:sz w:val="28"/>
          <w:szCs w:val="28"/>
        </w:rPr>
      </w:pPr>
      <w:bookmarkStart w:id="20" w:name="_Toc186105501"/>
      <w:bookmarkStart w:id="21" w:name="_Toc219028028"/>
      <w:r>
        <w:rPr>
          <w:rFonts w:hint="eastAsia" w:ascii="楷体" w:hAnsi="楷体" w:eastAsia="楷体" w:cs="楷体"/>
          <w:b/>
          <w:bCs/>
          <w:color w:val="23558C"/>
          <w:sz w:val="28"/>
          <w:szCs w:val="28"/>
        </w:rPr>
        <w:t xml:space="preserve">6. </w:t>
      </w:r>
      <w:bookmarkEnd w:id="20"/>
      <w:r>
        <w:rPr>
          <w:rFonts w:hint="eastAsia" w:ascii="楷体" w:hAnsi="楷体" w:eastAsia="楷体" w:cs="楷体"/>
          <w:b/>
          <w:bCs/>
          <w:color w:val="23558C"/>
          <w:sz w:val="28"/>
          <w:szCs w:val="28"/>
        </w:rPr>
        <w:t>风险</w:t>
      </w:r>
      <w:bookmarkEnd w:id="21"/>
    </w:p>
    <w:p w14:paraId="63F51EA3">
      <w:pPr>
        <w:tabs>
          <w:tab w:val="left" w:pos="871"/>
        </w:tabs>
        <w:rPr>
          <w:rFonts w:hint="eastAsia" w:ascii="楷体" w:hAnsi="楷体" w:eastAsia="楷体" w:cs="楷体"/>
          <w:sz w:val="22"/>
          <w:szCs w:val="22"/>
        </w:rPr>
      </w:pPr>
      <w:r>
        <w:rPr>
          <w:rFonts w:hint="eastAsia" w:ascii="楷体" w:hAnsi="楷体" w:eastAsia="楷体" w:cs="楷体"/>
          <w:sz w:val="22"/>
          <w:szCs w:val="22"/>
        </w:rPr>
        <w:t>原材料价格波动；供应链中断；市场竞争加剧；客户需求和偏好变化；政策执行未达预</w:t>
      </w:r>
    </w:p>
    <w:p>
      <w:pPr/>
    </w:p>
    <w:bookmarkEnd w:id="22"/>
    <w:bookmarkEnd w:id="6"/>
    <w:bookmarkEnd w:id="7"/>
    <w:bookmarkEnd w:id="9"/>
    <w:tbl>
      <w:tblPr>
        <w:tblStyle w:val="20"/>
        <w:tblW w:w="10773" w:type="dxa"/>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0773"/>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0773" w:type="dxa"/>
          </w:tcPr>
          <w:tbl>
            <w:tblPr>
              <w:tblStyle w:val="20"/>
              <w:tblW w:w="10773" w:type="dxa"/>
              <w:tblCaption w:val="[Table_disclaimer]"/>
              <w:tblDescription w:val="表格隐藏唯一标识（请勿删除和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28" w:type="dxa"/>
                <w:bottom w:w="0" w:type="dxa"/>
                <w:right w:w="28" w:type="dxa"/>
              </w:tblCellMar>
            </w:tblPr>
            <w:tblGrid>
              <w:gridCol w:w="10773"/>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23" w:hRule="exact"/>
              </w:trPr>
              <w:tc>
                <w:tcPr>
                  <w:tcW w:w="10773" w:type="dxa"/>
                  <w:tcBorders>
                    <w:top w:val="nil"/>
                    <w:bottom w:val="single" w:color="C0C0C0" w:sz="4" w:space="0"/>
                  </w:tcBorders>
                </w:tcPr>
                <w:p>
                  <w:pPr>
                    <w:pStyle w:val="71"/>
                    <w:spacing w:after="60"/>
                    <w:rPr>
                      <w:rFonts w:eastAsia="楷体_GB2312" w:cs="Calibri"/>
                      <w:b/>
                      <w:bCs/>
                      <w:w w:val="70"/>
                      <w:sz w:val="22"/>
                      <w:szCs w:val="22"/>
                    </w:rPr>
                  </w:pPr>
                  <w:r>
                    <w:rPr>
                      <w:rFonts w:eastAsia="楷体_GB2312" w:cs="Calibri"/>
                      <w:b/>
                      <w:bCs/>
                      <w:color w:val="FFFFFF" w:themeColor="background1"/>
                      <w:w w:val="70"/>
                      <w:sz w:val="22"/>
                      <w:szCs w:val="22"/>
                      <w14:textFill>
                        <w14:solidFill>
                          <w14:schemeClr w14:val="bg1"/>
                        </w14:solidFill>
                      </w14:textFill>
                    </w:rPr>
                    <w:t xml:space="preserve"> [Table_disclaimer]</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24" w:space="0"/>
                  </w:tcBorders>
                </w:tcPr>
                <w:p>
                  <w:pPr>
                    <w:pStyle w:val="71"/>
                    <w:spacing w:after="60"/>
                    <w:rPr>
                      <w:rFonts w:eastAsia="楷体_GB2312" w:cs="Calibri"/>
                      <w:b/>
                      <w:bCs/>
                      <w:w w:val="70"/>
                      <w:sz w:val="22"/>
                      <w:szCs w:val="22"/>
                      <w:lang w:eastAsia="zh-CN"/>
                    </w:rPr>
                  </w:pPr>
                  <w:r>
                    <w:rPr>
                      <w:rFonts w:eastAsia="楷体_GB2312" w:cs="Calibri"/>
                      <w:b/>
                      <w:bCs/>
                      <w:w w:val="70"/>
                      <w:sz w:val="22"/>
                      <w:szCs w:val="22"/>
                    </w:rPr>
                    <w:t>附录APPENDIX</w:t>
                  </w:r>
                </w:p>
                <w:p>
                  <w:pPr>
                    <w:pStyle w:val="71"/>
                    <w:rPr>
                      <w:rFonts w:eastAsia="楷体_GB2312" w:cs="Calibri"/>
                      <w:b/>
                      <w:w w:val="70"/>
                      <w:sz w:val="20"/>
                      <w:szCs w:val="20"/>
                    </w:rPr>
                  </w:pPr>
                  <w:r>
                    <w:rPr>
                      <w:rFonts w:eastAsia="楷体_GB2312" w:cs="Calibri"/>
                      <w:b/>
                      <w:w w:val="70"/>
                      <w:sz w:val="20"/>
                      <w:szCs w:val="20"/>
                    </w:rPr>
                    <w:t>重要信息披露</w:t>
                  </w:r>
                </w:p>
                <w:p>
                  <w:pPr>
                    <w:pStyle w:val="71"/>
                    <w:rPr>
                      <w:rFonts w:eastAsia="楷体_GB2312" w:cs="Calibri"/>
                      <w:w w:val="70"/>
                      <w:sz w:val="20"/>
                      <w:szCs w:val="20"/>
                      <w:lang w:eastAsia="zh-CN"/>
                    </w:rPr>
                  </w:pPr>
                  <w:r>
                    <w:rPr>
                      <w:rFonts w:eastAsia="楷体_GB2312" w:cs="Calibri"/>
                      <w:w w:val="70"/>
                      <w:sz w:val="20"/>
                      <w:szCs w:val="20"/>
                    </w:rPr>
                    <w:t>本研究报告由</w:t>
                  </w:r>
                  <w:r>
                    <w:rPr>
                      <w:rFonts w:hint="eastAsia" w:eastAsia="楷体_GB2312" w:cs="Calibri"/>
                      <w:w w:val="70"/>
                      <w:sz w:val="20"/>
                      <w:szCs w:val="20"/>
                      <w:lang w:eastAsia="zh-CN"/>
                    </w:rPr>
                    <w:t>华福</w:t>
                  </w:r>
                  <w:r>
                    <w:rPr>
                      <w:rFonts w:eastAsia="楷体_GB2312" w:cs="Calibri"/>
                      <w:w w:val="70"/>
                      <w:sz w:val="20"/>
                      <w:szCs w:val="20"/>
                    </w:rPr>
                    <w:t>国际</w:t>
                  </w:r>
                  <w:r>
                    <w:rPr>
                      <w:rFonts w:hint="eastAsia" w:eastAsia="楷体_GB2312" w:cs="Calibri"/>
                      <w:w w:val="70"/>
                      <w:sz w:val="20"/>
                      <w:szCs w:val="20"/>
                      <w:lang w:eastAsia="zh-CN"/>
                    </w:rPr>
                    <w:t>（香港）金融控股有限公司（下称华福国际）</w:t>
                  </w:r>
                  <w:r>
                    <w:rPr>
                      <w:rFonts w:eastAsia="楷体_GB2312" w:cs="Calibri"/>
                      <w:w w:val="70"/>
                      <w:sz w:val="20"/>
                      <w:szCs w:val="20"/>
                    </w:rPr>
                    <w:t>分销</w:t>
                  </w:r>
                  <w:r>
                    <w:rPr>
                      <w:rFonts w:hint="eastAsia" w:eastAsia="楷体_GB2312" w:cs="Calibri"/>
                      <w:w w:val="70"/>
                      <w:sz w:val="20"/>
                      <w:szCs w:val="20"/>
                      <w:lang w:eastAsia="zh-CN"/>
                    </w:rPr>
                    <w:t>，</w:t>
                  </w:r>
                  <w:r>
                    <w:rPr>
                      <w:rFonts w:eastAsia="楷体_GB2312" w:cs="Calibri"/>
                      <w:w w:val="70"/>
                      <w:sz w:val="20"/>
                      <w:szCs w:val="20"/>
                    </w:rPr>
                    <w:t>在其许可的司法管辖区内从事证券活动。</w:t>
                  </w:r>
                </w:p>
                <w:p>
                  <w:pPr>
                    <w:pStyle w:val="71"/>
                    <w:rPr>
                      <w:rFonts w:eastAsia="楷体_GB2312" w:cs="Calibri"/>
                      <w:b/>
                      <w:bCs/>
                      <w:w w:val="70"/>
                      <w:sz w:val="20"/>
                      <w:szCs w:val="20"/>
                    </w:rPr>
                  </w:pPr>
                  <w:r>
                    <w:rPr>
                      <w:rFonts w:eastAsia="楷体_GB2312" w:cs="Calibri"/>
                      <w:b/>
                      <w:bCs/>
                      <w:w w:val="70"/>
                      <w:sz w:val="20"/>
                      <w:szCs w:val="20"/>
                    </w:rPr>
                    <w:t>IMPORTANT DISCLOSURES</w:t>
                  </w:r>
                </w:p>
                <w:p>
                  <w:pPr>
                    <w:pStyle w:val="71"/>
                    <w:spacing w:after="60"/>
                    <w:rPr>
                      <w:rFonts w:eastAsia="楷体_GB2312" w:cs="Calibri"/>
                      <w:lang w:eastAsia="zh-CN"/>
                    </w:rPr>
                  </w:pPr>
                  <w:r>
                    <w:rPr>
                      <w:rFonts w:eastAsia="楷体_GB2312" w:cs="Calibri"/>
                      <w:w w:val="70"/>
                      <w:sz w:val="20"/>
                      <w:szCs w:val="20"/>
                    </w:rPr>
                    <w:t xml:space="preserve">This research report is distributed by </w:t>
                  </w:r>
                  <w:r>
                    <w:rPr>
                      <w:rFonts w:hint="eastAsia" w:eastAsia="楷体_GB2312" w:cs="Calibri"/>
                      <w:w w:val="70"/>
                      <w:sz w:val="20"/>
                      <w:szCs w:val="20"/>
                      <w:lang w:eastAsia="zh-CN"/>
                    </w:rPr>
                    <w:t>HuaFu</w:t>
                  </w:r>
                  <w:r>
                    <w:rPr>
                      <w:rFonts w:eastAsia="楷体_GB2312" w:cs="Calibri"/>
                      <w:w w:val="70"/>
                      <w:sz w:val="20"/>
                      <w:szCs w:val="20"/>
                    </w:rPr>
                    <w:t xml:space="preserve"> International</w:t>
                  </w:r>
                  <w:r>
                    <w:rPr>
                      <w:rFonts w:hint="eastAsia" w:eastAsia="楷体_GB2312" w:cs="Calibri"/>
                      <w:w w:val="70"/>
                      <w:sz w:val="20"/>
                      <w:szCs w:val="20"/>
                      <w:lang w:eastAsia="zh-CN"/>
                    </w:rPr>
                    <w:t xml:space="preserve"> (HK) Financial Holdings Limited (referred as HuaFu International below)</w:t>
                  </w:r>
                  <w:r>
                    <w:rPr>
                      <w:rFonts w:eastAsia="楷体_GB2312" w:cs="Calibri"/>
                      <w:w w:val="70"/>
                      <w:sz w:val="20"/>
                      <w:szCs w:val="20"/>
                    </w:rPr>
                    <w:t xml:space="preserve">, </w:t>
                  </w:r>
                  <w:r>
                    <w:rPr>
                      <w:rFonts w:hint="eastAsia" w:eastAsia="楷体_GB2312" w:cs="Calibri"/>
                      <w:w w:val="70"/>
                      <w:sz w:val="20"/>
                      <w:szCs w:val="20"/>
                      <w:lang w:eastAsia="zh-CN"/>
                    </w:rPr>
                    <w:t>which</w:t>
                  </w:r>
                  <w:r>
                    <w:rPr>
                      <w:rFonts w:eastAsia="楷体_GB2312" w:cs="Calibri"/>
                      <w:w w:val="70"/>
                      <w:sz w:val="20"/>
                      <w:szCs w:val="20"/>
                    </w:rPr>
                    <w:t xml:space="preserve"> </w:t>
                  </w:r>
                  <w:r>
                    <w:rPr>
                      <w:rFonts w:hint="eastAsia" w:eastAsia="楷体_GB2312" w:cs="Calibri"/>
                      <w:w w:val="70"/>
                      <w:sz w:val="20"/>
                      <w:szCs w:val="20"/>
                      <w:lang w:eastAsia="zh-CN"/>
                    </w:rPr>
                    <w:t xml:space="preserve">is </w:t>
                  </w:r>
                  <w:r>
                    <w:rPr>
                      <w:rFonts w:eastAsia="楷体_GB2312" w:cs="Calibri"/>
                      <w:w w:val="70"/>
                      <w:sz w:val="20"/>
                      <w:szCs w:val="20"/>
                    </w:rPr>
                    <w:t>authorized to engage in securities activities in its respective jurisdiction.</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24" w:space="0"/>
                  </w:tcBorders>
                </w:tcPr>
                <w:p>
                  <w:pPr>
                    <w:pStyle w:val="71"/>
                    <w:spacing w:after="48" w:afterLines="20"/>
                    <w:rPr>
                      <w:rFonts w:eastAsia="楷体_GB2312" w:cs="Calibri"/>
                      <w:w w:val="70"/>
                      <w:sz w:val="20"/>
                      <w:szCs w:val="20"/>
                    </w:rPr>
                  </w:pPr>
                  <w:r>
                    <w:rPr>
                      <w:rFonts w:eastAsia="楷体_GB2312" w:cs="Calibri"/>
                      <w:b/>
                      <w:w w:val="70"/>
                      <w:sz w:val="20"/>
                      <w:szCs w:val="20"/>
                    </w:rPr>
                    <w:t>分析师认证Analyst Certification</w:t>
                  </w:r>
                  <w:r>
                    <w:rPr>
                      <w:rFonts w:eastAsia="楷体_GB2312" w:cs="Calibri"/>
                      <w:w w:val="70"/>
                      <w:sz w:val="20"/>
                      <w:szCs w:val="20"/>
                    </w:rPr>
                    <w:t>:</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bottom w:val="single" w:color="C0C0C0" w:sz="24" w:space="0"/>
                  </w:tcBorders>
                </w:tcPr>
                <w:p>
                  <w:pPr>
                    <w:rPr>
                      <w:rFonts w:eastAsia="楷体_GB2312" w:cs="Calibri"/>
                      <w:w w:val="70"/>
                      <w:sz w:val="20"/>
                      <w:szCs w:val="20"/>
                    </w:rPr>
                  </w:pPr>
                  <w:r>
                    <w:rPr>
                      <w:rFonts w:hint="eastAsia" w:eastAsia="楷体_GB2312" w:cs="Calibri"/>
                      <w:w w:val="70"/>
                      <w:sz w:val="20"/>
                      <w:szCs w:val="20"/>
                    </w:rPr>
                    <w:t xml:space="preserve">我， Wind, HFIx，在此保证（i）本研究报告中的意见准确反映了我们对本研究中提及的任何或所有目标公司或上市公司的个人观点，并且（ii）我的报酬中没有任何部分与本研究报告中表达的具体建议或观点直接或间接相关；及就此报告中所讨论目标公司的证券，我们（包括我们的家属）在其中均不持有任何财务利益。I, Wind, HFIx, certify that (i) the views expressed in this research report accurately reflect my personal views about any or all of the subject companies or issuers referred to in this research and (ii) no part of my compensation was, is or will be directly or indirectly related to the specific recommendations or views expressed in this research report; and that I (including members of my household) have no financial interest in the security or securities of the subject companies discussed.</w:t>
                  </w:r>
                  <w:r>
                    <w:rPr>
                      <w:rFonts w:eastAsia="楷体_GB2312" w:cs="Calibri"/>
                      <w:w w:val="70"/>
                      <w:sz w:val="20"/>
                      <w:szCs w:val="20"/>
                    </w:rPr>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24" w:space="0"/>
                    <w:bottom w:val="nil"/>
                  </w:tcBorders>
                </w:tcPr>
                <w:p>
                  <w:pPr>
                    <w:pStyle w:val="71"/>
                    <w:spacing w:after="48" w:afterLines="20"/>
                    <w:rPr>
                      <w:rFonts w:eastAsia="楷体_GB2312" w:cs="Calibri"/>
                      <w:b/>
                      <w:bCs/>
                      <w:w w:val="70"/>
                      <w:sz w:val="20"/>
                      <w:szCs w:val="20"/>
                    </w:rPr>
                  </w:pPr>
                  <w:r>
                    <w:rPr>
                      <w:rFonts w:eastAsia="楷体_GB2312" w:cs="Calibri"/>
                      <w:b/>
                      <w:bCs/>
                      <w:w w:val="70"/>
                      <w:sz w:val="20"/>
                      <w:szCs w:val="20"/>
                    </w:rPr>
                    <w:t>利益冲突披露Conflict of Interest Disclosures</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nil"/>
                    <w:bottom w:val="single" w:color="C0C0C0" w:sz="4" w:space="0"/>
                  </w:tcBorders>
                </w:tcPr>
                <w:p>
                  <w:pPr>
                    <w:pStyle w:val="71"/>
                    <w:rPr>
                      <w:rFonts w:eastAsia="楷体_GB2312" w:cs="Calibri"/>
                      <w:w w:val="70"/>
                      <w:sz w:val="20"/>
                      <w:szCs w:val="20"/>
                    </w:rPr>
                  </w:pPr>
                  <w:r>
                    <w:rPr>
                      <w:rFonts w:hint="eastAsia" w:eastAsia="楷体_GB2312" w:cs="Calibri"/>
                      <w:w w:val="70"/>
                      <w:sz w:val="20"/>
                      <w:szCs w:val="20"/>
                      <w:lang w:eastAsia="zh-CN"/>
                    </w:rPr>
                    <w:t>华福</w:t>
                  </w:r>
                  <w:r>
                    <w:rPr>
                      <w:rFonts w:eastAsia="楷体_GB2312" w:cs="Calibri"/>
                      <w:w w:val="70"/>
                      <w:sz w:val="20"/>
                      <w:szCs w:val="20"/>
                    </w:rPr>
                    <w:t>国际及其某些关联公司可从事投资银行业务和/或对本研究中的特定股票或公司进行做市或持有自营头寸。就本研究报告而言，如需了解</w:t>
                  </w:r>
                  <w:r>
                    <w:rPr>
                      <w:rFonts w:hint="eastAsia" w:eastAsia="楷体_GB2312" w:cs="Calibri"/>
                      <w:w w:val="70"/>
                      <w:sz w:val="20"/>
                      <w:szCs w:val="20"/>
                    </w:rPr>
                    <w:t>其中提到的某一公司</w:t>
                  </w:r>
                  <w:r>
                    <w:rPr>
                      <w:rFonts w:eastAsia="楷体_GB2312" w:cs="Calibri"/>
                      <w:w w:val="70"/>
                      <w:sz w:val="20"/>
                      <w:szCs w:val="20"/>
                    </w:rPr>
                    <w:t>信息，</w:t>
                  </w:r>
                  <w:r>
                    <w:fldChar w:fldCharType="begin"/>
                  </w:r>
                  <w:r>
                    <w:instrText xml:space="preserve"> HYPERLINK "mailto:请发邮件至ERD-Disclosure@htisec.com" </w:instrText>
                  </w:r>
                  <w:r>
                    <w:fldChar w:fldCharType="separate"/>
                  </w:r>
                  <w:r>
                    <w:rPr>
                      <w:rStyle w:val="23"/>
                      <w:rFonts w:eastAsia="楷体_GB2312" w:cs="Calibri"/>
                      <w:color w:val="000000" w:themeColor="text1"/>
                      <w:w w:val="70"/>
                      <w:sz w:val="20"/>
                      <w:szCs w:val="20"/>
                      <w14:textFill>
                        <w14:solidFill>
                          <w14:schemeClr w14:val="tx1"/>
                        </w14:solidFill>
                      </w14:textFill>
                    </w:rPr>
                    <w:t>请发邮件至</w:t>
                  </w:r>
                  <w:r>
                    <w:rPr>
                      <w:rStyle w:val="23"/>
                      <w:rFonts w:hint="eastAsia" w:eastAsia="楷体_GB2312" w:cs="Calibri"/>
                      <w:color w:val="000000" w:themeColor="text1"/>
                      <w:w w:val="70"/>
                      <w:sz w:val="20"/>
                      <w:szCs w:val="20"/>
                      <w14:textFill>
                        <w14:solidFill>
                          <w14:schemeClr w14:val="tx1"/>
                        </w14:solidFill>
                      </w14:textFill>
                    </w:rPr>
                    <w:t>lcd</w:t>
                  </w:r>
                  <w:r>
                    <w:rPr>
                      <w:rStyle w:val="23"/>
                      <w:rFonts w:eastAsia="楷体_GB2312" w:cs="Calibri"/>
                      <w:color w:val="000000" w:themeColor="text1"/>
                      <w:w w:val="70"/>
                      <w:sz w:val="20"/>
                      <w:szCs w:val="20"/>
                      <w14:textFill>
                        <w14:solidFill>
                          <w14:schemeClr w14:val="tx1"/>
                        </w14:solidFill>
                      </w14:textFill>
                    </w:rPr>
                    <w:t>@</w:t>
                  </w:r>
                  <w:r>
                    <w:rPr>
                      <w:rStyle w:val="23"/>
                      <w:rFonts w:hint="eastAsia" w:eastAsia="楷体_GB2312" w:cs="Calibri"/>
                      <w:color w:val="000000" w:themeColor="text1"/>
                      <w:w w:val="70"/>
                      <w:sz w:val="20"/>
                      <w:szCs w:val="20"/>
                      <w14:textFill>
                        <w14:solidFill>
                          <w14:schemeClr w14:val="tx1"/>
                        </w14:solidFill>
                      </w14:textFill>
                    </w:rPr>
                    <w:t>hfisec</w:t>
                  </w:r>
                  <w:r>
                    <w:rPr>
                      <w:rStyle w:val="23"/>
                      <w:rFonts w:eastAsia="楷体_GB2312" w:cs="Calibri"/>
                      <w:color w:val="000000" w:themeColor="text1"/>
                      <w:w w:val="70"/>
                      <w:sz w:val="20"/>
                      <w:szCs w:val="20"/>
                      <w14:textFill>
                        <w14:solidFill>
                          <w14:schemeClr w14:val="tx1"/>
                        </w14:solidFill>
                      </w14:textFill>
                    </w:rPr>
                    <w:t>.com</w:t>
                  </w:r>
                  <w:r>
                    <w:rPr>
                      <w:rStyle w:val="23"/>
                      <w:rFonts w:eastAsia="楷体_GB2312" w:cs="Calibri"/>
                      <w:color w:val="000000" w:themeColor="text1"/>
                      <w:w w:val="70"/>
                      <w:sz w:val="20"/>
                      <w:szCs w:val="20"/>
                      <w14:textFill>
                        <w14:solidFill>
                          <w14:schemeClr w14:val="tx1"/>
                        </w14:solidFill>
                      </w14:textFill>
                    </w:rPr>
                    <w:fldChar w:fldCharType="end"/>
                  </w:r>
                  <w:r>
                    <w:rPr>
                      <w:rFonts w:hint="eastAsia" w:eastAsia="宋体" w:cs="等线"/>
                      <w:u w:val="single"/>
                    </w:rPr>
                    <w:t>.hk</w:t>
                  </w:r>
                  <w:r>
                    <w:rPr>
                      <w:rFonts w:eastAsia="楷体_GB2312" w:cs="Calibri"/>
                      <w:w w:val="70"/>
                      <w:sz w:val="20"/>
                      <w:szCs w:val="20"/>
                    </w:rPr>
                    <w:t>）</w:t>
                  </w:r>
                </w:p>
                <w:p>
                  <w:pPr>
                    <w:pStyle w:val="71"/>
                    <w:rPr>
                      <w:rFonts w:eastAsia="楷体_GB2312" w:cs="Calibri"/>
                      <w:b/>
                      <w:bCs/>
                      <w:w w:val="70"/>
                      <w:sz w:val="20"/>
                      <w:szCs w:val="20"/>
                      <w:lang w:eastAsia="zh-CN"/>
                    </w:rPr>
                  </w:pPr>
                  <w:r>
                    <w:rPr>
                      <w:rFonts w:hint="eastAsia" w:eastAsia="楷体_GB2312" w:cs="Calibri"/>
                      <w:w w:val="70"/>
                      <w:sz w:val="20"/>
                      <w:szCs w:val="20"/>
                      <w:lang w:eastAsia="zh-CN"/>
                    </w:rPr>
                    <w:t>HuaFu International</w:t>
                  </w:r>
                  <w:r>
                    <w:rPr>
                      <w:rFonts w:eastAsia="楷体_GB2312" w:cs="Calibri"/>
                      <w:w w:val="70"/>
                      <w:sz w:val="20"/>
                      <w:szCs w:val="20"/>
                    </w:rPr>
                    <w:t xml:space="preserve"> and some of its affiliates may engage in investment banking and / or serve as a market maker or hold proprietary trading positions of certain stocks or companies in this research report. As far as this research report is concerned, </w:t>
                  </w:r>
                  <w:r>
                    <w:rPr>
                      <w:rFonts w:eastAsia="楷体_GB2312" w:cs="Calibri"/>
                      <w:color w:val="000000" w:themeColor="text1"/>
                      <w:w w:val="70"/>
                      <w:sz w:val="20"/>
                      <w:szCs w:val="20"/>
                      <w14:textFill>
                        <w14:solidFill>
                          <w14:schemeClr w14:val="tx1"/>
                        </w14:solidFill>
                      </w14:textFill>
                    </w:rPr>
                    <w:t xml:space="preserve">please send an email to </w:t>
                  </w:r>
                  <w:r>
                    <w:rPr>
                      <w:rFonts w:hint="eastAsia" w:eastAsia="楷体_GB2312" w:cs="Calibri"/>
                      <w:color w:val="000000" w:themeColor="text1"/>
                      <w:w w:val="70"/>
                      <w:sz w:val="20"/>
                      <w:szCs w:val="20"/>
                      <w:lang w:eastAsia="zh-CN"/>
                      <w14:textFill>
                        <w14:solidFill>
                          <w14:schemeClr w14:val="tx1"/>
                        </w14:solidFill>
                      </w14:textFill>
                    </w:rPr>
                    <w:t>lcd</w:t>
                  </w:r>
                  <w:r>
                    <w:rPr>
                      <w:rFonts w:eastAsia="楷体_GB2312" w:cs="Calibri"/>
                      <w:color w:val="000000" w:themeColor="text1"/>
                      <w:w w:val="70"/>
                      <w:sz w:val="20"/>
                      <w:szCs w:val="20"/>
                      <w14:textFill>
                        <w14:solidFill>
                          <w14:schemeClr w14:val="tx1"/>
                        </w14:solidFill>
                      </w14:textFill>
                    </w:rPr>
                    <w:t>@</w:t>
                  </w:r>
                  <w:r>
                    <w:rPr>
                      <w:rFonts w:hint="eastAsia" w:eastAsia="楷体_GB2312" w:cs="Calibri"/>
                      <w:color w:val="000000" w:themeColor="text1"/>
                      <w:w w:val="70"/>
                      <w:sz w:val="20"/>
                      <w:szCs w:val="20"/>
                      <w:lang w:eastAsia="zh-CN"/>
                      <w14:textFill>
                        <w14:solidFill>
                          <w14:schemeClr w14:val="tx1"/>
                        </w14:solidFill>
                      </w14:textFill>
                    </w:rPr>
                    <w:t>hfisec</w:t>
                  </w:r>
                  <w:r>
                    <w:rPr>
                      <w:rFonts w:eastAsia="楷体_GB2312" w:cs="Calibri"/>
                      <w:color w:val="000000" w:themeColor="text1"/>
                      <w:w w:val="70"/>
                      <w:sz w:val="20"/>
                      <w:szCs w:val="20"/>
                      <w14:textFill>
                        <w14:solidFill>
                          <w14:schemeClr w14:val="tx1"/>
                        </w14:solidFill>
                      </w14:textFill>
                    </w:rPr>
                    <w:t>.com</w:t>
                  </w:r>
                  <w:r>
                    <w:rPr>
                      <w:rFonts w:hint="eastAsia" w:eastAsia="楷体_GB2312" w:cs="Calibri"/>
                      <w:color w:val="000000" w:themeColor="text1"/>
                      <w:w w:val="70"/>
                      <w:sz w:val="20"/>
                      <w:szCs w:val="20"/>
                      <w:lang w:eastAsia="zh-CN"/>
                      <w14:textFill>
                        <w14:solidFill>
                          <w14:schemeClr w14:val="tx1"/>
                        </w14:solidFill>
                      </w14:textFill>
                    </w:rPr>
                    <w:t>.hk</w:t>
                  </w:r>
                  <w:r>
                    <w:rPr>
                      <w:rFonts w:eastAsia="楷体_GB2312" w:cs="Calibri"/>
                      <w:color w:val="000000" w:themeColor="text1"/>
                      <w:w w:val="70"/>
                      <w:sz w:val="20"/>
                      <w:szCs w:val="20"/>
                      <w14:textFill>
                        <w14:solidFill>
                          <w14:schemeClr w14:val="tx1"/>
                        </w14:solidFill>
                      </w14:textFill>
                    </w:rPr>
                    <w:t xml:space="preserve"> if </w:t>
                  </w:r>
                  <w:r>
                    <w:rPr>
                      <w:rFonts w:hint="eastAsia" w:eastAsia="楷体_GB2312" w:cs="Calibri"/>
                      <w:color w:val="000000" w:themeColor="text1"/>
                      <w:w w:val="70"/>
                      <w:sz w:val="20"/>
                      <w:szCs w:val="20"/>
                      <w:lang w:eastAsia="zh-CN"/>
                      <w14:textFill>
                        <w14:solidFill>
                          <w14:schemeClr w14:val="tx1"/>
                        </w14:solidFill>
                      </w14:textFill>
                    </w:rPr>
                    <w:t>the</w:t>
                  </w:r>
                  <w:r>
                    <w:rPr>
                      <w:rFonts w:eastAsia="楷体_GB2312" w:cs="Calibri"/>
                      <w:color w:val="000000" w:themeColor="text1"/>
                      <w:w w:val="70"/>
                      <w:sz w:val="20"/>
                      <w:szCs w:val="20"/>
                      <w14:textFill>
                        <w14:solidFill>
                          <w14:schemeClr w14:val="tx1"/>
                        </w14:solidFill>
                      </w14:textFill>
                    </w:rPr>
                    <w:t xml:space="preserve"> information </w:t>
                  </w:r>
                  <w:r>
                    <w:rPr>
                      <w:rFonts w:hint="eastAsia" w:eastAsia="楷体_GB2312" w:cs="Calibri"/>
                      <w:color w:val="000000" w:themeColor="text1"/>
                      <w:w w:val="70"/>
                      <w:sz w:val="20"/>
                      <w:szCs w:val="20"/>
                      <w:lang w:eastAsia="zh-CN"/>
                      <w14:textFill>
                        <w14:solidFill>
                          <w14:schemeClr w14:val="tx1"/>
                        </w14:solidFill>
                      </w14:textFill>
                    </w:rPr>
                    <w:t xml:space="preserve">about any company mentioned in this report </w:t>
                  </w:r>
                  <w:r>
                    <w:rPr>
                      <w:rFonts w:eastAsia="楷体_GB2312" w:cs="Calibri"/>
                      <w:color w:val="000000" w:themeColor="text1"/>
                      <w:w w:val="70"/>
                      <w:sz w:val="20"/>
                      <w:szCs w:val="20"/>
                      <w14:textFill>
                        <w14:solidFill>
                          <w14:schemeClr w14:val="tx1"/>
                        </w14:solidFill>
                      </w14:textFill>
                    </w:rPr>
                    <w:t>is needed).</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rPr>
                      <w:rFonts w:eastAsia="楷体_GB2312" w:cs="Calibri"/>
                      <w:w w:val="7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5096" w:hRule="atLeast"/>
              </w:trPr>
              <w:tc>
                <w:tcPr>
                  <w:tcW w:w="10773" w:type="dxa"/>
                  <w:tcBorders>
                    <w:top w:val="single" w:color="C0C0C0" w:sz="4" w:space="0"/>
                  </w:tcBorders>
                </w:tcPr>
                <w:p>
                  <w:pPr>
                    <w:pStyle w:val="71"/>
                    <w:rPr>
                      <w:rFonts w:eastAsia="楷体_GB2312" w:cs="Calibri"/>
                      <w:b/>
                      <w:w w:val="70"/>
                      <w:sz w:val="20"/>
                      <w:szCs w:val="20"/>
                    </w:rPr>
                  </w:pPr>
                  <w:r>
                    <w:rPr>
                      <w:rFonts w:eastAsia="楷体_GB2312" w:cs="Calibri"/>
                      <w:b/>
                      <w:w w:val="70"/>
                      <w:sz w:val="20"/>
                      <w:szCs w:val="20"/>
                    </w:rPr>
                    <w:t>评级定义</w:t>
                  </w:r>
                  <w:r>
                    <w:rPr>
                      <w:rFonts w:eastAsia="楷体_GB2312" w:cs="Calibri"/>
                      <w:b/>
                      <w:w w:val="70"/>
                      <w:sz w:val="20"/>
                      <w:szCs w:val="20"/>
                      <w:lang w:eastAsia="zh-CN"/>
                    </w:rPr>
                    <w:t>（从2020年7月1日开始执行）</w:t>
                  </w:r>
                  <w:r>
                    <w:rPr>
                      <w:rFonts w:eastAsia="楷体_GB2312" w:cs="Calibri"/>
                      <w:b/>
                      <w:w w:val="70"/>
                      <w:sz w:val="20"/>
                      <w:szCs w:val="20"/>
                    </w:rPr>
                    <w:t>：</w:t>
                  </w:r>
                </w:p>
                <w:p>
                  <w:pPr>
                    <w:pStyle w:val="71"/>
                    <w:rPr>
                      <w:rFonts w:eastAsia="楷体_GB2312" w:cs="Calibri"/>
                      <w:w w:val="70"/>
                      <w:sz w:val="20"/>
                      <w:szCs w:val="20"/>
                    </w:rPr>
                  </w:pPr>
                  <w:r>
                    <w:rPr>
                      <w:rFonts w:hint="eastAsia" w:eastAsia="楷体_GB2312" w:cs="Calibri"/>
                      <w:w w:val="70"/>
                      <w:sz w:val="20"/>
                      <w:szCs w:val="20"/>
                      <w:lang w:eastAsia="zh-CN"/>
                    </w:rPr>
                    <w:t>华福</w:t>
                  </w:r>
                  <w:r>
                    <w:rPr>
                      <w:rFonts w:eastAsia="楷体_GB2312" w:cs="Calibri"/>
                      <w:w w:val="70"/>
                      <w:sz w:val="20"/>
                      <w:szCs w:val="20"/>
                    </w:rPr>
                    <w:t>国际采用相对评级系统</w:t>
                  </w:r>
                  <w:r>
                    <w:rPr>
                      <w:rFonts w:eastAsia="楷体_GB2312" w:cs="Calibri"/>
                      <w:w w:val="70"/>
                      <w:sz w:val="20"/>
                      <w:szCs w:val="20"/>
                      <w:lang w:eastAsia="zh-CN"/>
                    </w:rPr>
                    <w:t>来为投资者推荐我们覆盖的公司</w:t>
                  </w:r>
                  <w:r>
                    <w:rPr>
                      <w:rFonts w:eastAsia="楷体_GB2312" w:cs="Calibri"/>
                      <w:w w:val="70"/>
                      <w:sz w:val="20"/>
                      <w:szCs w:val="20"/>
                    </w:rPr>
                    <w:t>：</w:t>
                  </w:r>
                  <w:r>
                    <w:rPr>
                      <w:rFonts w:eastAsia="楷体_GB2312" w:cs="Calibri"/>
                      <w:w w:val="70"/>
                      <w:sz w:val="20"/>
                      <w:szCs w:val="20"/>
                      <w:lang w:eastAsia="zh-CN"/>
                    </w:rPr>
                    <w:t>优于大市</w:t>
                  </w:r>
                  <w:r>
                    <w:rPr>
                      <w:rFonts w:eastAsia="楷体_GB2312" w:cs="Calibri"/>
                      <w:w w:val="70"/>
                      <w:sz w:val="20"/>
                      <w:szCs w:val="20"/>
                    </w:rPr>
                    <w:t>、中性</w:t>
                  </w:r>
                  <w:r>
                    <w:rPr>
                      <w:rFonts w:eastAsia="楷体_GB2312" w:cs="Calibri"/>
                      <w:w w:val="70"/>
                      <w:sz w:val="20"/>
                      <w:szCs w:val="20"/>
                      <w:lang w:eastAsia="zh-CN"/>
                    </w:rPr>
                    <w:t>或弱于大市</w:t>
                  </w:r>
                  <w:r>
                    <w:rPr>
                      <w:rFonts w:eastAsia="楷体_GB2312" w:cs="Calibri"/>
                      <w:w w:val="70"/>
                      <w:sz w:val="20"/>
                      <w:szCs w:val="20"/>
                    </w:rPr>
                    <w:t>。</w:t>
                  </w:r>
                  <w:r>
                    <w:rPr>
                      <w:rFonts w:eastAsia="楷体_GB2312" w:cs="Calibri"/>
                      <w:w w:val="70"/>
                      <w:sz w:val="20"/>
                      <w:szCs w:val="20"/>
                      <w:lang w:eastAsia="zh-CN"/>
                    </w:rPr>
                    <w:t>投资者应仔细阅读</w:t>
                  </w:r>
                  <w:r>
                    <w:rPr>
                      <w:rFonts w:hint="eastAsia"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的评级定义。并且</w:t>
                  </w:r>
                  <w:r>
                    <w:rPr>
                      <w:rFonts w:hint="eastAsia"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发布分析师观点的完整信息，投资者应仔细阅读全文而非仅看评级。在任何情况下，分析师的评级和研究都不能作为投资建议。投资者的买卖股票的决策应基于各自情况（比如投资者的现有持仓）以及其他因素。</w:t>
                  </w:r>
                </w:p>
                <w:p>
                  <w:pPr>
                    <w:pStyle w:val="71"/>
                    <w:rPr>
                      <w:rFonts w:eastAsia="楷体_GB2312" w:cs="Calibri"/>
                      <w:b/>
                      <w:w w:val="70"/>
                      <w:sz w:val="20"/>
                      <w:szCs w:val="20"/>
                      <w:lang w:eastAsia="zh-CN"/>
                    </w:rPr>
                  </w:pPr>
                  <w:r>
                    <w:rPr>
                      <w:rFonts w:eastAsia="楷体_GB2312" w:cs="Calibri"/>
                      <w:b/>
                      <w:w w:val="70"/>
                      <w:sz w:val="20"/>
                      <w:szCs w:val="20"/>
                      <w:lang w:eastAsia="zh-CN"/>
                    </w:rPr>
                    <w:t>分析师股票评级</w:t>
                  </w:r>
                </w:p>
                <w:p>
                  <w:pPr>
                    <w:pStyle w:val="71"/>
                    <w:rPr>
                      <w:rFonts w:eastAsia="楷体_GB2312" w:cs="Calibri"/>
                      <w:w w:val="70"/>
                      <w:sz w:val="20"/>
                      <w:szCs w:val="20"/>
                      <w:lang w:eastAsia="zh-CN"/>
                    </w:rPr>
                  </w:pPr>
                  <w:r>
                    <w:rPr>
                      <w:rFonts w:eastAsia="楷体_GB2312" w:cs="Calibri"/>
                      <w:b/>
                      <w:w w:val="70"/>
                      <w:sz w:val="20"/>
                      <w:szCs w:val="20"/>
                    </w:rPr>
                    <w:t>优于大市</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预期相对基准指数涨幅在10%以上，基准定义如下</w:t>
                  </w:r>
                </w:p>
                <w:p>
                  <w:pPr>
                    <w:pStyle w:val="71"/>
                    <w:rPr>
                      <w:rFonts w:eastAsia="楷体_GB2312" w:cs="Calibri"/>
                      <w:w w:val="70"/>
                      <w:sz w:val="20"/>
                      <w:szCs w:val="20"/>
                      <w:lang w:eastAsia="zh-CN"/>
                    </w:rPr>
                  </w:pPr>
                  <w:r>
                    <w:rPr>
                      <w:rFonts w:eastAsia="楷体_GB2312" w:cs="Calibri"/>
                      <w:b/>
                      <w:w w:val="70"/>
                      <w:sz w:val="20"/>
                      <w:szCs w:val="20"/>
                    </w:rPr>
                    <w:t>中性</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预期相对基准指数变化不大，基准定义如下</w:t>
                  </w:r>
                </w:p>
                <w:p>
                  <w:pPr>
                    <w:pStyle w:val="71"/>
                    <w:rPr>
                      <w:rFonts w:eastAsia="楷体_GB2312" w:cs="Calibri"/>
                      <w:w w:val="70"/>
                      <w:sz w:val="20"/>
                      <w:szCs w:val="20"/>
                    </w:rPr>
                  </w:pPr>
                  <w:r>
                    <w:rPr>
                      <w:rFonts w:eastAsia="楷体_GB2312" w:cs="Calibri"/>
                      <w:b/>
                      <w:w w:val="70"/>
                      <w:sz w:val="20"/>
                      <w:szCs w:val="20"/>
                      <w:lang w:eastAsia="zh-CN"/>
                    </w:rPr>
                    <w:t>弱于大市</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预期相对基准指数跌幅在10%以上，基准定义如下</w:t>
                  </w:r>
                </w:p>
                <w:p>
                  <w:pPr>
                    <w:pStyle w:val="71"/>
                    <w:rPr>
                      <w:rFonts w:eastAsia="楷体_GB2312" w:cs="Calibri"/>
                      <w:w w:val="70"/>
                      <w:sz w:val="20"/>
                      <w:szCs w:val="20"/>
                      <w:lang w:eastAsia="zh-CN"/>
                    </w:rPr>
                  </w:pPr>
                  <w:r>
                    <w:rPr>
                      <w:rFonts w:eastAsia="楷体_GB2312" w:cs="Calibri"/>
                      <w:w w:val="70"/>
                      <w:sz w:val="20"/>
                      <w:szCs w:val="20"/>
                      <w:lang w:eastAsia="zh-CN"/>
                    </w:rPr>
                    <w:t xml:space="preserve">各地股票基准指数：日本 </w:t>
                  </w:r>
                  <w:r>
                    <w:rPr>
                      <w:rFonts w:eastAsia="微软雅黑" w:cs="Calibri"/>
                      <w:w w:val="70"/>
                      <w:sz w:val="20"/>
                      <w:szCs w:val="20"/>
                      <w:lang w:eastAsia="zh-CN"/>
                    </w:rPr>
                    <w:t>–</w:t>
                  </w:r>
                  <w:r>
                    <w:rPr>
                      <w:rFonts w:eastAsia="楷体_GB2312" w:cs="Calibri"/>
                      <w:w w:val="70"/>
                      <w:sz w:val="20"/>
                      <w:szCs w:val="20"/>
                      <w:lang w:eastAsia="zh-CN"/>
                    </w:rPr>
                    <w:t xml:space="preserve"> TOPIX, 韩国 </w:t>
                  </w:r>
                  <w:r>
                    <w:rPr>
                      <w:rFonts w:eastAsia="微软雅黑" w:cs="Calibri"/>
                      <w:w w:val="70"/>
                      <w:sz w:val="20"/>
                      <w:szCs w:val="20"/>
                      <w:lang w:eastAsia="zh-CN"/>
                    </w:rPr>
                    <w:t>–</w:t>
                  </w:r>
                  <w:r>
                    <w:rPr>
                      <w:rFonts w:eastAsia="楷体_GB2312" w:cs="Calibri"/>
                      <w:w w:val="70"/>
                      <w:sz w:val="20"/>
                      <w:szCs w:val="20"/>
                      <w:lang w:eastAsia="zh-CN"/>
                    </w:rPr>
                    <w:t xml:space="preserve"> KOSPI, 台湾 </w:t>
                  </w:r>
                  <w:r>
                    <w:rPr>
                      <w:rFonts w:eastAsia="微软雅黑" w:cs="Calibri"/>
                      <w:w w:val="70"/>
                      <w:sz w:val="20"/>
                      <w:szCs w:val="20"/>
                      <w:lang w:eastAsia="zh-CN"/>
                    </w:rPr>
                    <w:t>–</w:t>
                  </w:r>
                  <w:r>
                    <w:rPr>
                      <w:rFonts w:eastAsia="楷体_GB2312" w:cs="Calibri"/>
                      <w:w w:val="70"/>
                      <w:sz w:val="20"/>
                      <w:szCs w:val="20"/>
                      <w:lang w:eastAsia="zh-CN"/>
                    </w:rPr>
                    <w:t xml:space="preserve"> TAIEX, 印度 </w:t>
                  </w:r>
                  <w:r>
                    <w:rPr>
                      <w:rFonts w:eastAsia="微软雅黑" w:cs="Calibri"/>
                      <w:w w:val="70"/>
                      <w:sz w:val="20"/>
                      <w:szCs w:val="20"/>
                      <w:lang w:eastAsia="zh-CN"/>
                    </w:rPr>
                    <w:t>–</w:t>
                  </w:r>
                  <w:r>
                    <w:rPr>
                      <w:rFonts w:eastAsia="楷体_GB2312" w:cs="Calibri"/>
                      <w:w w:val="70"/>
                      <w:sz w:val="20"/>
                      <w:szCs w:val="20"/>
                      <w:lang w:eastAsia="zh-CN"/>
                    </w:rPr>
                    <w:t xml:space="preserve"> Nifty100, 美国 </w:t>
                  </w:r>
                  <w:r>
                    <w:rPr>
                      <w:rFonts w:eastAsia="微软雅黑" w:cs="Calibri"/>
                      <w:w w:val="70"/>
                      <w:sz w:val="20"/>
                      <w:szCs w:val="20"/>
                      <w:lang w:eastAsia="zh-CN"/>
                    </w:rPr>
                    <w:t>–</w:t>
                  </w:r>
                  <w:r>
                    <w:rPr>
                      <w:rFonts w:eastAsia="楷体_GB2312" w:cs="Calibri"/>
                      <w:w w:val="70"/>
                      <w:sz w:val="20"/>
                      <w:szCs w:val="20"/>
                      <w:lang w:eastAsia="zh-CN"/>
                    </w:rPr>
                    <w:t xml:space="preserve"> SP500; 其他所有中国概念股 </w:t>
                  </w:r>
                  <w:r>
                    <w:rPr>
                      <w:rFonts w:eastAsia="微软雅黑" w:cs="Calibri"/>
                      <w:w w:val="70"/>
                      <w:sz w:val="20"/>
                      <w:szCs w:val="20"/>
                      <w:lang w:eastAsia="zh-CN"/>
                    </w:rPr>
                    <w:t>–</w:t>
                  </w:r>
                  <w:r>
                    <w:rPr>
                      <w:rFonts w:eastAsia="楷体_GB2312" w:cs="Calibri"/>
                      <w:w w:val="70"/>
                      <w:sz w:val="20"/>
                      <w:szCs w:val="20"/>
                      <w:lang w:eastAsia="zh-CN"/>
                    </w:rPr>
                    <w:t xml:space="preserve"> MSCI China.</w:t>
                  </w:r>
                </w:p>
                <w:p>
                  <w:pPr>
                    <w:pStyle w:val="71"/>
                    <w:rPr>
                      <w:rFonts w:eastAsia="楷体_GB2312" w:cs="Calibri"/>
                      <w:w w:val="79"/>
                      <w:sz w:val="20"/>
                      <w:szCs w:val="20"/>
                    </w:rPr>
                  </w:pPr>
                  <w:r>
                    <w:rPr>
                      <w:rFonts w:eastAsia="楷体_GB2312" w:cs="Calibri"/>
                      <w:b/>
                      <w:w w:val="79"/>
                      <w:sz w:val="20"/>
                      <w:szCs w:val="20"/>
                    </w:rPr>
                    <w:t xml:space="preserve">Ratings Definitions (from 1 Jul 2020): </w:t>
                  </w:r>
                </w:p>
                <w:p>
                  <w:pPr>
                    <w:pStyle w:val="71"/>
                    <w:rPr>
                      <w:rFonts w:eastAsia="楷体_GB2312" w:cs="Calibri"/>
                      <w:w w:val="79"/>
                      <w:sz w:val="20"/>
                      <w:szCs w:val="20"/>
                    </w:rPr>
                  </w:pPr>
                  <w:r>
                    <w:rPr>
                      <w:rFonts w:hint="eastAsia" w:eastAsia="楷体_GB2312" w:cs="Calibri"/>
                      <w:w w:val="79"/>
                      <w:sz w:val="20"/>
                      <w:szCs w:val="20"/>
                      <w:lang w:eastAsia="zh-CN"/>
                    </w:rPr>
                    <w:t>HuaFu</w:t>
                  </w:r>
                  <w:r>
                    <w:rPr>
                      <w:rFonts w:eastAsia="楷体_GB2312" w:cs="Calibri"/>
                      <w:w w:val="79"/>
                      <w:sz w:val="20"/>
                      <w:szCs w:val="20"/>
                    </w:rPr>
                    <w:t xml:space="preserve"> International uses a relative rating system using </w:t>
                  </w:r>
                  <w:r>
                    <w:rPr>
                      <w:rFonts w:eastAsia="楷体_GB2312" w:cs="Calibri"/>
                      <w:w w:val="79"/>
                      <w:sz w:val="20"/>
                      <w:szCs w:val="20"/>
                      <w:lang w:eastAsia="zh-HK"/>
                    </w:rPr>
                    <w:t>Outperform</w:t>
                  </w:r>
                  <w:r>
                    <w:rPr>
                      <w:rFonts w:eastAsia="楷体_GB2312" w:cs="Calibri"/>
                      <w:w w:val="79"/>
                      <w:sz w:val="20"/>
                      <w:szCs w:val="20"/>
                    </w:rPr>
                    <w:t>, Neutral</w:t>
                  </w:r>
                  <w:r>
                    <w:rPr>
                      <w:rFonts w:eastAsia="楷体_GB2312" w:cs="Calibri"/>
                      <w:w w:val="79"/>
                      <w:sz w:val="20"/>
                      <w:szCs w:val="20"/>
                      <w:lang w:eastAsia="zh-HK"/>
                    </w:rPr>
                    <w:t>,</w:t>
                  </w:r>
                  <w:r>
                    <w:rPr>
                      <w:rFonts w:eastAsia="楷体_GB2312" w:cs="Calibri"/>
                      <w:w w:val="79"/>
                      <w:sz w:val="20"/>
                      <w:szCs w:val="20"/>
                    </w:rPr>
                    <w:t xml:space="preserve"> or </w:t>
                  </w:r>
                  <w:r>
                    <w:rPr>
                      <w:rFonts w:eastAsia="楷体_GB2312" w:cs="Calibri"/>
                      <w:w w:val="79"/>
                      <w:sz w:val="20"/>
                      <w:szCs w:val="20"/>
                      <w:lang w:eastAsia="zh-HK"/>
                    </w:rPr>
                    <w:t xml:space="preserve">Underperform </w:t>
                  </w:r>
                  <w:r>
                    <w:rPr>
                      <w:rFonts w:eastAsia="楷体_GB2312" w:cs="Calibri"/>
                      <w:w w:val="79"/>
                      <w:sz w:val="20"/>
                      <w:szCs w:val="20"/>
                    </w:rPr>
                    <w:t xml:space="preserve">for recommending the stocks we cover to investors. Investors should carefully read the definitions of all ratings used in </w:t>
                  </w:r>
                  <w:r>
                    <w:rPr>
                      <w:rFonts w:hint="eastAsia" w:eastAsia="楷体_GB2312" w:cs="Calibri"/>
                      <w:w w:val="79"/>
                      <w:sz w:val="20"/>
                      <w:szCs w:val="20"/>
                      <w:lang w:eastAsia="zh-CN"/>
                    </w:rPr>
                    <w:t>HuaFu</w:t>
                  </w:r>
                  <w:r>
                    <w:rPr>
                      <w:rFonts w:eastAsia="楷体_GB2312" w:cs="Calibri"/>
                      <w:w w:val="79"/>
                      <w:sz w:val="20"/>
                      <w:szCs w:val="20"/>
                    </w:rPr>
                    <w:t xml:space="preserve"> International Research. In addition, since </w:t>
                  </w:r>
                  <w:r>
                    <w:rPr>
                      <w:rFonts w:hint="eastAsia" w:eastAsia="楷体_GB2312" w:cs="Calibri"/>
                      <w:w w:val="79"/>
                      <w:sz w:val="20"/>
                      <w:szCs w:val="20"/>
                      <w:lang w:eastAsia="zh-CN"/>
                    </w:rPr>
                    <w:t>HuaFu</w:t>
                  </w:r>
                  <w:r>
                    <w:rPr>
                      <w:rFonts w:eastAsia="楷体_GB2312" w:cs="Calibri"/>
                      <w:w w:val="79"/>
                      <w:sz w:val="20"/>
                      <w:szCs w:val="20"/>
                    </w:rPr>
                    <w:t xml:space="preserve"> International Research contains more complete information concerning the analyst's views, investors should carefully read </w:t>
                  </w:r>
                  <w:r>
                    <w:rPr>
                      <w:rFonts w:hint="eastAsia" w:eastAsia="楷体_GB2312" w:cs="Calibri"/>
                      <w:w w:val="79"/>
                      <w:sz w:val="20"/>
                      <w:szCs w:val="20"/>
                      <w:lang w:eastAsia="zh-CN"/>
                    </w:rPr>
                    <w:t xml:space="preserve">HuaFu </w:t>
                  </w:r>
                  <w:r>
                    <w:rPr>
                      <w:rFonts w:eastAsia="楷体_GB2312" w:cs="Calibri"/>
                      <w:w w:val="79"/>
                      <w:sz w:val="20"/>
                      <w:szCs w:val="20"/>
                    </w:rPr>
                    <w:t>International Research, in its entirety, and not infer the contents from the rating alone. In any case, ratings (or research) should not be used or relied upon as investment advice. An investor's decision to buy or sell a stock should depend on individual circumstances (such as the investor's existing holdings) and other considerations.</w:t>
                  </w:r>
                </w:p>
                <w:p>
                  <w:pPr>
                    <w:pStyle w:val="71"/>
                    <w:rPr>
                      <w:rFonts w:eastAsia="楷体_GB2312" w:cs="Calibri"/>
                      <w:b/>
                      <w:w w:val="79"/>
                      <w:sz w:val="20"/>
                      <w:szCs w:val="20"/>
                    </w:rPr>
                  </w:pPr>
                  <w:r>
                    <w:rPr>
                      <w:rFonts w:eastAsia="楷体_GB2312" w:cs="Calibri"/>
                      <w:b/>
                      <w:w w:val="79"/>
                      <w:sz w:val="20"/>
                      <w:szCs w:val="20"/>
                    </w:rPr>
                    <w:t>Analyst Stock Ratings</w:t>
                  </w:r>
                </w:p>
                <w:p>
                  <w:pPr>
                    <w:pStyle w:val="71"/>
                    <w:rPr>
                      <w:rFonts w:eastAsia="楷体_GB2312" w:cs="Calibri"/>
                      <w:w w:val="79"/>
                      <w:sz w:val="20"/>
                      <w:szCs w:val="20"/>
                    </w:rPr>
                  </w:pPr>
                  <w:r>
                    <w:rPr>
                      <w:rFonts w:eastAsia="楷体_GB2312" w:cs="Calibri"/>
                      <w:b/>
                      <w:w w:val="79"/>
                      <w:sz w:val="20"/>
                      <w:szCs w:val="20"/>
                      <w:lang w:eastAsia="zh-HK"/>
                    </w:rPr>
                    <w:t>Outperform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exceed the return of its relevant broad market benchmark</w:t>
                  </w:r>
                  <w:r>
                    <w:rPr>
                      <w:rFonts w:hint="eastAsia" w:eastAsia="楷体_GB2312" w:cs="Calibri"/>
                      <w:w w:val="79"/>
                      <w:sz w:val="20"/>
                      <w:szCs w:val="20"/>
                      <w:lang w:eastAsia="zh-CN"/>
                    </w:rPr>
                    <w:t xml:space="preserve"> by over 10%</w:t>
                  </w:r>
                  <w:r>
                    <w:rPr>
                      <w:rFonts w:eastAsia="楷体_GB2312" w:cs="Calibri"/>
                      <w:w w:val="79"/>
                      <w:sz w:val="20"/>
                      <w:szCs w:val="20"/>
                    </w:rPr>
                    <w:t xml:space="preserve">, as indicated below. </w:t>
                  </w:r>
                </w:p>
                <w:p>
                  <w:pPr>
                    <w:pStyle w:val="71"/>
                    <w:rPr>
                      <w:rFonts w:eastAsia="楷体_GB2312" w:cs="Calibri"/>
                      <w:w w:val="79"/>
                      <w:sz w:val="20"/>
                      <w:szCs w:val="20"/>
                    </w:rPr>
                  </w:pPr>
                  <w:r>
                    <w:rPr>
                      <w:rFonts w:eastAsia="楷体_GB2312" w:cs="Calibri"/>
                      <w:b/>
                      <w:w w:val="79"/>
                      <w:sz w:val="20"/>
                      <w:szCs w:val="20"/>
                    </w:rPr>
                    <w:t>Neutral:</w:t>
                  </w:r>
                  <w:r>
                    <w:rPr>
                      <w:rFonts w:eastAsia="楷体_GB2312" w:cs="Calibri"/>
                      <w:w w:val="79"/>
                      <w:sz w:val="20"/>
                      <w:szCs w:val="20"/>
                    </w:rPr>
                    <w:t xml:space="preserve"> The stock’s total return over the next 12-18 months is expected to be in line with the return of its relevant broad market benchmark, as indicated below. </w:t>
                  </w:r>
                  <w:r>
                    <w:rPr>
                      <w:rFonts w:eastAsia="楷体_GB2312" w:cs="Calibri"/>
                      <w:b/>
                      <w:w w:val="79"/>
                      <w:sz w:val="20"/>
                      <w:szCs w:val="20"/>
                      <w:lang w:eastAsia="zh-HK"/>
                    </w:rPr>
                    <w:t>Underperform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be below the return of its relevant broad market benchmark</w:t>
                  </w:r>
                  <w:r>
                    <w:rPr>
                      <w:rFonts w:hint="eastAsia" w:eastAsia="楷体_GB2312" w:cs="Calibri"/>
                      <w:w w:val="79"/>
                      <w:sz w:val="20"/>
                      <w:szCs w:val="20"/>
                      <w:lang w:eastAsia="zh-CN"/>
                    </w:rPr>
                    <w:t xml:space="preserve"> by over 10%</w:t>
                  </w:r>
                  <w:r>
                    <w:rPr>
                      <w:rFonts w:eastAsia="楷体_GB2312" w:cs="Calibri"/>
                      <w:w w:val="79"/>
                      <w:sz w:val="20"/>
                      <w:szCs w:val="20"/>
                    </w:rPr>
                    <w:t>, as indicated below.</w:t>
                  </w:r>
                </w:p>
                <w:p>
                  <w:pPr>
                    <w:pStyle w:val="71"/>
                    <w:rPr>
                      <w:rFonts w:eastAsia="楷体_GB2312" w:cs="Calibri"/>
                      <w:b/>
                      <w:w w:val="79"/>
                      <w:sz w:val="20"/>
                      <w:szCs w:val="20"/>
                    </w:rPr>
                  </w:pPr>
                  <w:r>
                    <w:rPr>
                      <w:rFonts w:eastAsia="楷体_GB2312" w:cs="Calibri"/>
                      <w:b/>
                      <w:w w:val="79"/>
                      <w:sz w:val="20"/>
                      <w:szCs w:val="20"/>
                    </w:rPr>
                    <w:t xml:space="preserve">Benchmarks for each stock’s listed region are as follows: Japan </w:t>
                  </w:r>
                  <w:r>
                    <w:rPr>
                      <w:rFonts w:eastAsia="微软雅黑" w:cs="Calibri"/>
                      <w:b/>
                      <w:w w:val="79"/>
                      <w:sz w:val="20"/>
                      <w:szCs w:val="20"/>
                    </w:rPr>
                    <w:t>–</w:t>
                  </w:r>
                  <w:r>
                    <w:rPr>
                      <w:rFonts w:eastAsia="楷体_GB2312" w:cs="Calibri"/>
                      <w:b/>
                      <w:w w:val="79"/>
                      <w:sz w:val="20"/>
                      <w:szCs w:val="20"/>
                    </w:rPr>
                    <w:t xml:space="preserve"> TOPIX, Korea </w:t>
                  </w:r>
                  <w:r>
                    <w:rPr>
                      <w:rFonts w:eastAsia="微软雅黑" w:cs="Calibri"/>
                      <w:b/>
                      <w:w w:val="79"/>
                      <w:sz w:val="20"/>
                      <w:szCs w:val="20"/>
                    </w:rPr>
                    <w:t>–</w:t>
                  </w:r>
                  <w:r>
                    <w:rPr>
                      <w:rFonts w:eastAsia="楷体_GB2312" w:cs="Calibri"/>
                      <w:b/>
                      <w:w w:val="79"/>
                      <w:sz w:val="20"/>
                      <w:szCs w:val="20"/>
                    </w:rPr>
                    <w:t xml:space="preserve"> KOSPI, Taiwan </w:t>
                  </w:r>
                  <w:r>
                    <w:rPr>
                      <w:rFonts w:eastAsia="微软雅黑" w:cs="Calibri"/>
                      <w:b/>
                      <w:w w:val="79"/>
                      <w:sz w:val="20"/>
                      <w:szCs w:val="20"/>
                    </w:rPr>
                    <w:t>–</w:t>
                  </w:r>
                  <w:r>
                    <w:rPr>
                      <w:rFonts w:eastAsia="楷体_GB2312" w:cs="Calibri"/>
                      <w:b/>
                      <w:w w:val="79"/>
                      <w:sz w:val="20"/>
                      <w:szCs w:val="20"/>
                    </w:rPr>
                    <w:t xml:space="preserve"> TAIEX, India </w:t>
                  </w:r>
                  <w:r>
                    <w:rPr>
                      <w:rFonts w:eastAsia="微软雅黑" w:cs="Calibri"/>
                      <w:b/>
                      <w:w w:val="79"/>
                      <w:sz w:val="20"/>
                      <w:szCs w:val="20"/>
                    </w:rPr>
                    <w:t>–</w:t>
                  </w:r>
                  <w:r>
                    <w:rPr>
                      <w:rFonts w:eastAsia="楷体_GB2312" w:cs="Calibri"/>
                      <w:b/>
                      <w:w w:val="79"/>
                      <w:sz w:val="20"/>
                      <w:szCs w:val="20"/>
                    </w:rPr>
                    <w:t xml:space="preserve"> Nifty100, US </w:t>
                  </w:r>
                  <w:r>
                    <w:rPr>
                      <w:rFonts w:eastAsia="微软雅黑" w:cs="Calibri"/>
                      <w:b/>
                      <w:w w:val="79"/>
                      <w:sz w:val="20"/>
                      <w:szCs w:val="20"/>
                    </w:rPr>
                    <w:t>–</w:t>
                  </w:r>
                  <w:r>
                    <w:rPr>
                      <w:rFonts w:eastAsia="楷体_GB2312" w:cs="Calibri"/>
                      <w:b/>
                      <w:w w:val="79"/>
                      <w:sz w:val="20"/>
                      <w:szCs w:val="20"/>
                    </w:rPr>
                    <w:t xml:space="preserve"> SP500; for all other China-concept stocks </w:t>
                  </w:r>
                  <w:r>
                    <w:rPr>
                      <w:rFonts w:eastAsia="微软雅黑" w:cs="Calibri"/>
                      <w:b/>
                      <w:w w:val="79"/>
                      <w:sz w:val="20"/>
                      <w:szCs w:val="20"/>
                    </w:rPr>
                    <w:t>–</w:t>
                  </w:r>
                  <w:r>
                    <w:rPr>
                      <w:rFonts w:eastAsia="楷体_GB2312" w:cs="Calibri"/>
                      <w:b/>
                      <w:w w:val="79"/>
                      <w:sz w:val="20"/>
                      <w:szCs w:val="20"/>
                    </w:rPr>
                    <w:t xml:space="preserve"> MSCI China.</w:t>
                  </w:r>
                </w:p>
                <w:p>
                  <w:pPr>
                    <w:pStyle w:val="71"/>
                    <w:rPr>
                      <w:rFonts w:eastAsia="楷体_GB2312" w:cs="Calibri"/>
                      <w:w w:val="70"/>
                      <w:sz w:val="20"/>
                      <w:szCs w:val="20"/>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_GB2312" w:cs="Calibri"/>
                      <w:w w:val="70"/>
                      <w:sz w:val="20"/>
                      <w:szCs w:val="20"/>
                    </w:rPr>
                  </w:pPr>
                  <w:r>
                    <w:rPr>
                      <w:rFonts w:hint="eastAsia" w:eastAsia="楷体_GB2312" w:cs="Calibri"/>
                      <w:b/>
                      <w:w w:val="70"/>
                      <w:sz w:val="20"/>
                      <w:szCs w:val="20"/>
                      <w:lang w:eastAsia="zh-CN"/>
                    </w:rPr>
                    <w:t>华福</w:t>
                  </w:r>
                  <w:r>
                    <w:rPr>
                      <w:rFonts w:eastAsia="楷体_GB2312" w:cs="Calibri"/>
                      <w:b/>
                      <w:w w:val="70"/>
                      <w:sz w:val="20"/>
                      <w:szCs w:val="20"/>
                    </w:rPr>
                    <w:t>国际非评级研究：</w:t>
                  </w:r>
                  <w:r>
                    <w:rPr>
                      <w:rFonts w:hint="eastAsia" w:eastAsia="楷体_GB2312" w:cs="Calibri"/>
                      <w:bCs/>
                      <w:w w:val="70"/>
                      <w:sz w:val="20"/>
                      <w:szCs w:val="20"/>
                      <w:lang w:eastAsia="zh-CN"/>
                    </w:rPr>
                    <w:t>华福</w:t>
                  </w:r>
                  <w:r>
                    <w:rPr>
                      <w:rFonts w:eastAsia="楷体_GB2312" w:cs="Calibri"/>
                      <w:w w:val="70"/>
                      <w:sz w:val="20"/>
                      <w:szCs w:val="20"/>
                    </w:rPr>
                    <w:t>国际发布</w:t>
                  </w:r>
                  <w:r>
                    <w:rPr>
                      <w:rFonts w:eastAsia="楷体_GB2312" w:cs="Calibri"/>
                      <w:w w:val="70"/>
                      <w:sz w:val="20"/>
                      <w:szCs w:val="20"/>
                      <w:lang w:eastAsia="zh-CN"/>
                    </w:rPr>
                    <w:t>计</w:t>
                  </w:r>
                  <w:r>
                    <w:rPr>
                      <w:rFonts w:eastAsia="楷体_GB2312" w:cs="Calibri"/>
                      <w:w w:val="70"/>
                      <w:sz w:val="20"/>
                      <w:szCs w:val="20"/>
                    </w:rPr>
                    <w:t>量、筛选或短篇报告，并在报告中根据估值和其他指标对股票进行排名，或者基于可能的估值倍数提出建议价格。这种排名或建议价格并非为了进行股票评级、提出目标价格或进行基本面估值，而仅供参考使用。</w:t>
                  </w:r>
                </w:p>
                <w:p>
                  <w:pPr>
                    <w:pStyle w:val="71"/>
                    <w:rPr>
                      <w:rFonts w:eastAsia="楷体_GB2312" w:cs="Calibri"/>
                      <w:w w:val="70"/>
                      <w:sz w:val="20"/>
                      <w:szCs w:val="20"/>
                      <w:lang w:eastAsia="zh-CN"/>
                    </w:rPr>
                  </w:pPr>
                  <w:r>
                    <w:rPr>
                      <w:rFonts w:hint="eastAsia" w:eastAsia="楷体_GB2312" w:cs="Calibri"/>
                      <w:b/>
                      <w:w w:val="70"/>
                      <w:sz w:val="20"/>
                      <w:szCs w:val="20"/>
                      <w:lang w:eastAsia="zh-CN"/>
                    </w:rPr>
                    <w:t>HuaFu</w:t>
                  </w:r>
                  <w:r>
                    <w:rPr>
                      <w:rFonts w:eastAsia="楷体_GB2312" w:cs="Calibri"/>
                      <w:b/>
                      <w:w w:val="70"/>
                      <w:sz w:val="20"/>
                      <w:szCs w:val="20"/>
                    </w:rPr>
                    <w:t xml:space="preserve"> International Non-Rated Research</w:t>
                  </w:r>
                  <w:r>
                    <w:rPr>
                      <w:rFonts w:eastAsia="楷体_GB2312" w:cs="Calibri"/>
                      <w:b/>
                      <w:bCs/>
                      <w:w w:val="70"/>
                      <w:sz w:val="20"/>
                      <w:szCs w:val="20"/>
                    </w:rPr>
                    <w:t>:</w:t>
                  </w:r>
                  <w:r>
                    <w:rPr>
                      <w:rFonts w:eastAsia="楷体_GB2312" w:cs="Calibri"/>
                      <w:w w:val="70"/>
                      <w:sz w:val="20"/>
                      <w:szCs w:val="20"/>
                    </w:rPr>
                    <w:t xml:space="preserve">  </w:t>
                  </w:r>
                  <w:r>
                    <w:rPr>
                      <w:rFonts w:hint="eastAsia" w:eastAsia="楷体_GB2312" w:cs="Calibri"/>
                      <w:w w:val="70"/>
                      <w:sz w:val="20"/>
                      <w:szCs w:val="20"/>
                      <w:lang w:eastAsia="zh-CN"/>
                    </w:rPr>
                    <w:t>HuaFu</w:t>
                  </w:r>
                  <w:r>
                    <w:rPr>
                      <w:rFonts w:eastAsia="楷体_GB2312" w:cs="Calibri"/>
                      <w:w w:val="70"/>
                      <w:sz w:val="20"/>
                      <w:szCs w:val="20"/>
                    </w:rPr>
                    <w:t xml:space="preserve"> International publishes quantitative, screening or short reports which may rank stocks according to valuation and other metrics or may suggest prices based on possible valuation multiples. Such rankings or suggested prices do not purport to be stock ratings or target prices or fundamental values and are for information only.</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_GB2312" w:cs="Calibri"/>
                      <w:w w:val="70"/>
                      <w:sz w:val="20"/>
                      <w:szCs w:val="20"/>
                      <w:lang w:eastAsia="zh-CN"/>
                    </w:rPr>
                  </w:pPr>
                  <w:r>
                    <w:rPr>
                      <w:rFonts w:hint="eastAsia" w:eastAsia="楷体_GB2312" w:cs="Calibri"/>
                      <w:b/>
                      <w:w w:val="70"/>
                      <w:sz w:val="20"/>
                      <w:szCs w:val="20"/>
                      <w:lang w:eastAsia="zh-CN"/>
                    </w:rPr>
                    <w:t>华福</w:t>
                  </w:r>
                  <w:r>
                    <w:rPr>
                      <w:rFonts w:eastAsia="楷体_GB2312" w:cs="Calibri"/>
                      <w:b/>
                      <w:w w:val="70"/>
                      <w:sz w:val="20"/>
                      <w:szCs w:val="20"/>
                    </w:rPr>
                    <w:t>国际</w:t>
                  </w:r>
                  <w:r>
                    <w:rPr>
                      <w:rFonts w:eastAsia="楷体_GB2312" w:cs="Calibri"/>
                      <w:b/>
                      <w:w w:val="70"/>
                      <w:sz w:val="20"/>
                      <w:szCs w:val="20"/>
                      <w:lang w:eastAsia="zh-CN"/>
                    </w:rPr>
                    <w:t>A股覆盖</w:t>
                  </w:r>
                  <w:r>
                    <w:rPr>
                      <w:rFonts w:eastAsia="楷体_GB2312" w:cs="Calibri"/>
                      <w:b/>
                      <w:w w:val="70"/>
                      <w:sz w:val="20"/>
                      <w:szCs w:val="20"/>
                    </w:rPr>
                    <w:t>：</w:t>
                  </w:r>
                  <w:r>
                    <w:rPr>
                      <w:rFonts w:hint="eastAsia" w:eastAsia="楷体_GB2312" w:cs="Calibri"/>
                      <w:bCs/>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可能会就中国A股进行覆盖及评级。</w:t>
                  </w:r>
                  <w:r>
                    <w:rPr>
                      <w:rFonts w:hint="eastAsia" w:eastAsia="楷体_GB2312" w:cs="Calibri"/>
                      <w:w w:val="70"/>
                      <w:sz w:val="20"/>
                      <w:szCs w:val="20"/>
                      <w:lang w:eastAsia="zh-CN"/>
                    </w:rPr>
                    <w:t>华福</w:t>
                  </w:r>
                  <w:r>
                    <w:rPr>
                      <w:rFonts w:eastAsia="楷体_GB2312" w:cs="Calibri"/>
                      <w:w w:val="70"/>
                      <w:sz w:val="20"/>
                      <w:szCs w:val="20"/>
                      <w:lang w:eastAsia="zh-CN"/>
                    </w:rPr>
                    <w:t>证券，</w:t>
                  </w:r>
                  <w:r>
                    <w:rPr>
                      <w:rFonts w:hint="eastAsia" w:eastAsia="楷体_GB2312" w:cs="Calibri"/>
                      <w:w w:val="70"/>
                      <w:sz w:val="20"/>
                      <w:szCs w:val="20"/>
                      <w:lang w:eastAsia="zh-CN"/>
                    </w:rPr>
                    <w:t>华福</w:t>
                  </w:r>
                  <w:r>
                    <w:rPr>
                      <w:rFonts w:eastAsia="楷体_GB2312" w:cs="Calibri"/>
                      <w:w w:val="70"/>
                      <w:sz w:val="20"/>
                      <w:szCs w:val="20"/>
                      <w:lang w:eastAsia="zh-CN"/>
                    </w:rPr>
                    <w:t>国际于</w:t>
                  </w:r>
                  <w:r>
                    <w:rPr>
                      <w:rFonts w:hint="eastAsia" w:eastAsia="楷体_GB2312" w:cs="Calibri"/>
                      <w:w w:val="70"/>
                      <w:sz w:val="20"/>
                      <w:szCs w:val="20"/>
                      <w:lang w:eastAsia="zh-CN"/>
                    </w:rPr>
                    <w:t>福州</w:t>
                  </w:r>
                  <w:r>
                    <w:rPr>
                      <w:rFonts w:eastAsia="楷体_GB2312" w:cs="Calibri"/>
                      <w:w w:val="70"/>
                      <w:sz w:val="20"/>
                      <w:szCs w:val="20"/>
                      <w:lang w:eastAsia="zh-CN"/>
                    </w:rPr>
                    <w:t>的母公司，也会于中国发布中国A股的研究报告。但是，</w:t>
                  </w:r>
                  <w:r>
                    <w:rPr>
                      <w:rFonts w:hint="eastAsia"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使用与</w:t>
                  </w:r>
                  <w:r>
                    <w:rPr>
                      <w:rFonts w:hint="eastAsia" w:eastAsia="楷体_GB2312" w:cs="Calibri"/>
                      <w:w w:val="70"/>
                      <w:sz w:val="20"/>
                      <w:szCs w:val="20"/>
                      <w:lang w:eastAsia="zh-CN"/>
                    </w:rPr>
                    <w:t>华福</w:t>
                  </w:r>
                  <w:r>
                    <w:rPr>
                      <w:rFonts w:eastAsia="楷体_GB2312" w:cs="Calibri"/>
                      <w:w w:val="70"/>
                      <w:sz w:val="20"/>
                      <w:szCs w:val="20"/>
                      <w:lang w:eastAsia="zh-CN"/>
                    </w:rPr>
                    <w:t>证券不同的评级系统，</w:t>
                  </w:r>
                  <w:r>
                    <w:rPr>
                      <w:rFonts w:hint="eastAsia" w:eastAsia="楷体_GB2312" w:cs="Calibri"/>
                      <w:w w:val="70"/>
                      <w:sz w:val="20"/>
                      <w:szCs w:val="20"/>
                      <w:lang w:eastAsia="zh-CN"/>
                    </w:rPr>
                    <w:t>且可能有完全独立的不同研究覆盖团队，</w:t>
                  </w:r>
                  <w:r>
                    <w:rPr>
                      <w:rFonts w:eastAsia="楷体_GB2312" w:cs="Calibri"/>
                      <w:w w:val="70"/>
                      <w:sz w:val="20"/>
                      <w:szCs w:val="20"/>
                      <w:lang w:eastAsia="zh-CN"/>
                    </w:rPr>
                    <w:t>所以</w:t>
                  </w:r>
                  <w:r>
                    <w:rPr>
                      <w:rFonts w:hint="eastAsia"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与</w:t>
                  </w:r>
                  <w:r>
                    <w:rPr>
                      <w:rFonts w:hint="eastAsia" w:eastAsia="楷体_GB2312" w:cs="Calibri"/>
                      <w:w w:val="70"/>
                      <w:sz w:val="20"/>
                      <w:szCs w:val="20"/>
                      <w:lang w:eastAsia="zh-CN"/>
                    </w:rPr>
                    <w:t>华福</w:t>
                  </w:r>
                  <w:r>
                    <w:rPr>
                      <w:rFonts w:eastAsia="楷体_GB2312" w:cs="Calibri"/>
                      <w:w w:val="70"/>
                      <w:sz w:val="20"/>
                      <w:szCs w:val="20"/>
                      <w:lang w:eastAsia="zh-CN"/>
                    </w:rPr>
                    <w:t>证券的中国A股评级</w:t>
                  </w:r>
                  <w:r>
                    <w:rPr>
                      <w:rFonts w:hint="eastAsia" w:eastAsia="楷体_GB2312" w:cs="Calibri"/>
                      <w:w w:val="70"/>
                      <w:sz w:val="20"/>
                      <w:szCs w:val="20"/>
                      <w:lang w:eastAsia="zh-CN"/>
                    </w:rPr>
                    <w:t>、目标价乃至分析逻辑</w:t>
                  </w:r>
                  <w:r>
                    <w:rPr>
                      <w:rFonts w:eastAsia="楷体_GB2312" w:cs="Calibri"/>
                      <w:w w:val="70"/>
                      <w:sz w:val="20"/>
                      <w:szCs w:val="20"/>
                      <w:lang w:eastAsia="zh-CN"/>
                    </w:rPr>
                    <w:t>可能有所不同。</w:t>
                  </w:r>
                </w:p>
                <w:p>
                  <w:pPr>
                    <w:pStyle w:val="71"/>
                    <w:rPr>
                      <w:rFonts w:eastAsia="楷体_GB2312" w:cs="Calibri"/>
                      <w:w w:val="70"/>
                      <w:sz w:val="20"/>
                      <w:szCs w:val="20"/>
                    </w:rPr>
                  </w:pPr>
                  <w:r>
                    <w:rPr>
                      <w:rFonts w:hint="eastAsia" w:eastAsia="楷体_GB2312" w:cs="Calibri"/>
                      <w:b/>
                      <w:w w:val="70"/>
                      <w:sz w:val="20"/>
                      <w:szCs w:val="20"/>
                      <w:lang w:eastAsia="zh-CN"/>
                    </w:rPr>
                    <w:t>HuaFu</w:t>
                  </w:r>
                  <w:r>
                    <w:rPr>
                      <w:rFonts w:eastAsia="楷体_GB2312" w:cs="Calibri"/>
                      <w:b/>
                      <w:w w:val="70"/>
                      <w:sz w:val="20"/>
                      <w:szCs w:val="20"/>
                    </w:rPr>
                    <w:t xml:space="preserve"> International Coverage of A-Shares</w:t>
                  </w:r>
                  <w:r>
                    <w:rPr>
                      <w:rFonts w:eastAsia="楷体_GB2312" w:cs="Calibri"/>
                      <w:b/>
                      <w:bCs/>
                      <w:w w:val="70"/>
                      <w:sz w:val="20"/>
                      <w:szCs w:val="20"/>
                    </w:rPr>
                    <w:t>:</w:t>
                  </w:r>
                  <w:r>
                    <w:rPr>
                      <w:rFonts w:eastAsia="楷体_GB2312" w:cs="Calibri"/>
                      <w:w w:val="70"/>
                      <w:sz w:val="20"/>
                      <w:szCs w:val="20"/>
                    </w:rPr>
                    <w:t xml:space="preserve">  </w:t>
                  </w:r>
                  <w:r>
                    <w:rPr>
                      <w:rFonts w:hint="eastAsia" w:eastAsia="楷体_GB2312" w:cs="Calibri"/>
                      <w:w w:val="70"/>
                      <w:sz w:val="20"/>
                      <w:szCs w:val="20"/>
                      <w:lang w:eastAsia="zh-CN"/>
                    </w:rPr>
                    <w:t>HuaFu</w:t>
                  </w:r>
                  <w:r>
                    <w:rPr>
                      <w:rFonts w:eastAsia="楷体_GB2312" w:cs="Calibri"/>
                      <w:w w:val="70"/>
                      <w:sz w:val="20"/>
                      <w:szCs w:val="20"/>
                    </w:rPr>
                    <w:t xml:space="preserve"> International may cover and rate A-Shares . </w:t>
                  </w:r>
                  <w:r>
                    <w:rPr>
                      <w:rFonts w:hint="eastAsia" w:eastAsia="楷体_GB2312" w:cs="Calibri"/>
                      <w:w w:val="70"/>
                      <w:sz w:val="20"/>
                      <w:szCs w:val="20"/>
                      <w:lang w:eastAsia="zh-CN"/>
                    </w:rPr>
                    <w:t>HuaFu</w:t>
                  </w:r>
                  <w:r>
                    <w:rPr>
                      <w:rFonts w:eastAsia="楷体_GB2312" w:cs="Calibri"/>
                      <w:w w:val="70"/>
                      <w:sz w:val="20"/>
                      <w:szCs w:val="20"/>
                    </w:rPr>
                    <w:t xml:space="preserve"> Securities, the ultimate parent company of </w:t>
                  </w:r>
                  <w:r>
                    <w:rPr>
                      <w:rFonts w:hint="eastAsia" w:eastAsia="楷体_GB2312" w:cs="Calibri"/>
                      <w:w w:val="70"/>
                      <w:sz w:val="20"/>
                      <w:szCs w:val="20"/>
                      <w:lang w:eastAsia="zh-CN"/>
                    </w:rPr>
                    <w:t>HuaFu International</w:t>
                  </w:r>
                  <w:r>
                    <w:rPr>
                      <w:rFonts w:eastAsia="楷体_GB2312" w:cs="Calibri"/>
                      <w:w w:val="70"/>
                      <w:sz w:val="20"/>
                      <w:szCs w:val="20"/>
                    </w:rPr>
                    <w:t xml:space="preserve"> based in </w:t>
                  </w:r>
                  <w:r>
                    <w:rPr>
                      <w:rFonts w:hint="eastAsia" w:eastAsia="楷体_GB2312" w:cs="Calibri"/>
                      <w:w w:val="70"/>
                      <w:sz w:val="20"/>
                      <w:szCs w:val="20"/>
                      <w:lang w:eastAsia="zh-CN"/>
                    </w:rPr>
                    <w:t>FuZhou</w:t>
                  </w:r>
                  <w:r>
                    <w:rPr>
                      <w:rFonts w:eastAsia="楷体_GB2312" w:cs="Calibri"/>
                      <w:w w:val="70"/>
                      <w:sz w:val="20"/>
                      <w:szCs w:val="20"/>
                    </w:rPr>
                    <w:t>, covers and publishes research on these same A-Shares for distribution in mainland China. However, the rating system employed by H</w:t>
                  </w:r>
                  <w:r>
                    <w:rPr>
                      <w:rFonts w:hint="eastAsia" w:eastAsia="楷体_GB2312" w:cs="Calibri"/>
                      <w:w w:val="70"/>
                      <w:sz w:val="20"/>
                      <w:szCs w:val="20"/>
                      <w:lang w:eastAsia="zh-CN"/>
                    </w:rPr>
                    <w:t>uaFu International</w:t>
                  </w:r>
                  <w:r>
                    <w:rPr>
                      <w:rFonts w:eastAsia="楷体_GB2312" w:cs="Calibri"/>
                      <w:w w:val="70"/>
                      <w:sz w:val="20"/>
                      <w:szCs w:val="20"/>
                    </w:rPr>
                    <w:t xml:space="preserve"> differs from that used by </w:t>
                  </w:r>
                  <w:r>
                    <w:rPr>
                      <w:rFonts w:hint="eastAsia" w:eastAsia="楷体_GB2312" w:cs="Calibri"/>
                      <w:w w:val="70"/>
                      <w:sz w:val="20"/>
                      <w:szCs w:val="20"/>
                      <w:lang w:eastAsia="zh-CN"/>
                    </w:rPr>
                    <w:t>HuaFu Securites</w:t>
                  </w:r>
                  <w:r>
                    <w:rPr>
                      <w:rFonts w:eastAsia="楷体_GB2312" w:cs="Calibri"/>
                      <w:w w:val="70"/>
                      <w:sz w:val="20"/>
                      <w:szCs w:val="20"/>
                    </w:rPr>
                    <w:t xml:space="preserve"> and </w:t>
                  </w:r>
                  <w:r>
                    <w:rPr>
                      <w:rFonts w:hint="eastAsia" w:eastAsia="楷体_GB2312" w:cs="Calibri"/>
                      <w:w w:val="70"/>
                      <w:sz w:val="20"/>
                      <w:szCs w:val="20"/>
                      <w:lang w:eastAsia="zh-CN"/>
                    </w:rPr>
                    <w:t xml:space="preserve">even the teams covering the same A-share stocks might be totally independently different, </w:t>
                  </w:r>
                  <w:r>
                    <w:rPr>
                      <w:rFonts w:eastAsia="楷体_GB2312" w:cs="Calibri"/>
                      <w:w w:val="70"/>
                      <w:sz w:val="20"/>
                      <w:szCs w:val="20"/>
                    </w:rPr>
                    <w:t xml:space="preserve">as a result there may be a difference in </w:t>
                  </w:r>
                  <w:r>
                    <w:rPr>
                      <w:rFonts w:hint="eastAsia" w:eastAsia="楷体_GB2312" w:cs="Calibri"/>
                      <w:w w:val="70"/>
                      <w:sz w:val="20"/>
                      <w:szCs w:val="20"/>
                      <w:lang w:eastAsia="zh-CN"/>
                    </w:rPr>
                    <w:t>their coverage</w:t>
                  </w:r>
                  <w:r>
                    <w:rPr>
                      <w:rFonts w:eastAsia="楷体_GB2312" w:cs="Calibri"/>
                      <w:w w:val="70"/>
                      <w:sz w:val="20"/>
                      <w:szCs w:val="20"/>
                    </w:rPr>
                    <w:t xml:space="preserve"> ratings</w:t>
                  </w:r>
                  <w:r>
                    <w:rPr>
                      <w:rFonts w:hint="eastAsia" w:eastAsia="楷体_GB2312" w:cs="Calibri"/>
                      <w:w w:val="70"/>
                      <w:sz w:val="20"/>
                      <w:szCs w:val="20"/>
                      <w:lang w:eastAsia="zh-CN"/>
                    </w:rPr>
                    <w:t>, target prices</w:t>
                  </w:r>
                  <w:r>
                    <w:rPr>
                      <w:rFonts w:eastAsia="楷体_GB2312" w:cs="Calibri"/>
                      <w:w w:val="70"/>
                      <w:sz w:val="20"/>
                      <w:szCs w:val="20"/>
                    </w:rPr>
                    <w:t xml:space="preserve"> </w:t>
                  </w:r>
                  <w:r>
                    <w:rPr>
                      <w:rFonts w:hint="eastAsia" w:eastAsia="楷体_GB2312" w:cs="Calibri"/>
                      <w:w w:val="70"/>
                      <w:sz w:val="20"/>
                      <w:szCs w:val="20"/>
                      <w:lang w:eastAsia="zh-CN"/>
                    </w:rPr>
                    <w:t xml:space="preserve">and research logics </w:t>
                  </w:r>
                  <w:r>
                    <w:rPr>
                      <w:rFonts w:eastAsia="楷体_GB2312" w:cs="Calibri"/>
                      <w:w w:val="70"/>
                      <w:sz w:val="20"/>
                      <w:szCs w:val="20"/>
                    </w:rPr>
                    <w:t>for the same A-share stocks.</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rPr>
                      <w:rFonts w:eastAsia="楷体_GB2312" w:cs="Calibri"/>
                      <w:w w:val="7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_GB2312" w:cs="Calibri"/>
                      <w:b/>
                      <w:w w:val="70"/>
                      <w:sz w:val="20"/>
                      <w:szCs w:val="20"/>
                    </w:rPr>
                  </w:pPr>
                  <w:r>
                    <w:rPr>
                      <w:rFonts w:eastAsia="楷体_GB2312" w:cs="Calibri"/>
                      <w:b/>
                      <w:w w:val="70"/>
                      <w:sz w:val="20"/>
                      <w:szCs w:val="20"/>
                    </w:rPr>
                    <w:t>重要免责声明：</w:t>
                  </w:r>
                </w:p>
                <w:p>
                  <w:pPr>
                    <w:pStyle w:val="71"/>
                    <w:spacing w:after="60"/>
                    <w:rPr>
                      <w:rFonts w:eastAsia="楷体_GB2312" w:cs="Calibri"/>
                      <w:w w:val="70"/>
                      <w:sz w:val="20"/>
                      <w:szCs w:val="20"/>
                    </w:rPr>
                  </w:pPr>
                  <w:r>
                    <w:rPr>
                      <w:rFonts w:eastAsia="楷体_GB2312" w:cs="Calibri"/>
                      <w:w w:val="70"/>
                      <w:sz w:val="20"/>
                      <w:szCs w:val="20"/>
                    </w:rPr>
                    <w:t>本报告由</w:t>
                  </w:r>
                  <w:r>
                    <w:rPr>
                      <w:rFonts w:hint="eastAsia" w:eastAsia="楷体_GB2312" w:cs="Calibri"/>
                      <w:w w:val="70"/>
                      <w:sz w:val="20"/>
                      <w:szCs w:val="20"/>
                      <w:lang w:eastAsia="zh-CN"/>
                    </w:rPr>
                    <w:t>华福</w:t>
                  </w:r>
                  <w:r>
                    <w:rPr>
                      <w:rFonts w:eastAsia="楷体_GB2312" w:cs="Calibri"/>
                      <w:w w:val="70"/>
                      <w:sz w:val="20"/>
                      <w:szCs w:val="20"/>
                    </w:rPr>
                    <w:t>国际发行，该公司</w:t>
                  </w:r>
                  <w:r>
                    <w:rPr>
                      <w:rFonts w:eastAsia="楷体_GB2312" w:cs="Calibri"/>
                      <w:w w:val="70"/>
                      <w:sz w:val="20"/>
                      <w:szCs w:val="20"/>
                      <w:lang w:eastAsia="zh-CN"/>
                    </w:rPr>
                    <w:t>是根据</w:t>
                  </w:r>
                  <w:r>
                    <w:rPr>
                      <w:rFonts w:eastAsia="楷体_GB2312" w:cs="Calibri"/>
                      <w:w w:val="70"/>
                      <w:sz w:val="20"/>
                      <w:szCs w:val="20"/>
                    </w:rPr>
                    <w:t>香港证券及期货条例（第</w:t>
                  </w:r>
                  <w:r>
                    <w:rPr>
                      <w:rFonts w:eastAsia="楷体_GB2312" w:cs="Calibri"/>
                      <w:w w:val="70"/>
                      <w:sz w:val="20"/>
                      <w:szCs w:val="20"/>
                      <w:lang w:eastAsia="zh-CN"/>
                    </w:rPr>
                    <w:t>571</w:t>
                  </w:r>
                  <w:r>
                    <w:rPr>
                      <w:rFonts w:eastAsia="楷体_GB2312" w:cs="Calibri"/>
                      <w:w w:val="70"/>
                      <w:sz w:val="20"/>
                      <w:szCs w:val="20"/>
                    </w:rPr>
                    <w:t>章）</w:t>
                  </w:r>
                  <w:r>
                    <w:rPr>
                      <w:rFonts w:eastAsia="楷体_GB2312" w:cs="Calibri"/>
                      <w:w w:val="70"/>
                      <w:sz w:val="20"/>
                      <w:szCs w:val="20"/>
                      <w:lang w:eastAsia="zh-CN"/>
                    </w:rPr>
                    <w:t>持有</w:t>
                  </w:r>
                  <w:r>
                    <w:rPr>
                      <w:rFonts w:eastAsia="楷体_GB2312" w:cs="Calibri"/>
                      <w:w w:val="70"/>
                      <w:sz w:val="20"/>
                      <w:szCs w:val="20"/>
                    </w:rPr>
                    <w:t>第</w:t>
                  </w:r>
                  <w:r>
                    <w:rPr>
                      <w:rFonts w:eastAsia="楷体_GB2312" w:cs="Calibri"/>
                      <w:w w:val="70"/>
                      <w:sz w:val="20"/>
                      <w:szCs w:val="20"/>
                      <w:lang w:eastAsia="zh-CN"/>
                    </w:rPr>
                    <w:t>4</w:t>
                  </w:r>
                  <w:r>
                    <w:rPr>
                      <w:rFonts w:eastAsia="楷体_GB2312" w:cs="Calibri"/>
                      <w:w w:val="70"/>
                      <w:sz w:val="20"/>
                      <w:szCs w:val="20"/>
                    </w:rPr>
                    <w:t>类受规管活动（就证券提供意见）的持牌法团。</w:t>
                  </w:r>
                </w:p>
                <w:p>
                  <w:pPr>
                    <w:pStyle w:val="71"/>
                    <w:spacing w:after="60"/>
                    <w:rPr>
                      <w:rFonts w:eastAsia="楷体_GB2312" w:cs="Calibri"/>
                      <w:w w:val="70"/>
                      <w:sz w:val="20"/>
                      <w:szCs w:val="20"/>
                    </w:rPr>
                  </w:pPr>
                  <w:r>
                    <w:rPr>
                      <w:rFonts w:eastAsia="楷体_GB2312" w:cs="Calibri"/>
                      <w:w w:val="70"/>
                      <w:sz w:val="20"/>
                      <w:szCs w:val="20"/>
                    </w:rPr>
                    <w:t>本文件所载信息和观点已被编译或源自可靠来源，但</w:t>
                  </w:r>
                  <w:r>
                    <w:rPr>
                      <w:rFonts w:hint="eastAsia" w:eastAsia="楷体_GB2312" w:cs="Calibri"/>
                      <w:w w:val="70"/>
                      <w:sz w:val="20"/>
                      <w:szCs w:val="20"/>
                      <w:lang w:eastAsia="zh-CN"/>
                    </w:rPr>
                    <w:t>华福国际</w:t>
                  </w:r>
                  <w:r>
                    <w:rPr>
                      <w:rFonts w:eastAsia="楷体_GB2312" w:cs="Calibri"/>
                      <w:w w:val="70"/>
                      <w:sz w:val="20"/>
                      <w:szCs w:val="20"/>
                    </w:rPr>
                    <w:t>或任何其他属于</w:t>
                  </w:r>
                  <w:r>
                    <w:rPr>
                      <w:rFonts w:hint="eastAsia" w:eastAsia="楷体_GB2312" w:cs="Calibri"/>
                      <w:w w:val="70"/>
                      <w:sz w:val="20"/>
                      <w:szCs w:val="20"/>
                      <w:lang w:eastAsia="zh-CN"/>
                    </w:rPr>
                    <w:t>华福</w:t>
                  </w:r>
                  <w:r>
                    <w:rPr>
                      <w:rFonts w:eastAsia="楷体_GB2312" w:cs="Calibri"/>
                      <w:w w:val="70"/>
                      <w:sz w:val="20"/>
                      <w:szCs w:val="20"/>
                    </w:rPr>
                    <w:t>国际的成员对其准确性、完整性和正确性不做任何明示或暗示的声明或保证。本文件中所有观点均截至本报告日期，如有更改，恕不另行通知。本文件仅供参考使用。文件中提及的任何公司或其股票的说明并非意图展示完整的内容，本文件并非</w:t>
                  </w:r>
                  <w:r>
                    <w:rPr>
                      <w:rFonts w:eastAsia="楷体_GB2312" w:cs="Calibri"/>
                      <w:w w:val="70"/>
                      <w:sz w:val="20"/>
                      <w:szCs w:val="20"/>
                      <w:lang w:eastAsia="zh-CN"/>
                    </w:rPr>
                    <w:t>/</w:t>
                  </w:r>
                  <w:r>
                    <w:rPr>
                      <w:rFonts w:eastAsia="楷体_GB2312" w:cs="Calibri"/>
                      <w:w w:val="70"/>
                      <w:sz w:val="20"/>
                      <w:szCs w:val="20"/>
                    </w:rPr>
                    <w:t>不应被解释为对证券买卖的明示或暗示地出价或征价。在某些司法管辖区，本文件中提及的证券可能无法进行买卖。如果投资产品以投资者本国货币以外的币种进行计价，则汇率变化可能会对投资产生不利影响。过去的表现并不一定代表将来的结果。某些特定交易，包括设计金融衍生工具的，有产生重大风险的可能性，因此并不适合所有的投资者。您还应认识到本文件中的建议并非为您量身定制。分析师并未考虑到您自身的财务情况，如您的财务状况和风险偏好。因此您必须自行分析并在适用的情况下咨询自己的法律、税收、会计、金融和其他方面的专业顾问，以期在投资之前评估该项建议是否适合于您。若由于使用本文件所载的材料而产生任何直接或间接的损失，</w:t>
                  </w:r>
                  <w:r>
                    <w:rPr>
                      <w:rFonts w:hint="eastAsia" w:eastAsia="楷体_GB2312" w:cs="Calibri"/>
                      <w:w w:val="70"/>
                      <w:sz w:val="20"/>
                      <w:szCs w:val="20"/>
                      <w:lang w:eastAsia="zh-CN"/>
                    </w:rPr>
                    <w:t>华福国际</w:t>
                  </w:r>
                  <w:r>
                    <w:rPr>
                      <w:rFonts w:eastAsia="楷体_GB2312" w:cs="Calibri"/>
                      <w:w w:val="70"/>
                      <w:sz w:val="20"/>
                      <w:szCs w:val="20"/>
                    </w:rPr>
                    <w:t xml:space="preserve">及其董事、雇员或代理人对此均不承担任何责任。 </w:t>
                  </w:r>
                </w:p>
                <w:p>
                  <w:pPr>
                    <w:pStyle w:val="71"/>
                    <w:spacing w:after="60"/>
                    <w:rPr>
                      <w:rFonts w:eastAsia="楷体_GB2312" w:cs="Calibri"/>
                      <w:w w:val="70"/>
                      <w:sz w:val="20"/>
                      <w:szCs w:val="20"/>
                    </w:rPr>
                  </w:pPr>
                  <w:r>
                    <w:rPr>
                      <w:rFonts w:eastAsia="楷体_GB2312" w:cs="Calibri"/>
                      <w:w w:val="70"/>
                      <w:sz w:val="20"/>
                      <w:szCs w:val="20"/>
                    </w:rPr>
                    <w:t>除对本文内容承担责任的分析师除外，</w:t>
                  </w:r>
                  <w:r>
                    <w:rPr>
                      <w:rFonts w:hint="eastAsia" w:eastAsia="楷体_GB2312" w:cs="Calibri"/>
                      <w:w w:val="70"/>
                      <w:sz w:val="20"/>
                      <w:szCs w:val="20"/>
                      <w:lang w:eastAsia="zh-CN"/>
                    </w:rPr>
                    <w:t>华福国际</w:t>
                  </w:r>
                  <w:r>
                    <w:rPr>
                      <w:rFonts w:eastAsia="楷体_GB2312" w:cs="Calibri"/>
                      <w:w w:val="70"/>
                      <w:sz w:val="20"/>
                      <w:szCs w:val="20"/>
                    </w:rPr>
                    <w:t>及我们的关联公司、高级管理人员、董事和雇员，均可不时作为</w:t>
                  </w:r>
                  <w:r>
                    <w:rPr>
                      <w:rFonts w:eastAsia="楷体_GB2312" w:cs="Calibri"/>
                      <w:w w:val="70"/>
                      <w:sz w:val="20"/>
                      <w:szCs w:val="20"/>
                      <w:lang w:eastAsia="zh-CN"/>
                    </w:rPr>
                    <w:t>主事人</w:t>
                  </w:r>
                  <w:r>
                    <w:rPr>
                      <w:rFonts w:eastAsia="楷体_GB2312" w:cs="Calibri"/>
                      <w:w w:val="70"/>
                      <w:sz w:val="20"/>
                      <w:szCs w:val="20"/>
                    </w:rPr>
                    <w:t>就本文件所述的任何证券或衍生品持有长仓或短仓以及进行买卖。</w:t>
                  </w:r>
                  <w:r>
                    <w:rPr>
                      <w:rFonts w:hint="eastAsia" w:eastAsia="楷体_GB2312" w:cs="Calibri"/>
                      <w:w w:val="70"/>
                      <w:sz w:val="20"/>
                      <w:szCs w:val="20"/>
                      <w:lang w:eastAsia="zh-CN"/>
                    </w:rPr>
                    <w:t>华福国际</w:t>
                  </w:r>
                  <w:r>
                    <w:rPr>
                      <w:rFonts w:eastAsia="楷体_GB2312" w:cs="Calibri"/>
                      <w:w w:val="70"/>
                      <w:sz w:val="20"/>
                      <w:szCs w:val="20"/>
                    </w:rPr>
                    <w:t>的销售员、交易员和其他专业人士均可向</w:t>
                  </w:r>
                  <w:r>
                    <w:rPr>
                      <w:rFonts w:hint="eastAsia" w:eastAsia="楷体_GB2312" w:cs="Calibri"/>
                      <w:w w:val="70"/>
                      <w:sz w:val="20"/>
                      <w:szCs w:val="20"/>
                      <w:lang w:eastAsia="zh-CN"/>
                    </w:rPr>
                    <w:t>华福国际</w:t>
                  </w:r>
                  <w:r>
                    <w:rPr>
                      <w:rFonts w:eastAsia="楷体_GB2312" w:cs="Calibri"/>
                      <w:w w:val="70"/>
                      <w:sz w:val="20"/>
                      <w:szCs w:val="20"/>
                    </w:rPr>
                    <w:t>的相关客户和公司提供与本文件所述意见相反的口头或书面市场评论意见或交易策略</w:t>
                  </w:r>
                  <w:r>
                    <w:rPr>
                      <w:rFonts w:hint="eastAsia" w:eastAsia="楷体_GB2312" w:cs="Calibri"/>
                      <w:w w:val="70"/>
                      <w:sz w:val="20"/>
                      <w:szCs w:val="20"/>
                      <w:lang w:eastAsia="zh-CN"/>
                    </w:rPr>
                    <w:t>。华福国际</w:t>
                  </w:r>
                  <w:r>
                    <w:rPr>
                      <w:rFonts w:eastAsia="楷体_GB2312" w:cs="Calibri"/>
                      <w:w w:val="70"/>
                      <w:sz w:val="20"/>
                      <w:szCs w:val="20"/>
                    </w:rPr>
                    <w:t>可做出与本文件所述建议或意见不一致的投资决策。但</w:t>
                  </w:r>
                  <w:r>
                    <w:rPr>
                      <w:rFonts w:hint="eastAsia" w:eastAsia="楷体_GB2312" w:cs="Calibri"/>
                      <w:w w:val="70"/>
                      <w:sz w:val="20"/>
                      <w:szCs w:val="20"/>
                      <w:lang w:eastAsia="zh-CN"/>
                    </w:rPr>
                    <w:t>华福国际</w:t>
                  </w:r>
                  <w:r>
                    <w:rPr>
                      <w:rFonts w:eastAsia="楷体_GB2312" w:cs="Calibri"/>
                      <w:w w:val="70"/>
                      <w:sz w:val="20"/>
                      <w:szCs w:val="20"/>
                    </w:rPr>
                    <w:t>没有义务来确保本文件的收件人了解到该等交易</w:t>
                  </w:r>
                  <w:r>
                    <w:rPr>
                      <w:rFonts w:eastAsia="楷体_GB2312" w:cs="Calibri"/>
                      <w:w w:val="70"/>
                      <w:sz w:val="20"/>
                      <w:szCs w:val="20"/>
                      <w:lang w:eastAsia="zh-CN"/>
                    </w:rPr>
                    <w:t>决定、</w:t>
                  </w:r>
                  <w:r>
                    <w:rPr>
                      <w:rFonts w:eastAsia="楷体_GB2312" w:cs="Calibri"/>
                      <w:w w:val="70"/>
                      <w:sz w:val="20"/>
                      <w:szCs w:val="20"/>
                    </w:rPr>
                    <w:t>思路或建议。</w:t>
                  </w:r>
                </w:p>
                <w:p>
                  <w:pPr>
                    <w:pStyle w:val="71"/>
                    <w:spacing w:after="60"/>
                    <w:rPr>
                      <w:rFonts w:eastAsia="楷体_GB2312" w:cs="Calibri"/>
                      <w:snapToGrid/>
                      <w:w w:val="70"/>
                      <w:sz w:val="20"/>
                      <w:szCs w:val="20"/>
                    </w:rPr>
                  </w:pPr>
                  <w:r>
                    <w:rPr>
                      <w:rFonts w:eastAsia="楷体_GB2312" w:cs="Calibri"/>
                      <w:snapToGrid/>
                      <w:w w:val="70"/>
                      <w:sz w:val="20"/>
                      <w:szCs w:val="20"/>
                    </w:rPr>
                    <w:t>请访问</w:t>
                  </w:r>
                  <w:r>
                    <w:rPr>
                      <w:rFonts w:hint="eastAsia" w:eastAsia="楷体_GB2312" w:cs="Calibri"/>
                      <w:snapToGrid/>
                      <w:w w:val="70"/>
                      <w:sz w:val="20"/>
                      <w:szCs w:val="20"/>
                      <w:lang w:eastAsia="zh-CN"/>
                    </w:rPr>
                    <w:t>华福</w:t>
                  </w:r>
                  <w:r>
                    <w:rPr>
                      <w:rFonts w:eastAsia="楷体_GB2312" w:cs="Calibri"/>
                      <w:w w:val="70"/>
                      <w:sz w:val="20"/>
                      <w:szCs w:val="20"/>
                    </w:rPr>
                    <w:t>国际</w:t>
                  </w:r>
                  <w:r>
                    <w:rPr>
                      <w:rFonts w:eastAsia="楷体_GB2312" w:cs="Calibri"/>
                      <w:snapToGrid/>
                      <w:w w:val="70"/>
                      <w:sz w:val="20"/>
                      <w:szCs w:val="20"/>
                    </w:rPr>
                    <w:t>网站</w:t>
                  </w:r>
                  <w:r>
                    <w:rPr>
                      <w:rFonts w:eastAsia="楷体_GB2312" w:cs="Calibri"/>
                      <w:snapToGrid/>
                      <w:w w:val="70"/>
                      <w:sz w:val="20"/>
                      <w:szCs w:val="20"/>
                      <w:lang w:eastAsia="zh-CN"/>
                    </w:rPr>
                    <w:t xml:space="preserve"> </w:t>
                  </w:r>
                  <w:r>
                    <w:fldChar w:fldCharType="begin"/>
                  </w:r>
                  <w:r>
                    <w:instrText xml:space="preserve"> HYPERLINK "http://www.equities.htisec.com" </w:instrText>
                  </w:r>
                  <w:r>
                    <w:fldChar w:fldCharType="separate"/>
                  </w:r>
                  <w:r>
                    <w:rPr>
                      <w:rFonts w:eastAsia="楷体_GB2312" w:cs="Calibri"/>
                      <w:snapToGrid/>
                      <w:color w:val="0000FF"/>
                      <w:w w:val="70"/>
                      <w:sz w:val="20"/>
                      <w:szCs w:val="20"/>
                      <w:u w:val="single"/>
                      <w:lang w:eastAsia="zh-CN"/>
                    </w:rPr>
                    <w:t>www.</w:t>
                  </w:r>
                  <w:r>
                    <w:rPr>
                      <w:rFonts w:hint="eastAsia" w:eastAsia="楷体_GB2312" w:cs="Calibri"/>
                      <w:snapToGrid/>
                      <w:color w:val="0000FF"/>
                      <w:w w:val="70"/>
                      <w:sz w:val="20"/>
                      <w:szCs w:val="20"/>
                      <w:u w:val="single"/>
                      <w:lang w:eastAsia="zh-CN"/>
                    </w:rPr>
                    <w:t>hfisec.</w:t>
                  </w:r>
                  <w:r>
                    <w:rPr>
                      <w:rFonts w:eastAsia="楷体_GB2312" w:cs="Calibri"/>
                      <w:snapToGrid/>
                      <w:color w:val="0000FF"/>
                      <w:w w:val="70"/>
                      <w:sz w:val="20"/>
                      <w:szCs w:val="20"/>
                      <w:u w:val="single"/>
                      <w:lang w:eastAsia="zh-CN"/>
                    </w:rPr>
                    <w:t>com</w:t>
                  </w:r>
                  <w:r>
                    <w:rPr>
                      <w:rFonts w:eastAsia="楷体_GB2312" w:cs="Calibri"/>
                      <w:snapToGrid/>
                      <w:color w:val="0000FF"/>
                      <w:w w:val="70"/>
                      <w:sz w:val="20"/>
                      <w:szCs w:val="20"/>
                      <w:u w:val="single"/>
                      <w:lang w:eastAsia="zh-CN"/>
                    </w:rPr>
                    <w:fldChar w:fldCharType="end"/>
                  </w:r>
                  <w:r>
                    <w:rPr>
                      <w:rFonts w:hint="eastAsia" w:eastAsia="楷体_GB2312" w:cs="Calibri"/>
                      <w:snapToGrid/>
                      <w:color w:val="0000FF"/>
                      <w:w w:val="70"/>
                      <w:sz w:val="20"/>
                      <w:szCs w:val="20"/>
                      <w:u w:val="single"/>
                      <w:lang w:eastAsia="zh-CN"/>
                    </w:rPr>
                    <w:t>.hk</w:t>
                  </w:r>
                  <w:r>
                    <w:rPr>
                      <w:rFonts w:eastAsia="楷体_GB2312" w:cs="Calibri"/>
                      <w:snapToGrid/>
                      <w:w w:val="70"/>
                      <w:sz w:val="20"/>
                      <w:szCs w:val="20"/>
                      <w:lang w:eastAsia="zh-CN"/>
                    </w:rPr>
                    <w:t xml:space="preserve"> </w:t>
                  </w:r>
                  <w:r>
                    <w:rPr>
                      <w:rFonts w:eastAsia="楷体_GB2312" w:cs="Calibri"/>
                      <w:snapToGrid/>
                      <w:w w:val="70"/>
                      <w:sz w:val="20"/>
                      <w:szCs w:val="20"/>
                    </w:rPr>
                    <w:t>，查阅更多有关</w:t>
                  </w:r>
                  <w:r>
                    <w:rPr>
                      <w:rFonts w:hint="eastAsia" w:eastAsia="楷体_GB2312" w:cs="Calibri"/>
                      <w:snapToGrid/>
                      <w:w w:val="70"/>
                      <w:sz w:val="20"/>
                      <w:szCs w:val="20"/>
                      <w:lang w:eastAsia="zh-CN"/>
                    </w:rPr>
                    <w:t>华福</w:t>
                  </w:r>
                  <w:r>
                    <w:rPr>
                      <w:rFonts w:eastAsia="楷体_GB2312" w:cs="Calibri"/>
                      <w:w w:val="70"/>
                      <w:sz w:val="20"/>
                      <w:szCs w:val="20"/>
                    </w:rPr>
                    <w:t>国际</w:t>
                  </w:r>
                  <w:r>
                    <w:rPr>
                      <w:rFonts w:eastAsia="楷体_GB2312" w:cs="Calibri"/>
                      <w:snapToGrid/>
                      <w:w w:val="70"/>
                      <w:sz w:val="20"/>
                      <w:szCs w:val="20"/>
                    </w:rPr>
                    <w:t>为预防和避免利益冲突设立的组织和行政安排的内容信息。</w:t>
                  </w:r>
                </w:p>
                <w:p>
                  <w:pPr>
                    <w:pStyle w:val="71"/>
                    <w:spacing w:after="40"/>
                    <w:rPr>
                      <w:rFonts w:eastAsia="楷体_GB2312" w:cs="Calibri"/>
                      <w:b/>
                      <w:bCs/>
                      <w:w w:val="70"/>
                      <w:sz w:val="20"/>
                      <w:szCs w:val="20"/>
                    </w:rPr>
                  </w:pPr>
                  <w:r>
                    <w:rPr>
                      <w:rFonts w:eastAsia="楷体_GB2312" w:cs="Calibri"/>
                      <w:b/>
                      <w:bCs/>
                      <w:w w:val="70"/>
                      <w:sz w:val="20"/>
                      <w:szCs w:val="20"/>
                    </w:rPr>
                    <w:t>IMPORTANT DISCLAIMER</w:t>
                  </w:r>
                </w:p>
                <w:p>
                  <w:pPr>
                    <w:pStyle w:val="71"/>
                    <w:spacing w:after="40"/>
                    <w:rPr>
                      <w:rFonts w:eastAsia="楷体_GB2312" w:cs="Calibri"/>
                      <w:w w:val="70"/>
                      <w:sz w:val="20"/>
                      <w:szCs w:val="20"/>
                    </w:rPr>
                  </w:pPr>
                  <w:r>
                    <w:rPr>
                      <w:rFonts w:eastAsia="楷体_GB2312" w:cs="Calibri"/>
                      <w:w w:val="70"/>
                      <w:sz w:val="20"/>
                      <w:szCs w:val="20"/>
                    </w:rPr>
                    <w:t xml:space="preserve">The research report is issued by </w:t>
                  </w:r>
                  <w:r>
                    <w:rPr>
                      <w:rFonts w:hint="eastAsia" w:eastAsia="楷体_GB2312" w:cs="Calibri"/>
                      <w:w w:val="70"/>
                      <w:sz w:val="20"/>
                      <w:szCs w:val="20"/>
                      <w:lang w:eastAsia="zh-CN"/>
                    </w:rPr>
                    <w:t>HuaFu</w:t>
                  </w:r>
                  <w:r>
                    <w:rPr>
                      <w:rFonts w:eastAsia="楷体_GB2312" w:cs="Calibri"/>
                      <w:w w:val="70"/>
                      <w:sz w:val="20"/>
                      <w:szCs w:val="20"/>
                    </w:rPr>
                    <w:t xml:space="preserve"> International</w:t>
                  </w:r>
                  <w:r>
                    <w:rPr>
                      <w:rFonts w:hint="eastAsia" w:eastAsia="楷体_GB2312" w:cs="Calibri"/>
                      <w:w w:val="70"/>
                      <w:sz w:val="20"/>
                      <w:szCs w:val="20"/>
                      <w:lang w:eastAsia="zh-CN"/>
                    </w:rPr>
                    <w:t xml:space="preserve">, </w:t>
                  </w:r>
                  <w:r>
                    <w:rPr>
                      <w:rFonts w:eastAsia="楷体_GB2312" w:cs="Calibri"/>
                      <w:w w:val="70"/>
                      <w:sz w:val="20"/>
                      <w:szCs w:val="20"/>
                    </w:rPr>
                    <w:t>a licensed corporation to carry on Type 4 regulated activity (advising on securities) for the purpose of the Securities and Futures Ordinance (Cap. 571)</w:t>
                  </w:r>
                  <w:r>
                    <w:rPr>
                      <w:rFonts w:eastAsia="楷体_GB2312" w:cs="Calibri"/>
                      <w:w w:val="70"/>
                      <w:sz w:val="20"/>
                      <w:szCs w:val="20"/>
                      <w:lang w:eastAsia="zh-HK"/>
                    </w:rPr>
                    <w:t xml:space="preserve"> of Hong Kong</w:t>
                  </w:r>
                  <w:r>
                    <w:rPr>
                      <w:rFonts w:eastAsia="楷体_GB2312" w:cs="Calibri"/>
                      <w:w w:val="70"/>
                      <w:sz w:val="20"/>
                      <w:szCs w:val="20"/>
                    </w:rPr>
                    <w:t>.</w:t>
                  </w:r>
                </w:p>
                <w:p>
                  <w:pPr>
                    <w:pStyle w:val="71"/>
                    <w:spacing w:after="40"/>
                    <w:rPr>
                      <w:rFonts w:eastAsia="楷体_GB2312" w:cs="Calibri"/>
                      <w:w w:val="70"/>
                      <w:sz w:val="20"/>
                      <w:szCs w:val="20"/>
                    </w:rPr>
                  </w:pPr>
                  <w:r>
                    <w:rPr>
                      <w:rFonts w:eastAsia="楷体_GB2312" w:cs="Calibri"/>
                      <w:w w:val="70"/>
                      <w:sz w:val="20"/>
                      <w:szCs w:val="20"/>
                    </w:rPr>
                    <w:t xml:space="preserve">The information and opinions contained in this research report have been compiled or arrived at from sources believed to be reliable and in good faith but no representation or warranty, express or implied, is made by </w:t>
                  </w:r>
                  <w:r>
                    <w:rPr>
                      <w:rFonts w:hint="eastAsia" w:eastAsia="楷体_GB2312" w:cs="Calibri"/>
                      <w:w w:val="70"/>
                      <w:sz w:val="20"/>
                      <w:szCs w:val="20"/>
                      <w:lang w:eastAsia="zh-CN"/>
                    </w:rPr>
                    <w:t>HuaFu International</w:t>
                  </w:r>
                  <w:r>
                    <w:rPr>
                      <w:rFonts w:eastAsia="楷体_GB2312" w:cs="Calibri"/>
                      <w:w w:val="70"/>
                      <w:sz w:val="20"/>
                      <w:szCs w:val="20"/>
                    </w:rPr>
                    <w:t xml:space="preserve"> or any other </w:t>
                  </w:r>
                  <w:r>
                    <w:rPr>
                      <w:rFonts w:hint="eastAsia" w:eastAsia="楷体_GB2312" w:cs="Calibri"/>
                      <w:w w:val="70"/>
                      <w:sz w:val="20"/>
                      <w:szCs w:val="20"/>
                      <w:lang w:eastAsia="zh-CN"/>
                    </w:rPr>
                    <w:t xml:space="preserve">related </w:t>
                  </w:r>
                  <w:r>
                    <w:rPr>
                      <w:rFonts w:eastAsia="楷体_GB2312" w:cs="Calibri"/>
                      <w:w w:val="70"/>
                      <w:sz w:val="20"/>
                      <w:szCs w:val="20"/>
                    </w:rPr>
                    <w:t>members</w:t>
                  </w:r>
                  <w:r>
                    <w:rPr>
                      <w:rFonts w:hint="eastAsia" w:eastAsia="楷体_GB2312" w:cs="Calibri"/>
                      <w:w w:val="70"/>
                      <w:sz w:val="20"/>
                      <w:szCs w:val="20"/>
                      <w:lang w:eastAsia="zh-CN"/>
                    </w:rPr>
                    <w:t xml:space="preserve"> </w:t>
                  </w:r>
                  <w:r>
                    <w:rPr>
                      <w:rFonts w:eastAsia="楷体_GB2312" w:cs="Calibri"/>
                      <w:w w:val="70"/>
                      <w:sz w:val="20"/>
                      <w:szCs w:val="20"/>
                    </w:rPr>
                    <w:t xml:space="preserve">from which this research report may be received, as to their accuracy, completeness or correctness. All opinions expressed herein are as of the date of this research report and are subject to change without notice. This research report is for information purpose only. Descriptions of any companies or their securities mentioned herein are not intended to be complete and this research report is not, and should not be construed expressly or impliedly as, an offer to buy or sell securities. The securities referred to in this research report may not be eligible for purchase or sale in some jurisdictions. If an investment product is denominated in a currency other than an investor's home currency, a change in exchange rates may adversely affect the investment. Past performance is not necessarily indicative of future results. Certain transactions, including those involving derivatives, give rise to substantial risk and are not suitable for all investors. You should also bear in mind that recommendations in this research report are not tailor-made for you. The analyst has not taken into account your unique financial circumstances, such as your financial situation and risk appetite. You must, therefore, analyze and should, where applicable, consult your own legal, tax, accounting, financial and other professional advisers to evaluate whether the recommendations suits you before investment. Neither </w:t>
                  </w:r>
                  <w:r>
                    <w:rPr>
                      <w:rFonts w:hint="eastAsia" w:eastAsia="楷体_GB2312" w:cs="Calibri"/>
                      <w:w w:val="70"/>
                      <w:sz w:val="20"/>
                      <w:szCs w:val="20"/>
                      <w:lang w:eastAsia="zh-CN"/>
                    </w:rPr>
                    <w:t>HuaFu International</w:t>
                  </w:r>
                  <w:r>
                    <w:rPr>
                      <w:rFonts w:eastAsia="楷体_GB2312" w:cs="Calibri"/>
                      <w:w w:val="70"/>
                      <w:sz w:val="20"/>
                      <w:szCs w:val="20"/>
                    </w:rPr>
                    <w:t xml:space="preserve"> nor any of its directors, employees or agents accepts any liability whatsoever for any direct or consequential loss arising from any use of the materials contained in this research report. </w:t>
                  </w:r>
                </w:p>
                <w:p>
                  <w:pPr>
                    <w:pStyle w:val="71"/>
                    <w:spacing w:after="40"/>
                    <w:rPr>
                      <w:rFonts w:eastAsia="楷体_GB2312" w:cs="Calibri"/>
                      <w:w w:val="70"/>
                      <w:sz w:val="20"/>
                      <w:szCs w:val="20"/>
                    </w:rPr>
                  </w:pPr>
                  <w:r>
                    <w:rPr>
                      <w:rFonts w:hint="eastAsia" w:eastAsia="楷体_GB2312" w:cs="Calibri"/>
                      <w:w w:val="70"/>
                      <w:sz w:val="20"/>
                      <w:szCs w:val="20"/>
                      <w:lang w:eastAsia="zh-CN"/>
                    </w:rPr>
                    <w:t>HuaFu International</w:t>
                  </w:r>
                  <w:r>
                    <w:rPr>
                      <w:rFonts w:eastAsia="楷体_GB2312" w:cs="Calibri"/>
                      <w:w w:val="70"/>
                      <w:sz w:val="20"/>
                      <w:szCs w:val="20"/>
                    </w:rPr>
                    <w:t xml:space="preserve"> and </w:t>
                  </w:r>
                  <w:r>
                    <w:rPr>
                      <w:rFonts w:hint="eastAsia" w:eastAsia="楷体_GB2312" w:cs="Calibri"/>
                      <w:w w:val="70"/>
                      <w:sz w:val="20"/>
                      <w:szCs w:val="20"/>
                      <w:lang w:eastAsia="zh-CN"/>
                    </w:rPr>
                    <w:t>its</w:t>
                  </w:r>
                  <w:r>
                    <w:rPr>
                      <w:rFonts w:eastAsia="楷体_GB2312" w:cs="Calibri"/>
                      <w:w w:val="70"/>
                      <w:sz w:val="20"/>
                      <w:szCs w:val="20"/>
                    </w:rPr>
                    <w:t xml:space="preserve"> affiliates, officers, directors, and employees, excluding the analysts responsible for the content of this document, will from time to time have long or short positions in, act as principal in, and buy or sell, the securities or derivatives, if any, referred to in this research report. Sales, traders, and other professionals of </w:t>
                  </w:r>
                  <w:r>
                    <w:rPr>
                      <w:rFonts w:hint="eastAsia" w:eastAsia="楷体_GB2312" w:cs="Calibri"/>
                      <w:w w:val="70"/>
                      <w:sz w:val="20"/>
                      <w:szCs w:val="20"/>
                      <w:lang w:eastAsia="zh-CN"/>
                    </w:rPr>
                    <w:t xml:space="preserve">HuaFu International </w:t>
                  </w:r>
                  <w:r>
                    <w:rPr>
                      <w:rFonts w:eastAsia="楷体_GB2312" w:cs="Calibri"/>
                      <w:w w:val="70"/>
                      <w:sz w:val="20"/>
                      <w:szCs w:val="20"/>
                    </w:rPr>
                    <w:t xml:space="preserve">may provide oral or written market commentary or trading strategies to the relevant clients and the companies within </w:t>
                  </w:r>
                  <w:r>
                    <w:rPr>
                      <w:rFonts w:hint="eastAsia" w:eastAsia="楷体_GB2312" w:cs="Calibri"/>
                      <w:w w:val="70"/>
                      <w:sz w:val="20"/>
                      <w:szCs w:val="20"/>
                      <w:lang w:eastAsia="zh-CN"/>
                    </w:rPr>
                    <w:t>HuaFu International</w:t>
                  </w:r>
                  <w:r>
                    <w:rPr>
                      <w:rFonts w:eastAsia="楷体_GB2312" w:cs="Calibri"/>
                      <w:w w:val="70"/>
                      <w:sz w:val="20"/>
                      <w:szCs w:val="20"/>
                    </w:rPr>
                    <w:t xml:space="preserve"> that reflect opinions that are contrary to the opinions expressed in this research report. </w:t>
                  </w:r>
                  <w:r>
                    <w:rPr>
                      <w:rFonts w:hint="eastAsia" w:eastAsia="楷体_GB2312" w:cs="Calibri"/>
                      <w:w w:val="70"/>
                      <w:sz w:val="20"/>
                      <w:szCs w:val="20"/>
                      <w:lang w:eastAsia="zh-CN"/>
                    </w:rPr>
                    <w:t>HuaFu Internatioal</w:t>
                  </w:r>
                  <w:r>
                    <w:rPr>
                      <w:rFonts w:eastAsia="楷体_GB2312" w:cs="Calibri"/>
                      <w:w w:val="70"/>
                      <w:sz w:val="20"/>
                      <w:szCs w:val="20"/>
                    </w:rPr>
                    <w:t xml:space="preserve"> may make investment decisions that are inconsistent with the recommendations or views expressed in this research report. </w:t>
                  </w:r>
                  <w:r>
                    <w:rPr>
                      <w:rFonts w:hint="eastAsia" w:eastAsia="楷体_GB2312" w:cs="Calibri"/>
                      <w:w w:val="70"/>
                      <w:sz w:val="20"/>
                      <w:szCs w:val="20"/>
                      <w:lang w:eastAsia="zh-CN"/>
                    </w:rPr>
                    <w:t xml:space="preserve">HuaFu International </w:t>
                  </w:r>
                  <w:r>
                    <w:rPr>
                      <w:rFonts w:eastAsia="楷体_GB2312" w:cs="Calibri"/>
                      <w:w w:val="70"/>
                      <w:sz w:val="20"/>
                      <w:szCs w:val="20"/>
                    </w:rPr>
                    <w:t>is under no obligation to ensure that such other trading decisions, ideas or recommendations are brought to the attention of any recipient of this research report.</w:t>
                  </w:r>
                </w:p>
                <w:p>
                  <w:pPr>
                    <w:pStyle w:val="71"/>
                    <w:spacing w:after="40"/>
                    <w:rPr>
                      <w:rFonts w:eastAsia="楷体_GB2312" w:cs="Calibri"/>
                      <w:bCs/>
                      <w:w w:val="70"/>
                      <w:sz w:val="20"/>
                      <w:szCs w:val="20"/>
                    </w:rPr>
                  </w:pPr>
                  <w:r>
                    <w:rPr>
                      <w:rFonts w:eastAsia="楷体_GB2312" w:cs="Calibri"/>
                      <w:bCs/>
                      <w:w w:val="70"/>
                      <w:sz w:val="20"/>
                      <w:szCs w:val="20"/>
                    </w:rPr>
                    <w:t xml:space="preserve">Please refer to XXX’s website </w:t>
                  </w:r>
                  <w:r>
                    <w:fldChar w:fldCharType="begin"/>
                  </w:r>
                  <w:r>
                    <w:instrText xml:space="preserve"> HYPERLINK "http://www.equities.htisec.com" </w:instrText>
                  </w:r>
                  <w:r>
                    <w:fldChar w:fldCharType="separate"/>
                  </w:r>
                  <w:r>
                    <w:rPr>
                      <w:rStyle w:val="23"/>
                      <w:rFonts w:eastAsia="楷体_GB2312" w:cs="Calibri"/>
                      <w:w w:val="70"/>
                      <w:sz w:val="20"/>
                      <w:szCs w:val="20"/>
                    </w:rPr>
                    <w:t>www.</w:t>
                  </w:r>
                  <w:r>
                    <w:rPr>
                      <w:rStyle w:val="23"/>
                      <w:rFonts w:hint="eastAsia" w:eastAsia="楷体_GB2312" w:cs="Calibri"/>
                      <w:w w:val="70"/>
                      <w:sz w:val="20"/>
                      <w:szCs w:val="20"/>
                      <w:lang w:eastAsia="zh-CN"/>
                    </w:rPr>
                    <w:t>hfisec</w:t>
                  </w:r>
                  <w:r>
                    <w:rPr>
                      <w:rStyle w:val="23"/>
                      <w:rFonts w:eastAsia="楷体_GB2312" w:cs="Calibri"/>
                      <w:w w:val="70"/>
                      <w:sz w:val="20"/>
                      <w:szCs w:val="20"/>
                    </w:rPr>
                    <w:t>.com</w:t>
                  </w:r>
                  <w:r>
                    <w:rPr>
                      <w:rStyle w:val="23"/>
                      <w:rFonts w:eastAsia="楷体_GB2312" w:cs="Calibri"/>
                      <w:w w:val="70"/>
                      <w:sz w:val="20"/>
                      <w:szCs w:val="20"/>
                    </w:rPr>
                    <w:fldChar w:fldCharType="end"/>
                  </w:r>
                  <w:r>
                    <w:rPr>
                      <w:rStyle w:val="23"/>
                      <w:rFonts w:hint="eastAsia" w:eastAsia="楷体_GB2312" w:cs="Calibri"/>
                      <w:w w:val="70"/>
                      <w:sz w:val="20"/>
                      <w:szCs w:val="20"/>
                      <w:lang w:eastAsia="zh-CN"/>
                    </w:rPr>
                    <w:t>.hk</w:t>
                  </w:r>
                  <w:r>
                    <w:rPr>
                      <w:rFonts w:eastAsia="楷体_GB2312" w:cs="Calibri"/>
                      <w:w w:val="70"/>
                      <w:sz w:val="20"/>
                      <w:szCs w:val="20"/>
                    </w:rPr>
                    <w:t xml:space="preserve"> </w:t>
                  </w:r>
                  <w:r>
                    <w:rPr>
                      <w:rFonts w:eastAsia="楷体_GB2312" w:cs="Calibri"/>
                      <w:bCs/>
                      <w:w w:val="70"/>
                      <w:sz w:val="20"/>
                      <w:szCs w:val="20"/>
                    </w:rPr>
                    <w:t xml:space="preserve">for further </w:t>
                  </w:r>
                  <w:r>
                    <w:rPr>
                      <w:rFonts w:eastAsia="楷体_GB2312" w:cs="Calibri"/>
                      <w:w w:val="70"/>
                      <w:sz w:val="20"/>
                      <w:szCs w:val="20"/>
                    </w:rPr>
                    <w:t>information</w:t>
                  </w:r>
                  <w:r>
                    <w:rPr>
                      <w:rFonts w:eastAsia="楷体_GB2312" w:cs="Calibri"/>
                      <w:bCs/>
                      <w:w w:val="70"/>
                      <w:sz w:val="20"/>
                      <w:szCs w:val="20"/>
                    </w:rPr>
                    <w:t xml:space="preserve"> on </w:t>
                  </w:r>
                  <w:r>
                    <w:rPr>
                      <w:rFonts w:hint="eastAsia" w:eastAsia="楷体_GB2312" w:cs="Calibri"/>
                      <w:bCs/>
                      <w:w w:val="70"/>
                      <w:sz w:val="20"/>
                      <w:szCs w:val="20"/>
                      <w:lang w:eastAsia="zh-CN"/>
                    </w:rPr>
                    <w:t>HuaFu International</w:t>
                  </w:r>
                  <w:r>
                    <w:rPr>
                      <w:rFonts w:eastAsia="楷体_GB2312" w:cs="Calibri"/>
                      <w:bCs/>
                      <w:w w:val="70"/>
                      <w:sz w:val="20"/>
                      <w:szCs w:val="20"/>
                      <w:lang w:eastAsia="zh-CN"/>
                    </w:rPr>
                    <w:t>’</w:t>
                  </w:r>
                  <w:r>
                    <w:rPr>
                      <w:rFonts w:hint="eastAsia" w:eastAsia="楷体_GB2312" w:cs="Calibri"/>
                      <w:bCs/>
                      <w:w w:val="70"/>
                      <w:sz w:val="20"/>
                      <w:szCs w:val="20"/>
                      <w:lang w:eastAsia="zh-CN"/>
                    </w:rPr>
                    <w:t xml:space="preserve">s </w:t>
                  </w:r>
                  <w:r>
                    <w:rPr>
                      <w:rFonts w:eastAsia="楷体_GB2312" w:cs="Calibri"/>
                      <w:bCs/>
                      <w:w w:val="70"/>
                      <w:sz w:val="20"/>
                      <w:szCs w:val="20"/>
                    </w:rPr>
                    <w:t>organizational and administrative arrangements set up for the prevention and avoidance of conflicts of interest with respect to Research.</w:t>
                  </w:r>
                </w:p>
                <w:p>
                  <w:pPr>
                    <w:pStyle w:val="71"/>
                    <w:spacing w:after="60"/>
                    <w:rPr>
                      <w:rFonts w:eastAsia="楷体_GB2312" w:cs="Calibri"/>
                      <w:b/>
                      <w:w w:val="7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_GB2312" w:cs="Calibri"/>
                      <w:b/>
                      <w:snapToGrid/>
                      <w:w w:val="70"/>
                      <w:sz w:val="20"/>
                      <w:szCs w:val="20"/>
                    </w:rPr>
                  </w:pPr>
                  <w:r>
                    <w:rPr>
                      <w:rFonts w:eastAsia="楷体_GB2312" w:cs="Calibri"/>
                      <w:b/>
                      <w:snapToGrid/>
                      <w:w w:val="70"/>
                      <w:sz w:val="20"/>
                      <w:szCs w:val="20"/>
                    </w:rPr>
                    <w:t>分发和地区通知：</w:t>
                  </w:r>
                </w:p>
                <w:p>
                  <w:pPr>
                    <w:pStyle w:val="71"/>
                    <w:spacing w:after="60"/>
                    <w:rPr>
                      <w:rFonts w:eastAsia="楷体_GB2312" w:cs="Calibri"/>
                      <w:snapToGrid/>
                      <w:w w:val="70"/>
                      <w:sz w:val="20"/>
                      <w:szCs w:val="20"/>
                    </w:rPr>
                  </w:pPr>
                  <w:r>
                    <w:rPr>
                      <w:rFonts w:eastAsia="楷体_GB2312" w:cs="Calibri"/>
                      <w:snapToGrid/>
                      <w:w w:val="70"/>
                      <w:sz w:val="20"/>
                      <w:szCs w:val="20"/>
                    </w:rPr>
                    <w:t>除非下文另有规定，否则任何希望讨论本报告或者就本项研究中讨论的任何证券进行任何交易的收件人均应联系其所在国家或地区的</w:t>
                  </w:r>
                  <w:r>
                    <w:rPr>
                      <w:rFonts w:hint="eastAsia" w:eastAsia="楷体_GB2312" w:cs="Calibri"/>
                      <w:snapToGrid/>
                      <w:w w:val="70"/>
                      <w:sz w:val="20"/>
                      <w:szCs w:val="20"/>
                      <w:lang w:eastAsia="zh-CN"/>
                    </w:rPr>
                    <w:t>华福</w:t>
                  </w:r>
                  <w:r>
                    <w:rPr>
                      <w:rFonts w:eastAsia="楷体_GB2312" w:cs="Calibri"/>
                      <w:snapToGrid/>
                      <w:w w:val="70"/>
                      <w:sz w:val="20"/>
                      <w:szCs w:val="20"/>
                    </w:rPr>
                    <w:t xml:space="preserve">国际销售人员。  </w:t>
                  </w:r>
                </w:p>
                <w:p>
                  <w:pPr>
                    <w:pStyle w:val="71"/>
                    <w:spacing w:after="60"/>
                    <w:rPr>
                      <w:rFonts w:eastAsia="楷体_GB2312" w:cs="Calibri"/>
                      <w:snapToGrid/>
                      <w:w w:val="70"/>
                      <w:sz w:val="20"/>
                      <w:szCs w:val="20"/>
                    </w:rPr>
                  </w:pPr>
                  <w:r>
                    <w:rPr>
                      <w:rFonts w:eastAsia="楷体_GB2312" w:cs="Calibri"/>
                      <w:b/>
                      <w:snapToGrid/>
                      <w:w w:val="70"/>
                      <w:sz w:val="20"/>
                      <w:szCs w:val="20"/>
                    </w:rPr>
                    <w:t>香港投资者的通知事项：</w:t>
                  </w:r>
                  <w:r>
                    <w:rPr>
                      <w:rFonts w:hint="eastAsia" w:eastAsia="楷体_GB2312" w:cs="Calibri"/>
                      <w:bCs/>
                      <w:snapToGrid/>
                      <w:w w:val="70"/>
                      <w:sz w:val="20"/>
                      <w:szCs w:val="20"/>
                      <w:lang w:eastAsia="zh-CN"/>
                    </w:rPr>
                    <w:t>华福</w:t>
                  </w:r>
                  <w:r>
                    <w:rPr>
                      <w:rFonts w:eastAsia="楷体_GB2312" w:cs="Calibri"/>
                      <w:snapToGrid/>
                      <w:w w:val="70"/>
                      <w:sz w:val="20"/>
                      <w:szCs w:val="20"/>
                    </w:rPr>
                    <w:t>国际负责分发该研究报告，</w:t>
                  </w:r>
                  <w:r>
                    <w:rPr>
                      <w:rFonts w:hint="eastAsia" w:eastAsia="楷体_GB2312" w:cs="Calibri"/>
                      <w:snapToGrid/>
                      <w:w w:val="70"/>
                      <w:sz w:val="20"/>
                      <w:szCs w:val="20"/>
                      <w:lang w:eastAsia="zh-CN"/>
                    </w:rPr>
                    <w:t>华福国际</w:t>
                  </w:r>
                  <w:r>
                    <w:rPr>
                      <w:rFonts w:eastAsia="楷体_GB2312" w:cs="Calibri"/>
                      <w:snapToGrid/>
                      <w:w w:val="70"/>
                      <w:sz w:val="20"/>
                      <w:szCs w:val="20"/>
                      <w:lang w:eastAsia="zh-CN"/>
                    </w:rPr>
                    <w:t>是</w:t>
                  </w:r>
                  <w:r>
                    <w:rPr>
                      <w:rFonts w:eastAsia="楷体_GB2312" w:cs="Calibri"/>
                      <w:snapToGrid/>
                      <w:w w:val="70"/>
                      <w:sz w:val="20"/>
                      <w:szCs w:val="20"/>
                    </w:rPr>
                    <w:t>在香港有权实施第</w:t>
                  </w:r>
                  <w:r>
                    <w:rPr>
                      <w:rFonts w:eastAsia="楷体_GB2312" w:cs="Calibri"/>
                      <w:snapToGrid/>
                      <w:w w:val="70"/>
                      <w:sz w:val="20"/>
                      <w:szCs w:val="20"/>
                      <w:lang w:eastAsia="zh-CN"/>
                    </w:rPr>
                    <w:t>1</w:t>
                  </w:r>
                  <w:r>
                    <w:rPr>
                      <w:rFonts w:eastAsia="楷体_GB2312" w:cs="Calibri"/>
                      <w:snapToGrid/>
                      <w:w w:val="70"/>
                      <w:sz w:val="20"/>
                      <w:szCs w:val="20"/>
                    </w:rPr>
                    <w:t>类受规管活动（从事证券交易）的持牌公司。该研究报告并不构成《证券及期货条例》</w:t>
                  </w:r>
                  <w:r>
                    <w:rPr>
                      <w:rFonts w:eastAsia="楷体_GB2312" w:cs="Calibri"/>
                      <w:w w:val="70"/>
                      <w:sz w:val="20"/>
                      <w:szCs w:val="20"/>
                    </w:rPr>
                    <w:t>（</w:t>
                  </w:r>
                  <w:r>
                    <w:rPr>
                      <w:rFonts w:eastAsia="楷体_GB2312" w:cs="Calibri"/>
                      <w:snapToGrid/>
                      <w:w w:val="70"/>
                      <w:sz w:val="20"/>
                      <w:szCs w:val="20"/>
                    </w:rPr>
                    <w:t>香港法例第</w:t>
                  </w:r>
                  <w:r>
                    <w:rPr>
                      <w:rFonts w:eastAsia="楷体_GB2312" w:cs="Calibri"/>
                      <w:snapToGrid/>
                      <w:w w:val="70"/>
                      <w:sz w:val="20"/>
                      <w:szCs w:val="20"/>
                      <w:lang w:eastAsia="zh-CN"/>
                    </w:rPr>
                    <w:t>571</w:t>
                  </w:r>
                  <w:r>
                    <w:rPr>
                      <w:rFonts w:eastAsia="楷体_GB2312" w:cs="Calibri"/>
                      <w:snapToGrid/>
                      <w:w w:val="70"/>
                      <w:sz w:val="20"/>
                      <w:szCs w:val="20"/>
                    </w:rPr>
                    <w:t>章</w:t>
                  </w:r>
                  <w:r>
                    <w:rPr>
                      <w:rFonts w:eastAsia="楷体_GB2312" w:cs="Calibri"/>
                      <w:w w:val="70"/>
                      <w:sz w:val="20"/>
                      <w:szCs w:val="20"/>
                    </w:rPr>
                    <w:t>）（</w:t>
                  </w:r>
                  <w:r>
                    <w:rPr>
                      <w:rFonts w:eastAsia="楷体_GB2312" w:cs="Calibri"/>
                      <w:snapToGrid/>
                      <w:w w:val="70"/>
                      <w:sz w:val="20"/>
                      <w:szCs w:val="20"/>
                    </w:rPr>
                    <w:t>以下简称“</w:t>
                  </w:r>
                  <w:r>
                    <w:rPr>
                      <w:rFonts w:eastAsia="楷体_GB2312" w:cs="Calibri"/>
                      <w:snapToGrid/>
                      <w:w w:val="70"/>
                      <w:sz w:val="20"/>
                      <w:szCs w:val="20"/>
                      <w:lang w:eastAsia="zh-CN"/>
                    </w:rPr>
                    <w:t>SFO”</w:t>
                  </w:r>
                  <w:r>
                    <w:rPr>
                      <w:rFonts w:eastAsia="楷体_GB2312" w:cs="Calibri"/>
                      <w:w w:val="70"/>
                      <w:sz w:val="20"/>
                      <w:szCs w:val="20"/>
                    </w:rPr>
                    <w:t>）</w:t>
                  </w:r>
                  <w:r>
                    <w:rPr>
                      <w:rFonts w:eastAsia="楷体_GB2312" w:cs="Calibri"/>
                      <w:snapToGrid/>
                      <w:w w:val="70"/>
                      <w:sz w:val="20"/>
                      <w:szCs w:val="20"/>
                    </w:rPr>
                    <w:t>所界定的要约邀请，证券要约或公众要约。本研究报告仅提供给</w:t>
                  </w:r>
                  <w:r>
                    <w:rPr>
                      <w:rFonts w:eastAsia="楷体_GB2312" w:cs="Calibri"/>
                      <w:snapToGrid/>
                      <w:w w:val="70"/>
                      <w:sz w:val="20"/>
                      <w:szCs w:val="20"/>
                      <w:lang w:eastAsia="zh-CN"/>
                    </w:rPr>
                    <w:t>SFO</w:t>
                  </w:r>
                  <w:r>
                    <w:rPr>
                      <w:rFonts w:eastAsia="楷体_GB2312" w:cs="Calibri"/>
                      <w:snapToGrid/>
                      <w:w w:val="70"/>
                      <w:sz w:val="20"/>
                      <w:szCs w:val="20"/>
                    </w:rPr>
                    <w:t>所界定的“专业投资者”。本研究报告未经过证券及期货事务监察委员会的审查。您不应仅根据本研究报告中所载的信息做出投资决定。本研究报告的收件人就研究报告中产生或与之相关的任何事宜请联系</w:t>
                  </w:r>
                  <w:r>
                    <w:rPr>
                      <w:rFonts w:hint="eastAsia" w:eastAsia="楷体_GB2312" w:cs="Calibri"/>
                      <w:snapToGrid/>
                      <w:w w:val="70"/>
                      <w:sz w:val="20"/>
                      <w:szCs w:val="20"/>
                      <w:lang w:eastAsia="zh-CN"/>
                    </w:rPr>
                    <w:t>华福国际</w:t>
                  </w:r>
                  <w:r>
                    <w:rPr>
                      <w:rFonts w:eastAsia="楷体_GB2312" w:cs="Calibri"/>
                      <w:snapToGrid/>
                      <w:w w:val="70"/>
                      <w:sz w:val="20"/>
                      <w:szCs w:val="20"/>
                    </w:rPr>
                    <w:t>销售人员。</w:t>
                  </w:r>
                </w:p>
                <w:p>
                  <w:pPr>
                    <w:pStyle w:val="71"/>
                    <w:spacing w:after="40"/>
                    <w:rPr>
                      <w:rFonts w:eastAsia="楷体_GB2312" w:cs="Calibri"/>
                      <w:b/>
                      <w:bCs/>
                      <w:w w:val="70"/>
                      <w:sz w:val="20"/>
                      <w:szCs w:val="20"/>
                    </w:rPr>
                  </w:pPr>
                  <w:r>
                    <w:rPr>
                      <w:rFonts w:eastAsia="楷体_GB2312" w:cs="Calibri"/>
                      <w:b/>
                      <w:bCs/>
                      <w:w w:val="70"/>
                      <w:sz w:val="20"/>
                      <w:szCs w:val="20"/>
                    </w:rPr>
                    <w:t>DISTRIBUTION AND REGIONAL NOTICES</w:t>
                  </w:r>
                </w:p>
                <w:p>
                  <w:pPr>
                    <w:pStyle w:val="71"/>
                    <w:spacing w:after="40"/>
                    <w:rPr>
                      <w:rFonts w:eastAsia="楷体_GB2312" w:cs="Calibri"/>
                      <w:w w:val="70"/>
                      <w:sz w:val="20"/>
                      <w:szCs w:val="20"/>
                    </w:rPr>
                  </w:pPr>
                  <w:r>
                    <w:rPr>
                      <w:rFonts w:eastAsia="楷体_GB2312" w:cs="Calibri"/>
                      <w:w w:val="70"/>
                      <w:sz w:val="20"/>
                      <w:szCs w:val="20"/>
                    </w:rPr>
                    <w:t xml:space="preserve">Except as otherwise indicated below, any Recipient wishing to discuss this research report or effect any transaction in any security discussed in </w:t>
                  </w:r>
                  <w:r>
                    <w:rPr>
                      <w:rFonts w:hint="eastAsia" w:eastAsia="楷体_GB2312" w:cs="Calibri"/>
                      <w:w w:val="70"/>
                      <w:sz w:val="20"/>
                      <w:szCs w:val="20"/>
                      <w:lang w:eastAsia="zh-CN"/>
                    </w:rPr>
                    <w:t>HuaFu International</w:t>
                  </w:r>
                  <w:r>
                    <w:rPr>
                      <w:rFonts w:eastAsia="楷体_GB2312" w:cs="Calibri"/>
                      <w:w w:val="70"/>
                      <w:sz w:val="20"/>
                      <w:szCs w:val="20"/>
                    </w:rPr>
                    <w:t xml:space="preserve">’s research should contact the </w:t>
                  </w:r>
                  <w:r>
                    <w:rPr>
                      <w:rFonts w:hint="eastAsia" w:eastAsia="楷体_GB2312" w:cs="Calibri"/>
                      <w:w w:val="70"/>
                      <w:sz w:val="20"/>
                      <w:szCs w:val="20"/>
                      <w:lang w:eastAsia="zh-CN"/>
                    </w:rPr>
                    <w:t xml:space="preserve">HuaFu </w:t>
                  </w:r>
                  <w:r>
                    <w:rPr>
                      <w:rFonts w:eastAsia="楷体_GB2312" w:cs="Calibri"/>
                      <w:w w:val="70"/>
                      <w:sz w:val="20"/>
                      <w:szCs w:val="20"/>
                    </w:rPr>
                    <w:t xml:space="preserve">International salesperson in their own country or region.  </w:t>
                  </w:r>
                </w:p>
                <w:p>
                  <w:pPr>
                    <w:pStyle w:val="71"/>
                    <w:spacing w:after="40"/>
                    <w:rPr>
                      <w:rFonts w:eastAsia="楷体_GB2312" w:cs="Calibri"/>
                      <w:w w:val="70"/>
                      <w:sz w:val="20"/>
                      <w:szCs w:val="20"/>
                    </w:rPr>
                  </w:pPr>
                  <w:r>
                    <w:rPr>
                      <w:rFonts w:eastAsia="楷体_GB2312" w:cs="Calibri"/>
                      <w:b/>
                      <w:bCs/>
                      <w:w w:val="70"/>
                      <w:sz w:val="20"/>
                      <w:szCs w:val="20"/>
                    </w:rPr>
                    <w:t xml:space="preserve">Notice to Hong Kong investors: </w:t>
                  </w:r>
                  <w:r>
                    <w:rPr>
                      <w:rFonts w:eastAsia="楷体_GB2312" w:cs="Calibri"/>
                      <w:w w:val="70"/>
                      <w:sz w:val="20"/>
                      <w:szCs w:val="20"/>
                    </w:rPr>
                    <w:t xml:space="preserve">The research report is distributed by </w:t>
                  </w:r>
                  <w:r>
                    <w:rPr>
                      <w:rFonts w:hint="eastAsia" w:eastAsia="楷体_GB2312" w:cs="Calibri"/>
                      <w:w w:val="70"/>
                      <w:sz w:val="20"/>
                      <w:szCs w:val="20"/>
                      <w:lang w:eastAsia="zh-CN"/>
                    </w:rPr>
                    <w:t>HuaFu</w:t>
                  </w:r>
                  <w:r>
                    <w:rPr>
                      <w:rFonts w:eastAsia="楷体_GB2312" w:cs="Calibri"/>
                      <w:w w:val="70"/>
                      <w:sz w:val="20"/>
                      <w:szCs w:val="20"/>
                    </w:rPr>
                    <w:t xml:space="preserve"> International, which is a licensed corporation to carry on Type 1 regulated activity (dealing in securities) in Hong Kong. This research report does not constitute a solicitation or an offer of securities or an invitation to the public within the meaning of the SFO. This research report is only to be circulated to "Professional Investors" as defined in the SFO. This research report has not been reviewed by the Securities and Futures Commission. You should not make investment decisions solely on the basis of the information contained in this research report. Recipients of this research report are to contact </w:t>
                  </w:r>
                  <w:r>
                    <w:rPr>
                      <w:rFonts w:hint="eastAsia" w:eastAsia="楷体_GB2312" w:cs="Calibri"/>
                      <w:w w:val="70"/>
                      <w:sz w:val="20"/>
                      <w:szCs w:val="20"/>
                      <w:lang w:eastAsia="zh-CN"/>
                    </w:rPr>
                    <w:t>HuaFu International</w:t>
                  </w:r>
                  <w:r>
                    <w:rPr>
                      <w:rFonts w:eastAsia="楷体_GB2312" w:cs="Calibri"/>
                      <w:w w:val="70"/>
                      <w:sz w:val="20"/>
                      <w:szCs w:val="20"/>
                    </w:rPr>
                    <w:t xml:space="preserve"> salespersons in respect of any matters arising from, or in connection with, the research report.</w:t>
                  </w:r>
                </w:p>
                <w:p>
                  <w:pPr>
                    <w:pStyle w:val="71"/>
                    <w:spacing w:after="60"/>
                    <w:rPr>
                      <w:rFonts w:eastAsia="楷体_GB2312" w:cs="Calibri"/>
                      <w:b/>
                      <w:w w:val="7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_GB2312" w:cs="Calibri"/>
                      <w:w w:val="70"/>
                      <w:sz w:val="20"/>
                      <w:szCs w:val="20"/>
                    </w:rPr>
                  </w:pPr>
                  <w:r>
                    <w:rPr>
                      <w:rFonts w:eastAsia="楷体_GB2312" w:cs="Calibri"/>
                      <w:b/>
                      <w:w w:val="70"/>
                      <w:sz w:val="20"/>
                      <w:szCs w:val="20"/>
                    </w:rPr>
                    <w:t>中华人民共和国的通知事项：</w:t>
                  </w:r>
                  <w:r>
                    <w:rPr>
                      <w:rFonts w:eastAsia="楷体_GB2312" w:cs="Calibri"/>
                      <w:w w:val="70"/>
                      <w:sz w:val="20"/>
                      <w:szCs w:val="20"/>
                    </w:rPr>
                    <w:t>在中华人民共和国</w:t>
                  </w:r>
                  <w:r>
                    <w:rPr>
                      <w:rFonts w:eastAsia="楷体_GB2312" w:cs="Calibri"/>
                      <w:snapToGrid/>
                      <w:w w:val="70"/>
                      <w:sz w:val="20"/>
                      <w:szCs w:val="20"/>
                    </w:rPr>
                    <w:t>（</w:t>
                  </w:r>
                  <w:r>
                    <w:rPr>
                      <w:rFonts w:eastAsia="楷体_GB2312" w:cs="Calibri"/>
                      <w:w w:val="70"/>
                      <w:sz w:val="20"/>
                      <w:szCs w:val="20"/>
                    </w:rPr>
                    <w:t>下称“中国”，就本报告目的而言，不包括香港特别行政区、澳门特别行政区和台湾）只有根据适用的中国法律法规而收到该材料的人员方可使用该材料。并且根据相关法律法规，该材料中的信息并不构成“在中国从事生产、经营活动”。本文件在中国并不构成相关证券的公共发售或认购。无论根据法律规定或其他任何规定，在取得中国政府所有的批准或许可之前，任何法人或自然人均不得直接或间接地购买本材料中的任何证券或任何实益权益。接收本文件的人员须遵守上述限制性规定。</w:t>
                  </w:r>
                </w:p>
                <w:p>
                  <w:pPr>
                    <w:pStyle w:val="71"/>
                    <w:spacing w:after="60"/>
                    <w:rPr>
                      <w:rFonts w:eastAsia="楷体_GB2312" w:cs="Calibri"/>
                      <w:w w:val="70"/>
                      <w:sz w:val="20"/>
                      <w:szCs w:val="20"/>
                    </w:rPr>
                  </w:pPr>
                  <w:r>
                    <w:rPr>
                      <w:rFonts w:eastAsia="楷体_GB2312" w:cs="Calibri"/>
                      <w:w w:val="70"/>
                      <w:sz w:val="20"/>
                      <w:szCs w:val="20"/>
                    </w:rPr>
                    <w:t>本项研究仅供收件人使用，未经</w:t>
                  </w:r>
                  <w:r>
                    <w:rPr>
                      <w:rFonts w:hint="eastAsia" w:eastAsia="楷体_GB2312" w:cs="Calibri"/>
                      <w:w w:val="70"/>
                      <w:sz w:val="20"/>
                      <w:szCs w:val="20"/>
                      <w:lang w:eastAsia="zh-CN"/>
                    </w:rPr>
                    <w:t>华福</w:t>
                  </w:r>
                  <w:r>
                    <w:rPr>
                      <w:rFonts w:eastAsia="楷体_GB2312" w:cs="Calibri"/>
                      <w:w w:val="70"/>
                      <w:sz w:val="20"/>
                      <w:szCs w:val="20"/>
                    </w:rPr>
                    <w:t>国际的书面同意不得予以复制和再次分发。</w:t>
                  </w:r>
                </w:p>
                <w:p>
                  <w:pPr>
                    <w:pStyle w:val="71"/>
                    <w:rPr>
                      <w:rFonts w:eastAsia="楷体_GB2312" w:cs="Calibri"/>
                      <w:w w:val="70"/>
                      <w:sz w:val="20"/>
                      <w:szCs w:val="20"/>
                    </w:rPr>
                  </w:pPr>
                  <w:r>
                    <w:rPr>
                      <w:rFonts w:eastAsia="楷体_GB2312" w:cs="Calibri"/>
                      <w:w w:val="70"/>
                      <w:sz w:val="20"/>
                      <w:szCs w:val="20"/>
                    </w:rPr>
                    <w:t>版权所有：</w:t>
                  </w:r>
                  <w:r>
                    <w:rPr>
                      <w:rFonts w:hint="eastAsia" w:eastAsia="楷体_GB2312" w:cs="Calibri"/>
                      <w:w w:val="70"/>
                      <w:sz w:val="20"/>
                      <w:szCs w:val="20"/>
                      <w:lang w:eastAsia="zh-CN"/>
                    </w:rPr>
                    <w:t>华福</w:t>
                  </w:r>
                  <w:r>
                    <w:rPr>
                      <w:rFonts w:eastAsia="楷体_GB2312" w:cs="Calibri"/>
                      <w:w w:val="70"/>
                      <w:sz w:val="20"/>
                      <w:szCs w:val="20"/>
                    </w:rPr>
                    <w:t>国际</w:t>
                  </w:r>
                  <w:r>
                    <w:rPr>
                      <w:rFonts w:hint="eastAsia" w:eastAsia="楷体_GB2312" w:cs="Calibri"/>
                      <w:w w:val="70"/>
                      <w:sz w:val="20"/>
                      <w:szCs w:val="20"/>
                      <w:lang w:eastAsia="zh-CN"/>
                    </w:rPr>
                    <w:t>2025</w:t>
                  </w:r>
                  <w:r>
                    <w:rPr>
                      <w:rFonts w:eastAsia="楷体_GB2312" w:cs="Calibri"/>
                      <w:w w:val="70"/>
                      <w:sz w:val="20"/>
                      <w:szCs w:val="20"/>
                    </w:rPr>
                    <w:t>年。保留所有权利。</w:t>
                  </w:r>
                </w:p>
                <w:p>
                  <w:pPr>
                    <w:pStyle w:val="71"/>
                    <w:spacing w:after="120"/>
                    <w:rPr>
                      <w:rFonts w:eastAsia="楷体_GB2312" w:cs="Calibri"/>
                      <w:w w:val="70"/>
                      <w:sz w:val="20"/>
                      <w:szCs w:val="20"/>
                    </w:rPr>
                  </w:pPr>
                  <w:r>
                    <w:rPr>
                      <w:rFonts w:eastAsia="楷体_GB2312" w:cs="Calibri"/>
                      <w:b/>
                      <w:w w:val="70"/>
                      <w:sz w:val="20"/>
                      <w:szCs w:val="20"/>
                    </w:rPr>
                    <w:t>People’s Republic of China (PRC):</w:t>
                  </w:r>
                  <w:r>
                    <w:rPr>
                      <w:rFonts w:eastAsia="楷体_GB2312" w:cs="Calibri"/>
                      <w:w w:val="70"/>
                      <w:sz w:val="20"/>
                      <w:szCs w:val="20"/>
                    </w:rPr>
                    <w:t xml:space="preserve"> In the PRC, the research report is directed for the sole use of those who receive the research report in accordance with the applicable PRC laws and regulations. Further, the information on the research report does not constitute "production and business activities in the PRC" under relevant PRC laws. This research report does not constitute a public offer of the security, whether by sale or subscription, in the PRC. Further, no legal or natural persons of the PRC may directly or indirectly purchase any of the security or any beneficial interest therein without obtaining all prior PRC government approvals or licenses that are required, whether statutorily or otherwise. Persons who come into possession of this research are required to observe these restrictions.</w:t>
                  </w:r>
                </w:p>
                <w:p>
                  <w:pPr>
                    <w:pStyle w:val="71"/>
                    <w:spacing w:after="120"/>
                    <w:rPr>
                      <w:rFonts w:eastAsia="楷体_GB2312" w:cs="Calibri"/>
                      <w:w w:val="70"/>
                      <w:sz w:val="20"/>
                      <w:szCs w:val="20"/>
                    </w:rPr>
                  </w:pPr>
                  <w:r>
                    <w:rPr>
                      <w:rFonts w:eastAsia="楷体_GB2312" w:cs="Calibri"/>
                      <w:w w:val="70"/>
                      <w:sz w:val="20"/>
                      <w:szCs w:val="20"/>
                    </w:rPr>
                    <w:t xml:space="preserve">This research report is intended for the recipients only and may not be reproduced or redistributed without the written consent of an authorized signatory of </w:t>
                  </w:r>
                  <w:r>
                    <w:rPr>
                      <w:rFonts w:hint="eastAsia" w:eastAsia="楷体_GB2312" w:cs="Calibri"/>
                      <w:w w:val="70"/>
                      <w:sz w:val="20"/>
                      <w:szCs w:val="20"/>
                      <w:lang w:eastAsia="zh-CN"/>
                    </w:rPr>
                    <w:t>HuaFu International</w:t>
                  </w:r>
                  <w:r>
                    <w:rPr>
                      <w:rFonts w:eastAsia="楷体_GB2312" w:cs="Calibri"/>
                      <w:w w:val="70"/>
                      <w:sz w:val="20"/>
                      <w:szCs w:val="20"/>
                    </w:rPr>
                    <w:t>.</w:t>
                  </w:r>
                </w:p>
                <w:p>
                  <w:pPr>
                    <w:pStyle w:val="71"/>
                    <w:spacing w:after="60"/>
                    <w:rPr>
                      <w:rFonts w:eastAsia="楷体_GB2312" w:cs="Calibri"/>
                      <w:b/>
                      <w:w w:val="70"/>
                      <w:sz w:val="20"/>
                      <w:szCs w:val="20"/>
                    </w:rPr>
                  </w:pPr>
                  <w:r>
                    <w:rPr>
                      <w:rFonts w:eastAsia="楷体_GB2312" w:cs="Calibri"/>
                      <w:w w:val="70"/>
                      <w:sz w:val="20"/>
                      <w:szCs w:val="20"/>
                    </w:rPr>
                    <w:t xml:space="preserve">Copyright: </w:t>
                  </w:r>
                  <w:r>
                    <w:rPr>
                      <w:rFonts w:hint="eastAsia" w:eastAsia="楷体_GB2312" w:cs="Calibri"/>
                      <w:w w:val="70"/>
                      <w:sz w:val="20"/>
                      <w:szCs w:val="20"/>
                      <w:lang w:eastAsia="zh-CN"/>
                    </w:rPr>
                    <w:t>HuaFu</w:t>
                  </w:r>
                  <w:r>
                    <w:rPr>
                      <w:rFonts w:eastAsia="楷体_GB2312" w:cs="Calibri"/>
                      <w:w w:val="70"/>
                      <w:sz w:val="20"/>
                      <w:szCs w:val="20"/>
                    </w:rPr>
                    <w:t xml:space="preserve"> International </w:t>
                  </w:r>
                  <w:r>
                    <w:rPr>
                      <w:rFonts w:hint="eastAsia" w:eastAsia="楷体_GB2312" w:cs="Calibri"/>
                      <w:w w:val="70"/>
                      <w:sz w:val="20"/>
                      <w:szCs w:val="20"/>
                      <w:lang w:eastAsia="zh-CN"/>
                    </w:rPr>
                    <w:t>2025</w:t>
                  </w:r>
                  <w:r>
                    <w:rPr>
                      <w:rFonts w:eastAsia="楷体_GB2312" w:cs="Calibri"/>
                      <w:w w:val="70"/>
                      <w:sz w:val="20"/>
                      <w:szCs w:val="20"/>
                    </w:rPr>
                    <w:t>. All rights reserved</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_GB2312" w:cs="Calibri"/>
                      <w:b/>
                      <w:w w:val="7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nil"/>
                  </w:tcBorders>
                </w:tcPr>
                <w:p>
                  <w:pPr>
                    <w:pStyle w:val="71"/>
                    <w:spacing w:after="60"/>
                    <w:rPr>
                      <w:rFonts w:eastAsia="楷体_GB2312" w:cs="Calibri"/>
                      <w:b/>
                      <w:w w:val="70"/>
                      <w:sz w:val="20"/>
                      <w:szCs w:val="20"/>
                      <w:lang w:eastAsia="zh-CN"/>
                    </w:rPr>
                  </w:pPr>
                </w:p>
              </w:tc>
            </w:tr>
          </w:tbl>
          <w:p>
            <w:pPr>
              <w:rPr>
                <w:rFonts w:eastAsia="楷体_GB2312" w:cs="Calibri"/>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27" w:hRule="atLeast"/>
        </w:trPr>
        <w:tc>
          <w:tcPr>
            <w:tcW w:w="10773" w:type="dxa"/>
          </w:tcPr>
          <w:p>
            <w:pPr>
              <w:pStyle w:val="71"/>
              <w:rPr>
                <w:rFonts w:eastAsia="楷体_GB2312" w:cs="等线"/>
                <w:b/>
                <w:w w:val="70"/>
                <w:sz w:val="20"/>
                <w:szCs w:val="20"/>
              </w:rPr>
            </w:pPr>
            <w:r>
              <w:rPr>
                <w:rFonts w:eastAsia="楷体_GB2312" w:cs="等线"/>
                <w:b/>
                <w:w w:val="70"/>
                <w:sz w:val="20"/>
                <w:szCs w:val="20"/>
              </w:rPr>
              <w:t>Recommendation Chart</w:t>
            </w:r>
          </w:p>
          <w:tbl>
            <w:tblPr>
              <w:tblStyle w:val="20"/>
              <w:tblW w:w="0" w:type="auto"/>
              <w:tblCaption w:val="[Table_RecommendationChart]"/>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0773"/>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8" w:hRule="exact"/>
              </w:trPr>
              <w:tc>
                <w:tcPr>
                  <w:tcW w:w="10773" w:type="dxa"/>
                </w:tcPr>
                <w:p>
                  <w:pPr>
                    <w:pStyle w:val="71"/>
                    <w:rPr>
                      <w:rFonts w:eastAsia="楷体_GB2312" w:cs="等线"/>
                      <w:b/>
                      <w:w w:val="70"/>
                      <w:sz w:val="20"/>
                      <w:szCs w:val="20"/>
                      <w:lang w:eastAsia="zh-CN"/>
                    </w:rPr>
                  </w:pPr>
                  <w:r>
                    <w:rPr>
                      <w:rFonts w:hint="eastAsia" w:eastAsia="楷体_GB2312" w:cs="等线"/>
                      <w:b/>
                      <w:w w:val="70"/>
                      <w:sz w:val="20"/>
                      <w:szCs w:val="20"/>
                      <w:lang w:eastAsia="zh-CN"/>
                    </w:rPr>
                    <w:t>[</w:t>
                  </w:r>
                  <w:r>
                    <w:rPr>
                      <w:rFonts w:eastAsia="楷体_GB2312" w:cs="等线"/>
                      <w:b/>
                      <w:w w:val="70"/>
                      <w:sz w:val="20"/>
                      <w:szCs w:val="20"/>
                      <w:lang w:eastAsia="zh-CN"/>
                    </w:rPr>
                    <w:t>Table_RecommendationChart]</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0773" w:type="dxa"/>
                </w:tcPr>
                <w:p>
                  <w:pPr>
                    <w:pStyle w:val="71"/>
                    <w:rPr>
                      <w:rFonts w:eastAsia="楷体_GB2312" w:cs="等线"/>
                      <w:b/>
                      <w:w w:val="7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0773" w:type="dxa"/>
                </w:tcPr>
                <w:p>
                  <w:pPr>
                    <w:pStyle w:val="71"/>
                    <w:rPr>
                      <w:rFonts w:eastAsia="楷体_GB2312" w:cs="等线"/>
                      <w:b/>
                      <w:w w:val="70"/>
                      <w:sz w:val="20"/>
                      <w:szCs w:val="20"/>
                    </w:rPr>
                  </w:pPr>
                  <w:r>
                    <w:rPr>
                      <w:rFonts w:eastAsia="楷体_GB2312" w:cs="等线"/>
                      <w:sz w:val="12"/>
                      <w:szCs w:val="12"/>
                    </w:rPr>
                    <w:t>Source: Company data Bloomberg, XXX estimates</w:t>
                  </w:r>
                </w:p>
              </w:tc>
            </w:tr>
          </w:tbl>
          <w:p>
            <w:pPr>
              <w:pStyle w:val="71"/>
              <w:rPr>
                <w:rFonts w:eastAsia="楷体_GB2312" w:cs="Calibri"/>
                <w:b/>
                <w:w w:val="70"/>
                <w:sz w:val="20"/>
                <w:szCs w:val="20"/>
                <w:lang w:eastAsia="zh-CN"/>
              </w:rPr>
            </w:pPr>
          </w:p>
          <w:p>
            <w:pPr>
              <w:pStyle w:val="55"/>
              <w:rPr>
                <w:rFonts w:eastAsia="楷体_GB2312" w:cs="Calibri"/>
              </w:rPr>
            </w:pPr>
          </w:p>
        </w:tc>
      </w:tr>
    </w:tbl>
    <w:p>
      <w:pPr>
        <w:rPr>
          <w:rFonts w:eastAsiaTheme="minorEastAsia"/>
        </w:rPr>
      </w:pPr>
    </w:p>
    <w:sectPr>
      <w:headerReference r:id="rId14" w:type="first"/>
      <w:footerReference r:id="rId16" w:type="first"/>
      <w:footerReference r:id="rId15" w:type="default"/>
      <w:pgSz w:w="11910" w:h="16840"/>
      <w:pgMar w:top="1021" w:right="567" w:bottom="1021" w:left="567" w:header="567" w:footer="919" w:gutter="0"/>
      <w:cols w:space="425" w:num="1"/>
      <w:titlePg/>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等线 Light">
    <w:panose1 w:val="02010600030101010101"/>
    <w:charset w:val="86"/>
    <w:family w:val="auto"/>
    <w:pitch w:val="default"/>
    <w:sig w:usb0="A00002BF" w:usb1="38CF7CFA" w:usb2="00000016" w:usb3="00000000" w:csb0="0004000F" w:csb1="00000000"/>
  </w:font>
  <w:font w:name="汉仪大黑简">
    <w:altName w:val="微软雅黑"/>
    <w:panose1 w:val="00000000000000000000"/>
    <w:charset w:val="86"/>
    <w:family w:val="modern"/>
    <w:pitch w:val="default"/>
    <w:sig w:usb0="00000000" w:usb1="00000000" w:usb2="00000012" w:usb3="00000000" w:csb0="00040000" w:csb1="00000000"/>
  </w:font>
  <w:font w:name="等线">
    <w:panose1 w:val="02010600030101010101"/>
    <w:charset w:val="86"/>
    <w:family w:val="auto"/>
    <w:pitch w:val="default"/>
    <w:sig w:usb0="A00002BF" w:usb1="38CF7CFA" w:usb2="00000016" w:usb3="00000000" w:csb0="0004000F" w:csb1="00000000"/>
  </w:font>
  <w:font w:name="PMingLiU">
    <w:altName w:val="PMingLiU-ExtB"/>
    <w:panose1 w:val="02020500000000000000"/>
    <w:charset w:val="88"/>
    <w:family w:val="roman"/>
    <w:pitch w:val="default"/>
    <w:sig w:usb0="00000000" w:usb1="00000000" w:usb2="00000016" w:usb3="00000000" w:csb0="0010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MS Gothic">
    <w:panose1 w:val="020B0609070205080204"/>
    <w:charset w:val="80"/>
    <w:family w:val="modern"/>
    <w:pitch w:val="default"/>
    <w:sig w:usb0="E00002FF" w:usb1="6AC7FDFB" w:usb2="08000012" w:usb3="00000000" w:csb0="4002009F" w:csb1="DFD70000"/>
  </w:font>
  <w:font w:name="微软雅黑">
    <w:panose1 w:val="020B0503020204020204"/>
    <w:charset w:val="86"/>
    <w:family w:val="swiss"/>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ge">
                <wp:posOffset>9861550</wp:posOffset>
              </wp:positionV>
              <wp:extent cx="7045325" cy="50165"/>
              <wp:effectExtent l="0" t="0" r="3175" b="6985"/>
              <wp:wrapTopAndBottom/>
              <wp:docPr id="52" name="Text Box 73"/>
              <wp:cNvGraphicFramePr/>
              <a:graphic xmlns:a="http://schemas.openxmlformats.org/drawingml/2006/main">
                <a:graphicData uri="http://schemas.microsoft.com/office/word/2010/wordprocessingShape">
                  <wps:wsp>
                    <wps:cNvSpPr txBox="1">
                      <a:spLocks noChangeArrowheads="1"/>
                    </wps:cNvSpPr>
                    <wps:spPr bwMode="auto">
                      <a:xfrm>
                        <a:off x="0" y="0"/>
                        <a:ext cx="7045325" cy="50165"/>
                      </a:xfrm>
                      <a:prstGeom prst="rect">
                        <a:avLst/>
                      </a:prstGeom>
                      <a:solidFill>
                        <a:srgbClr val="23558C"/>
                      </a:solidFill>
                      <a:ln>
                        <a:noFill/>
                      </a:ln>
                    </wps:spPr>
                    <wps:txbx>
                      <w:txbxContent>
                        <w:p>
                          <w:pPr>
                            <w:ind w:left="-180"/>
                          </w:pPr>
                        </w:p>
                      </w:txbxContent>
                    </wps:txbx>
                    <wps:bodyPr rot="0" vert="horz" wrap="square" lIns="91440" tIns="45720" rIns="91440" bIns="45720" anchor="t" anchorCtr="0" upright="1">
                      <a:noAutofit/>
                    </wps:bodyPr>
                  </wps:wsp>
                </a:graphicData>
              </a:graphic>
            </wp:anchor>
          </w:drawing>
        </mc:Choice>
        <mc:Fallback>
          <w:pict>
            <v:shape id="Text Box 73" o:spid="_x0000_s1026" o:spt="202" type="#_x0000_t202" style="position:absolute;left:0pt;margin-top:776.5pt;height:3.95pt;width:554.75pt;mso-position-horizontal:center;mso-position-horizontal-relative:page;mso-position-vertical-relative:page;mso-wrap-distance-bottom:0pt;mso-wrap-distance-top:0pt;z-index:251659264;mso-width-relative:page;mso-height-relative:page;" fillcolor="#23558C" filled="t" stroked="f" coordsize="21600,21600" o:gfxdata="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Lp0sD&#10;2gAAAAsBAAAPAAAAAAAAAAEAIAAAACIAAABkcnMvZG93bnJldi54bWxQSwECFAAUAAAACACHTuJA&#10;BzIjSh8CAAA+BAAADgAAAAAAAAABACAAAAApAQAAZHJzL2Uyb0RvYy54bWxQSwUGAAAAAAYABgBZ&#10;AQAAugUAAAAA&#10;">
              <v:fill on="t" focussize="0,0"/>
              <v:stroke on="f"/>
              <v:imagedata o:title=""/>
              <o:lock v:ext="edit" aspectratio="f"/>
              <v:textbox>
                <w:txbxContent>
                  <w:p>
                    <w:pPr>
                      <w:ind w:left="-180"/>
                    </w:pPr>
                  </w:p>
                </w:txbxContent>
              </v:textbox>
              <w10:wrap type="topAndBottom"/>
            </v:shape>
          </w:pict>
        </mc:Fallback>
      </mc:AlternateContent>
    </w:r>
    <w:r>
      <mc:AlternateContent>
        <mc:Choice Requires="wps">
          <w:drawing>
            <wp:anchor distT="0" distB="0" distL="114300" distR="114300" simplePos="0" relativeHeight="251660288" behindDoc="0" locked="1" layoutInCell="1" allowOverlap="1">
              <wp:simplePos x="0" y="0"/>
              <wp:positionH relativeFrom="margin">
                <wp:align>right</wp:align>
              </wp:positionH>
              <wp:positionV relativeFrom="page">
                <wp:posOffset>9928860</wp:posOffset>
              </wp:positionV>
              <wp:extent cx="7105650" cy="716280"/>
              <wp:effectExtent l="0" t="0" r="0" b="7620"/>
              <wp:wrapNone/>
              <wp:docPr id="53" name="Text Box 281"/>
              <wp:cNvGraphicFramePr/>
              <a:graphic xmlns:a="http://schemas.openxmlformats.org/drawingml/2006/main">
                <a:graphicData uri="http://schemas.microsoft.com/office/word/2010/wordprocessingShape">
                  <wps:wsp>
                    <wps:cNvSpPr txBox="1">
                      <a:spLocks noChangeArrowheads="1"/>
                    </wps:cNvSpPr>
                    <wps:spPr bwMode="auto">
                      <a:xfrm>
                        <a:off x="0" y="0"/>
                        <a:ext cx="7105650" cy="716280"/>
                      </a:xfrm>
                      <a:prstGeom prst="rect">
                        <a:avLst/>
                      </a:prstGeom>
                      <a:noFill/>
                      <a:ln>
                        <a:noFill/>
                      </a:ln>
                    </wps:spPr>
                    <wps:txbx>
                      <w:txbxContent>
                        <w:tbl>
                          <w:tblPr>
                            <w:tblStyle w:val="20"/>
                            <w:tblW w:w="0" w:type="auto"/>
                            <w:tblCaption w:val="[Table_yejiao1]"/>
                            <w:tblDescription w:val="表格隐藏标识（勿删除）"/>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90"/>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pPr>
                                  <w:pStyle w:val="64"/>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583" w:type="dxa"/>
                              </w:tcPr>
                              <w:p>
                                <w:pPr>
                                  <w:pStyle w:val="64"/>
                                  <w:rPr>
                                    <w:rFonts w:eastAsia="MS Mincho" w:cs="Calibri"/>
                                    <w:b w:val="0"/>
                                    <w:sz w:val="21"/>
                                    <w:szCs w:val="21"/>
                                  </w:rPr>
                                </w:pPr>
                                <w:r>
                                  <w:rPr>
                                    <w:rFonts w:hint="eastAsia" w:eastAsia="楷体_GB2312" w:cs="Calibri"/>
                                    <w:b w:val="0"/>
                                    <w:sz w:val="21"/>
                                    <w:szCs w:val="21"/>
                                  </w:rPr>
                                  <w:t>本研究报告由华福国际分销，在其许可的司法管辖区内从事证券活动。关于华福国际的分析师证明，重要披露声明和免责声明，请参阅附录。</w:t>
                                </w:r>
                                <w:r>
                                  <w:rPr>
                                    <w:rFonts w:eastAsia="楷体_GB2312" w:cs="Calibri"/>
                                    <w:b w:val="0"/>
                                    <w:sz w:val="21"/>
                                    <w:szCs w:val="21"/>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pPr>
                            <w:pStyle w:val="64"/>
                            <w:rPr>
                              <w:rFonts w:eastAsia="楷体_GB2312" w:cs="Calibri"/>
                              <w:b w:val="0"/>
                              <w:sz w:val="21"/>
                              <w:szCs w:val="21"/>
                            </w:rPr>
                          </w:pPr>
                        </w:p>
                      </w:txbxContent>
                    </wps:txbx>
                    <wps:bodyPr rot="0" vert="horz" wrap="square" lIns="0" tIns="0" rIns="0" bIns="0" anchor="t" anchorCtr="0" upright="1">
                      <a:noAutofit/>
                    </wps:bodyPr>
                  </wps:wsp>
                </a:graphicData>
              </a:graphic>
            </wp:anchor>
          </w:drawing>
        </mc:Choice>
        <mc:Fallback>
          <w:pict>
            <v:shape id="Text Box 281" o:spid="_x0000_s1026" o:spt="202" type="#_x0000_t202" style="position:absolute;left:0pt;margin-top:781.8pt;height:56.4pt;width:559.5pt;mso-position-horizontal:right;mso-position-horizontal-relative:margin;mso-position-vertical-relative:page;z-index:251660288;mso-width-relative:page;mso-height-relative:page;" filled="f" stroked="f" coordsize="21600,21600" o:gfxdata="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UjN6A2QAAAAsBAAAPAAAAAAAAAAEAIAAAACIAAABkcnMvZG93&#10;bnJldi54bWxQSwECFAAUAAAACACHTuJAfqFzt/8BAAAHBAAADgAAAAAAAAABACAAAAAoAQAAZHJz&#10;L2Uyb0RvYy54bWxQSwUGAAAAAAYABgBZAQAAmQUAAAAA&#10;">
              <v:fill on="f" focussize="0,0"/>
              <v:stroke on="f"/>
              <v:imagedata o:title=""/>
              <o:lock v:ext="edit" aspectratio="f"/>
              <v:textbox inset="0mm,0mm,0mm,0mm">
                <w:txbxContent>
                  <w:tbl>
                    <w:tblPr>
                      <w:tblStyle w:val="20"/>
                      <w:tblW w:w="0" w:type="auto"/>
                      <w:tblCaption w:val="[Table_yejiao1]"/>
                      <w:tblDescription w:val="表格隐藏标识（勿删除）"/>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90"/>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pPr>
                            <w:pStyle w:val="64"/>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583" w:type="dxa"/>
                        </w:tcPr>
                        <w:p>
                          <w:pPr>
                            <w:pStyle w:val="64"/>
                            <w:rPr>
                              <w:rFonts w:eastAsia="MS Mincho" w:cs="Calibri"/>
                              <w:b w:val="0"/>
                              <w:sz w:val="21"/>
                              <w:szCs w:val="21"/>
                            </w:rPr>
                          </w:pPr>
                          <w:r>
                            <w:rPr>
                              <w:rFonts w:hint="eastAsia" w:eastAsia="楷体_GB2312" w:cs="Calibri"/>
                              <w:b w:val="0"/>
                              <w:sz w:val="21"/>
                              <w:szCs w:val="21"/>
                            </w:rPr>
                            <w:t>本研究报告由华福国际分销，在其许可的司法管辖区内从事证券活动。关于华福国际的分析师证明，重要披露声明和免责声明，请参阅附录。</w:t>
                          </w:r>
                          <w:r>
                            <w:rPr>
                              <w:rFonts w:eastAsia="楷体_GB2312" w:cs="Calibri"/>
                              <w:b w:val="0"/>
                              <w:sz w:val="21"/>
                              <w:szCs w:val="21"/>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pPr>
                      <w:pStyle w:val="64"/>
                      <w:rPr>
                        <w:rFonts w:eastAsia="楷体_GB2312" w:cs="Calibri"/>
                        <w:b w:val="0"/>
                        <w:sz w:val="21"/>
                        <w:szCs w:val="21"/>
                      </w:rPr>
                    </w:pPr>
                  </w:p>
                </w:txbxContent>
              </v:textbox>
              <w10:anchorlock/>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pPr>
            <w:pStyle w:val="68"/>
            <w:framePr w:wrap="auto" w:vAnchor="margin" w:hAnchor="text" w:xAlign="left" w:yAlign="inline"/>
          </w:pPr>
          <w:r>
            <w:fldChar w:fldCharType="begin"/>
          </w:r>
          <w:r>
            <w:instrText xml:space="preserve"> DATE  \@ "d MMM yyyy"  \* MERGEFORMAT </w:instrText>
          </w:r>
          <w:r>
            <w:fldChar w:fldCharType="separate"/>
          </w:r>
          <w:r>
            <w:t>25 Mar 2026</w:t>
          </w:r>
          <w:r>
            <w:fldChar w:fldCharType="end"/>
          </w:r>
          <w:r>
            <w:tab/>
          </w:r>
          <w:r>
            <w:fldChar w:fldCharType="begin"/>
          </w:r>
          <w:r>
            <w:instrText xml:space="preserve"> PAGE </w:instrText>
          </w:r>
          <w:r>
            <w:fldChar w:fldCharType="separate"/>
          </w:r>
          <w:r>
            <w:t>2</w:t>
          </w:r>
          <w:r>
            <w:fldChar w:fldCharType="end"/>
          </w:r>
        </w:p>
      </w:tc>
    </w:tr>
  </w:tbl>
  <w:p>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pPr>
            <w:pStyle w:val="68"/>
            <w:framePr w:wrap="auto" w:vAnchor="margin" w:hAnchor="text" w:xAlign="left" w:yAlign="inline"/>
          </w:pPr>
          <w:r>
            <w:fldChar w:fldCharType="begin"/>
          </w:r>
          <w:r>
            <w:instrText xml:space="preserve"> DATE  \@ "d MMM yyyy"  \* MERGEFORMAT </w:instrText>
          </w:r>
          <w:r>
            <w:fldChar w:fldCharType="separate"/>
          </w:r>
          <w:r>
            <w:t>25 Mar 2026</w:t>
          </w:r>
          <w:r>
            <w:fldChar w:fldCharType="end"/>
          </w:r>
          <w:r>
            <w:tab/>
          </w:r>
          <w:r>
            <w:fldChar w:fldCharType="begin"/>
          </w:r>
          <w:r>
            <w:instrText xml:space="preserve"> PAGE </w:instrText>
          </w:r>
          <w:r>
            <w:fldChar w:fldCharType="separate"/>
          </w:r>
          <w:r>
            <w:t>2</w:t>
          </w:r>
          <w:r>
            <w:fldChar w:fldCharType="end"/>
          </w:r>
        </w:p>
      </w:tc>
    </w:tr>
  </w:tbl>
  <w:p>
    <w:pPr>
      <w:pStyle w:val="1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pPr>
            <w:pStyle w:val="68"/>
            <w:framePr w:wrap="auto" w:vAnchor="margin" w:hAnchor="text" w:xAlign="left" w:yAlign="inline"/>
          </w:pPr>
          <w:r>
            <w:fldChar w:fldCharType="begin"/>
          </w:r>
          <w:r>
            <w:instrText xml:space="preserve"> DATE  \@ "d MMM yyyy"  \* MERGEFORMAT </w:instrText>
          </w:r>
          <w:r>
            <w:fldChar w:fldCharType="separate"/>
          </w:r>
          <w:r>
            <w:t>25 Mar 2026</w:t>
          </w:r>
          <w:r>
            <w:fldChar w:fldCharType="end"/>
          </w:r>
          <w:r>
            <w:tab/>
          </w:r>
          <w:r>
            <w:fldChar w:fldCharType="begin"/>
          </w:r>
          <w:r>
            <w:instrText xml:space="preserve"> PAGE </w:instrText>
          </w:r>
          <w:r>
            <w:fldChar w:fldCharType="separate"/>
          </w:r>
          <w:r>
            <w:t>2</w:t>
          </w:r>
          <w:r>
            <w:fldChar w:fldCharType="end"/>
          </w:r>
        </w:p>
      </w:tc>
    </w:tr>
  </w:tbl>
  <w:p>
    <w:pPr>
      <w:pStyle w:val="65"/>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631" w:tblpY="15481"/>
      <w:tblOverlap w:val="never"/>
      <w:tblW w:w="104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4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437" w:type="dxa"/>
          <w:tcBorders>
            <w:top w:val="nil"/>
            <w:left w:val="nil"/>
            <w:bottom w:val="nil"/>
            <w:right w:val="nil"/>
          </w:tcBorders>
          <w:vAlign w:val="center"/>
        </w:tcPr>
        <w:p>
          <w:pPr>
            <w:pStyle w:val="68"/>
            <w:framePr w:wrap="auto" w:vAnchor="margin" w:hAnchor="text" w:xAlign="left" w:yAlign="inline"/>
          </w:pPr>
          <w:r>
            <w:tab/>
          </w:r>
          <w:r>
            <w:fldChar w:fldCharType="begin"/>
          </w:r>
          <w:r>
            <w:instrText xml:space="preserve"> PAGE </w:instrText>
          </w:r>
          <w:r>
            <w:fldChar w:fldCharType="separate"/>
          </w:r>
          <w:r>
            <w:t>11</w:t>
          </w:r>
          <w:r>
            <w:fldChar w:fldCharType="end"/>
          </w:r>
        </w:p>
      </w:tc>
    </w:tr>
  </w:tbl>
  <w:p>
    <w:pPr>
      <w:pStyle w:val="12"/>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631" w:tblpY="15481"/>
      <w:tblOverlap w:val="never"/>
      <w:tblW w:w="104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4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437" w:type="dxa"/>
          <w:tcBorders>
            <w:top w:val="nil"/>
            <w:left w:val="nil"/>
            <w:bottom w:val="nil"/>
            <w:right w:val="nil"/>
          </w:tcBorders>
          <w:vAlign w:val="center"/>
        </w:tcPr>
        <w:p>
          <w:pPr>
            <w:pStyle w:val="68"/>
            <w:framePr w:wrap="auto" w:vAnchor="margin" w:hAnchor="text" w:xAlign="left" w:yAlign="inline"/>
          </w:pPr>
          <w:r>
            <w:tab/>
          </w:r>
          <w:r>
            <w:fldChar w:fldCharType="begin"/>
          </w:r>
          <w:r>
            <w:instrText xml:space="preserve"> PAGE </w:instrText>
          </w:r>
          <w:r>
            <w:fldChar w:fldCharType="separate"/>
          </w:r>
          <w:r>
            <w:t>11</w:t>
          </w:r>
          <w:r>
            <w:fldChar w:fldCharType="end"/>
          </w:r>
        </w:p>
      </w:tc>
    </w:tr>
  </w:tbl>
  <w:p>
    <w:pPr>
      <w:pStyle w:val="12"/>
      <w:rPr>
        <w:rFonts w:eastAsiaTheme="minorEastAsia"/>
      </w:rP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14:paraId="63F51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14:paraId="63F51F85">
          <w:pPr>
            <w:pStyle w:val="68"/>
            <w:framePr w:wrap="auto" w:vAnchor="margin" w:hAnchor="text" w:xAlign="left" w:yAlign="inline"/>
          </w:pPr>
          <w:r>
            <w:fldChar w:fldCharType="begin"/>
          </w:r>
          <w:r>
            <w:instrText xml:space="preserve"> DATE  \@ "d MMM yyyy"  \* MERGEFORMAT </w:instrText>
          </w:r>
          <w:r>
            <w:fldChar w:fldCharType="separate"/>
          </w:r>
          <w:r>
            <w:t>25 Mar 2026</w:t>
          </w:r>
          <w:r>
            <w:fldChar w:fldCharType="end"/>
          </w:r>
          <w:r>
            <w:tab/>
          </w:r>
          <w:r>
            <w:fldChar w:fldCharType="begin"/>
          </w:r>
          <w:r>
            <w:instrText xml:space="preserve"> PAGE </w:instrText>
          </w:r>
          <w:r>
            <w:fldChar w:fldCharType="separate"/>
          </w:r>
          <w:r>
            <w:t>2</w:t>
          </w:r>
          <w:r>
            <w:fldChar w:fldCharType="end"/>
          </w:r>
        </w:p>
      </w:tc>
    </w:tr>
  </w:tbl>
  <w:p w14:paraId="63F51F87">
    <w:pPr>
      <w:pStyle w:val="65"/>
    </w:pP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14:paraId="63F51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14:paraId="63F51F85">
          <w:pPr>
            <w:pStyle w:val="68"/>
            <w:framePr w:wrap="auto" w:vAnchor="margin" w:hAnchor="text" w:xAlign="left" w:yAlign="inline"/>
          </w:pPr>
          <w:r>
            <w:fldChar w:fldCharType="begin"/>
          </w:r>
          <w:r>
            <w:instrText xml:space="preserve"> DATE  \@ "d MMM yyyy"  \* MERGEFORMAT </w:instrText>
          </w:r>
          <w:r>
            <w:fldChar w:fldCharType="separate"/>
          </w:r>
          <w:r>
            <w:t>25 Mar 2026</w:t>
          </w:r>
          <w:r>
            <w:fldChar w:fldCharType="end"/>
          </w:r>
          <w:r>
            <w:tab/>
          </w:r>
          <w:r>
            <w:fldChar w:fldCharType="begin"/>
          </w:r>
          <w:r>
            <w:instrText xml:space="preserve"> PAGE </w:instrText>
          </w:r>
          <w:r>
            <w:fldChar w:fldCharType="separate"/>
          </w:r>
          <w:r>
            <w:t>2</w:t>
          </w:r>
          <w:r>
            <w:fldChar w:fldCharType="end"/>
          </w:r>
        </w:p>
      </w:tc>
    </w:tr>
  </w:tbl>
  <w:p w14:paraId="63F51F87">
    <w:pPr>
      <w:pStyle w:val="6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68752352"/>
      <w:placeholder>
        <w:docPart w:val="0A7DF2113BC84988AC653F937B869E52"/>
      </w:placeholder>
      <w:temporary/>
      <w:showingPlcHdr/>
      <w15:appearance w15:val="hidden"/>
    </w:sdtPr>
    <w:sdtContent>
      <w:p>
        <w:pPr>
          <w:pStyle w:val="13"/>
        </w:pPr>
        <w:r>
          <w:rPr>
            <w:lang w:val="zh-CN"/>
          </w:rPr>
          <w:t>[在此处键入]</w:t>
        </w:r>
      </w:p>
    </w:sdtContent>
  </w:sdt>
  <w:p>
    <w:pPr>
      <w:pStyle w:val="13"/>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0" w:type="auto"/>
      <w:tblCaption w:val="[Table_header2]"/>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7815"/>
      <w:gridCol w:w="3047"/>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7815" w:type="dxa"/>
          <w:tcBorders>
            <w:top w:val="nil"/>
            <w:bottom w:val="nil"/>
          </w:tcBorders>
          <w:vAlign w:val="center"/>
        </w:tcPr>
        <w:p>
          <w:pPr>
            <w:pStyle w:val="65"/>
            <w:rPr>
              <w:rFonts w:eastAsia="楷体_GB2312" w:cs="等线"/>
              <w:color w:val="FF0000"/>
              <w:sz w:val="24"/>
              <w:lang w:eastAsia="zh-CN"/>
            </w:rPr>
          </w:pPr>
          <w:r>
            <w:rPr>
              <w:rFonts w:eastAsia="楷体_GB2312" w:cs="等线"/>
              <w:color w:val="FFFFFF" w:themeColor="background1"/>
              <w:sz w:val="24"/>
              <w:lang w:eastAsia="zh-CN"/>
              <w14:textFill>
                <w14:solidFill>
                  <w14:schemeClr w14:val="bg1"/>
                </w14:solidFill>
              </w14:textFill>
            </w:rPr>
            <w:t>[Table_header2]</w:t>
          </w:r>
        </w:p>
      </w:tc>
      <w:tc>
        <w:tcPr>
          <w:tcW w:w="3047" w:type="dxa"/>
          <w:tcBorders>
            <w:top w:val="nil"/>
            <w:bottom w:val="nil"/>
          </w:tcBorders>
          <w:vAlign w:val="center"/>
        </w:tcPr>
        <w:p>
          <w:pPr>
            <w:pStyle w:val="65"/>
            <w:jc w:val="right"/>
            <w:rPr>
              <w:rStyle w:val="67"/>
              <w:rFonts w:eastAsia="楷体_GB2312" w:cs="等线"/>
              <w:color w:val="FF0000"/>
              <w:sz w:val="24"/>
              <w:lang w:eastAsia="zh-CN"/>
            </w:rPr>
          </w:pP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7815" w:type="dxa"/>
          <w:tcBorders>
            <w:top w:val="nil"/>
          </w:tcBorders>
          <w:vAlign w:val="center"/>
        </w:tcPr>
        <w:p>
          <w:pPr>
            <w:pStyle w:val="65"/>
            <w:rPr>
              <w:rFonts w:eastAsia="楷体_GB2312" w:cs="Calibri"/>
              <w:b/>
              <w:bCs/>
              <w:color w:val="A7242B"/>
              <w:sz w:val="24"/>
              <w:szCs w:val="24"/>
              <w:lang w:eastAsia="zh-CN"/>
            </w:rPr>
          </w:pPr>
          <w:r>
            <w:rPr>
              <w:rFonts w:hint="eastAsia" w:eastAsia="楷体_GB2312" w:cs="Calibri"/>
              <w:b/>
              <w:bCs/>
              <w:color w:val="A7242B"/>
              <w:sz w:val="24"/>
              <w:szCs w:val="24"/>
              <w:lang w:eastAsia="zh-CN"/>
            </w:rPr>
            <w:t>公司名称 (Stock code)</w:t>
          </w:r>
        </w:p>
      </w:tc>
      <w:tc>
        <w:tcPr>
          <w:tcW w:w="3047" w:type="dxa"/>
          <w:tcBorders>
            <w:top w:val="nil"/>
          </w:tcBorders>
          <w:vAlign w:val="center"/>
        </w:tcPr>
        <w:p>
          <w:pPr>
            <w:pStyle w:val="65"/>
            <w:jc w:val="right"/>
            <w:rPr>
              <w:rStyle w:val="67"/>
              <w:rFonts w:eastAsia="楷体_GB2312" w:cs="Calibri"/>
              <w:color w:val="A7242B"/>
              <w:sz w:val="24"/>
              <w:lang w:eastAsia="zh-CN"/>
            </w:rPr>
          </w:pPr>
          <w:r>
            <w:rPr>
              <w:rStyle w:val="67"/>
              <w:rFonts w:hint="eastAsia" w:eastAsia="楷体_GB2312" w:cs="Calibri"/>
              <w:color w:val="A7242B"/>
              <w:sz w:val="24"/>
              <w:lang w:eastAsia="zh-CN"/>
            </w:rPr>
            <w:t>评级调整</w:t>
          </w:r>
        </w:p>
      </w:tc>
    </w:tr>
  </w:tbl>
  <w:p>
    <w:pPr>
      <w:pStyle w:val="1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pPr>
            <w:pStyle w:val="65"/>
            <w:rPr>
              <w:rFonts w:eastAsia="楷体_GB2312" w:cs="等线"/>
              <w:sz w:val="24"/>
              <w:lang w:eastAsia="zh-CN"/>
            </w:rPr>
          </w:pPr>
          <w:r>
            <w:rPr>
              <w:rFonts w:eastAsia="楷体_GB2312" w:cs="等线"/>
              <w:color w:val="FFFFFF" w:themeColor="background1"/>
              <w:sz w:val="24"/>
              <w:lang w:eastAsia="zh-CN"/>
              <w14:textFill>
                <w14:solidFill>
                  <w14:schemeClr w14:val="bg1"/>
                </w14:solidFill>
              </w14:textFill>
            </w:rPr>
            <w:t>[Table_header1]</w:t>
          </w:r>
        </w:p>
      </w:tc>
      <w:tc>
        <w:tcPr>
          <w:tcW w:w="4678" w:type="dxa"/>
          <w:tcBorders>
            <w:top w:val="nil"/>
            <w:bottom w:val="nil"/>
          </w:tcBorders>
          <w:vAlign w:val="center"/>
        </w:tcPr>
        <w:p>
          <w:pPr>
            <w:pStyle w:val="65"/>
            <w:jc w:val="right"/>
            <w:rPr>
              <w:rStyle w:val="67"/>
              <w:rFonts w:eastAsia="楷体_GB2312" w:cs="等线"/>
              <w:sz w:val="24"/>
              <w:lang w:eastAsia="zh-CN"/>
            </w:rPr>
          </w:pP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pPr>
            <w:pStyle w:val="65"/>
            <w:rPr>
              <w:rFonts w:eastAsia="楷体_GB2312" w:cs="Calibri"/>
              <w:b/>
              <w:bCs/>
              <w:color w:val="A7242B"/>
              <w:sz w:val="24"/>
              <w:szCs w:val="24"/>
              <w:lang w:eastAsia="zh-CN"/>
            </w:rPr>
          </w:pPr>
          <w:r>
            <w:rPr>
              <w:rFonts w:hint="eastAsia" w:eastAsia="楷体_GB2312" w:cs="Calibri"/>
              <w:b/>
              <w:bCs/>
              <w:color w:val="A7242B"/>
              <w:sz w:val="24"/>
              <w:szCs w:val="24"/>
              <w:lang w:eastAsia="zh-CN"/>
            </w:rPr>
            <w:t>公司名称 (Stock code)</w:t>
          </w:r>
        </w:p>
      </w:tc>
      <w:tc>
        <w:tcPr>
          <w:tcW w:w="4678" w:type="dxa"/>
          <w:tcBorders>
            <w:top w:val="nil"/>
          </w:tcBorders>
          <w:vAlign w:val="center"/>
        </w:tcPr>
        <w:p>
          <w:pPr>
            <w:pStyle w:val="65"/>
            <w:jc w:val="right"/>
            <w:rPr>
              <w:rStyle w:val="67"/>
              <w:rFonts w:eastAsia="楷体_GB2312" w:cs="Calibri"/>
              <w:color w:val="A7242B"/>
              <w:sz w:val="24"/>
              <w:lang w:eastAsia="zh-CN"/>
            </w:rPr>
          </w:pPr>
          <w:r>
            <w:rPr>
              <w:rStyle w:val="67"/>
              <w:rFonts w:hint="eastAsia" w:eastAsia="楷体_GB2312" w:cs="Calibri"/>
              <w:color w:val="A7242B"/>
              <w:sz w:val="24"/>
              <w:lang w:eastAsia="zh-CN"/>
            </w:rPr>
            <w:t>评级调整</w:t>
          </w:r>
        </w:p>
      </w:tc>
    </w:tr>
  </w:tbl>
  <w:p>
    <w:pPr>
      <w:pStyle w:val="13"/>
      <w:jc w:val="lef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09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pPr>
            <w:pStyle w:val="65"/>
            <w:rPr>
              <w:rFonts w:eastAsia="楷体_GB2312" w:cs="等线"/>
              <w:sz w:val="24"/>
              <w:lang w:eastAsia="zh-CN"/>
            </w:rPr>
          </w:pPr>
          <w:r>
            <w:rPr>
              <w:rFonts w:eastAsia="楷体_GB2312" w:cs="等线"/>
              <w:color w:val="FFFFFF" w:themeColor="background1"/>
              <w:sz w:val="24"/>
              <w:lang w:eastAsia="zh-CN"/>
              <w14:textFill>
                <w14:solidFill>
                  <w14:schemeClr w14:val="bg1"/>
                </w14:solidFill>
              </w14:textFill>
            </w:rPr>
            <w:t>[Table_header1]</w:t>
          </w:r>
        </w:p>
      </w:tc>
      <w:tc>
        <w:tcPr>
          <w:tcW w:w="4678" w:type="dxa"/>
          <w:tcBorders>
            <w:top w:val="nil"/>
            <w:bottom w:val="nil"/>
          </w:tcBorders>
          <w:vAlign w:val="center"/>
        </w:tcPr>
        <w:p>
          <w:pPr>
            <w:pStyle w:val="65"/>
            <w:jc w:val="right"/>
            <w:rPr>
              <w:rStyle w:val="67"/>
              <w:rFonts w:eastAsia="楷体_GB2312" w:cs="等线"/>
              <w:sz w:val="24"/>
              <w:lang w:eastAsia="zh-CN"/>
            </w:rPr>
          </w:pP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pPr>
            <w:pStyle w:val="65"/>
            <w:rPr>
              <w:rFonts w:eastAsia="楷体_GB2312" w:cs="Calibri"/>
              <w:b/>
              <w:bCs/>
              <w:color w:val="A7242B"/>
              <w:sz w:val="24"/>
              <w:szCs w:val="24"/>
              <w:lang w:eastAsia="zh-CN"/>
            </w:rPr>
          </w:pPr>
          <w:r>
            <w:rPr>
              <w:rFonts w:hint="eastAsia" w:eastAsia="楷体_GB2312" w:cs="Calibri"/>
              <w:b/>
              <w:bCs/>
              <w:color w:val="A7242B"/>
              <w:sz w:val="24"/>
              <w:szCs w:val="24"/>
              <w:lang w:eastAsia="zh-CN"/>
            </w:rPr>
            <w:t>公司名称 (Stock code)</w:t>
          </w:r>
        </w:p>
      </w:tc>
      <w:tc>
        <w:tcPr>
          <w:tcW w:w="4678" w:type="dxa"/>
          <w:tcBorders>
            <w:top w:val="nil"/>
          </w:tcBorders>
          <w:vAlign w:val="center"/>
        </w:tcPr>
        <w:p>
          <w:pPr>
            <w:pStyle w:val="65"/>
            <w:jc w:val="right"/>
            <w:rPr>
              <w:rStyle w:val="67"/>
              <w:rFonts w:eastAsia="楷体_GB2312" w:cs="Calibri"/>
              <w:color w:val="A7242B"/>
              <w:sz w:val="24"/>
              <w:lang w:eastAsia="zh-CN"/>
            </w:rPr>
          </w:pPr>
          <w:r>
            <w:rPr>
              <w:rStyle w:val="67"/>
              <w:rFonts w:hint="eastAsia" w:eastAsia="楷体_GB2312" w:cs="Calibri"/>
              <w:color w:val="A7242B"/>
              <w:sz w:val="24"/>
              <w:lang w:eastAsia="zh-CN"/>
            </w:rPr>
            <w:t>评级调整</w:t>
          </w:r>
        </w:p>
      </w:tc>
    </w:tr>
  </w:tbl>
  <w:p>
    <w:pPr>
      <w:pStyle w:val="13"/>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pPr>
            <w:pStyle w:val="65"/>
            <w:rPr>
              <w:rFonts w:eastAsia="楷体_GB2312" w:cs="等线"/>
              <w:color w:val="23558C"/>
              <w:sz w:val="24"/>
              <w:lang w:eastAsia="zh-CN"/>
            </w:rPr>
          </w:pPr>
          <w:r>
            <w:rPr>
              <w:rFonts w:eastAsia="楷体_GB2312" w:cs="等线"/>
              <w:color w:val="23558C"/>
              <w:sz w:val="24"/>
              <w:lang w:eastAsia="zh-CN"/>
            </w:rPr>
            <w:t>[Table_header1]</w:t>
          </w:r>
        </w:p>
      </w:tc>
      <w:tc>
        <w:tcPr>
          <w:tcW w:w="4678" w:type="dxa"/>
          <w:tcBorders>
            <w:top w:val="nil"/>
            <w:bottom w:val="nil"/>
          </w:tcBorders>
          <w:vAlign w:val="center"/>
        </w:tcPr>
        <w:p>
          <w:pPr>
            <w:pStyle w:val="65"/>
            <w:jc w:val="right"/>
            <w:rPr>
              <w:rStyle w:val="67"/>
              <w:rFonts w:eastAsia="楷体_GB2312" w:cs="等线"/>
              <w:color w:val="23558C"/>
              <w:sz w:val="24"/>
              <w:lang w:eastAsia="zh-CN"/>
            </w:rPr>
          </w:pP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pPr>
            <w:pStyle w:val="65"/>
            <w:rPr>
              <w:rFonts w:eastAsia="楷体_GB2312" w:cs="Calibri"/>
              <w:b/>
              <w:bCs/>
              <w:color w:val="23558C"/>
              <w:sz w:val="24"/>
              <w:szCs w:val="24"/>
              <w:lang w:eastAsia="zh-CN"/>
            </w:rPr>
          </w:pPr>
          <w:r>
            <w:rPr>
              <w:rFonts w:hint="eastAsia" w:eastAsia="楷体_GB2312" w:cs="Calibri"/>
              <w:b/>
              <w:bCs/>
              <w:color w:val="23558C"/>
              <w:sz w:val="24"/>
              <w:szCs w:val="24"/>
              <w:lang w:eastAsia="zh-CN"/>
            </w:rPr>
            <w:t>公司名称 (Stock code)</w:t>
          </w:r>
        </w:p>
      </w:tc>
      <w:tc>
        <w:tcPr>
          <w:tcW w:w="4678" w:type="dxa"/>
          <w:tcBorders>
            <w:top w:val="nil"/>
          </w:tcBorders>
          <w:vAlign w:val="center"/>
        </w:tcPr>
        <w:p>
          <w:pPr>
            <w:pStyle w:val="65"/>
            <w:jc w:val="right"/>
            <w:rPr>
              <w:rStyle w:val="67"/>
              <w:rFonts w:eastAsia="楷体_GB2312" w:cs="Calibri"/>
              <w:color w:val="23558C"/>
              <w:sz w:val="24"/>
              <w:lang w:eastAsia="zh-CN"/>
            </w:rPr>
          </w:pPr>
          <w:r>
            <w:rPr>
              <w:rStyle w:val="67"/>
              <w:rFonts w:hint="eastAsia" w:eastAsia="楷体_GB2312" w:cs="Calibri"/>
              <w:color w:val="23558C"/>
              <w:sz w:val="24"/>
              <w:lang w:eastAsia="zh-CN"/>
            </w:rPr>
            <w:t>评级调整</w:t>
          </w:r>
        </w:p>
      </w:tc>
    </w:tr>
  </w:tbl>
  <w:p>
    <w:pPr>
      <w:pStyle w:val="13"/>
      <w:jc w:val="left"/>
      <w:rPr>
        <w:color w:val="23558C"/>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pPr>
            <w:pStyle w:val="65"/>
            <w:rPr>
              <w:rFonts w:eastAsia="楷体_GB2312" w:cs="等线"/>
              <w:color w:val="23558C"/>
              <w:sz w:val="24"/>
              <w:lang w:eastAsia="zh-CN"/>
            </w:rPr>
          </w:pPr>
          <w:r>
            <w:rPr>
              <w:rFonts w:eastAsia="楷体_GB2312" w:cs="等线"/>
              <w:color w:val="23558C"/>
              <w:sz w:val="24"/>
              <w:lang w:eastAsia="zh-CN"/>
            </w:rPr>
            <w:t>[Table_header1]</w:t>
          </w:r>
        </w:p>
      </w:tc>
      <w:tc>
        <w:tcPr>
          <w:tcW w:w="4678" w:type="dxa"/>
          <w:tcBorders>
            <w:top w:val="nil"/>
            <w:bottom w:val="nil"/>
          </w:tcBorders>
          <w:vAlign w:val="center"/>
        </w:tcPr>
        <w:p>
          <w:pPr>
            <w:pStyle w:val="65"/>
            <w:jc w:val="right"/>
            <w:rPr>
              <w:rStyle w:val="67"/>
              <w:rFonts w:eastAsia="楷体_GB2312" w:cs="等线"/>
              <w:color w:val="23558C"/>
              <w:sz w:val="24"/>
              <w:lang w:eastAsia="zh-CN"/>
            </w:rPr>
          </w:pP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pPr>
            <w:pStyle w:val="65"/>
            <w:rPr>
              <w:rFonts w:eastAsia="楷体_GB2312" w:cs="Calibri"/>
              <w:b/>
              <w:bCs/>
              <w:color w:val="23558C"/>
              <w:sz w:val="24"/>
              <w:szCs w:val="24"/>
              <w:lang w:eastAsia="zh-CN"/>
            </w:rPr>
          </w:pPr>
          <w:r>
            <w:rPr>
              <w:rFonts w:hint="eastAsia" w:eastAsia="楷体_GB2312" w:cs="Calibri"/>
              <w:b/>
              <w:bCs/>
              <w:color w:val="23558C"/>
              <w:sz w:val="24"/>
              <w:szCs w:val="24"/>
              <w:lang w:eastAsia="zh-CN"/>
            </w:rPr>
            <w:t>公司名称 (Stock code)</w:t>
          </w:r>
        </w:p>
      </w:tc>
      <w:tc>
        <w:tcPr>
          <w:tcW w:w="4678" w:type="dxa"/>
          <w:tcBorders>
            <w:top w:val="nil"/>
          </w:tcBorders>
          <w:vAlign w:val="center"/>
        </w:tcPr>
        <w:p>
          <w:pPr>
            <w:pStyle w:val="65"/>
            <w:jc w:val="right"/>
            <w:rPr>
              <w:rStyle w:val="67"/>
              <w:rFonts w:eastAsia="楷体_GB2312" w:cs="Calibri"/>
              <w:color w:val="23558C"/>
              <w:sz w:val="24"/>
              <w:lang w:eastAsia="zh-CN"/>
            </w:rPr>
          </w:pPr>
          <w:r>
            <w:rPr>
              <w:rStyle w:val="67"/>
              <w:rFonts w:hint="eastAsia" w:eastAsia="楷体_GB2312" w:cs="Calibri"/>
              <w:color w:val="23558C"/>
              <w:sz w:val="24"/>
              <w:lang w:eastAsia="zh-CN"/>
            </w:rPr>
            <w:t>评级调整</w:t>
          </w:r>
        </w:p>
      </w:tc>
    </w:tr>
  </w:tbl>
  <w:p>
    <w:pPr>
      <w:pStyle w:val="65"/>
      <w:rPr>
        <w:rFonts w:eastAsiaTheme="minorEastAsia"/>
        <w:color w:val="23558C"/>
        <w:lang w:eastAsia="zh-CN"/>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09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pPr>
            <w:pStyle w:val="65"/>
            <w:rPr>
              <w:rFonts w:eastAsia="楷体_GB2312" w:cs="等线"/>
              <w:color w:val="23558C"/>
              <w:sz w:val="24"/>
              <w:lang w:eastAsia="zh-CN"/>
            </w:rPr>
          </w:pPr>
          <w:r>
            <w:rPr>
              <w:rFonts w:eastAsia="楷体_GB2312" w:cs="等线"/>
              <w:color w:val="23558C"/>
              <w:sz w:val="24"/>
              <w:lang w:eastAsia="zh-CN"/>
            </w:rPr>
            <w:t>[Table_header1]</w:t>
          </w:r>
        </w:p>
      </w:tc>
      <w:tc>
        <w:tcPr>
          <w:tcW w:w="4678" w:type="dxa"/>
          <w:tcBorders>
            <w:top w:val="nil"/>
            <w:bottom w:val="nil"/>
          </w:tcBorders>
          <w:vAlign w:val="center"/>
        </w:tcPr>
        <w:p>
          <w:pPr>
            <w:pStyle w:val="65"/>
            <w:jc w:val="right"/>
            <w:rPr>
              <w:rStyle w:val="67"/>
              <w:rFonts w:eastAsia="楷体_GB2312" w:cs="等线"/>
              <w:color w:val="23558C"/>
              <w:sz w:val="24"/>
              <w:lang w:eastAsia="zh-CN"/>
            </w:rPr>
          </w:pP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pPr>
            <w:pStyle w:val="65"/>
            <w:rPr>
              <w:rFonts w:eastAsia="楷体_GB2312" w:cs="Calibri"/>
              <w:b/>
              <w:bCs/>
              <w:color w:val="23558C"/>
              <w:sz w:val="24"/>
              <w:szCs w:val="24"/>
              <w:lang w:eastAsia="zh-CN"/>
            </w:rPr>
          </w:pPr>
          <w:r>
            <w:rPr>
              <w:rFonts w:hint="eastAsia" w:eastAsia="楷体_GB2312" w:cs="Calibri"/>
              <w:b/>
              <w:bCs/>
              <w:color w:val="23558C"/>
              <w:sz w:val="24"/>
              <w:szCs w:val="24"/>
              <w:lang w:eastAsia="zh-CN"/>
            </w:rPr>
            <w:t>公司名称 (Stock code)</w:t>
          </w:r>
        </w:p>
      </w:tc>
      <w:tc>
        <w:tcPr>
          <w:tcW w:w="4678" w:type="dxa"/>
          <w:tcBorders>
            <w:top w:val="nil"/>
          </w:tcBorders>
          <w:vAlign w:val="center"/>
        </w:tcPr>
        <w:p>
          <w:pPr>
            <w:pStyle w:val="65"/>
            <w:jc w:val="right"/>
            <w:rPr>
              <w:rStyle w:val="67"/>
              <w:rFonts w:eastAsia="楷体_GB2312" w:cs="Calibri"/>
              <w:color w:val="23558C"/>
              <w:sz w:val="24"/>
              <w:lang w:eastAsia="zh-CN"/>
            </w:rPr>
          </w:pPr>
          <w:r>
            <w:rPr>
              <w:rStyle w:val="67"/>
              <w:rFonts w:hint="eastAsia" w:eastAsia="楷体_GB2312" w:cs="Calibri"/>
              <w:color w:val="23558C"/>
              <w:sz w:val="24"/>
              <w:lang w:eastAsia="zh-CN"/>
            </w:rPr>
            <w:t>评级调整</w:t>
          </w:r>
        </w:p>
      </w:tc>
    </w:tr>
  </w:tbl>
  <w:p>
    <w:pPr>
      <w:pStyle w:val="13"/>
      <w:jc w:val="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jc w:val="left"/>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Style w:val="20"/>
      <w:tblW w:w="10916" w:type="dxa"/>
      <w:tblCaption w:val="[Table_header1]"/>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14:paraId="63F51F80">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14:paraId="63F51F7E">
          <w:pPr>
            <w:pStyle w:val="65"/>
            <w:rPr>
              <w:rFonts w:eastAsia="楷体_GB2312" w:cs="等线"/>
              <w:color w:val="23558C"/>
              <w:sz w:val="24"/>
              <w:lang w:eastAsia="zh-CN"/>
            </w:rPr>
          </w:pPr>
          <w:r>
            <w:rPr>
              <w:rFonts w:eastAsia="楷体_GB2312" w:cs="等线"/>
              <w:color w:val="23558C"/>
              <w:sz w:val="24"/>
              <w:lang w:eastAsia="zh-CN"/>
            </w:rPr>
            <w:t>[Table_header1]</w:t>
          </w:r>
        </w:p>
      </w:tc>
      <w:tc>
        <w:tcPr>
          <w:tcW w:w="4678" w:type="dxa"/>
          <w:tcBorders>
            <w:top w:val="nil"/>
            <w:bottom w:val="nil"/>
          </w:tcBorders>
          <w:vAlign w:val="center"/>
        </w:tcPr>
        <w:p w14:paraId="63F51F7F">
          <w:pPr>
            <w:pStyle w:val="65"/>
            <w:jc w:val="right"/>
            <w:rPr>
              <w:rStyle w:val="67"/>
              <w:rFonts w:eastAsia="楷体_GB2312" w:cs="等线"/>
              <w:color w:val="23558C"/>
              <w:sz w:val="24"/>
              <w:lang w:eastAsia="zh-CN"/>
            </w:rPr>
          </w:pPr>
        </w:p>
      </w:tc>
    </w:tr>
    <w:tr w14:paraId="63F51F83">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14:paraId="63F51F81">
          <w:pPr>
            <w:pStyle w:val="65"/>
            <w:rPr>
              <w:rFonts w:eastAsia="楷体_GB2312" w:cs="Calibri"/>
              <w:b/>
              <w:bCs/>
              <w:color w:val="23558C"/>
              <w:sz w:val="24"/>
              <w:szCs w:val="24"/>
              <w:lang w:eastAsia="zh-CN"/>
            </w:rPr>
          </w:pPr>
          <w:r>
            <w:rPr>
              <w:rFonts w:hint="eastAsia" w:eastAsia="楷体_GB2312" w:cs="Calibri"/>
              <w:b/>
              <w:bCs/>
              <w:color w:val="23558C"/>
              <w:sz w:val="24"/>
              <w:szCs w:val="24"/>
              <w:lang w:eastAsia="zh-CN"/>
            </w:rPr>
            <w:t>公司名称 (Stock code)</w:t>
          </w:r>
        </w:p>
      </w:tc>
      <w:tc>
        <w:tcPr>
          <w:tcW w:w="4678" w:type="dxa"/>
          <w:tcBorders>
            <w:top w:val="nil"/>
          </w:tcBorders>
          <w:vAlign w:val="center"/>
        </w:tcPr>
        <w:p w14:paraId="63F51F82">
          <w:pPr>
            <w:pStyle w:val="65"/>
            <w:jc w:val="right"/>
            <w:rPr>
              <w:rStyle w:val="67"/>
              <w:rFonts w:eastAsia="楷体_GB2312" w:cs="Calibri"/>
              <w:color w:val="23558C"/>
              <w:sz w:val="24"/>
              <w:lang w:eastAsia="zh-CN"/>
            </w:rPr>
          </w:pPr>
          <w:r>
            <w:rPr>
              <w:rStyle w:val="67"/>
              <w:rFonts w:hint="eastAsia" w:eastAsia="楷体_GB2312" w:cs="Calibri"/>
              <w:color w:val="23558C"/>
              <w:sz w:val="24"/>
              <w:lang w:eastAsia="zh-CN"/>
            </w:rPr>
            <w:t>评级调整</w:t>
          </w:r>
        </w:p>
      </w:tc>
    </w:tr>
  </w:tbl>
  <w:p w14:paraId="63F51F84">
    <w:pPr>
      <w:pStyle w:val="65"/>
      <w:rPr>
        <w:rFonts w:eastAsiaTheme="minorEastAsia"/>
        <w:color w:val="23558C"/>
        <w:lang w:eastAsia="zh-CN"/>
      </w:rPr>
    </w:pP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Style w:val="20"/>
      <w:tblW w:w="10916" w:type="dxa"/>
      <w:tblCaption w:val="[Table_header1]"/>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14:paraId="63F51F80">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14:paraId="63F51F7E">
          <w:pPr>
            <w:pStyle w:val="65"/>
            <w:rPr>
              <w:rFonts w:eastAsia="楷体_GB2312" w:cs="等线"/>
              <w:color w:val="23558C"/>
              <w:sz w:val="24"/>
              <w:lang w:eastAsia="zh-CN"/>
            </w:rPr>
          </w:pPr>
          <w:r>
            <w:rPr>
              <w:rFonts w:eastAsia="楷体_GB2312" w:cs="等线"/>
              <w:color w:val="23558C"/>
              <w:sz w:val="24"/>
              <w:lang w:eastAsia="zh-CN"/>
            </w:rPr>
            <w:t>[Table_header1]</w:t>
          </w:r>
        </w:p>
      </w:tc>
      <w:tc>
        <w:tcPr>
          <w:tcW w:w="4678" w:type="dxa"/>
          <w:tcBorders>
            <w:top w:val="nil"/>
            <w:bottom w:val="nil"/>
          </w:tcBorders>
          <w:vAlign w:val="center"/>
        </w:tcPr>
        <w:p w14:paraId="63F51F7F">
          <w:pPr>
            <w:pStyle w:val="65"/>
            <w:jc w:val="right"/>
            <w:rPr>
              <w:rStyle w:val="67"/>
              <w:rFonts w:eastAsia="楷体_GB2312" w:cs="等线"/>
              <w:color w:val="23558C"/>
              <w:sz w:val="24"/>
              <w:lang w:eastAsia="zh-CN"/>
            </w:rPr>
          </w:pPr>
        </w:p>
      </w:tc>
    </w:tr>
    <w:tr w14:paraId="63F51F83">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14:paraId="63F51F81">
          <w:pPr>
            <w:pStyle w:val="65"/>
            <w:rPr>
              <w:rFonts w:eastAsia="楷体_GB2312" w:cs="Calibri"/>
              <w:b/>
              <w:bCs/>
              <w:color w:val="23558C"/>
              <w:sz w:val="24"/>
              <w:szCs w:val="24"/>
              <w:lang w:eastAsia="zh-CN"/>
            </w:rPr>
          </w:pPr>
          <w:r>
            <w:rPr>
              <w:rFonts w:hint="eastAsia" w:eastAsia="楷体_GB2312" w:cs="Calibri"/>
              <w:b/>
              <w:bCs/>
              <w:color w:val="23558C"/>
              <w:sz w:val="24"/>
              <w:szCs w:val="24"/>
              <w:lang w:eastAsia="zh-CN"/>
            </w:rPr>
            <w:t>公司名称 (Stock code)</w:t>
          </w:r>
        </w:p>
      </w:tc>
      <w:tc>
        <w:tcPr>
          <w:tcW w:w="4678" w:type="dxa"/>
          <w:tcBorders>
            <w:top w:val="nil"/>
          </w:tcBorders>
          <w:vAlign w:val="center"/>
        </w:tcPr>
        <w:p w14:paraId="63F51F82">
          <w:pPr>
            <w:pStyle w:val="65"/>
            <w:jc w:val="right"/>
            <w:rPr>
              <w:rStyle w:val="67"/>
              <w:rFonts w:eastAsia="楷体_GB2312" w:cs="Calibri"/>
              <w:color w:val="23558C"/>
              <w:sz w:val="24"/>
              <w:lang w:eastAsia="zh-CN"/>
            </w:rPr>
          </w:pPr>
          <w:r>
            <w:rPr>
              <w:rStyle w:val="67"/>
              <w:rFonts w:hint="eastAsia" w:eastAsia="楷体_GB2312" w:cs="Calibri"/>
              <w:color w:val="23558C"/>
              <w:sz w:val="24"/>
              <w:lang w:eastAsia="zh-CN"/>
            </w:rPr>
            <w:t>评级调整</w:t>
          </w:r>
        </w:p>
      </w:tc>
    </w:tr>
  </w:tbl>
  <w:p w14:paraId="63F51F84">
    <w:pPr>
      <w:pStyle w:val="65"/>
      <w:rPr>
        <w:rFonts w:eastAsiaTheme="minorEastAsia"/>
        <w:color w:val="23558C"/>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4CE7F8"/>
    <w:multiLevelType w:val="singleLevel"/>
    <w:tmpl w:val="984CE7F8"/>
    <w:lvl w:ilvl="0" w:tentative="0">
      <w:start w:val="1"/>
      <w:numFmt w:val="decimal"/>
      <w:lvlText w:val="%1)"/>
      <w:lvlJc w:val="left"/>
      <w:pPr>
        <w:tabs>
          <w:tab w:val="left" w:pos="312"/>
        </w:tabs>
      </w:pPr>
    </w:lvl>
  </w:abstractNum>
  <w:abstractNum w:abstractNumId="1">
    <w:nsid w:val="0C734EF2"/>
    <w:multiLevelType w:val="multilevel"/>
    <w:tmpl w:val="0C734EF2"/>
    <w:lvl w:ilvl="0" w:tentative="0">
      <w:start w:val="1"/>
      <w:numFmt w:val="decimal"/>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170D0AD2"/>
    <w:multiLevelType w:val="multilevel"/>
    <w:tmpl w:val="170D0AD2"/>
    <w:lvl w:ilvl="0" w:tentative="0">
      <w:start w:val="1"/>
      <w:numFmt w:val="decimal"/>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1A351FC1"/>
    <w:multiLevelType w:val="multilevel"/>
    <w:tmpl w:val="1A351FC1"/>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28630A4C"/>
    <w:multiLevelType w:val="multilevel"/>
    <w:tmpl w:val="28630A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A7C6594"/>
    <w:multiLevelType w:val="multilevel"/>
    <w:tmpl w:val="3A7C6594"/>
    <w:lvl w:ilvl="0" w:tentative="0">
      <w:start w:val="1"/>
      <w:numFmt w:val="decimal"/>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416F7145"/>
    <w:multiLevelType w:val="multilevel"/>
    <w:tmpl w:val="416F7145"/>
    <w:lvl w:ilvl="0" w:tentative="0">
      <w:start w:val="1"/>
      <w:numFmt w:val="decimal"/>
      <w:lvlText w:val="%1)"/>
      <w:lvlJc w:val="left"/>
      <w:pPr>
        <w:tabs>
          <w:tab w:val="left" w:pos="720"/>
        </w:tabs>
        <w:ind w:left="720" w:hanging="360"/>
      </w:pPr>
      <w:rPr>
        <w:rFonts w:ascii="Calibri" w:hAnsi="Calibri" w:eastAsia="楷体" w:cs="Calibri"/>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4EDF7737"/>
    <w:multiLevelType w:val="multilevel"/>
    <w:tmpl w:val="4EDF7737"/>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8">
    <w:nsid w:val="54CF43BB"/>
    <w:multiLevelType w:val="multilevel"/>
    <w:tmpl w:val="54CF43BB"/>
    <w:lvl w:ilvl="0" w:tentative="0">
      <w:start w:val="1"/>
      <w:numFmt w:val="decimal"/>
      <w:pStyle w:val="74"/>
      <w:suff w:val="nothing"/>
      <w:lvlText w:val="图表%1："/>
      <w:lvlJc w:val="left"/>
      <w:pPr>
        <w:ind w:left="0" w:firstLine="0"/>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9">
    <w:nsid w:val="64573A64"/>
    <w:multiLevelType w:val="multilevel"/>
    <w:tmpl w:val="64573A64"/>
    <w:lvl w:ilvl="0" w:tentative="0">
      <w:start w:val="1"/>
      <w:numFmt w:val="decimalEnclosedCircle"/>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0">
    <w:nsid w:val="789549F9"/>
    <w:multiLevelType w:val="multilevel"/>
    <w:tmpl w:val="789549F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004EA201"/>
    <w:multiLevelType w:val="multilevel"/>
    <w:tmpl w:val="28630A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038D7615"/>
    <w:multiLevelType w:val="multilevel"/>
    <w:tmpl w:val="1A351FC1"/>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3">
    <w:nsid w:val="0182A9ED"/>
    <w:multiLevelType w:val="multilevel"/>
    <w:tmpl w:val="0C734EF2"/>
    <w:lvl w:ilvl="0" w:tentative="0">
      <w:start w:val="1"/>
      <w:numFmt w:val="decimal"/>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4">
    <w:nsid w:val="035062A9"/>
    <w:multiLevelType w:val="multilevel"/>
    <w:tmpl w:val="416F7145"/>
    <w:lvl w:ilvl="0" w:tentative="0">
      <w:start w:val="1"/>
      <w:numFmt w:val="decimal"/>
      <w:lvlText w:val="%1)"/>
      <w:lvlJc w:val="left"/>
      <w:pPr>
        <w:tabs>
          <w:tab w:val="left" w:pos="720"/>
        </w:tabs>
        <w:ind w:left="720" w:hanging="360"/>
      </w:pPr>
      <w:rPr>
        <w:rFonts w:ascii="Calibri" w:hAnsi="Calibri" w:eastAsia="楷体" w:cs="Calibri"/>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0588854E"/>
    <w:multiLevelType w:val="singleLevel"/>
    <w:tmpl w:val="984CE7F8"/>
    <w:lvl w:ilvl="0" w:tentative="0">
      <w:start w:val="1"/>
      <w:numFmt w:val="decimal"/>
      <w:lvlText w:val="%1)"/>
      <w:lvlJc w:val="left"/>
      <w:pPr>
        <w:tabs>
          <w:tab w:val="left" w:pos="312"/>
        </w:tabs>
      </w:pPr>
    </w:lvl>
  </w:abstractNum>
  <w:abstractNum w:abstractNumId="16">
    <w:nsid w:val="0372CED0"/>
    <w:multiLevelType w:val="multilevel"/>
    <w:tmpl w:val="170D0AD2"/>
    <w:lvl w:ilvl="0" w:tentative="0">
      <w:start w:val="1"/>
      <w:numFmt w:val="decimal"/>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7">
    <w:nsid w:val="01DEE1FC"/>
    <w:multiLevelType w:val="multilevel"/>
    <w:tmpl w:val="789549F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029EFA12"/>
    <w:multiLevelType w:val="multilevel"/>
    <w:tmpl w:val="3A7C6594"/>
    <w:lvl w:ilvl="0" w:tentative="0">
      <w:start w:val="1"/>
      <w:numFmt w:val="decimal"/>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9">
    <w:nsid w:val="0030E3A9"/>
    <w:multiLevelType w:val="multilevel"/>
    <w:tmpl w:val="4EDF7737"/>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0">
    <w:nsid w:val="04C40547"/>
    <w:multiLevelType w:val="multilevel"/>
    <w:tmpl w:val="64573A64"/>
    <w:lvl w:ilvl="0" w:tentative="0">
      <w:start w:val="1"/>
      <w:numFmt w:val="decimalEnclosedCircle"/>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8"/>
  </w:num>
  <w:num w:numId="2">
    <w:abstractNumId w:val="4"/>
  </w:num>
  <w:num w:numId="3">
    <w:abstractNumId w:val="3"/>
  </w:num>
  <w:num w:numId="4">
    <w:abstractNumId w:val="1"/>
  </w:num>
  <w:num w:numId="5">
    <w:abstractNumId w:val="6"/>
  </w:num>
  <w:num w:numId="6">
    <w:abstractNumId w:val="0"/>
  </w:num>
  <w:num w:numId="7">
    <w:abstractNumId w:val="2"/>
  </w:num>
  <w:num w:numId="8">
    <w:abstractNumId w:val="10"/>
  </w:num>
  <w:num w:numId="9">
    <w:abstractNumId w:val="5"/>
  </w:num>
  <w:num w:numId="10">
    <w:abstractNumId w:val="7"/>
  </w:num>
  <w:num w:numId="12">
    <w:abstractNumId w:val="11"/>
  </w:num>
  <w:num w:numId="13">
    <w:abstractNumId w:val="12"/>
  </w:num>
  <w:num w:numId="14">
    <w:abstractNumId w:val="12"/>
    <w:lvlOverride w:ilvl="0">
      <w:startOverride w:val="1"/>
    </w:lvlOverride>
  </w:num>
  <w:num w:numId="15">
    <w:abstractNumId w:val="13"/>
  </w:num>
  <w:num w:numId="16">
    <w:abstractNumId w:val="14"/>
  </w:num>
  <w:num w:numId="17">
    <w:abstractNumId w:val="15"/>
  </w:num>
  <w:num w:numId="18">
    <w:abstractNumId w:val="16"/>
  </w:num>
  <w:num w:numId="19">
    <w:abstractNumId w:val="17"/>
  </w:num>
  <w:num w:numId="20">
    <w:abstractNumId w:val="18"/>
  </w:num>
  <w:num w:numId="21">
    <w:abstractNumId w:val="19"/>
  </w:num>
  <w:num w:numId="22">
    <w:abstractNumId w:val="2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HorizontalSpacing w:val="110"/>
  <w:drawingGridVerticalSpacing w:val="299"/>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RlOWU1OWFiZTlkMDIxMDc5MTk1MDFjOTRlNGRkZTIifQ=="/>
  </w:docVars>
  <w:rsids>
    <w:rsidRoot w:val="00BD4463"/>
    <w:rsid w:val="00011DD2"/>
    <w:rsid w:val="00017725"/>
    <w:rsid w:val="000202AF"/>
    <w:rsid w:val="000251D0"/>
    <w:rsid w:val="00033511"/>
    <w:rsid w:val="00041BFB"/>
    <w:rsid w:val="00046898"/>
    <w:rsid w:val="00055D29"/>
    <w:rsid w:val="00056A90"/>
    <w:rsid w:val="00057C7D"/>
    <w:rsid w:val="000713E3"/>
    <w:rsid w:val="00075786"/>
    <w:rsid w:val="00076105"/>
    <w:rsid w:val="0007641A"/>
    <w:rsid w:val="00087D89"/>
    <w:rsid w:val="00090408"/>
    <w:rsid w:val="00096427"/>
    <w:rsid w:val="000B3AF7"/>
    <w:rsid w:val="000E09D6"/>
    <w:rsid w:val="000E270F"/>
    <w:rsid w:val="000E303E"/>
    <w:rsid w:val="000E7974"/>
    <w:rsid w:val="000F11D3"/>
    <w:rsid w:val="000F2731"/>
    <w:rsid w:val="000F6A83"/>
    <w:rsid w:val="00103FAD"/>
    <w:rsid w:val="00105FC9"/>
    <w:rsid w:val="00111C4A"/>
    <w:rsid w:val="00116CD7"/>
    <w:rsid w:val="001171A2"/>
    <w:rsid w:val="00133BA6"/>
    <w:rsid w:val="00135CCD"/>
    <w:rsid w:val="001422E2"/>
    <w:rsid w:val="00143D1B"/>
    <w:rsid w:val="00146323"/>
    <w:rsid w:val="00152394"/>
    <w:rsid w:val="0015395E"/>
    <w:rsid w:val="001616A4"/>
    <w:rsid w:val="00175D3C"/>
    <w:rsid w:val="00176D52"/>
    <w:rsid w:val="00182F72"/>
    <w:rsid w:val="00193C1B"/>
    <w:rsid w:val="00196F29"/>
    <w:rsid w:val="001A238D"/>
    <w:rsid w:val="001A4840"/>
    <w:rsid w:val="001B2407"/>
    <w:rsid w:val="001B2DAD"/>
    <w:rsid w:val="001C1AD7"/>
    <w:rsid w:val="001C5A54"/>
    <w:rsid w:val="001D1C26"/>
    <w:rsid w:val="001D7381"/>
    <w:rsid w:val="001E0203"/>
    <w:rsid w:val="001E6692"/>
    <w:rsid w:val="001E7C6C"/>
    <w:rsid w:val="001F2F73"/>
    <w:rsid w:val="001F71F6"/>
    <w:rsid w:val="002062F5"/>
    <w:rsid w:val="00225EBE"/>
    <w:rsid w:val="00226FA3"/>
    <w:rsid w:val="0023495B"/>
    <w:rsid w:val="00234E19"/>
    <w:rsid w:val="00257895"/>
    <w:rsid w:val="002603A5"/>
    <w:rsid w:val="00273CC8"/>
    <w:rsid w:val="002763D5"/>
    <w:rsid w:val="00276E0E"/>
    <w:rsid w:val="00277044"/>
    <w:rsid w:val="002862BE"/>
    <w:rsid w:val="00292DC5"/>
    <w:rsid w:val="00296498"/>
    <w:rsid w:val="002A0007"/>
    <w:rsid w:val="002A5C04"/>
    <w:rsid w:val="002B6266"/>
    <w:rsid w:val="002B7A93"/>
    <w:rsid w:val="002C6686"/>
    <w:rsid w:val="002D7AA3"/>
    <w:rsid w:val="002E0F1F"/>
    <w:rsid w:val="002E6121"/>
    <w:rsid w:val="002E6DA6"/>
    <w:rsid w:val="002E724D"/>
    <w:rsid w:val="00306BC2"/>
    <w:rsid w:val="00307B37"/>
    <w:rsid w:val="00313DBF"/>
    <w:rsid w:val="00341C85"/>
    <w:rsid w:val="00354093"/>
    <w:rsid w:val="0036718A"/>
    <w:rsid w:val="00371AB5"/>
    <w:rsid w:val="00373DD0"/>
    <w:rsid w:val="00380826"/>
    <w:rsid w:val="003825B2"/>
    <w:rsid w:val="00392148"/>
    <w:rsid w:val="003A13B4"/>
    <w:rsid w:val="003A6133"/>
    <w:rsid w:val="003C4674"/>
    <w:rsid w:val="003E19BA"/>
    <w:rsid w:val="003E37A6"/>
    <w:rsid w:val="003E4D04"/>
    <w:rsid w:val="003F10DE"/>
    <w:rsid w:val="003F2203"/>
    <w:rsid w:val="003F45FE"/>
    <w:rsid w:val="003F73CC"/>
    <w:rsid w:val="0040446F"/>
    <w:rsid w:val="004149AB"/>
    <w:rsid w:val="00420104"/>
    <w:rsid w:val="00421E56"/>
    <w:rsid w:val="0042509C"/>
    <w:rsid w:val="0043512D"/>
    <w:rsid w:val="00447124"/>
    <w:rsid w:val="00450C7D"/>
    <w:rsid w:val="00466F61"/>
    <w:rsid w:val="00481DEF"/>
    <w:rsid w:val="00481F4B"/>
    <w:rsid w:val="00487065"/>
    <w:rsid w:val="004963D6"/>
    <w:rsid w:val="004A7B5E"/>
    <w:rsid w:val="004B0492"/>
    <w:rsid w:val="004B450C"/>
    <w:rsid w:val="004C3B38"/>
    <w:rsid w:val="004C4941"/>
    <w:rsid w:val="004E0FD4"/>
    <w:rsid w:val="0050383B"/>
    <w:rsid w:val="00506F8F"/>
    <w:rsid w:val="005167E6"/>
    <w:rsid w:val="0051687F"/>
    <w:rsid w:val="00520126"/>
    <w:rsid w:val="005217E2"/>
    <w:rsid w:val="00532076"/>
    <w:rsid w:val="00532560"/>
    <w:rsid w:val="00533169"/>
    <w:rsid w:val="005411FC"/>
    <w:rsid w:val="00544DF8"/>
    <w:rsid w:val="005455A3"/>
    <w:rsid w:val="00575DC5"/>
    <w:rsid w:val="005844D5"/>
    <w:rsid w:val="005944BC"/>
    <w:rsid w:val="00595C62"/>
    <w:rsid w:val="005979D9"/>
    <w:rsid w:val="005A31CB"/>
    <w:rsid w:val="005A5975"/>
    <w:rsid w:val="005A6C73"/>
    <w:rsid w:val="005A7DD7"/>
    <w:rsid w:val="005B03D1"/>
    <w:rsid w:val="005B1078"/>
    <w:rsid w:val="005B7729"/>
    <w:rsid w:val="005C7598"/>
    <w:rsid w:val="005F114D"/>
    <w:rsid w:val="005F75F3"/>
    <w:rsid w:val="006112ED"/>
    <w:rsid w:val="006122AB"/>
    <w:rsid w:val="006206E5"/>
    <w:rsid w:val="0062713A"/>
    <w:rsid w:val="0064026B"/>
    <w:rsid w:val="006554E8"/>
    <w:rsid w:val="006615AD"/>
    <w:rsid w:val="006705E4"/>
    <w:rsid w:val="00681246"/>
    <w:rsid w:val="00690B0E"/>
    <w:rsid w:val="006A2E9C"/>
    <w:rsid w:val="006B3B5D"/>
    <w:rsid w:val="006C55B0"/>
    <w:rsid w:val="006D623B"/>
    <w:rsid w:val="006E0295"/>
    <w:rsid w:val="006E48C9"/>
    <w:rsid w:val="006E5D7D"/>
    <w:rsid w:val="006F15BC"/>
    <w:rsid w:val="00713E1F"/>
    <w:rsid w:val="007319B0"/>
    <w:rsid w:val="00731DBD"/>
    <w:rsid w:val="00743C01"/>
    <w:rsid w:val="007443F2"/>
    <w:rsid w:val="00747957"/>
    <w:rsid w:val="00750267"/>
    <w:rsid w:val="00757736"/>
    <w:rsid w:val="007629C2"/>
    <w:rsid w:val="00764E26"/>
    <w:rsid w:val="00765C37"/>
    <w:rsid w:val="00766EB1"/>
    <w:rsid w:val="007678A7"/>
    <w:rsid w:val="00772E4B"/>
    <w:rsid w:val="007731E9"/>
    <w:rsid w:val="007803D0"/>
    <w:rsid w:val="0078115F"/>
    <w:rsid w:val="00785D57"/>
    <w:rsid w:val="007951E2"/>
    <w:rsid w:val="007A0911"/>
    <w:rsid w:val="007B6EB9"/>
    <w:rsid w:val="007B7727"/>
    <w:rsid w:val="007C1C7B"/>
    <w:rsid w:val="007C609E"/>
    <w:rsid w:val="007D1EDD"/>
    <w:rsid w:val="007D76ED"/>
    <w:rsid w:val="007E42B5"/>
    <w:rsid w:val="007E6603"/>
    <w:rsid w:val="007F1FF3"/>
    <w:rsid w:val="007F6592"/>
    <w:rsid w:val="008130EE"/>
    <w:rsid w:val="008232F5"/>
    <w:rsid w:val="00836545"/>
    <w:rsid w:val="00836703"/>
    <w:rsid w:val="00862866"/>
    <w:rsid w:val="00863B10"/>
    <w:rsid w:val="00866767"/>
    <w:rsid w:val="0087252F"/>
    <w:rsid w:val="00873A8B"/>
    <w:rsid w:val="00874B76"/>
    <w:rsid w:val="008900E8"/>
    <w:rsid w:val="008930F9"/>
    <w:rsid w:val="008A4410"/>
    <w:rsid w:val="008A52B2"/>
    <w:rsid w:val="008B3D75"/>
    <w:rsid w:val="008C3A1E"/>
    <w:rsid w:val="008C596A"/>
    <w:rsid w:val="008D4573"/>
    <w:rsid w:val="008D5FF2"/>
    <w:rsid w:val="008E356D"/>
    <w:rsid w:val="008E5ED3"/>
    <w:rsid w:val="008F41FB"/>
    <w:rsid w:val="00902D71"/>
    <w:rsid w:val="009113CF"/>
    <w:rsid w:val="009218CD"/>
    <w:rsid w:val="0092222A"/>
    <w:rsid w:val="0092226A"/>
    <w:rsid w:val="0093282B"/>
    <w:rsid w:val="00933F9D"/>
    <w:rsid w:val="00942F89"/>
    <w:rsid w:val="00943DFB"/>
    <w:rsid w:val="00946E18"/>
    <w:rsid w:val="00963044"/>
    <w:rsid w:val="009738D2"/>
    <w:rsid w:val="00976834"/>
    <w:rsid w:val="00980A31"/>
    <w:rsid w:val="00983470"/>
    <w:rsid w:val="00984680"/>
    <w:rsid w:val="00984D92"/>
    <w:rsid w:val="00990E76"/>
    <w:rsid w:val="00995AF7"/>
    <w:rsid w:val="00996501"/>
    <w:rsid w:val="009B0F1B"/>
    <w:rsid w:val="009B2EA6"/>
    <w:rsid w:val="009B36AD"/>
    <w:rsid w:val="009C1252"/>
    <w:rsid w:val="009C4303"/>
    <w:rsid w:val="009C61E1"/>
    <w:rsid w:val="009D5877"/>
    <w:rsid w:val="009D5FF6"/>
    <w:rsid w:val="009D7B9C"/>
    <w:rsid w:val="00A00D3E"/>
    <w:rsid w:val="00A02AE7"/>
    <w:rsid w:val="00A21ACB"/>
    <w:rsid w:val="00A2219A"/>
    <w:rsid w:val="00A2270B"/>
    <w:rsid w:val="00A354E2"/>
    <w:rsid w:val="00A40B50"/>
    <w:rsid w:val="00A421B4"/>
    <w:rsid w:val="00A42977"/>
    <w:rsid w:val="00A43022"/>
    <w:rsid w:val="00A434D2"/>
    <w:rsid w:val="00A52387"/>
    <w:rsid w:val="00A5278A"/>
    <w:rsid w:val="00A53D1A"/>
    <w:rsid w:val="00A5610E"/>
    <w:rsid w:val="00A574E3"/>
    <w:rsid w:val="00A60166"/>
    <w:rsid w:val="00A770FF"/>
    <w:rsid w:val="00A91507"/>
    <w:rsid w:val="00A920D7"/>
    <w:rsid w:val="00A96B1A"/>
    <w:rsid w:val="00AA1370"/>
    <w:rsid w:val="00AC739C"/>
    <w:rsid w:val="00AD4928"/>
    <w:rsid w:val="00AF1F91"/>
    <w:rsid w:val="00AF469A"/>
    <w:rsid w:val="00AF4A2E"/>
    <w:rsid w:val="00AF57D5"/>
    <w:rsid w:val="00B0101E"/>
    <w:rsid w:val="00B128F4"/>
    <w:rsid w:val="00B22AE0"/>
    <w:rsid w:val="00B31669"/>
    <w:rsid w:val="00B3195C"/>
    <w:rsid w:val="00B419E6"/>
    <w:rsid w:val="00B44C5E"/>
    <w:rsid w:val="00B472E8"/>
    <w:rsid w:val="00B50C5F"/>
    <w:rsid w:val="00B65F90"/>
    <w:rsid w:val="00B70510"/>
    <w:rsid w:val="00B72101"/>
    <w:rsid w:val="00B9388A"/>
    <w:rsid w:val="00BA3635"/>
    <w:rsid w:val="00BC67AD"/>
    <w:rsid w:val="00BD0305"/>
    <w:rsid w:val="00BD4463"/>
    <w:rsid w:val="00BD577C"/>
    <w:rsid w:val="00BD5EDB"/>
    <w:rsid w:val="00BE48C2"/>
    <w:rsid w:val="00BE4E09"/>
    <w:rsid w:val="00BF4820"/>
    <w:rsid w:val="00BF4D2E"/>
    <w:rsid w:val="00C04961"/>
    <w:rsid w:val="00C05926"/>
    <w:rsid w:val="00C17F91"/>
    <w:rsid w:val="00C2387C"/>
    <w:rsid w:val="00C25570"/>
    <w:rsid w:val="00C26D9F"/>
    <w:rsid w:val="00C34AB2"/>
    <w:rsid w:val="00C41D35"/>
    <w:rsid w:val="00C46ABE"/>
    <w:rsid w:val="00C54927"/>
    <w:rsid w:val="00C55570"/>
    <w:rsid w:val="00C766BE"/>
    <w:rsid w:val="00C83D78"/>
    <w:rsid w:val="00C84BDC"/>
    <w:rsid w:val="00C869E3"/>
    <w:rsid w:val="00C90E44"/>
    <w:rsid w:val="00C9251F"/>
    <w:rsid w:val="00C94F8A"/>
    <w:rsid w:val="00C96DC8"/>
    <w:rsid w:val="00C9747C"/>
    <w:rsid w:val="00C9769A"/>
    <w:rsid w:val="00C9794E"/>
    <w:rsid w:val="00CB7BBA"/>
    <w:rsid w:val="00CC362C"/>
    <w:rsid w:val="00CD5316"/>
    <w:rsid w:val="00CD6F67"/>
    <w:rsid w:val="00CD775C"/>
    <w:rsid w:val="00CE76D0"/>
    <w:rsid w:val="00CF629D"/>
    <w:rsid w:val="00CF7F45"/>
    <w:rsid w:val="00D00C61"/>
    <w:rsid w:val="00D03998"/>
    <w:rsid w:val="00D10610"/>
    <w:rsid w:val="00D15E10"/>
    <w:rsid w:val="00D2081E"/>
    <w:rsid w:val="00D218B4"/>
    <w:rsid w:val="00D41443"/>
    <w:rsid w:val="00D44D5F"/>
    <w:rsid w:val="00D46485"/>
    <w:rsid w:val="00D65D41"/>
    <w:rsid w:val="00D71D83"/>
    <w:rsid w:val="00DC2CE3"/>
    <w:rsid w:val="00DC4310"/>
    <w:rsid w:val="00DC4499"/>
    <w:rsid w:val="00DC6D34"/>
    <w:rsid w:val="00DC7F41"/>
    <w:rsid w:val="00DD6441"/>
    <w:rsid w:val="00DE1243"/>
    <w:rsid w:val="00DE17BB"/>
    <w:rsid w:val="00DE57B9"/>
    <w:rsid w:val="00DE5FDC"/>
    <w:rsid w:val="00DE7929"/>
    <w:rsid w:val="00E00D40"/>
    <w:rsid w:val="00E02F2B"/>
    <w:rsid w:val="00E03CFB"/>
    <w:rsid w:val="00E074A6"/>
    <w:rsid w:val="00E14403"/>
    <w:rsid w:val="00E155EE"/>
    <w:rsid w:val="00E16574"/>
    <w:rsid w:val="00E26849"/>
    <w:rsid w:val="00E30ACA"/>
    <w:rsid w:val="00E31B78"/>
    <w:rsid w:val="00E44D9F"/>
    <w:rsid w:val="00E51DDF"/>
    <w:rsid w:val="00E55E17"/>
    <w:rsid w:val="00E62D2F"/>
    <w:rsid w:val="00E83AF0"/>
    <w:rsid w:val="00E95165"/>
    <w:rsid w:val="00EB0A31"/>
    <w:rsid w:val="00EE74A4"/>
    <w:rsid w:val="00EE7BE4"/>
    <w:rsid w:val="00EF1881"/>
    <w:rsid w:val="00F06E7F"/>
    <w:rsid w:val="00F1146A"/>
    <w:rsid w:val="00F16C6B"/>
    <w:rsid w:val="00F27DC9"/>
    <w:rsid w:val="00F45E4D"/>
    <w:rsid w:val="00F47F0F"/>
    <w:rsid w:val="00F50DB3"/>
    <w:rsid w:val="00F511C7"/>
    <w:rsid w:val="00F528B0"/>
    <w:rsid w:val="00F55590"/>
    <w:rsid w:val="00F80860"/>
    <w:rsid w:val="00F80B9B"/>
    <w:rsid w:val="00F83054"/>
    <w:rsid w:val="00F9066D"/>
    <w:rsid w:val="00F91BE1"/>
    <w:rsid w:val="00F92099"/>
    <w:rsid w:val="00F9632B"/>
    <w:rsid w:val="00FA5472"/>
    <w:rsid w:val="00FB1434"/>
    <w:rsid w:val="00FB60AC"/>
    <w:rsid w:val="00FC07BE"/>
    <w:rsid w:val="00FC0826"/>
    <w:rsid w:val="00FC6E8E"/>
    <w:rsid w:val="00FD18FF"/>
    <w:rsid w:val="00FD3BF1"/>
    <w:rsid w:val="00FD4517"/>
    <w:rsid w:val="00FF191C"/>
    <w:rsid w:val="01803809"/>
    <w:rsid w:val="033A0998"/>
    <w:rsid w:val="03502CFD"/>
    <w:rsid w:val="04656EB0"/>
    <w:rsid w:val="049802FF"/>
    <w:rsid w:val="04BF763E"/>
    <w:rsid w:val="061340E1"/>
    <w:rsid w:val="062A4F87"/>
    <w:rsid w:val="064A387B"/>
    <w:rsid w:val="074C2609"/>
    <w:rsid w:val="07E74E75"/>
    <w:rsid w:val="08182C56"/>
    <w:rsid w:val="083057A7"/>
    <w:rsid w:val="0990783C"/>
    <w:rsid w:val="0CED3B15"/>
    <w:rsid w:val="0D662AF9"/>
    <w:rsid w:val="0DB66863"/>
    <w:rsid w:val="0E2C5125"/>
    <w:rsid w:val="17BB6387"/>
    <w:rsid w:val="183550CA"/>
    <w:rsid w:val="185D5F59"/>
    <w:rsid w:val="189501D2"/>
    <w:rsid w:val="189961EA"/>
    <w:rsid w:val="1A060856"/>
    <w:rsid w:val="1C3862A2"/>
    <w:rsid w:val="1C5E5533"/>
    <w:rsid w:val="1DA664C1"/>
    <w:rsid w:val="1EBF0EDC"/>
    <w:rsid w:val="1EED11DB"/>
    <w:rsid w:val="1F433D04"/>
    <w:rsid w:val="1FE05983"/>
    <w:rsid w:val="218250DB"/>
    <w:rsid w:val="24EA7087"/>
    <w:rsid w:val="24F2272A"/>
    <w:rsid w:val="25BB2A60"/>
    <w:rsid w:val="2613738E"/>
    <w:rsid w:val="265D6995"/>
    <w:rsid w:val="2696426F"/>
    <w:rsid w:val="26D5436F"/>
    <w:rsid w:val="27DD7501"/>
    <w:rsid w:val="28680D51"/>
    <w:rsid w:val="286B32A9"/>
    <w:rsid w:val="28F37D06"/>
    <w:rsid w:val="296A5517"/>
    <w:rsid w:val="29984D05"/>
    <w:rsid w:val="29E131C2"/>
    <w:rsid w:val="2B2139A1"/>
    <w:rsid w:val="2B941207"/>
    <w:rsid w:val="2BD02324"/>
    <w:rsid w:val="2C4A3730"/>
    <w:rsid w:val="2C604F77"/>
    <w:rsid w:val="2E870FE2"/>
    <w:rsid w:val="2F3B040D"/>
    <w:rsid w:val="303B11BD"/>
    <w:rsid w:val="312E24DA"/>
    <w:rsid w:val="315F1A90"/>
    <w:rsid w:val="32136C77"/>
    <w:rsid w:val="32BA76E3"/>
    <w:rsid w:val="360F461D"/>
    <w:rsid w:val="36854A8D"/>
    <w:rsid w:val="36F01431"/>
    <w:rsid w:val="3899321B"/>
    <w:rsid w:val="3A7F4ED5"/>
    <w:rsid w:val="3D1E60DF"/>
    <w:rsid w:val="3DDA0A65"/>
    <w:rsid w:val="3F632CDC"/>
    <w:rsid w:val="3FAF0F8B"/>
    <w:rsid w:val="3FB70595"/>
    <w:rsid w:val="456C120C"/>
    <w:rsid w:val="459540B0"/>
    <w:rsid w:val="46C61DFB"/>
    <w:rsid w:val="47EC4551"/>
    <w:rsid w:val="47FF4A0A"/>
    <w:rsid w:val="494241ED"/>
    <w:rsid w:val="499C0C49"/>
    <w:rsid w:val="49D01C80"/>
    <w:rsid w:val="4A7F2511"/>
    <w:rsid w:val="4AEF6A83"/>
    <w:rsid w:val="4F210225"/>
    <w:rsid w:val="4FAE7AF5"/>
    <w:rsid w:val="50A23EEF"/>
    <w:rsid w:val="50D45F65"/>
    <w:rsid w:val="514F7346"/>
    <w:rsid w:val="531A6B64"/>
    <w:rsid w:val="535F1857"/>
    <w:rsid w:val="547B1ECB"/>
    <w:rsid w:val="54B96610"/>
    <w:rsid w:val="5573148D"/>
    <w:rsid w:val="56442422"/>
    <w:rsid w:val="56556BF5"/>
    <w:rsid w:val="56A67E9E"/>
    <w:rsid w:val="57CF589D"/>
    <w:rsid w:val="581172F3"/>
    <w:rsid w:val="58D6064E"/>
    <w:rsid w:val="58D83B72"/>
    <w:rsid w:val="5AD71711"/>
    <w:rsid w:val="5C3D386F"/>
    <w:rsid w:val="5C7052AE"/>
    <w:rsid w:val="5EA05A1B"/>
    <w:rsid w:val="5F5F631F"/>
    <w:rsid w:val="608B4D11"/>
    <w:rsid w:val="622B4180"/>
    <w:rsid w:val="626C33F2"/>
    <w:rsid w:val="62D665B5"/>
    <w:rsid w:val="63674468"/>
    <w:rsid w:val="677A0EB9"/>
    <w:rsid w:val="67EB3CE9"/>
    <w:rsid w:val="691E364C"/>
    <w:rsid w:val="6A86769D"/>
    <w:rsid w:val="6C7C0072"/>
    <w:rsid w:val="6CBD693E"/>
    <w:rsid w:val="6EDB7B1D"/>
    <w:rsid w:val="6F413CD0"/>
    <w:rsid w:val="708319D8"/>
    <w:rsid w:val="709E0D12"/>
    <w:rsid w:val="72EE509C"/>
    <w:rsid w:val="73057B87"/>
    <w:rsid w:val="74764121"/>
    <w:rsid w:val="74856478"/>
    <w:rsid w:val="76F16C4E"/>
    <w:rsid w:val="78891EEF"/>
    <w:rsid w:val="7920024A"/>
    <w:rsid w:val="7A150154"/>
    <w:rsid w:val="7B752599"/>
    <w:rsid w:val="7B9058AF"/>
    <w:rsid w:val="7C8F7B03"/>
    <w:rsid w:val="7D335CF6"/>
    <w:rsid w:val="7D782922"/>
    <w:rsid w:val="7DC27B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96"/>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0" w:semiHidden="0"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rPr>
      <w:rFonts w:ascii="Calibri" w:hAnsi="Calibri" w:eastAsia="MS Mincho" w:cs="Times New Roman"/>
      <w:snapToGrid w:val="0"/>
      <w:sz w:val="16"/>
      <w:szCs w:val="16"/>
      <w:lang w:val="en-US" w:eastAsia="zh-CN" w:bidi="ar-SA"/>
    </w:rPr>
  </w:style>
  <w:style w:type="paragraph" w:styleId="2">
    <w:name w:val="heading 1"/>
    <w:basedOn w:val="1"/>
    <w:next w:val="1"/>
    <w:link w:val="24"/>
    <w:autoRedefine/>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5"/>
    <w:autoRedefine/>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6"/>
    <w:autoRedefine/>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7"/>
    <w:autoRedefine/>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8"/>
    <w:autoRedefine/>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9"/>
    <w:autoRedefine/>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30"/>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autoRedefine/>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2"/>
    <w:autoRedefine/>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1">
    <w:name w:val="Default Paragraph Font"/>
    <w:semiHidden/>
    <w:unhideWhenUsed/>
    <w:qFormat/>
    <w:uiPriority w:val="1"/>
  </w:style>
  <w:style w:type="table" w:default="1" w:styleId="19">
    <w:name w:val="Normal Table"/>
    <w:semiHidden/>
    <w:unhideWhenUsed/>
    <w:uiPriority w:val="99"/>
    <w:tblPr>
      <w:tblCellMar>
        <w:top w:w="0" w:type="dxa"/>
        <w:left w:w="108" w:type="dxa"/>
        <w:bottom w:w="0" w:type="dxa"/>
        <w:right w:w="108" w:type="dxa"/>
      </w:tblCellMar>
    </w:tblPr>
  </w:style>
  <w:style w:type="paragraph" w:styleId="11">
    <w:name w:val="Block Text"/>
    <w:basedOn w:val="1"/>
    <w:autoRedefine/>
    <w:qFormat/>
    <w:uiPriority w:val="0"/>
    <w:pPr>
      <w:widowControl w:val="0"/>
      <w:ind w:left="3261" w:leftChars="1553" w:right="55" w:rightChars="26" w:firstLine="1"/>
    </w:pPr>
    <w:rPr>
      <w:rFonts w:ascii="Times New Roman" w:hAnsi="Times New Roman" w:eastAsia="汉仪大黑简"/>
      <w:snapToGrid/>
      <w:color w:val="000000"/>
      <w:kern w:val="2"/>
      <w:sz w:val="18"/>
      <w:szCs w:val="24"/>
    </w:rPr>
  </w:style>
  <w:style w:type="paragraph" w:styleId="12">
    <w:name w:val="footer"/>
    <w:basedOn w:val="1"/>
    <w:link w:val="43"/>
    <w:unhideWhenUsed/>
    <w:qFormat/>
    <w:uiPriority w:val="99"/>
    <w:pPr>
      <w:tabs>
        <w:tab w:val="center" w:pos="4153"/>
        <w:tab w:val="right" w:pos="8306"/>
      </w:tabs>
      <w:snapToGrid w:val="0"/>
    </w:pPr>
    <w:rPr>
      <w:sz w:val="18"/>
      <w:szCs w:val="18"/>
    </w:rPr>
  </w:style>
  <w:style w:type="paragraph" w:styleId="13">
    <w:name w:val="header"/>
    <w:basedOn w:val="1"/>
    <w:link w:val="42"/>
    <w:unhideWhenUsed/>
    <w:qFormat/>
    <w:uiPriority w:val="99"/>
    <w:pPr>
      <w:tabs>
        <w:tab w:val="center" w:pos="4153"/>
        <w:tab w:val="right" w:pos="8306"/>
      </w:tabs>
      <w:snapToGrid w:val="0"/>
      <w:jc w:val="center"/>
    </w:pPr>
    <w:rPr>
      <w:sz w:val="18"/>
      <w:szCs w:val="18"/>
    </w:rPr>
  </w:style>
  <w:style w:type="paragraph" w:styleId="14">
    <w:name w:val="toc 1"/>
    <w:basedOn w:val="1"/>
    <w:next w:val="1"/>
    <w:unhideWhenUsed/>
    <w:qFormat/>
    <w:uiPriority w:val="39"/>
    <w:pPr>
      <w:spacing w:after="100" w:line="259" w:lineRule="auto"/>
    </w:pPr>
    <w:rPr>
      <w:rFonts w:asciiTheme="minorHAnsi" w:hAnsiTheme="minorHAnsi" w:eastAsiaTheme="minorEastAsia"/>
      <w:snapToGrid/>
      <w:sz w:val="22"/>
      <w:szCs w:val="22"/>
    </w:rPr>
  </w:style>
  <w:style w:type="paragraph" w:styleId="15">
    <w:name w:val="Subtitle"/>
    <w:basedOn w:val="1"/>
    <w:next w:val="1"/>
    <w:link w:val="34"/>
    <w:autoRedefine/>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oc 2"/>
    <w:basedOn w:val="1"/>
    <w:next w:val="1"/>
    <w:unhideWhenUsed/>
    <w:qFormat/>
    <w:uiPriority w:val="39"/>
    <w:pPr>
      <w:spacing w:after="100" w:line="259" w:lineRule="auto"/>
      <w:ind w:left="220"/>
    </w:pPr>
    <w:rPr>
      <w:rFonts w:asciiTheme="minorHAnsi" w:hAnsiTheme="minorHAnsi" w:eastAsiaTheme="minorEastAsia"/>
      <w:snapToGrid/>
      <w:sz w:val="22"/>
      <w:szCs w:val="22"/>
    </w:rPr>
  </w:style>
  <w:style w:type="paragraph" w:styleId="17">
    <w:name w:val="Normal (Web)"/>
    <w:basedOn w:val="1"/>
    <w:autoRedefine/>
    <w:semiHidden/>
    <w:unhideWhenUsed/>
    <w:qFormat/>
    <w:uiPriority w:val="99"/>
    <w:rPr>
      <w:rFonts w:ascii="Times New Roman" w:hAnsi="Times New Roman"/>
      <w:sz w:val="24"/>
      <w:szCs w:val="24"/>
    </w:rPr>
  </w:style>
  <w:style w:type="paragraph" w:styleId="18">
    <w:name w:val="Title"/>
    <w:basedOn w:val="1"/>
    <w:next w:val="1"/>
    <w:link w:val="33"/>
    <w:autoRedefine/>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20">
    <w:name w:val="Table Grid"/>
    <w:basedOn w:val="19"/>
    <w:autoRedefine/>
    <w:qFormat/>
    <w:uiPriority w:val="39"/>
    <w:rPr>
      <w:rFonts w:ascii="等线" w:hAnsi="等线" w:eastAsia="等线" w:cs="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autoRedefine/>
    <w:qFormat/>
    <w:uiPriority w:val="22"/>
    <w:rPr>
      <w:b/>
    </w:rPr>
  </w:style>
  <w:style w:type="character" w:styleId="23">
    <w:name w:val="Hyperlink"/>
    <w:basedOn w:val="21"/>
    <w:autoRedefine/>
    <w:qFormat/>
    <w:uiPriority w:val="99"/>
    <w:rPr>
      <w:color w:val="0000FF"/>
      <w:u w:val="single"/>
    </w:rPr>
  </w:style>
  <w:style w:type="character" w:customStyle="1" w:styleId="24">
    <w:name w:val="标题 1 字符"/>
    <w:basedOn w:val="21"/>
    <w:link w:val="2"/>
    <w:autoRedefine/>
    <w:qFormat/>
    <w:uiPriority w:val="9"/>
    <w:rPr>
      <w:rFonts w:asciiTheme="majorHAnsi" w:hAnsiTheme="majorHAnsi" w:eastAsiaTheme="majorEastAsia" w:cstheme="majorBidi"/>
      <w:color w:val="104862" w:themeColor="accent1" w:themeShade="BF"/>
      <w:sz w:val="48"/>
      <w:szCs w:val="48"/>
    </w:rPr>
  </w:style>
  <w:style w:type="character" w:customStyle="1" w:styleId="25">
    <w:name w:val="标题 2 字符"/>
    <w:basedOn w:val="21"/>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6">
    <w:name w:val="标题 3 字符"/>
    <w:basedOn w:val="21"/>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7">
    <w:name w:val="标题 4 字符"/>
    <w:basedOn w:val="21"/>
    <w:link w:val="5"/>
    <w:autoRedefine/>
    <w:semiHidden/>
    <w:qFormat/>
    <w:uiPriority w:val="9"/>
    <w:rPr>
      <w:rFonts w:cstheme="majorBidi"/>
      <w:color w:val="104862" w:themeColor="accent1" w:themeShade="BF"/>
      <w:sz w:val="28"/>
      <w:szCs w:val="28"/>
    </w:rPr>
  </w:style>
  <w:style w:type="character" w:customStyle="1" w:styleId="28">
    <w:name w:val="标题 5 字符"/>
    <w:basedOn w:val="21"/>
    <w:link w:val="6"/>
    <w:autoRedefine/>
    <w:semiHidden/>
    <w:qFormat/>
    <w:uiPriority w:val="9"/>
    <w:rPr>
      <w:rFonts w:cstheme="majorBidi"/>
      <w:color w:val="104862" w:themeColor="accent1" w:themeShade="BF"/>
      <w:sz w:val="24"/>
      <w:szCs w:val="24"/>
    </w:rPr>
  </w:style>
  <w:style w:type="character" w:customStyle="1" w:styleId="29">
    <w:name w:val="标题 6 字符"/>
    <w:basedOn w:val="21"/>
    <w:link w:val="7"/>
    <w:autoRedefine/>
    <w:semiHidden/>
    <w:qFormat/>
    <w:uiPriority w:val="9"/>
    <w:rPr>
      <w:rFonts w:cstheme="majorBidi"/>
      <w:b/>
      <w:bCs/>
      <w:color w:val="104862" w:themeColor="accent1" w:themeShade="BF"/>
    </w:rPr>
  </w:style>
  <w:style w:type="character" w:customStyle="1" w:styleId="30">
    <w:name w:val="标题 7 字符"/>
    <w:basedOn w:val="21"/>
    <w:link w:val="8"/>
    <w:autoRedefine/>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1">
    <w:name w:val="标题 8 字符"/>
    <w:basedOn w:val="21"/>
    <w:link w:val="9"/>
    <w:autoRedefine/>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2">
    <w:name w:val="标题 9 字符"/>
    <w:basedOn w:val="21"/>
    <w:link w:val="10"/>
    <w:autoRedefine/>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标题 字符"/>
    <w:basedOn w:val="21"/>
    <w:link w:val="18"/>
    <w:autoRedefine/>
    <w:qFormat/>
    <w:uiPriority w:val="10"/>
    <w:rPr>
      <w:rFonts w:asciiTheme="majorHAnsi" w:hAnsiTheme="majorHAnsi" w:eastAsiaTheme="majorEastAsia" w:cstheme="majorBidi"/>
      <w:spacing w:val="-10"/>
      <w:kern w:val="28"/>
      <w:sz w:val="56"/>
      <w:szCs w:val="56"/>
    </w:rPr>
  </w:style>
  <w:style w:type="character" w:customStyle="1" w:styleId="34">
    <w:name w:val="副标题 字符"/>
    <w:basedOn w:val="21"/>
    <w:link w:val="15"/>
    <w:autoRedefine/>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autoRedefine/>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引用 字符"/>
    <w:basedOn w:val="21"/>
    <w:link w:val="35"/>
    <w:autoRedefine/>
    <w:qFormat/>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autoRedefine/>
    <w:qFormat/>
    <w:uiPriority w:val="34"/>
    <w:pPr>
      <w:ind w:left="720"/>
      <w:contextualSpacing/>
    </w:pPr>
  </w:style>
  <w:style w:type="character" w:customStyle="1" w:styleId="38">
    <w:name w:val="明显强调1"/>
    <w:basedOn w:val="21"/>
    <w:autoRedefine/>
    <w:qFormat/>
    <w:uiPriority w:val="21"/>
    <w:rPr>
      <w:i/>
      <w:iCs/>
      <w:color w:val="104862" w:themeColor="accent1" w:themeShade="BF"/>
    </w:rPr>
  </w:style>
  <w:style w:type="paragraph" w:styleId="39">
    <w:name w:val="Intense Quote"/>
    <w:basedOn w:val="1"/>
    <w:next w:val="1"/>
    <w:link w:val="40"/>
    <w:autoRedefine/>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0">
    <w:name w:val="明显引用 字符"/>
    <w:basedOn w:val="21"/>
    <w:link w:val="39"/>
    <w:autoRedefine/>
    <w:qFormat/>
    <w:uiPriority w:val="30"/>
    <w:rPr>
      <w:i/>
      <w:iCs/>
      <w:color w:val="104862" w:themeColor="accent1" w:themeShade="BF"/>
    </w:rPr>
  </w:style>
  <w:style w:type="character" w:customStyle="1" w:styleId="41">
    <w:name w:val="明显参考1"/>
    <w:basedOn w:val="21"/>
    <w:autoRedefine/>
    <w:qFormat/>
    <w:uiPriority w:val="32"/>
    <w:rPr>
      <w:b/>
      <w:bCs/>
      <w:smallCaps/>
      <w:color w:val="104862" w:themeColor="accent1" w:themeShade="BF"/>
      <w:spacing w:val="5"/>
    </w:rPr>
  </w:style>
  <w:style w:type="character" w:customStyle="1" w:styleId="42">
    <w:name w:val="页眉 字符"/>
    <w:basedOn w:val="21"/>
    <w:link w:val="13"/>
    <w:autoRedefine/>
    <w:qFormat/>
    <w:uiPriority w:val="99"/>
    <w:rPr>
      <w:sz w:val="18"/>
      <w:szCs w:val="18"/>
    </w:rPr>
  </w:style>
  <w:style w:type="character" w:customStyle="1" w:styleId="43">
    <w:name w:val="页脚 字符"/>
    <w:basedOn w:val="21"/>
    <w:link w:val="12"/>
    <w:autoRedefine/>
    <w:qFormat/>
    <w:uiPriority w:val="99"/>
    <w:rPr>
      <w:sz w:val="18"/>
      <w:szCs w:val="18"/>
    </w:rPr>
  </w:style>
  <w:style w:type="paragraph" w:customStyle="1" w:styleId="44">
    <w:name w:val="EFABodyText"/>
    <w:link w:val="47"/>
    <w:autoRedefine/>
    <w:qFormat/>
    <w:uiPriority w:val="0"/>
    <w:pPr>
      <w:widowControl w:val="0"/>
      <w:adjustRightInd w:val="0"/>
      <w:snapToGrid w:val="0"/>
    </w:pPr>
    <w:rPr>
      <w:rFonts w:ascii="Calibri" w:hAnsi="Calibri" w:eastAsia="MS Mincho" w:cs="Times New Roman"/>
      <w:snapToGrid w:val="0"/>
      <w:szCs w:val="16"/>
      <w:lang w:val="en-US" w:eastAsia="ja-JP" w:bidi="ar-SA"/>
    </w:rPr>
  </w:style>
  <w:style w:type="paragraph" w:customStyle="1" w:styleId="45">
    <w:name w:val="EFAFPFrameText_11.5pt_Right"/>
    <w:basedOn w:val="46"/>
    <w:link w:val="59"/>
    <w:autoRedefine/>
    <w:qFormat/>
    <w:uiPriority w:val="0"/>
    <w:pPr>
      <w:framePr w:wrap="around" w:xAlign="right" w:y="1"/>
      <w:jc w:val="right"/>
    </w:pPr>
    <w:rPr>
      <w:bCs/>
      <w:snapToGrid/>
      <w:szCs w:val="32"/>
    </w:rPr>
  </w:style>
  <w:style w:type="paragraph" w:customStyle="1" w:styleId="46">
    <w:name w:val="EFAFPFrameText_11.5pt"/>
    <w:link w:val="58"/>
    <w:autoRedefine/>
    <w:qFormat/>
    <w:uiPriority w:val="0"/>
    <w:pPr>
      <w:framePr w:wrap="around" w:vAnchor="margin" w:hAnchor="text" w:x="366" w:y="1071"/>
    </w:pPr>
    <w:rPr>
      <w:rFonts w:ascii="Calibri" w:hAnsi="Calibri" w:eastAsia="MS Mincho" w:cs="Times New Roman"/>
      <w:b/>
      <w:snapToGrid w:val="0"/>
      <w:color w:val="23558C"/>
      <w:sz w:val="24"/>
      <w:szCs w:val="16"/>
      <w:lang w:val="en-US" w:eastAsia="ja-JP" w:bidi="ar-SA"/>
    </w:rPr>
  </w:style>
  <w:style w:type="character" w:customStyle="1" w:styleId="47">
    <w:name w:val="EFABodyText Char"/>
    <w:basedOn w:val="21"/>
    <w:link w:val="44"/>
    <w:autoRedefine/>
    <w:qFormat/>
    <w:uiPriority w:val="0"/>
    <w:rPr>
      <w:rFonts w:ascii="Calibri" w:hAnsi="Calibri" w:eastAsia="MS Mincho" w:cs="Times New Roman"/>
      <w:snapToGrid w:val="0"/>
      <w:kern w:val="0"/>
      <w:sz w:val="20"/>
      <w:szCs w:val="16"/>
      <w:lang w:eastAsia="ja-JP"/>
    </w:rPr>
  </w:style>
  <w:style w:type="paragraph" w:customStyle="1" w:styleId="48">
    <w:name w:val="EFAFPColFrameText_Right"/>
    <w:basedOn w:val="1"/>
    <w:autoRedefine/>
    <w:qFormat/>
    <w:uiPriority w:val="0"/>
    <w:pPr>
      <w:framePr w:w="3045" w:h="12844" w:hRule="exact" w:hSpace="180" w:wrap="around" w:vAnchor="page" w:hAnchor="page" w:x="336" w:y="2721" w:anchorLock="1"/>
      <w:adjustRightInd w:val="0"/>
      <w:snapToGrid w:val="0"/>
      <w:jc w:val="right"/>
    </w:pPr>
    <w:rPr>
      <w:sz w:val="14"/>
      <w:szCs w:val="14"/>
    </w:rPr>
  </w:style>
  <w:style w:type="paragraph" w:customStyle="1" w:styleId="49">
    <w:name w:val="EFAFPColFrameHeading"/>
    <w:basedOn w:val="1"/>
    <w:autoRedefine/>
    <w:qFormat/>
    <w:uiPriority w:val="0"/>
    <w:pPr>
      <w:framePr w:w="3045" w:h="12844" w:hRule="exact" w:hSpace="180" w:wrap="around" w:vAnchor="page" w:hAnchor="page" w:x="336" w:y="2721" w:anchorLock="1"/>
      <w:adjustRightInd w:val="0"/>
      <w:snapToGrid w:val="0"/>
    </w:pPr>
    <w:rPr>
      <w:b/>
      <w:color w:val="23558C"/>
      <w:szCs w:val="14"/>
    </w:rPr>
  </w:style>
  <w:style w:type="paragraph" w:customStyle="1" w:styleId="50">
    <w:name w:val="EFAFPColFrameText_Left"/>
    <w:basedOn w:val="1"/>
    <w:link w:val="54"/>
    <w:autoRedefine/>
    <w:qFormat/>
    <w:uiPriority w:val="0"/>
    <w:pPr>
      <w:framePr w:w="3045" w:h="12844" w:hRule="exact" w:hSpace="180" w:wrap="around" w:vAnchor="page" w:hAnchor="page" w:x="336" w:y="2721" w:anchorLock="1"/>
      <w:adjustRightInd w:val="0"/>
      <w:snapToGrid w:val="0"/>
    </w:pPr>
    <w:rPr>
      <w:sz w:val="14"/>
      <w:szCs w:val="14"/>
    </w:rPr>
  </w:style>
  <w:style w:type="paragraph" w:customStyle="1" w:styleId="51">
    <w:name w:val="EFAFPColFrame_Source"/>
    <w:basedOn w:val="50"/>
    <w:autoRedefine/>
    <w:qFormat/>
    <w:uiPriority w:val="0"/>
    <w:pPr>
      <w:framePr w:wrap="around"/>
    </w:pPr>
    <w:rPr>
      <w:sz w:val="12"/>
      <w:szCs w:val="12"/>
    </w:rPr>
  </w:style>
  <w:style w:type="paragraph" w:customStyle="1" w:styleId="52">
    <w:name w:val="EFAFPColFrame_AnalystName"/>
    <w:basedOn w:val="50"/>
    <w:autoRedefine/>
    <w:qFormat/>
    <w:uiPriority w:val="0"/>
    <w:pPr>
      <w:framePr w:wrap="around"/>
    </w:pPr>
    <w:rPr>
      <w:b/>
      <w:sz w:val="16"/>
    </w:rPr>
  </w:style>
  <w:style w:type="paragraph" w:customStyle="1" w:styleId="53">
    <w:name w:val="EFAFPColFrameText_8pt"/>
    <w:basedOn w:val="50"/>
    <w:autoRedefine/>
    <w:qFormat/>
    <w:uiPriority w:val="0"/>
    <w:pPr>
      <w:framePr w:wrap="around"/>
    </w:pPr>
    <w:rPr>
      <w:sz w:val="16"/>
    </w:rPr>
  </w:style>
  <w:style w:type="character" w:customStyle="1" w:styleId="54">
    <w:name w:val="EFAFPColFrameText_Left Char"/>
    <w:basedOn w:val="21"/>
    <w:link w:val="50"/>
    <w:autoRedefine/>
    <w:qFormat/>
    <w:uiPriority w:val="0"/>
    <w:rPr>
      <w:rFonts w:ascii="Calibri" w:hAnsi="Calibri" w:eastAsia="MS Mincho" w:cs="Times New Roman"/>
      <w:snapToGrid w:val="0"/>
      <w:kern w:val="0"/>
      <w:sz w:val="14"/>
      <w:szCs w:val="14"/>
    </w:rPr>
  </w:style>
  <w:style w:type="paragraph" w:customStyle="1" w:styleId="55">
    <w:name w:val="EFAAnchor"/>
    <w:basedOn w:val="1"/>
    <w:autoRedefine/>
    <w:qFormat/>
    <w:uiPriority w:val="0"/>
    <w:pPr>
      <w:widowControl w:val="0"/>
      <w:adjustRightInd w:val="0"/>
      <w:snapToGrid w:val="0"/>
    </w:pPr>
    <w:rPr>
      <w:sz w:val="4"/>
    </w:rPr>
  </w:style>
  <w:style w:type="paragraph" w:customStyle="1" w:styleId="56">
    <w:name w:val="EFAFP_BodyText2"/>
    <w:link w:val="57"/>
    <w:autoRedefine/>
    <w:qFormat/>
    <w:uiPriority w:val="0"/>
    <w:pPr>
      <w:adjustRightInd w:val="0"/>
      <w:snapToGrid w:val="0"/>
      <w:spacing w:after="120"/>
    </w:pPr>
    <w:rPr>
      <w:rFonts w:ascii="Calibri" w:hAnsi="Calibri" w:eastAsia="Times New Roman" w:cs="PMingLiU"/>
      <w:lang w:val="en-US" w:eastAsia="ja-JP" w:bidi="ar-SA"/>
    </w:rPr>
  </w:style>
  <w:style w:type="character" w:customStyle="1" w:styleId="57">
    <w:name w:val="EFAFP_BodyText2 Char"/>
    <w:basedOn w:val="21"/>
    <w:link w:val="56"/>
    <w:autoRedefine/>
    <w:qFormat/>
    <w:uiPriority w:val="0"/>
    <w:rPr>
      <w:rFonts w:ascii="Calibri" w:hAnsi="Calibri" w:eastAsia="Times New Roman" w:cs="PMingLiU"/>
      <w:kern w:val="0"/>
      <w:sz w:val="20"/>
      <w:szCs w:val="20"/>
      <w:lang w:eastAsia="ja-JP"/>
    </w:rPr>
  </w:style>
  <w:style w:type="character" w:customStyle="1" w:styleId="58">
    <w:name w:val="EFAFPFrameText_11.5pt Char"/>
    <w:basedOn w:val="21"/>
    <w:link w:val="46"/>
    <w:autoRedefine/>
    <w:qFormat/>
    <w:uiPriority w:val="0"/>
    <w:rPr>
      <w:rFonts w:ascii="Calibri" w:hAnsi="Calibri" w:eastAsia="MS Mincho" w:cs="Times New Roman"/>
      <w:b/>
      <w:snapToGrid w:val="0"/>
      <w:color w:val="23558C"/>
      <w:kern w:val="0"/>
      <w:sz w:val="24"/>
      <w:szCs w:val="16"/>
      <w:lang w:eastAsia="ja-JP"/>
    </w:rPr>
  </w:style>
  <w:style w:type="character" w:customStyle="1" w:styleId="59">
    <w:name w:val="EFAFPFrameText_11.5pt_Right Char"/>
    <w:basedOn w:val="58"/>
    <w:link w:val="45"/>
    <w:autoRedefine/>
    <w:qFormat/>
    <w:uiPriority w:val="0"/>
    <w:rPr>
      <w:rFonts w:ascii="Calibri" w:hAnsi="Calibri" w:eastAsia="MS Mincho" w:cs="Times New Roman"/>
      <w:bCs/>
      <w:snapToGrid/>
      <w:color w:val="23558C"/>
      <w:kern w:val="0"/>
      <w:sz w:val="24"/>
      <w:szCs w:val="32"/>
      <w:lang w:eastAsia="ja-JP"/>
    </w:rPr>
  </w:style>
  <w:style w:type="paragraph" w:customStyle="1" w:styleId="60">
    <w:name w:val="EFAFPHdrInfo3"/>
    <w:link w:val="61"/>
    <w:autoRedefine/>
    <w:qFormat/>
    <w:uiPriority w:val="0"/>
    <w:rPr>
      <w:rFonts w:ascii="Calibri" w:hAnsi="Calibri" w:eastAsia="MS Mincho" w:cs="Times New Roman"/>
      <w:b/>
      <w:bCs/>
      <w:snapToGrid w:val="0"/>
      <w:color w:val="000000"/>
      <w:sz w:val="32"/>
      <w:lang w:val="en-US" w:eastAsia="ja-JP" w:bidi="ar-SA"/>
    </w:rPr>
  </w:style>
  <w:style w:type="character" w:customStyle="1" w:styleId="61">
    <w:name w:val="EFAFPHdrInfo3 Char"/>
    <w:basedOn w:val="21"/>
    <w:link w:val="60"/>
    <w:autoRedefine/>
    <w:qFormat/>
    <w:uiPriority w:val="0"/>
    <w:rPr>
      <w:rFonts w:ascii="Calibri" w:hAnsi="Calibri" w:eastAsia="MS Mincho" w:cs="Times New Roman"/>
      <w:b/>
      <w:bCs/>
      <w:snapToGrid w:val="0"/>
      <w:color w:val="000000"/>
      <w:kern w:val="0"/>
      <w:sz w:val="32"/>
      <w:szCs w:val="20"/>
      <w:lang w:eastAsia="ja-JP"/>
    </w:rPr>
  </w:style>
  <w:style w:type="paragraph" w:customStyle="1" w:styleId="62">
    <w:name w:val="EFAFPTitle6"/>
    <w:link w:val="63"/>
    <w:autoRedefine/>
    <w:qFormat/>
    <w:uiPriority w:val="0"/>
    <w:rPr>
      <w:rFonts w:ascii="Calibri" w:hAnsi="Calibri" w:eastAsia="MS Mincho" w:cs="Times New Roman"/>
      <w:b/>
      <w:bCs/>
      <w:snapToGrid w:val="0"/>
      <w:color w:val="FFFFFF"/>
      <w:sz w:val="32"/>
      <w:lang w:val="en-US" w:eastAsia="ja-JP" w:bidi="ar-SA"/>
    </w:rPr>
  </w:style>
  <w:style w:type="character" w:customStyle="1" w:styleId="63">
    <w:name w:val="EFAFPTitle6 Char"/>
    <w:basedOn w:val="21"/>
    <w:link w:val="62"/>
    <w:autoRedefine/>
    <w:qFormat/>
    <w:uiPriority w:val="0"/>
    <w:rPr>
      <w:rFonts w:ascii="Calibri" w:hAnsi="Calibri" w:eastAsia="MS Mincho" w:cs="Times New Roman"/>
      <w:b/>
      <w:bCs/>
      <w:snapToGrid w:val="0"/>
      <w:color w:val="FFFFFF"/>
      <w:kern w:val="0"/>
      <w:sz w:val="32"/>
      <w:szCs w:val="20"/>
      <w:lang w:eastAsia="ja-JP"/>
    </w:rPr>
  </w:style>
  <w:style w:type="paragraph" w:customStyle="1" w:styleId="64">
    <w:name w:val="EFAFPFooter"/>
    <w:basedOn w:val="1"/>
    <w:autoRedefine/>
    <w:qFormat/>
    <w:uiPriority w:val="0"/>
    <w:pPr>
      <w:widowControl w:val="0"/>
      <w:tabs>
        <w:tab w:val="right" w:pos="10679"/>
      </w:tabs>
      <w:autoSpaceDE w:val="0"/>
      <w:autoSpaceDN w:val="0"/>
      <w:adjustRightInd w:val="0"/>
      <w:snapToGrid w:val="0"/>
      <w:jc w:val="both"/>
    </w:pPr>
    <w:rPr>
      <w:rFonts w:eastAsia="宋体" w:cs="Arial"/>
      <w:b/>
    </w:rPr>
  </w:style>
  <w:style w:type="paragraph" w:customStyle="1" w:styleId="65">
    <w:name w:val="EFANormal"/>
    <w:link w:val="66"/>
    <w:autoRedefine/>
    <w:qFormat/>
    <w:uiPriority w:val="0"/>
    <w:pPr>
      <w:widowControl w:val="0"/>
      <w:adjustRightInd w:val="0"/>
      <w:snapToGrid w:val="0"/>
    </w:pPr>
    <w:rPr>
      <w:rFonts w:ascii="Calibri" w:hAnsi="Calibri" w:eastAsia="MS Mincho" w:cs="Times New Roman"/>
      <w:snapToGrid w:val="0"/>
      <w:sz w:val="16"/>
      <w:szCs w:val="16"/>
      <w:lang w:val="en-US" w:eastAsia="ja-JP" w:bidi="ar-SA"/>
    </w:rPr>
  </w:style>
  <w:style w:type="character" w:customStyle="1" w:styleId="66">
    <w:name w:val="EFANormal Char"/>
    <w:basedOn w:val="21"/>
    <w:link w:val="65"/>
    <w:autoRedefine/>
    <w:qFormat/>
    <w:uiPriority w:val="0"/>
    <w:rPr>
      <w:rFonts w:ascii="Calibri" w:hAnsi="Calibri" w:eastAsia="MS Mincho" w:cs="Times New Roman"/>
      <w:snapToGrid w:val="0"/>
      <w:kern w:val="0"/>
      <w:sz w:val="16"/>
      <w:szCs w:val="16"/>
      <w:lang w:eastAsia="ja-JP"/>
    </w:rPr>
  </w:style>
  <w:style w:type="character" w:customStyle="1" w:styleId="67">
    <w:name w:val="EFACharBold_and_AllCap"/>
    <w:autoRedefine/>
    <w:qFormat/>
    <w:uiPriority w:val="1"/>
    <w:rPr>
      <w:b/>
      <w:caps/>
    </w:rPr>
  </w:style>
  <w:style w:type="paragraph" w:customStyle="1" w:styleId="68">
    <w:name w:val="EFAPageFooter"/>
    <w:basedOn w:val="65"/>
    <w:autoRedefine/>
    <w:qFormat/>
    <w:uiPriority w:val="0"/>
    <w:pPr>
      <w:framePr w:wrap="around" w:vAnchor="page" w:hAnchor="page" w:x="347" w:y="15481"/>
      <w:tabs>
        <w:tab w:val="center" w:pos="5165"/>
      </w:tabs>
    </w:pPr>
    <w:rPr>
      <w:b/>
      <w:sz w:val="20"/>
      <w:szCs w:val="20"/>
    </w:rPr>
  </w:style>
  <w:style w:type="paragraph" w:customStyle="1" w:styleId="69">
    <w:name w:val="EFASideComment"/>
    <w:basedOn w:val="44"/>
    <w:autoRedefine/>
    <w:qFormat/>
    <w:uiPriority w:val="0"/>
    <w:pPr>
      <w:framePr w:w="2980" w:hSpace="180" w:wrap="around" w:vAnchor="text" w:hAnchor="text" w:x="-3250" w:y="160"/>
    </w:pPr>
  </w:style>
  <w:style w:type="table" w:customStyle="1" w:styleId="70">
    <w:name w:val="Common"/>
    <w:basedOn w:val="20"/>
    <w:autoRedefine/>
    <w:qFormat/>
    <w:uiPriority w:val="99"/>
    <w:pPr>
      <w:spacing w:line="240" w:lineRule="exact"/>
    </w:pPr>
    <w:rPr>
      <w:rFonts w:eastAsiaTheme="minorEastAsia"/>
      <w:sz w:val="18"/>
    </w:rPr>
    <w:tblPr>
      <w:tblBorders>
        <w:insideH w:val="single" w:color="auto" w:sz="12" w:space="0"/>
      </w:tblBorders>
      <w:tblCellMar>
        <w:left w:w="0" w:type="dxa"/>
        <w:right w:w="0" w:type="dxa"/>
      </w:tblCellMar>
    </w:tblPr>
    <w:tcPr>
      <w:vAlign w:val="center"/>
    </w:tcPr>
    <w:tblStylePr w:type="firstRow">
      <w:rPr>
        <w:rFonts w:asciiTheme="minorHAnsi" w:hAnsiTheme="minorHAnsi"/>
        <w:b/>
        <w:sz w:val="17"/>
      </w:rPr>
      <w:tcPr>
        <w:tcBorders>
          <w:top w:val="nil"/>
          <w:left w:val="nil"/>
          <w:bottom w:val="single" w:color="000000" w:themeColor="text1" w:sz="12" w:space="0"/>
          <w:right w:val="nil"/>
          <w:insideH w:val="nil"/>
          <w:insideV w:val="nil"/>
          <w:tl2br w:val="nil"/>
          <w:tr2bl w:val="nil"/>
        </w:tcBorders>
      </w:tcPr>
    </w:tblStylePr>
    <w:tblStylePr w:type="lastRow">
      <w:tcPr>
        <w:tcBorders>
          <w:top w:val="nil"/>
          <w:left w:val="nil"/>
          <w:bottom w:val="nil"/>
          <w:right w:val="nil"/>
          <w:insideH w:val="nil"/>
          <w:insideV w:val="nil"/>
          <w:tl2br w:val="nil"/>
          <w:tr2bl w:val="nil"/>
        </w:tcBorders>
      </w:tcPr>
    </w:tblStylePr>
  </w:style>
  <w:style w:type="paragraph" w:customStyle="1" w:styleId="71">
    <w:name w:val="EFADisclaimerText"/>
    <w:basedOn w:val="65"/>
    <w:link w:val="72"/>
    <w:autoRedefine/>
    <w:qFormat/>
    <w:uiPriority w:val="99"/>
    <w:pPr>
      <w:jc w:val="both"/>
    </w:pPr>
  </w:style>
  <w:style w:type="character" w:customStyle="1" w:styleId="72">
    <w:name w:val="EFADisclaimerText Char"/>
    <w:basedOn w:val="21"/>
    <w:link w:val="71"/>
    <w:autoRedefine/>
    <w:qFormat/>
    <w:locked/>
    <w:uiPriority w:val="99"/>
    <w:rPr>
      <w:rFonts w:ascii="Calibri" w:hAnsi="Calibri" w:eastAsia="MS Mincho" w:cs="Times New Roman"/>
      <w:snapToGrid w:val="0"/>
      <w:kern w:val="0"/>
      <w:sz w:val="16"/>
      <w:szCs w:val="16"/>
      <w:lang w:eastAsia="ja-JP"/>
    </w:rPr>
  </w:style>
  <w:style w:type="paragraph" w:customStyle="1" w:styleId="73">
    <w:name w:val="TOC 标题1"/>
    <w:basedOn w:val="2"/>
    <w:next w:val="1"/>
    <w:autoRedefine/>
    <w:unhideWhenUsed/>
    <w:qFormat/>
    <w:uiPriority w:val="39"/>
    <w:pPr>
      <w:spacing w:after="0" w:line="259" w:lineRule="auto"/>
      <w:outlineLvl w:val="9"/>
    </w:pPr>
    <w:rPr>
      <w:snapToGrid/>
      <w:sz w:val="32"/>
    </w:rPr>
  </w:style>
  <w:style w:type="paragraph" w:customStyle="1" w:styleId="74">
    <w:name w:val="【正文】图表标题"/>
    <w:basedOn w:val="75"/>
    <w:autoRedefine/>
    <w:qFormat/>
    <w:uiPriority w:val="6"/>
    <w:pPr>
      <w:numPr>
        <w:ilvl w:val="0"/>
        <w:numId w:val="1"/>
      </w:numPr>
      <w:jc w:val="left"/>
    </w:pPr>
    <w:rPr>
      <w:b/>
      <w:bCs/>
    </w:rPr>
  </w:style>
  <w:style w:type="paragraph" w:customStyle="1" w:styleId="75">
    <w:name w:val="【基础样式】"/>
    <w:autoRedefine/>
    <w:qFormat/>
    <w:uiPriority w:val="8"/>
    <w:pPr>
      <w:widowControl w:val="0"/>
      <w:adjustRightInd w:val="0"/>
      <w:snapToGrid w:val="0"/>
      <w:jc w:val="both"/>
    </w:pPr>
    <w:rPr>
      <w:rFonts w:ascii="Times New Roman" w:hAnsi="Times New Roman" w:eastAsia="楷体_GB2312" w:cstheme="minorBidi"/>
      <w:kern w:val="2"/>
      <w:sz w:val="21"/>
      <w:szCs w:val="21"/>
      <w:lang w:val="en-US" w:eastAsia="zh-CN" w:bidi="ar-SA"/>
      <w14:ligatures w14:val="standardContextual"/>
    </w:rPr>
  </w:style>
  <w:style w:type="paragraph" w:customStyle="1" w:styleId="76">
    <w:name w:val="【资料来源】"/>
    <w:basedOn w:val="75"/>
    <w:qFormat/>
    <w:uiPriority w:val="7"/>
    <w:rPr>
      <w:sz w:val="15"/>
      <w:szCs w:val="15"/>
    </w:rPr>
  </w:style>
  <w:style w:type="paragraph" w:customStyle="1" w:styleId="77">
    <w:name w:val="样式 标题 2 + 段前: 1 行 段后: 1 行"/>
    <w:basedOn w:val="3"/>
    <w:qFormat/>
    <w:uiPriority w:val="0"/>
    <w:pPr>
      <w:keepLines w:val="0"/>
      <w:spacing w:before="240" w:after="240"/>
    </w:pPr>
    <w:rPr>
      <w:rFonts w:ascii="宋体" w:hAnsi="宋体" w:eastAsia="宋体" w:cs="宋体"/>
      <w:b/>
      <w:bCs/>
      <w:snapToGrid/>
      <w:color w:val="auto"/>
      <w:sz w:val="20"/>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3" Type="http://schemas.openxmlformats.org/officeDocument/2006/relationships/glossaryDocument" Target="glossary/document.xml"/><Relationship Id="rId72" Type="http://schemas.openxmlformats.org/officeDocument/2006/relationships/fontTable" Target="fontTable.xml"/><Relationship Id="rId71" Type="http://schemas.openxmlformats.org/officeDocument/2006/relationships/customXml" Target="../customXml/item2.xml"/><Relationship Id="rId70" Type="http://schemas.openxmlformats.org/officeDocument/2006/relationships/numbering" Target="numbering.xml"/><Relationship Id="rId7" Type="http://schemas.openxmlformats.org/officeDocument/2006/relationships/footer" Target="footer2.xml"/><Relationship Id="rId69" Type="http://schemas.openxmlformats.org/officeDocument/2006/relationships/customXml" Target="../customXml/item1.xml"/><Relationship Id="rId68" Type="http://schemas.openxmlformats.org/officeDocument/2006/relationships/image" Target="media/image29.emf"/><Relationship Id="rId67" Type="http://schemas.openxmlformats.org/officeDocument/2006/relationships/image" Target="media/image28.emf"/><Relationship Id="rId66" Type="http://schemas.openxmlformats.org/officeDocument/2006/relationships/image" Target="media/image27.emf"/><Relationship Id="rId65" Type="http://schemas.openxmlformats.org/officeDocument/2006/relationships/image" Target="media/image26.png"/><Relationship Id="rId64" Type="http://schemas.openxmlformats.org/officeDocument/2006/relationships/chart" Target="charts/chart22.xml"/><Relationship Id="rId63" Type="http://schemas.openxmlformats.org/officeDocument/2006/relationships/image" Target="media/image25.png"/><Relationship Id="rId62" Type="http://schemas.openxmlformats.org/officeDocument/2006/relationships/image" Target="media/image24.png"/><Relationship Id="rId61" Type="http://schemas.openxmlformats.org/officeDocument/2006/relationships/chart" Target="charts/chart21.xml"/><Relationship Id="rId60" Type="http://schemas.openxmlformats.org/officeDocument/2006/relationships/chart" Target="charts/chart20.xml"/><Relationship Id="rId6" Type="http://schemas.openxmlformats.org/officeDocument/2006/relationships/footer" Target="footer1.xml"/><Relationship Id="rId59" Type="http://schemas.openxmlformats.org/officeDocument/2006/relationships/chart" Target="charts/chart19.xml"/><Relationship Id="rId58" Type="http://schemas.openxmlformats.org/officeDocument/2006/relationships/chart" Target="charts/chart18.xml"/><Relationship Id="rId57" Type="http://schemas.openxmlformats.org/officeDocument/2006/relationships/chart" Target="charts/chart17.xml"/><Relationship Id="rId56" Type="http://schemas.openxmlformats.org/officeDocument/2006/relationships/image" Target="media/image23.png"/><Relationship Id="rId55" Type="http://schemas.openxmlformats.org/officeDocument/2006/relationships/image" Target="media/image22.png"/><Relationship Id="rId54" Type="http://schemas.openxmlformats.org/officeDocument/2006/relationships/image" Target="media/image21.png"/><Relationship Id="rId53" Type="http://schemas.openxmlformats.org/officeDocument/2006/relationships/image" Target="media/image20.png"/><Relationship Id="rId52" Type="http://schemas.openxmlformats.org/officeDocument/2006/relationships/image" Target="media/image19.png"/><Relationship Id="rId51" Type="http://schemas.openxmlformats.org/officeDocument/2006/relationships/image" Target="media/image18.png"/><Relationship Id="rId50" Type="http://schemas.openxmlformats.org/officeDocument/2006/relationships/image" Target="media/image17.emf"/><Relationship Id="rId5" Type="http://schemas.openxmlformats.org/officeDocument/2006/relationships/header" Target="header3.xml"/><Relationship Id="rId49" Type="http://schemas.openxmlformats.org/officeDocument/2006/relationships/image" Target="media/image16.emf"/><Relationship Id="rId48" Type="http://schemas.openxmlformats.org/officeDocument/2006/relationships/image" Target="media/image15.png"/><Relationship Id="rId47" Type="http://schemas.openxmlformats.org/officeDocument/2006/relationships/image" Target="media/image14.png"/><Relationship Id="rId46" Type="http://schemas.openxmlformats.org/officeDocument/2006/relationships/image" Target="media/image13.png"/><Relationship Id="rId45" Type="http://schemas.openxmlformats.org/officeDocument/2006/relationships/image" Target="media/image12.png"/><Relationship Id="rId44" Type="http://schemas.openxmlformats.org/officeDocument/2006/relationships/image" Target="media/image11.png"/><Relationship Id="rId43" Type="http://schemas.openxmlformats.org/officeDocument/2006/relationships/chart" Target="charts/chart16.xml"/><Relationship Id="rId42" Type="http://schemas.openxmlformats.org/officeDocument/2006/relationships/chart" Target="charts/chart15.xml"/><Relationship Id="rId41" Type="http://schemas.openxmlformats.org/officeDocument/2006/relationships/image" Target="media/image10.png"/><Relationship Id="rId40" Type="http://schemas.openxmlformats.org/officeDocument/2006/relationships/image" Target="media/image9.png"/><Relationship Id="rId4" Type="http://schemas.openxmlformats.org/officeDocument/2006/relationships/header" Target="header2.xml"/><Relationship Id="rId39" Type="http://schemas.openxmlformats.org/officeDocument/2006/relationships/chart" Target="charts/chart14.xml"/><Relationship Id="rId38" Type="http://schemas.openxmlformats.org/officeDocument/2006/relationships/chart" Target="charts/chart13.xml"/><Relationship Id="rId37" Type="http://schemas.openxmlformats.org/officeDocument/2006/relationships/chart" Target="charts/chart12.xml"/><Relationship Id="rId36" Type="http://schemas.openxmlformats.org/officeDocument/2006/relationships/chart" Target="charts/chart11.xml"/><Relationship Id="rId35" Type="http://schemas.openxmlformats.org/officeDocument/2006/relationships/chart" Target="charts/chart10.xml"/><Relationship Id="rId34" Type="http://schemas.openxmlformats.org/officeDocument/2006/relationships/chart" Target="charts/chart9.xml"/><Relationship Id="rId33" Type="http://schemas.openxmlformats.org/officeDocument/2006/relationships/image" Target="media/image8.png"/><Relationship Id="rId32" Type="http://schemas.openxmlformats.org/officeDocument/2006/relationships/image" Target="media/image7.png"/><Relationship Id="rId31" Type="http://schemas.openxmlformats.org/officeDocument/2006/relationships/image" Target="media/image6.emf"/><Relationship Id="rId30" Type="http://schemas.openxmlformats.org/officeDocument/2006/relationships/chart" Target="charts/chart8.xml"/><Relationship Id="rId3" Type="http://schemas.openxmlformats.org/officeDocument/2006/relationships/header" Target="header1.xml"/><Relationship Id="rId29" Type="http://schemas.openxmlformats.org/officeDocument/2006/relationships/chart" Target="charts/chart7.xml"/><Relationship Id="rId28" Type="http://schemas.openxmlformats.org/officeDocument/2006/relationships/chart" Target="charts/chart6.xml"/><Relationship Id="rId27" Type="http://schemas.openxmlformats.org/officeDocument/2006/relationships/chart" Target="charts/chart5.xml"/><Relationship Id="rId26" Type="http://schemas.openxmlformats.org/officeDocument/2006/relationships/chart" Target="charts/chart4.xml"/><Relationship Id="rId25" Type="http://schemas.openxmlformats.org/officeDocument/2006/relationships/chart" Target="charts/chart3.xml"/><Relationship Id="rId24" Type="http://schemas.openxmlformats.org/officeDocument/2006/relationships/chart" Target="charts/chart2.xml"/><Relationship Id="rId23" Type="http://schemas.openxmlformats.org/officeDocument/2006/relationships/chart" Target="charts/chart1.xml"/><Relationship Id="rId22" Type="http://schemas.openxmlformats.org/officeDocument/2006/relationships/image" Target="media/image5.emf"/><Relationship Id="rId21" Type="http://schemas.openxmlformats.org/officeDocument/2006/relationships/image" Target="media/image4.pn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header" Target="header8.xml"/><Relationship Id="rId13" Type="http://schemas.openxmlformats.org/officeDocument/2006/relationships/footer" Target="footer4.xml"/><Relationship Id="rId12" Type="http://schemas.openxmlformats.org/officeDocument/2006/relationships/header" Target="header7.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 Id="rId74" Type="http://schemas.openxmlformats.org/officeDocument/2006/relationships/chart" Target="charts/chart23.xml"/><Relationship Id="rId75" Type="http://schemas.openxmlformats.org/officeDocument/2006/relationships/chart" Target="charts/chart24.xml"/><Relationship Id="rId76" Type="http://schemas.openxmlformats.org/officeDocument/2006/relationships/chart" Target="charts/chart25.xml"/><Relationship Id="rId77" Type="http://schemas.openxmlformats.org/officeDocument/2006/relationships/chart" Target="charts/chart26.xml"/><Relationship Id="rId78" Type="http://schemas.openxmlformats.org/officeDocument/2006/relationships/chart" Target="charts/chart27.xml"/><Relationship Id="rId79" Type="http://schemas.openxmlformats.org/officeDocument/2006/relationships/chart" Target="charts/chart28.xml"/><Relationship Id="rId80" Type="http://schemas.openxmlformats.org/officeDocument/2006/relationships/chart" Target="charts/chart29.xml"/><Relationship Id="rId81" Type="http://schemas.openxmlformats.org/officeDocument/2006/relationships/chart" Target="charts/chart30.xml"/><Relationship Id="rId82" Type="http://schemas.openxmlformats.org/officeDocument/2006/relationships/chart" Target="charts/chart31.xml"/><Relationship Id="rId83" Type="http://schemas.openxmlformats.org/officeDocument/2006/relationships/chart" Target="charts/chart32.xml"/><Relationship Id="rId84" Type="http://schemas.openxmlformats.org/officeDocument/2006/relationships/chart" Target="charts/chart33.xml"/><Relationship Id="rId85" Type="http://schemas.openxmlformats.org/officeDocument/2006/relationships/chart" Target="charts/chart34.xml"/><Relationship Id="rId86" Type="http://schemas.openxmlformats.org/officeDocument/2006/relationships/chart" Target="charts/chart35.xml"/><Relationship Id="rId87" Type="http://schemas.openxmlformats.org/officeDocument/2006/relationships/chart" Target="charts/chart36.xml"/><Relationship Id="rId88" Type="http://schemas.openxmlformats.org/officeDocument/2006/relationships/chart" Target="charts/chart37.xml"/><Relationship Id="rId89" Type="http://schemas.openxmlformats.org/officeDocument/2006/relationships/chart" Target="charts/chart38.xml"/><Relationship Id="rId90" Type="http://schemas.openxmlformats.org/officeDocument/2006/relationships/chart" Target="charts/chart39.xml"/><Relationship Id="rId91" Type="http://schemas.openxmlformats.org/officeDocument/2006/relationships/chart" Target="charts/chart40.xml"/><Relationship Id="rId92" Type="http://schemas.openxmlformats.org/officeDocument/2006/relationships/chart" Target="charts/chart41.xml"/><Relationship Id="rId93" Type="http://schemas.openxmlformats.org/officeDocument/2006/relationships/chart" Target="charts/chart42.xml"/><Relationship Id="rId94" Type="http://schemas.openxmlformats.org/officeDocument/2006/relationships/chart" Target="charts/chart43.xml"/><Relationship Id="rId95" Type="http://schemas.openxmlformats.org/officeDocument/2006/relationships/chart" Target="charts/chart44.xml"/><Relationship Id="rId96" Type="http://schemas.openxmlformats.org/officeDocument/2006/relationships/header" Target="header9.xml"/><Relationship Id="rId97" Type="http://schemas.openxmlformats.org/officeDocument/2006/relationships/footer" Target="footer7.xml"/><Relationship Id="rId98" Type="http://schemas.openxmlformats.org/officeDocument/2006/relationships/header" Target="header10.xml"/><Relationship Id="rId99" Type="http://schemas.openxmlformats.org/officeDocument/2006/relationships/footer" Target="footer8.xml"/></Relationships>
</file>

<file path=word/charts/_rels/chart1.xml.rels><?xml version='1.0' encoding='UTF-8' standalone='yes'?>
<Relationships xmlns="http://schemas.openxmlformats.org/package/2006/relationships"><Relationship Id="rId4" Type="http://schemas.microsoft.com/office/2011/relationships/chartColorStyle" Target="colors1.xml"/><Relationship Id="rId3" Type="http://schemas.microsoft.com/office/2011/relationships/chartStyle" Target="style1.xml"/><Relationship Id="rId2" Type="http://schemas.openxmlformats.org/officeDocument/2006/relationships/themeOverride" Target="../theme/themeOverride1.xml"/><Relationship Id="rId1" Type="http://schemas.openxmlformats.org/officeDocument/2006/relationships/oleObject" Target="file:///C:\Users\86151\Desktop\&#35199;&#38160;&#24213;&#31295;.xlsx" TargetMode="External"/></Relationships>
</file>

<file path=word/charts/_rels/chart2.xml.rels><?xml version='1.0' encoding='UTF-8' standalone='yes'?>
<Relationships xmlns="http://schemas.openxmlformats.org/package/2006/relationships"><Relationship Id="rId4" Type="http://schemas.microsoft.com/office/2011/relationships/chartColorStyle" Target="colors9.xml"/><Relationship Id="rId3" Type="http://schemas.microsoft.com/office/2011/relationships/chartStyle" Target="style9.xml"/><Relationship Id="rId2" Type="http://schemas.openxmlformats.org/officeDocument/2006/relationships/themeOverride" Target="../theme/themeOverride9.xml"/><Relationship Id="rId1" Type="http://schemas.openxmlformats.org/officeDocument/2006/relationships/oleObject" Target="file:///C:\Users\86151\Desktop\&#35199;&#38160;&#24213;&#31295;(2).xlsx" TargetMode="External"/></Relationships>
</file>

<file path=word/charts/_rels/chart3.xml.rels><?xml version='1.0' encoding='UTF-8' standalone='yes'?>
<Relationships xmlns="http://schemas.openxmlformats.org/package/2006/relationships"><Relationship Id="rId4" Type="http://schemas.microsoft.com/office/2011/relationships/chartColorStyle" Target="colors6.xml"/><Relationship Id="rId3" Type="http://schemas.microsoft.com/office/2011/relationships/chartStyle" Target="style6.xml"/><Relationship Id="rId2" Type="http://schemas.openxmlformats.org/officeDocument/2006/relationships/themeOverride" Target="../theme/themeOverride6.xml"/><Relationship Id="rId1" Type="http://schemas.openxmlformats.org/officeDocument/2006/relationships/oleObject" Target="https://d.docs.live.net/fb92e85d57d94469/&#21326;&#31119;&#22269;&#38469;/&#35199;&#38160;&#24213;&#31295;.xlsx" TargetMode="External"/></Relationships>
</file>

<file path=word/charts/_rels/chart4.xml.rels><?xml version='1.0' encoding='UTF-8' standalone='yes'?>
<Relationships xmlns="http://schemas.openxmlformats.org/package/2006/relationships"><Relationship Id="rId4" Type="http://schemas.microsoft.com/office/2011/relationships/chartColorStyle" Target="colors11.xml"/><Relationship Id="rId3" Type="http://schemas.microsoft.com/office/2011/relationships/chartStyle" Target="style11.xml"/><Relationship Id="rId2" Type="http://schemas.openxmlformats.org/officeDocument/2006/relationships/themeOverride" Target="../theme/themeOverride11.xml"/><Relationship Id="rId1" Type="http://schemas.openxmlformats.org/officeDocument/2006/relationships/oleObject" Target="https://d.docs.live.net/fb92e85d57d94469/&#21326;&#31119;&#22269;&#38469;/&#35199;&#38160;&#24213;&#31295;.xlsx" TargetMode="External"/></Relationships>
</file>

<file path=word/charts/_rels/chart5.xml.rels><?xml version='1.0' encoding='UTF-8' standalone='yes'?>
<Relationships xmlns="http://schemas.openxmlformats.org/package/2006/relationships"><Relationship Id="rId4" Type="http://schemas.microsoft.com/office/2011/relationships/chartColorStyle" Target="colors3.xml"/><Relationship Id="rId3" Type="http://schemas.microsoft.com/office/2011/relationships/chartStyle" Target="style3.xml"/><Relationship Id="rId2" Type="http://schemas.openxmlformats.org/officeDocument/2006/relationships/themeOverride" Target="../theme/themeOverride3.xml"/><Relationship Id="rId1" Type="http://schemas.openxmlformats.org/officeDocument/2006/relationships/oleObject" Target="file:///C:\Users\86151\Desktop\&#35199;&#38160;&#24213;&#31295;(2).xlsx" TargetMode="External"/></Relationships>
</file>

<file path=word/charts/_rels/chart6.xml.rels><?xml version='1.0' encoding='UTF-8' standalone='yes'?>
<Relationships xmlns="http://schemas.openxmlformats.org/package/2006/relationships"><Relationship Id="rId4" Type="http://schemas.microsoft.com/office/2011/relationships/chartColorStyle" Target="colors2.xml"/><Relationship Id="rId3" Type="http://schemas.microsoft.com/office/2011/relationships/chartStyle" Target="style2.xml"/><Relationship Id="rId2" Type="http://schemas.openxmlformats.org/officeDocument/2006/relationships/themeOverride" Target="../theme/themeOverride2.xml"/><Relationship Id="rId1" Type="http://schemas.openxmlformats.org/officeDocument/2006/relationships/oleObject" Target="file:///C:\Users\86151\Desktop\&#35199;&#38160;&#24213;&#31295;.xlsx" TargetMode="External"/></Relationships>
</file>

<file path=word/charts/_rels/chart7.xml.rels><?xml version='1.0' encoding='UTF-8' standalone='yes'?>
<Relationships xmlns="http://schemas.openxmlformats.org/package/2006/relationships"><Relationship Id="rId4" Type="http://schemas.microsoft.com/office/2011/relationships/chartColorStyle" Target="colors7.xml"/><Relationship Id="rId3" Type="http://schemas.microsoft.com/office/2011/relationships/chartStyle" Target="style7.xml"/><Relationship Id="rId2" Type="http://schemas.openxmlformats.org/officeDocument/2006/relationships/themeOverride" Target="../theme/themeOverride7.xml"/><Relationship Id="rId1" Type="http://schemas.openxmlformats.org/officeDocument/2006/relationships/oleObject" Target="file:///C:\Users\86151\Desktop\&#35199;&#38160;&#24213;&#31295;.xlsx" TargetMode="External"/></Relationships>
</file>

<file path=word/charts/_rels/chart8.xml.rels><?xml version='1.0' encoding='UTF-8' standalone='yes'?>
<Relationships xmlns="http://schemas.openxmlformats.org/package/2006/relationships"><Relationship Id="rId4" Type="http://schemas.microsoft.com/office/2011/relationships/chartColorStyle" Target="colors13.xml"/><Relationship Id="rId3" Type="http://schemas.microsoft.com/office/2011/relationships/chartStyle" Target="style13.xml"/><Relationship Id="rId2" Type="http://schemas.openxmlformats.org/officeDocument/2006/relationships/themeOverride" Target="../theme/themeOverride13.xml"/><Relationship Id="rId1" Type="http://schemas.openxmlformats.org/officeDocument/2006/relationships/oleObject" Target="file:///C:\Users\86151\Desktop\&#35199;&#38160;&#24213;&#31295;.xlsx" TargetMode="External"/></Relationships>
</file>

<file path=word/charts/_rels/chart9.xml.rels><?xml version='1.0' encoding='UTF-8' standalone='yes'?>
<Relationships xmlns="http://schemas.openxmlformats.org/package/2006/relationships"><Relationship Id="rId4" Type="http://schemas.microsoft.com/office/2011/relationships/chartColorStyle" Target="colors12.xml"/><Relationship Id="rId3" Type="http://schemas.microsoft.com/office/2011/relationships/chartStyle" Target="style12.xml"/><Relationship Id="rId2" Type="http://schemas.openxmlformats.org/officeDocument/2006/relationships/themeOverride" Target="../theme/themeOverride12.xml"/><Relationship Id="rId1" Type="http://schemas.openxmlformats.org/officeDocument/2006/relationships/oleObject" Target="file:///C:\Users\86151\Desktop\&#35199;&#38160;&#24213;&#31295;.xlsx" TargetMode="External"/></Relationships>
</file>

<file path=word/charts/_rels/chart10.xml.rels><?xml version='1.0' encoding='UTF-8' standalone='yes'?>
<Relationships xmlns="http://schemas.openxmlformats.org/package/2006/relationships"><Relationship Id="rId4" Type="http://schemas.microsoft.com/office/2011/relationships/chartColorStyle" Target="colors4.xml"/><Relationship Id="rId3" Type="http://schemas.microsoft.com/office/2011/relationships/chartStyle" Target="style4.xml"/><Relationship Id="rId2" Type="http://schemas.openxmlformats.org/officeDocument/2006/relationships/themeOverride" Target="../theme/themeOverride4.xml"/><Relationship Id="rId1" Type="http://schemas.openxmlformats.org/officeDocument/2006/relationships/oleObject" Target="file:///C:\Users\86151\Desktop\&#35199;&#38160;&#24213;&#31295;.xlsx" TargetMode="External"/></Relationships>
</file>

<file path=word/charts/_rels/chart11.xml.rels><?xml version='1.0' encoding='UTF-8' standalone='yes'?>
<Relationships xmlns="http://schemas.openxmlformats.org/package/2006/relationships"><Relationship Id="rId4" Type="http://schemas.microsoft.com/office/2011/relationships/chartColorStyle" Target="colors14.xml"/><Relationship Id="rId3" Type="http://schemas.microsoft.com/office/2011/relationships/chartStyle" Target="style14.xml"/><Relationship Id="rId2" Type="http://schemas.openxmlformats.org/officeDocument/2006/relationships/themeOverride" Target="../theme/themeOverride14.xml"/><Relationship Id="rId1" Type="http://schemas.openxmlformats.org/officeDocument/2006/relationships/oleObject" Target="file:///C:\Users\86151\Desktop\&#35199;&#38160;&#24213;&#31295;.xlsx" TargetMode="External"/></Relationships>
</file>

<file path=word/charts/_rels/chart12.xml.rels><?xml version='1.0' encoding='UTF-8' standalone='yes'?>
<Relationships xmlns="http://schemas.openxmlformats.org/package/2006/relationships"><Relationship Id="rId4" Type="http://schemas.microsoft.com/office/2011/relationships/chartColorStyle" Target="colors8.xml"/><Relationship Id="rId3" Type="http://schemas.microsoft.com/office/2011/relationships/chartStyle" Target="style8.xml"/><Relationship Id="rId2" Type="http://schemas.openxmlformats.org/officeDocument/2006/relationships/themeOverride" Target="../theme/themeOverride8.xml"/><Relationship Id="rId1" Type="http://schemas.openxmlformats.org/officeDocument/2006/relationships/oleObject" Target="file:///C:\Users\86151\Desktop\&#35199;&#38160;&#24213;&#31295;.xlsx" TargetMode="External"/></Relationships>
</file>

<file path=word/charts/_rels/chart13.xml.rels><?xml version='1.0' encoding='UTF-8' standalone='yes'?>
<Relationships xmlns="http://schemas.openxmlformats.org/package/2006/relationships"><Relationship Id="rId4" Type="http://schemas.microsoft.com/office/2011/relationships/chartColorStyle" Target="colors15.xml"/><Relationship Id="rId3" Type="http://schemas.microsoft.com/office/2011/relationships/chartStyle" Target="style15.xml"/><Relationship Id="rId2" Type="http://schemas.openxmlformats.org/officeDocument/2006/relationships/themeOverride" Target="../theme/themeOverride15.xml"/><Relationship Id="rId1" Type="http://schemas.openxmlformats.org/officeDocument/2006/relationships/oleObject" Target="file:///C:\Users\86151\Desktop\&#35199;&#38160;&#24213;&#31295;.xlsx" TargetMode="External"/></Relationships>
</file>

<file path=word/charts/_rels/chart14.xml.rels><?xml version='1.0' encoding='UTF-8' standalone='yes'?>
<Relationships xmlns="http://schemas.openxmlformats.org/package/2006/relationships"><Relationship Id="rId4" Type="http://schemas.microsoft.com/office/2011/relationships/chartColorStyle" Target="colors16.xml"/><Relationship Id="rId3" Type="http://schemas.microsoft.com/office/2011/relationships/chartStyle" Target="style16.xml"/><Relationship Id="rId2" Type="http://schemas.openxmlformats.org/officeDocument/2006/relationships/themeOverride" Target="../theme/themeOverride16.xml"/><Relationship Id="rId1" Type="http://schemas.openxmlformats.org/officeDocument/2006/relationships/oleObject" Target="file:///C:\Users\86151\Desktop\&#35199;&#38160;&#24213;&#31295;.xlsx" TargetMode="External"/></Relationships>
</file>

<file path=word/charts/_rels/chart15.xml.rels><?xml version='1.0' encoding='UTF-8' standalone='yes'?>
<Relationships xmlns="http://schemas.openxmlformats.org/package/2006/relationships"><Relationship Id="rId4" Type="http://schemas.microsoft.com/office/2011/relationships/chartColorStyle" Target="colors10.xml"/><Relationship Id="rId3" Type="http://schemas.microsoft.com/office/2011/relationships/chartStyle" Target="style10.xml"/><Relationship Id="rId2" Type="http://schemas.openxmlformats.org/officeDocument/2006/relationships/themeOverride" Target="../theme/themeOverride10.xml"/><Relationship Id="rId1" Type="http://schemas.openxmlformats.org/officeDocument/2006/relationships/oleObject" Target="file:///C:\Users\86151\Desktop\&#35199;&#38160;&#24213;&#31295;.xlsx" TargetMode="External"/></Relationships>
</file>

<file path=word/charts/_rels/chart16.xml.rels><?xml version='1.0' encoding='UTF-8' standalone='yes'?>
<Relationships xmlns="http://schemas.openxmlformats.org/package/2006/relationships"><Relationship Id="rId4" Type="http://schemas.microsoft.com/office/2011/relationships/chartColorStyle" Target="colors17.xml"/><Relationship Id="rId3" Type="http://schemas.microsoft.com/office/2011/relationships/chartStyle" Target="style17.xml"/><Relationship Id="rId2" Type="http://schemas.openxmlformats.org/officeDocument/2006/relationships/themeOverride" Target="../theme/themeOverride17.xml"/><Relationship Id="rId1" Type="http://schemas.openxmlformats.org/officeDocument/2006/relationships/oleObject" Target="file:///C:\Users\86151\Desktop\&#35199;&#38160;&#24213;&#31295;.xlsx" TargetMode="External"/></Relationships>
</file>

<file path=word/charts/_rels/chart17.xml.rels><?xml version='1.0' encoding='UTF-8' standalone='yes'?>
<Relationships xmlns="http://schemas.openxmlformats.org/package/2006/relationships"><Relationship Id="rId4" Type="http://schemas.microsoft.com/office/2011/relationships/chartColorStyle" Target="colors20.xml"/><Relationship Id="rId3" Type="http://schemas.microsoft.com/office/2011/relationships/chartStyle" Target="style20.xml"/><Relationship Id="rId2" Type="http://schemas.openxmlformats.org/officeDocument/2006/relationships/themeOverride" Target="../theme/themeOverride20.xml"/><Relationship Id="rId1" Type="http://schemas.openxmlformats.org/officeDocument/2006/relationships/oleObject" Target="file:///C:\Users\86151\Desktop\&#35199;&#38160;&#24213;&#31295;.xlsx" TargetMode="External"/></Relationships>
</file>

<file path=word/charts/_rels/chart18.xml.rels><?xml version='1.0' encoding='UTF-8' standalone='yes'?>
<Relationships xmlns="http://schemas.openxmlformats.org/package/2006/relationships"><Relationship Id="rId4" Type="http://schemas.microsoft.com/office/2011/relationships/chartColorStyle" Target="colors18.xml"/><Relationship Id="rId3" Type="http://schemas.microsoft.com/office/2011/relationships/chartStyle" Target="style18.xml"/><Relationship Id="rId2" Type="http://schemas.openxmlformats.org/officeDocument/2006/relationships/themeOverride" Target="../theme/themeOverride18.xml"/><Relationship Id="rId1" Type="http://schemas.openxmlformats.org/officeDocument/2006/relationships/oleObject" Target="file:///C:\Users\86151\Desktop\&#35199;&#38160;&#24213;&#31295;.xlsx" TargetMode="External"/></Relationships>
</file>

<file path=word/charts/_rels/chart19.xml.rels><?xml version='1.0' encoding='UTF-8' standalone='yes'?>
<Relationships xmlns="http://schemas.openxmlformats.org/package/2006/relationships"><Relationship Id="rId4" Type="http://schemas.microsoft.com/office/2011/relationships/chartColorStyle" Target="colors19.xml"/><Relationship Id="rId3" Type="http://schemas.microsoft.com/office/2011/relationships/chartStyle" Target="style19.xml"/><Relationship Id="rId2" Type="http://schemas.openxmlformats.org/officeDocument/2006/relationships/themeOverride" Target="../theme/themeOverride19.xml"/><Relationship Id="rId1" Type="http://schemas.openxmlformats.org/officeDocument/2006/relationships/oleObject" Target="file:///C:\Users\86151\Desktop\&#35199;&#38160;&#24213;&#31295;.xlsx" TargetMode="External"/></Relationships>
</file>

<file path=word/charts/_rels/chart20.xml.rels><?xml version='1.0' encoding='UTF-8' standalone='yes'?>
<Relationships xmlns="http://schemas.openxmlformats.org/package/2006/relationships"><Relationship Id="rId4" Type="http://schemas.microsoft.com/office/2011/relationships/chartColorStyle" Target="colors21.xml"/><Relationship Id="rId3" Type="http://schemas.microsoft.com/office/2011/relationships/chartStyle" Target="style21.xml"/><Relationship Id="rId2" Type="http://schemas.openxmlformats.org/officeDocument/2006/relationships/themeOverride" Target="../theme/themeOverride21.xml"/><Relationship Id="rId1" Type="http://schemas.openxmlformats.org/officeDocument/2006/relationships/oleObject" Target="file:///C:\Users\86151\Desktop\&#35199;&#38160;&#24213;&#31295;.xlsx" TargetMode="External"/></Relationships>
</file>

<file path=word/charts/_rels/chart21.xml.rels><?xml version='1.0' encoding='UTF-8' standalone='yes'?>
<Relationships xmlns="http://schemas.openxmlformats.org/package/2006/relationships"><Relationship Id="rId4" Type="http://schemas.microsoft.com/office/2011/relationships/chartColorStyle" Target="colors5.xml"/><Relationship Id="rId3" Type="http://schemas.microsoft.com/office/2011/relationships/chartStyle" Target="style5.xml"/><Relationship Id="rId2" Type="http://schemas.openxmlformats.org/officeDocument/2006/relationships/themeOverride" Target="../theme/themeOverride5.xml"/><Relationship Id="rId1" Type="http://schemas.openxmlformats.org/officeDocument/2006/relationships/oleObject" Target="file:///C:\Users\zheng\Desktop\&#35199;&#38160;&#24213;&#31295;.xlsx" TargetMode="External"/></Relationships>
</file>

<file path=word/charts/_rels/chart22.xml.rels><?xml version='1.0' encoding='UTF-8' standalone='yes'?>
<Relationships xmlns="http://schemas.openxmlformats.org/package/2006/relationships"><Relationship Id="rId4" Type="http://schemas.microsoft.com/office/2011/relationships/chartColorStyle" Target="colors22.xml"/><Relationship Id="rId3" Type="http://schemas.microsoft.com/office/2011/relationships/chartStyle" Target="style22.xml"/><Relationship Id="rId2" Type="http://schemas.openxmlformats.org/officeDocument/2006/relationships/themeOverride" Target="../theme/themeOverride22.xml"/><Relationship Id="rId1" Type="http://schemas.openxmlformats.org/officeDocument/2006/relationships/oleObject" Target="file:///C:\Users\86151\Desktop\&#35199;&#38160;&#24213;&#31295;.xlsx" TargetMode="External"/></Relationships>
</file>

<file path=word/charts/_rels/chart23.xml.rels><?xml version='1.0' encoding='UTF-8' standalone='yes'?>
<Relationships xmlns="http://schemas.openxmlformats.org/package/2006/relationships"><Relationship Id="rId1" Type="http://schemas.openxmlformats.org/officeDocument/2006/relationships/oleObject" Target="file:///C:\Users\86151\Desktop\&#35199;&#38160;&#24213;&#31295;.xlsx" TargetMode="External"/><Relationship Id="rId2" Type="http://schemas.openxmlformats.org/officeDocument/2006/relationships/themeOverride" Target="../theme/themeOverride23.xml"/><Relationship Id="rId3" Type="http://schemas.microsoft.com/office/2011/relationships/chartStyle" Target="style23.xml"/><Relationship Id="rId4" Type="http://schemas.microsoft.com/office/2011/relationships/chartColorStyle" Target="colors23.xml"/></Relationships>
</file>

<file path=word/charts/_rels/chart24.xml.rels><?xml version='1.0' encoding='UTF-8' standalone='yes'?>
<Relationships xmlns="http://schemas.openxmlformats.org/package/2006/relationships"><Relationship Id="rId1" Type="http://schemas.openxmlformats.org/officeDocument/2006/relationships/oleObject" Target="file:///C:\Users\86151\Desktop\&#35199;&#38160;&#24213;&#31295;(2).xlsx" TargetMode="External"/><Relationship Id="rId2" Type="http://schemas.openxmlformats.org/officeDocument/2006/relationships/themeOverride" Target="../theme/themeOverride24.xml"/><Relationship Id="rId3" Type="http://schemas.microsoft.com/office/2011/relationships/chartStyle" Target="style24.xml"/><Relationship Id="rId4" Type="http://schemas.microsoft.com/office/2011/relationships/chartColorStyle" Target="colors24.xml"/></Relationships>
</file>

<file path=word/charts/_rels/chart25.xml.rels><?xml version='1.0' encoding='UTF-8' standalone='yes'?>
<Relationships xmlns="http://schemas.openxmlformats.org/package/2006/relationships"><Relationship Id="rId1" Type="http://schemas.openxmlformats.org/officeDocument/2006/relationships/oleObject" Target="https://d.docs.live.net/fb92e85d57d94469/&#21326;&#31119;&#22269;&#38469;/&#35199;&#38160;&#24213;&#31295;.xlsx" TargetMode="External"/><Relationship Id="rId2" Type="http://schemas.openxmlformats.org/officeDocument/2006/relationships/themeOverride" Target="../theme/themeOverride25.xml"/><Relationship Id="rId3" Type="http://schemas.microsoft.com/office/2011/relationships/chartStyle" Target="style25.xml"/><Relationship Id="rId4" Type="http://schemas.microsoft.com/office/2011/relationships/chartColorStyle" Target="colors25.xml"/></Relationships>
</file>

<file path=word/charts/_rels/chart26.xml.rels><?xml version='1.0' encoding='UTF-8' standalone='yes'?>
<Relationships xmlns="http://schemas.openxmlformats.org/package/2006/relationships"><Relationship Id="rId1" Type="http://schemas.openxmlformats.org/officeDocument/2006/relationships/oleObject" Target="https://d.docs.live.net/fb92e85d57d94469/&#21326;&#31119;&#22269;&#38469;/&#35199;&#38160;&#24213;&#31295;.xlsx" TargetMode="External"/><Relationship Id="rId2" Type="http://schemas.openxmlformats.org/officeDocument/2006/relationships/themeOverride" Target="../theme/themeOverride26.xml"/><Relationship Id="rId3" Type="http://schemas.microsoft.com/office/2011/relationships/chartStyle" Target="style26.xml"/><Relationship Id="rId4" Type="http://schemas.microsoft.com/office/2011/relationships/chartColorStyle" Target="colors26.xml"/></Relationships>
</file>

<file path=word/charts/_rels/chart27.xml.rels><?xml version='1.0' encoding='UTF-8' standalone='yes'?>
<Relationships xmlns="http://schemas.openxmlformats.org/package/2006/relationships"><Relationship Id="rId1" Type="http://schemas.openxmlformats.org/officeDocument/2006/relationships/oleObject" Target="file:///C:\Users\86151\Desktop\&#35199;&#38160;&#24213;&#31295;(2).xlsx" TargetMode="External"/><Relationship Id="rId2" Type="http://schemas.openxmlformats.org/officeDocument/2006/relationships/themeOverride" Target="../theme/themeOverride27.xml"/><Relationship Id="rId3" Type="http://schemas.microsoft.com/office/2011/relationships/chartStyle" Target="style27.xml"/><Relationship Id="rId4" Type="http://schemas.microsoft.com/office/2011/relationships/chartColorStyle" Target="colors27.xml"/></Relationships>
</file>

<file path=word/charts/_rels/chart28.xml.rels><?xml version='1.0' encoding='UTF-8' standalone='yes'?>
<Relationships xmlns="http://schemas.openxmlformats.org/package/2006/relationships"><Relationship Id="rId1" Type="http://schemas.openxmlformats.org/officeDocument/2006/relationships/oleObject" Target="file:///C:\Users\86151\Desktop\&#35199;&#38160;&#24213;&#31295;.xlsx" TargetMode="External"/><Relationship Id="rId2" Type="http://schemas.openxmlformats.org/officeDocument/2006/relationships/themeOverride" Target="../theme/themeOverride28.xml"/><Relationship Id="rId3" Type="http://schemas.microsoft.com/office/2011/relationships/chartStyle" Target="style28.xml"/><Relationship Id="rId4" Type="http://schemas.microsoft.com/office/2011/relationships/chartColorStyle" Target="colors28.xml"/></Relationships>
</file>

<file path=word/charts/_rels/chart29.xml.rels><?xml version='1.0' encoding='UTF-8' standalone='yes'?>
<Relationships xmlns="http://schemas.openxmlformats.org/package/2006/relationships"><Relationship Id="rId1" Type="http://schemas.openxmlformats.org/officeDocument/2006/relationships/oleObject" Target="file:///C:\Users\86151\Desktop\&#35199;&#38160;&#24213;&#31295;.xlsx" TargetMode="External"/><Relationship Id="rId2" Type="http://schemas.openxmlformats.org/officeDocument/2006/relationships/themeOverride" Target="../theme/themeOverride29.xml"/><Relationship Id="rId3" Type="http://schemas.microsoft.com/office/2011/relationships/chartStyle" Target="style29.xml"/><Relationship Id="rId4" Type="http://schemas.microsoft.com/office/2011/relationships/chartColorStyle" Target="colors29.xml"/></Relationships>
</file>

<file path=word/charts/_rels/chart30.xml.rels><?xml version='1.0' encoding='UTF-8' standalone='yes'?>
<Relationships xmlns="http://schemas.openxmlformats.org/package/2006/relationships"><Relationship Id="rId1" Type="http://schemas.openxmlformats.org/officeDocument/2006/relationships/oleObject" Target="file:///C:\Users\86151\Desktop\&#35199;&#38160;&#24213;&#31295;.xlsx" TargetMode="External"/><Relationship Id="rId2" Type="http://schemas.openxmlformats.org/officeDocument/2006/relationships/themeOverride" Target="../theme/themeOverride30.xml"/><Relationship Id="rId3" Type="http://schemas.microsoft.com/office/2011/relationships/chartStyle" Target="style30.xml"/><Relationship Id="rId4" Type="http://schemas.microsoft.com/office/2011/relationships/chartColorStyle" Target="colors30.xml"/></Relationships>
</file>

<file path=word/charts/_rels/chart31.xml.rels><?xml version='1.0' encoding='UTF-8' standalone='yes'?>
<Relationships xmlns="http://schemas.openxmlformats.org/package/2006/relationships"><Relationship Id="rId1" Type="http://schemas.openxmlformats.org/officeDocument/2006/relationships/oleObject" Target="file:///C:\Users\86151\Desktop\&#35199;&#38160;&#24213;&#31295;.xlsx" TargetMode="External"/><Relationship Id="rId2" Type="http://schemas.openxmlformats.org/officeDocument/2006/relationships/themeOverride" Target="../theme/themeOverride31.xml"/><Relationship Id="rId3" Type="http://schemas.microsoft.com/office/2011/relationships/chartStyle" Target="style31.xml"/><Relationship Id="rId4" Type="http://schemas.microsoft.com/office/2011/relationships/chartColorStyle" Target="colors31.xml"/></Relationships>
</file>

<file path=word/charts/_rels/chart32.xml.rels><?xml version='1.0' encoding='UTF-8' standalone='yes'?>
<Relationships xmlns="http://schemas.openxmlformats.org/package/2006/relationships"><Relationship Id="rId1" Type="http://schemas.openxmlformats.org/officeDocument/2006/relationships/oleObject" Target="file:///C:\Users\86151\Desktop\&#35199;&#38160;&#24213;&#31295;.xlsx" TargetMode="External"/><Relationship Id="rId2" Type="http://schemas.openxmlformats.org/officeDocument/2006/relationships/themeOverride" Target="../theme/themeOverride32.xml"/><Relationship Id="rId3" Type="http://schemas.microsoft.com/office/2011/relationships/chartStyle" Target="style32.xml"/><Relationship Id="rId4" Type="http://schemas.microsoft.com/office/2011/relationships/chartColorStyle" Target="colors32.xml"/></Relationships>
</file>

<file path=word/charts/_rels/chart33.xml.rels><?xml version='1.0' encoding='UTF-8' standalone='yes'?>
<Relationships xmlns="http://schemas.openxmlformats.org/package/2006/relationships"><Relationship Id="rId1" Type="http://schemas.openxmlformats.org/officeDocument/2006/relationships/oleObject" Target="file:///C:\Users\86151\Desktop\&#35199;&#38160;&#24213;&#31295;.xlsx" TargetMode="External"/><Relationship Id="rId2" Type="http://schemas.openxmlformats.org/officeDocument/2006/relationships/themeOverride" Target="../theme/themeOverride33.xml"/><Relationship Id="rId3" Type="http://schemas.microsoft.com/office/2011/relationships/chartStyle" Target="style33.xml"/><Relationship Id="rId4" Type="http://schemas.microsoft.com/office/2011/relationships/chartColorStyle" Target="colors33.xml"/></Relationships>
</file>

<file path=word/charts/_rels/chart34.xml.rels><?xml version='1.0' encoding='UTF-8' standalone='yes'?>
<Relationships xmlns="http://schemas.openxmlformats.org/package/2006/relationships"><Relationship Id="rId1" Type="http://schemas.openxmlformats.org/officeDocument/2006/relationships/oleObject" Target="file:///C:\Users\86151\Desktop\&#35199;&#38160;&#24213;&#31295;.xlsx" TargetMode="External"/><Relationship Id="rId2" Type="http://schemas.openxmlformats.org/officeDocument/2006/relationships/themeOverride" Target="../theme/themeOverride34.xml"/><Relationship Id="rId3" Type="http://schemas.microsoft.com/office/2011/relationships/chartStyle" Target="style34.xml"/><Relationship Id="rId4" Type="http://schemas.microsoft.com/office/2011/relationships/chartColorStyle" Target="colors34.xml"/></Relationships>
</file>

<file path=word/charts/_rels/chart35.xml.rels><?xml version='1.0' encoding='UTF-8' standalone='yes'?>
<Relationships xmlns="http://schemas.openxmlformats.org/package/2006/relationships"><Relationship Id="rId1" Type="http://schemas.openxmlformats.org/officeDocument/2006/relationships/oleObject" Target="file:///C:\Users\86151\Desktop\&#35199;&#38160;&#24213;&#31295;.xlsx" TargetMode="External"/><Relationship Id="rId2" Type="http://schemas.openxmlformats.org/officeDocument/2006/relationships/themeOverride" Target="../theme/themeOverride35.xml"/><Relationship Id="rId3" Type="http://schemas.microsoft.com/office/2011/relationships/chartStyle" Target="style35.xml"/><Relationship Id="rId4" Type="http://schemas.microsoft.com/office/2011/relationships/chartColorStyle" Target="colors35.xml"/></Relationships>
</file>

<file path=word/charts/_rels/chart36.xml.rels><?xml version='1.0' encoding='UTF-8' standalone='yes'?>
<Relationships xmlns="http://schemas.openxmlformats.org/package/2006/relationships"><Relationship Id="rId1" Type="http://schemas.openxmlformats.org/officeDocument/2006/relationships/oleObject" Target="file:///C:\Users\86151\Desktop\&#35199;&#38160;&#24213;&#31295;.xlsx" TargetMode="External"/><Relationship Id="rId2" Type="http://schemas.openxmlformats.org/officeDocument/2006/relationships/themeOverride" Target="../theme/themeOverride36.xml"/><Relationship Id="rId3" Type="http://schemas.microsoft.com/office/2011/relationships/chartStyle" Target="style36.xml"/><Relationship Id="rId4" Type="http://schemas.microsoft.com/office/2011/relationships/chartColorStyle" Target="colors36.xml"/></Relationships>
</file>

<file path=word/charts/_rels/chart37.xml.rels><?xml version='1.0' encoding='UTF-8' standalone='yes'?>
<Relationships xmlns="http://schemas.openxmlformats.org/package/2006/relationships"><Relationship Id="rId1" Type="http://schemas.openxmlformats.org/officeDocument/2006/relationships/oleObject" Target="file:///C:\Users\86151\Desktop\&#35199;&#38160;&#24213;&#31295;.xlsx" TargetMode="External"/><Relationship Id="rId2" Type="http://schemas.openxmlformats.org/officeDocument/2006/relationships/themeOverride" Target="../theme/themeOverride37.xml"/><Relationship Id="rId3" Type="http://schemas.microsoft.com/office/2011/relationships/chartStyle" Target="style37.xml"/><Relationship Id="rId4" Type="http://schemas.microsoft.com/office/2011/relationships/chartColorStyle" Target="colors37.xml"/></Relationships>
</file>

<file path=word/charts/_rels/chart38.xml.rels><?xml version='1.0' encoding='UTF-8' standalone='yes'?>
<Relationships xmlns="http://schemas.openxmlformats.org/package/2006/relationships"><Relationship Id="rId1" Type="http://schemas.openxmlformats.org/officeDocument/2006/relationships/oleObject" Target="file:///C:\Users\86151\Desktop\&#35199;&#38160;&#24213;&#31295;.xlsx" TargetMode="External"/><Relationship Id="rId2" Type="http://schemas.openxmlformats.org/officeDocument/2006/relationships/themeOverride" Target="../theme/themeOverride38.xml"/><Relationship Id="rId3" Type="http://schemas.microsoft.com/office/2011/relationships/chartStyle" Target="style38.xml"/><Relationship Id="rId4" Type="http://schemas.microsoft.com/office/2011/relationships/chartColorStyle" Target="colors38.xml"/></Relationships>
</file>

<file path=word/charts/_rels/chart39.xml.rels><?xml version='1.0' encoding='UTF-8' standalone='yes'?>
<Relationships xmlns="http://schemas.openxmlformats.org/package/2006/relationships"><Relationship Id="rId1" Type="http://schemas.openxmlformats.org/officeDocument/2006/relationships/oleObject" Target="file:///C:\Users\86151\Desktop\&#35199;&#38160;&#24213;&#31295;.xlsx" TargetMode="External"/><Relationship Id="rId2" Type="http://schemas.openxmlformats.org/officeDocument/2006/relationships/themeOverride" Target="../theme/themeOverride39.xml"/><Relationship Id="rId3" Type="http://schemas.microsoft.com/office/2011/relationships/chartStyle" Target="style39.xml"/><Relationship Id="rId4" Type="http://schemas.microsoft.com/office/2011/relationships/chartColorStyle" Target="colors39.xml"/></Relationships>
</file>

<file path=word/charts/_rels/chart40.xml.rels><?xml version='1.0' encoding='UTF-8' standalone='yes'?>
<Relationships xmlns="http://schemas.openxmlformats.org/package/2006/relationships"><Relationship Id="rId1" Type="http://schemas.openxmlformats.org/officeDocument/2006/relationships/oleObject" Target="file:///C:\Users\86151\Desktop\&#35199;&#38160;&#24213;&#31295;.xlsx" TargetMode="External"/><Relationship Id="rId2" Type="http://schemas.openxmlformats.org/officeDocument/2006/relationships/themeOverride" Target="../theme/themeOverride40.xml"/><Relationship Id="rId3" Type="http://schemas.microsoft.com/office/2011/relationships/chartStyle" Target="style40.xml"/><Relationship Id="rId4" Type="http://schemas.microsoft.com/office/2011/relationships/chartColorStyle" Target="colors40.xml"/></Relationships>
</file>

<file path=word/charts/_rels/chart41.xml.rels><?xml version='1.0' encoding='UTF-8' standalone='yes'?>
<Relationships xmlns="http://schemas.openxmlformats.org/package/2006/relationships"><Relationship Id="rId1" Type="http://schemas.openxmlformats.org/officeDocument/2006/relationships/oleObject" Target="file:///C:\Users\86151\Desktop\&#35199;&#38160;&#24213;&#31295;.xlsx" TargetMode="External"/><Relationship Id="rId2" Type="http://schemas.openxmlformats.org/officeDocument/2006/relationships/themeOverride" Target="../theme/themeOverride41.xml"/><Relationship Id="rId3" Type="http://schemas.microsoft.com/office/2011/relationships/chartStyle" Target="style41.xml"/><Relationship Id="rId4" Type="http://schemas.microsoft.com/office/2011/relationships/chartColorStyle" Target="colors41.xml"/></Relationships>
</file>

<file path=word/charts/_rels/chart42.xml.rels><?xml version='1.0' encoding='UTF-8' standalone='yes'?>
<Relationships xmlns="http://schemas.openxmlformats.org/package/2006/relationships"><Relationship Id="rId1" Type="http://schemas.openxmlformats.org/officeDocument/2006/relationships/oleObject" Target="file:///C:\Users\86151\Desktop\&#35199;&#38160;&#24213;&#31295;.xlsx" TargetMode="External"/><Relationship Id="rId2" Type="http://schemas.openxmlformats.org/officeDocument/2006/relationships/themeOverride" Target="../theme/themeOverride42.xml"/><Relationship Id="rId3" Type="http://schemas.microsoft.com/office/2011/relationships/chartStyle" Target="style42.xml"/><Relationship Id="rId4" Type="http://schemas.microsoft.com/office/2011/relationships/chartColorStyle" Target="colors42.xml"/></Relationships>
</file>

<file path=word/charts/_rels/chart43.xml.rels><?xml version='1.0' encoding='UTF-8' standalone='yes'?>
<Relationships xmlns="http://schemas.openxmlformats.org/package/2006/relationships"><Relationship Id="rId1" Type="http://schemas.openxmlformats.org/officeDocument/2006/relationships/oleObject" Target="file:///C:\Users\zheng\Desktop\&#35199;&#38160;&#24213;&#31295;.xlsx" TargetMode="External"/><Relationship Id="rId2" Type="http://schemas.openxmlformats.org/officeDocument/2006/relationships/themeOverride" Target="../theme/themeOverride43.xml"/><Relationship Id="rId3" Type="http://schemas.microsoft.com/office/2011/relationships/chartStyle" Target="style43.xml"/><Relationship Id="rId4" Type="http://schemas.microsoft.com/office/2011/relationships/chartColorStyle" Target="colors43.xml"/></Relationships>
</file>

<file path=word/charts/_rels/chart44.xml.rels><?xml version='1.0' encoding='UTF-8' standalone='yes'?>
<Relationships xmlns="http://schemas.openxmlformats.org/package/2006/relationships"><Relationship Id="rId1" Type="http://schemas.openxmlformats.org/officeDocument/2006/relationships/oleObject" Target="file:///C:\Users\86151\Desktop\&#35199;&#38160;&#24213;&#31295;.xlsx" TargetMode="External"/><Relationship Id="rId2" Type="http://schemas.openxmlformats.org/officeDocument/2006/relationships/themeOverride" Target="../theme/themeOverride44.xml"/><Relationship Id="rId3" Type="http://schemas.microsoft.com/office/2011/relationships/chartStyle" Target="style44.xml"/><Relationship Id="rId4" Type="http://schemas.microsoft.com/office/2011/relationships/chartColorStyle" Target="colors44.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40532061199931"/>
          <c:y val="0.181747483442863"/>
          <c:w val="0.736598905506848"/>
          <c:h val="0.715094978907071"/>
        </c:manualLayout>
      </c:layout>
      <c:barChart>
        <c:barDir val="col"/>
        <c:grouping val="clustered"/>
        <c:varyColors val="0"/>
        <c:ser>
          <c:idx val="0"/>
          <c:order val="0"/>
          <c:tx>
            <c:strRef>
              <c:f>[西锐底稿.xlsx]Part1!$H$43</c:f>
              <c:strCache>
                <c:ptCount val="1"/>
                <c:pt idx="0">
                  <c:v>营业总收入</c:v>
                </c:pt>
              </c:strCache>
            </c:strRef>
          </c:tx>
          <c:spPr>
            <a:solidFill>
              <a:srgbClr val="002060"/>
            </a:solidFill>
            <a:ln w="25400">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7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[西锐底稿.xlsx]Part1!$G$44:$G$49</c:f>
              <c:numCache>
                <c:formatCode>General</c:formatCode>
                <c:ptCount val="5"/>
                <c:pt idx="0">
                  <c:v>2020</c:v>
                </c:pt>
                <c:pt idx="1">
                  <c:v>2021</c:v>
                </c:pt>
                <c:pt idx="2">
                  <c:v>2022</c:v>
                </c:pt>
                <c:pt idx="3">
                  <c:v>2023</c:v>
                </c:pt>
                <c:pt idx="4">
                  <c:v>2024</c:v>
                </c:pt>
              </c:numCache>
            </c:numRef>
          </c:cat>
          <c:val>
            <c:numRef>
              <c:f>Part1!$H$44:$H$49</c:f>
              <c:numCache>
                <c:formatCode>#,##0.00</c:formatCode>
                <c:ptCount val="5"/>
                <c:pt idx="0">
                  <c:v>586.46</c:v>
                </c:pt>
                <c:pt idx="1">
                  <c:v>738.13</c:v>
                </c:pt>
                <c:pt idx="2">
                  <c:v>894.08</c:v>
                </c:pt>
                <c:pt idx="3">
                  <c:v>1067.71</c:v>
                </c:pt>
                <c:pt idx="4">
                  <c:v>1197.13</c:v>
                </c:pt>
              </c:numCache>
            </c:numRef>
          </c:val>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[西锐底稿.xlsx]Part1!$I$43</c:f>
              <c:strCache>
                <c:ptCount val="1"/>
                <c:pt idx="0">
                  <c:v>yoy</c:v>
                </c:pt>
              </c:strCache>
            </c:strRef>
          </c:tx>
          <c:spPr>
            <a:ln w="28575" cap="rnd">
              <a:solidFill>
                <a:srgbClr val="A5A5A5"/>
              </a:solidFill>
              <a:round/>
            </a:ln>
            <a:effectLst/>
          </c:spPr>
          <c:marker>
            <c:symbol val="none"/>
          </c:marker>
          <c:dLbls>
            <c:delete val="1"/>
          </c:dLbls>
          <c:cat>
            <c:numRef>
              <c:f>[西锐底稿.xlsx]Part1!$G$44:$G$49</c:f>
              <c:numCache>
                <c:formatCode>General</c:formatCode>
                <c:ptCount val="5"/>
                <c:pt idx="0">
                  <c:v>2020</c:v>
                </c:pt>
                <c:pt idx="1">
                  <c:v>2021</c:v>
                </c:pt>
                <c:pt idx="2">
                  <c:v>2022</c:v>
                </c:pt>
                <c:pt idx="3">
                  <c:v>2023</c:v>
                </c:pt>
                <c:pt idx="4">
                  <c:v>2024</c:v>
                </c:pt>
              </c:numCache>
            </c:numRef>
          </c:cat>
          <c:val>
            <c:numRef>
              <c:f>Part1!$I$44:$I$49</c:f>
              <c:numCache>
                <c:formatCode>General</c:formatCode>
                <c:ptCount val="5"/>
                <c:pt idx="1" c:formatCode="0.00%">
                  <c:v>0.258619513692323</c:v>
                </c:pt>
                <c:pt idx="2" c:formatCode="0.00%">
                  <c:v>0.211277146302142</c:v>
                </c:pt>
                <c:pt idx="3" c:formatCode="0.00%">
                  <c:v>0.194199624194703</c:v>
                </c:pt>
                <c:pt idx="4" c:formatCode="0.00%">
                  <c:v>0.12121268883873</c:v>
                </c:pt>
              </c:numCache>
            </c:numRef>
          </c:val>
          <c:smooth val="0"/>
        </c:ser>
        <c:dLbls>
          <c:showLegendKey val="0"/>
          <c:showVal val="0"/>
          <c:showCatName val="0"/>
          <c:showSerName val="0"/>
          <c:showPercent val="0"/>
          <c:showBubbleSize val="0"/>
        </c:dLbls>
        <c:marker val="0"/>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351793120"/>
        <c:crosses val="autoZero"/>
        <c:auto val="1"/>
        <c:lblAlgn val="ctr"/>
        <c:lblOffset val="100"/>
        <c:noMultiLvlLbl val="0"/>
      </c:catAx>
      <c:valAx>
        <c:axId val="1351793120"/>
        <c:scaling>
          <c:orientation val="minMax"/>
        </c:scaling>
        <c:delete val="0"/>
        <c:axPos val="r"/>
        <c:numFmt formatCode="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351793600"/>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900" b="0" i="0" u="none" strike="noStrike" kern="1200" baseline="0">
              <a:solidFill>
                <a:srgbClr val="4C4D4F"/>
              </a:solidFill>
              <a:latin typeface="微软雅黑" panose="020B0503020204020204" pitchFamily="2" charset="-122"/>
              <a:ea typeface="微软雅黑" panose="020B0503020204020204" pitchFamily="2" charset="-122"/>
              <a:cs typeface="+mn-cs"/>
            </a:defRPr>
          </a:pPr>
        </a:p>
      </c:txPr>
    </c:legend>
    <c:plotVisOnly val="1"/>
    <c:dispBlanksAs val="gap"/>
    <c:showDLblsOverMax val="0"/>
  </c:chart>
  <c:spPr>
    <a:noFill/>
    <a:ln w="9525" cap="flat" cmpd="sng" algn="ctr">
      <a:no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01288197701049"/>
          <c:y val="0.119168487446923"/>
          <c:w val="0.895941719196458"/>
          <c:h val="0.823239889516428"/>
        </c:manualLayout>
      </c:layout>
      <c:barChart>
        <c:barDir val="col"/>
        <c:grouping val="stacked"/>
        <c:varyColors val="0"/>
        <c:ser>
          <c:idx val="1"/>
          <c:order val="0"/>
          <c:tx>
            <c:strRef>
              <c:f>Part1!$G$68</c:f>
              <c:strCache>
                <c:ptCount val="1"/>
                <c:pt idx="0">
                  <c:v>飞机业务</c:v>
                </c:pt>
              </c:strCache>
            </c:strRef>
          </c:tx>
          <c:spPr>
            <a:solidFill>
              <a:srgbClr val="002060"/>
            </a:solidFill>
            <a:ln>
              <a:noFill/>
            </a:ln>
            <a:effectLst/>
          </c:spPr>
          <c:invertIfNegative val="0"/>
          <c:dLbls>
            <c:delete val="1"/>
          </c:dLbls>
          <c:cat>
            <c:numRef>
              <c:f>Part1!$H$67:$L$67</c:f>
              <c:numCache>
                <c:formatCode>General</c:formatCode>
                <c:ptCount val="5"/>
                <c:pt idx="0">
                  <c:v>2020</c:v>
                </c:pt>
                <c:pt idx="1">
                  <c:v>2021</c:v>
                </c:pt>
                <c:pt idx="2">
                  <c:v>2022</c:v>
                </c:pt>
                <c:pt idx="3">
                  <c:v>2023</c:v>
                </c:pt>
                <c:pt idx="4">
                  <c:v>2024</c:v>
                </c:pt>
              </c:numCache>
            </c:numRef>
          </c:cat>
          <c:val>
            <c:numRef>
              <c:f>Part1!$H$68:$L$68</c:f>
              <c:numCache>
                <c:formatCode>#,##0.00</c:formatCode>
                <c:ptCount val="5"/>
                <c:pt idx="0">
                  <c:v>488.29</c:v>
                </c:pt>
                <c:pt idx="1">
                  <c:v>619.61</c:v>
                </c:pt>
                <c:pt idx="2">
                  <c:v>759.74</c:v>
                </c:pt>
                <c:pt idx="3">
                  <c:v>915.65</c:v>
                </c:pt>
                <c:pt idx="4">
                  <c:v>1023.91</c:v>
                </c:pt>
              </c:numCache>
            </c:numRef>
          </c:val>
        </c:ser>
        <c:ser>
          <c:idx val="3"/>
          <c:order val="2"/>
          <c:tx>
            <c:strRef>
              <c:f>Part1!$G$70</c:f>
              <c:strCache>
                <c:ptCount val="1"/>
                <c:pt idx="0">
                  <c:v>服务业务</c:v>
                </c:pt>
              </c:strCache>
            </c:strRef>
          </c:tx>
          <c:spPr>
            <a:solidFill>
              <a:sysClr val="window" lastClr="FFFFFF">
                <a:lumMod val="75000"/>
              </a:sysClr>
            </a:solidFill>
            <a:ln>
              <a:noFill/>
            </a:ln>
            <a:effectLst/>
          </c:spPr>
          <c:invertIfNegative val="0"/>
          <c:dLbls>
            <c:delete val="1"/>
          </c:dLbls>
          <c:cat>
            <c:numRef>
              <c:f>Part1!$H$67:$L$67</c:f>
              <c:numCache>
                <c:formatCode>General</c:formatCode>
                <c:ptCount val="5"/>
                <c:pt idx="0">
                  <c:v>2020</c:v>
                </c:pt>
                <c:pt idx="1">
                  <c:v>2021</c:v>
                </c:pt>
                <c:pt idx="2">
                  <c:v>2022</c:v>
                </c:pt>
                <c:pt idx="3">
                  <c:v>2023</c:v>
                </c:pt>
                <c:pt idx="4">
                  <c:v>2024</c:v>
                </c:pt>
              </c:numCache>
            </c:numRef>
          </c:cat>
          <c:val>
            <c:numRef>
              <c:f>Part1!$H$70:$L$70</c:f>
              <c:numCache>
                <c:formatCode>#,##0.00</c:formatCode>
                <c:ptCount val="5"/>
                <c:pt idx="0">
                  <c:v>98.17</c:v>
                </c:pt>
                <c:pt idx="1">
                  <c:v>118.52</c:v>
                </c:pt>
                <c:pt idx="2">
                  <c:v>134.34</c:v>
                </c:pt>
                <c:pt idx="3">
                  <c:v>152.05</c:v>
                </c:pt>
                <c:pt idx="4">
                  <c:v>173.22</c:v>
                </c:pt>
              </c:numCache>
            </c:numRef>
          </c:val>
        </c:ser>
        <c:dLbls>
          <c:showLegendKey val="0"/>
          <c:showVal val="0"/>
          <c:showCatName val="0"/>
          <c:showSerName val="0"/>
          <c:showPercent val="0"/>
          <c:showBubbleSize val="0"/>
        </c:dLbls>
        <c:gapWidth val="150"/>
        <c:overlap val="100"/>
        <c:axId val="1162810192"/>
        <c:axId val="1162808272"/>
      </c:barChart>
      <c:lineChart>
        <c:grouping val="standard"/>
        <c:varyColors val="0"/>
        <c:ser>
          <c:idx val="2"/>
          <c:order val="1"/>
          <c:tx>
            <c:strRef>
              <c:f>Part1!$G$69</c:f>
              <c:strCache>
                <c:ptCount val="1"/>
                <c:pt idx="0">
                  <c:v>yoy</c:v>
                </c:pt>
              </c:strCache>
            </c:strRef>
          </c:tx>
          <c:spPr>
            <a:ln w="28575" cap="rnd">
              <a:solidFill>
                <a:srgbClr val="002060"/>
              </a:solidFill>
              <a:round/>
            </a:ln>
            <a:effectLst/>
          </c:spPr>
          <c:marker>
            <c:symbol val="none"/>
          </c:marker>
          <c:dLbls>
            <c:delete val="1"/>
          </c:dLbls>
          <c:cat>
            <c:numRef>
              <c:f>Part1!$H$67:$L$67</c:f>
              <c:numCache>
                <c:formatCode>General</c:formatCode>
                <c:ptCount val="5"/>
                <c:pt idx="0">
                  <c:v>2020</c:v>
                </c:pt>
                <c:pt idx="1">
                  <c:v>2021</c:v>
                </c:pt>
                <c:pt idx="2">
                  <c:v>2022</c:v>
                </c:pt>
                <c:pt idx="3">
                  <c:v>2023</c:v>
                </c:pt>
                <c:pt idx="4">
                  <c:v>2024</c:v>
                </c:pt>
              </c:numCache>
            </c:numRef>
          </c:cat>
          <c:val>
            <c:numRef>
              <c:f>Part1!$H$69:$L$69</c:f>
              <c:numCache>
                <c:formatCode>General</c:formatCode>
                <c:ptCount val="5"/>
                <c:pt idx="1" c:formatCode="0.00%">
                  <c:v>0.268938540621352</c:v>
                </c:pt>
                <c:pt idx="2" c:formatCode="0.00%">
                  <c:v>0.226158389954972</c:v>
                </c:pt>
                <c:pt idx="3" c:formatCode="0.00%">
                  <c:v>0.205214941953826</c:v>
                </c:pt>
                <c:pt idx="4" c:formatCode="0.00%">
                  <c:v>0.11823294927101</c:v>
                </c:pt>
              </c:numCache>
            </c:numRef>
          </c:val>
          <c:smooth val="0"/>
        </c:ser>
        <c:ser>
          <c:idx val="4"/>
          <c:order val="3"/>
          <c:tx>
            <c:strRef>
              <c:f>Part1!$G$71</c:f>
              <c:strCache>
                <c:ptCount val="1"/>
                <c:pt idx="0">
                  <c:v>yoy</c:v>
                </c:pt>
              </c:strCache>
            </c:strRef>
          </c:tx>
          <c:spPr>
            <a:ln w="28575" cap="rnd">
              <a:solidFill>
                <a:sysClr val="window" lastClr="FFFFFF">
                  <a:lumMod val="85000"/>
                </a:sysClr>
              </a:solidFill>
              <a:round/>
            </a:ln>
            <a:effectLst/>
          </c:spPr>
          <c:marker>
            <c:symbol val="none"/>
          </c:marker>
          <c:dLbls>
            <c:delete val="1"/>
          </c:dLbls>
          <c:cat>
            <c:numRef>
              <c:f>Part1!$H$67:$L$67</c:f>
              <c:numCache>
                <c:formatCode>General</c:formatCode>
                <c:ptCount val="5"/>
                <c:pt idx="0">
                  <c:v>2020</c:v>
                </c:pt>
                <c:pt idx="1">
                  <c:v>2021</c:v>
                </c:pt>
                <c:pt idx="2">
                  <c:v>2022</c:v>
                </c:pt>
                <c:pt idx="3">
                  <c:v>2023</c:v>
                </c:pt>
                <c:pt idx="4">
                  <c:v>2024</c:v>
                </c:pt>
              </c:numCache>
            </c:numRef>
          </c:cat>
          <c:val>
            <c:numRef>
              <c:f>Part1!$H$71:$L$71</c:f>
              <c:numCache>
                <c:formatCode>General</c:formatCode>
                <c:ptCount val="5"/>
                <c:pt idx="1" c:formatCode="0.00%">
                  <c:v>0.207293470510339</c:v>
                </c:pt>
                <c:pt idx="2" c:formatCode="0.00%">
                  <c:v>0.133479581505231</c:v>
                </c:pt>
                <c:pt idx="3" c:formatCode="0.00%">
                  <c:v>0.131829685871669</c:v>
                </c:pt>
                <c:pt idx="4" c:formatCode="0.00%">
                  <c:v>0.13923051627754</c:v>
                </c:pt>
              </c:numCache>
            </c:numRef>
          </c:val>
          <c:smooth val="0"/>
        </c:ser>
        <c:dLbls>
          <c:showLegendKey val="0"/>
          <c:showVal val="0"/>
          <c:showCatName val="0"/>
          <c:showSerName val="0"/>
          <c:showPercent val="0"/>
          <c:showBubbleSize val="0"/>
        </c:dLbls>
        <c:marker val="0"/>
        <c:smooth val="0"/>
        <c:axId val="735652879"/>
        <c:axId val="735651439"/>
      </c:lineChart>
      <c:catAx>
        <c:axId val="1162810192"/>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162808272"/>
        <c:crosses val="autoZero"/>
        <c:auto val="1"/>
        <c:lblAlgn val="ctr"/>
        <c:lblOffset val="100"/>
        <c:noMultiLvlLbl val="0"/>
      </c:catAx>
      <c:valAx>
        <c:axId val="1162808272"/>
        <c:scaling>
          <c:orientation val="minMax"/>
        </c:scaling>
        <c:delete val="0"/>
        <c:axPos val="l"/>
        <c:majorGridlines>
          <c:spPr>
            <a:ln w="9525" cap="flat" cmpd="sng" algn="ctr">
              <a:noFill/>
              <a:round/>
            </a:ln>
            <a:effectLst/>
          </c:spPr>
        </c:majorGridlines>
        <c:numFmt formatCode="#,##0_);[Red]\(#,##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162810192"/>
        <c:crosses val="autoZero"/>
        <c:crossBetween val="between"/>
      </c:valAx>
      <c:catAx>
        <c:axId val="735652879"/>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35651439"/>
        <c:crosses val="autoZero"/>
        <c:auto val="1"/>
        <c:lblAlgn val="ctr"/>
        <c:lblOffset val="100"/>
        <c:noMultiLvlLbl val="0"/>
      </c:catAx>
      <c:valAx>
        <c:axId val="735651439"/>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735652879"/>
        <c:crosses val="max"/>
        <c:crossBetween val="between"/>
      </c:valAx>
      <c:spPr>
        <a:noFill/>
        <a:ln>
          <a:noFill/>
        </a:ln>
        <a:effectLst/>
      </c:spPr>
    </c:plotArea>
    <c:legend>
      <c:legendPos val="t"/>
      <c:layout>
        <c:manualLayout>
          <c:xMode val="edge"/>
          <c:yMode val="edge"/>
          <c:x val="0.0666052180370658"/>
          <c:y val="0.0261780104712042"/>
          <c:w val="0.883394891172584"/>
          <c:h val="0.075754224542157"/>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mn-cs"/>
            </a:defRPr>
          </a:pPr>
        </a:p>
      </c:txPr>
    </c:legend>
    <c:plotVisOnly val="1"/>
    <c:dispBlanksAs val="gap"/>
    <c:showDLblsOverMax val="0"/>
  </c:chart>
  <c:spPr>
    <a:noFill/>
    <a:ln w="9525" cap="flat" cmpd="sng" algn="ctr">
      <a:noFill/>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116285293976643"/>
          <c:w val="0.931162239562145"/>
          <c:h val="0.753799728282103"/>
        </c:manualLayout>
      </c:layout>
      <c:barChart>
        <c:barDir val="col"/>
        <c:grouping val="percentStacked"/>
        <c:varyColors val="0"/>
        <c:ser>
          <c:idx val="0"/>
          <c:order val="0"/>
          <c:tx>
            <c:strRef>
              <c:f>Part1!$B$116</c:f>
              <c:strCache>
                <c:ptCount val="1"/>
                <c:pt idx="0">
                  <c:v>SR20</c:v>
                </c:pt>
              </c:strCache>
            </c:strRef>
          </c:tx>
          <c:spPr>
            <a:solidFill>
              <a:srgbClr val="002060"/>
            </a:solidFill>
            <a:ln>
              <a:noFill/>
            </a:ln>
            <a:effectLst/>
          </c:spPr>
          <c:invertIfNegative val="0"/>
          <c:dLbls>
            <c:delete val="1"/>
          </c:dLbls>
          <c:cat>
            <c:numRef>
              <c:f>Part1!$C$115:$E$115</c:f>
              <c:numCache>
                <c:formatCode>General</c:formatCode>
                <c:ptCount val="3"/>
                <c:pt idx="0">
                  <c:v>2021</c:v>
                </c:pt>
                <c:pt idx="1">
                  <c:v>2022</c:v>
                </c:pt>
                <c:pt idx="2">
                  <c:v>2023</c:v>
                </c:pt>
              </c:numCache>
            </c:numRef>
          </c:cat>
          <c:val>
            <c:numRef>
              <c:f>Part1!$C$116:$E$116</c:f>
              <c:numCache>
                <c:formatCode>General</c:formatCode>
                <c:ptCount val="3"/>
                <c:pt idx="0">
                  <c:v>42.618</c:v>
                </c:pt>
                <c:pt idx="1">
                  <c:v>57.049</c:v>
                </c:pt>
                <c:pt idx="2">
                  <c:v>69.69</c:v>
                </c:pt>
              </c:numCache>
            </c:numRef>
          </c:val>
        </c:ser>
        <c:ser>
          <c:idx val="1"/>
          <c:order val="1"/>
          <c:tx>
            <c:strRef>
              <c:f>Part1!$B$117</c:f>
              <c:strCache>
                <c:ptCount val="1"/>
                <c:pt idx="0">
                  <c:v>SR22</c:v>
                </c:pt>
              </c:strCache>
            </c:strRef>
          </c:tx>
          <c:spPr>
            <a:solidFill>
              <a:srgbClr val="E97132">
                <a:lumMod val="75000"/>
              </a:srgbClr>
            </a:solidFill>
            <a:ln>
              <a:noFill/>
            </a:ln>
            <a:effectLst/>
          </c:spPr>
          <c:invertIfNegative val="0"/>
          <c:dLbls>
            <c:delete val="1"/>
          </c:dLbls>
          <c:cat>
            <c:numRef>
              <c:f>Part1!$C$115:$E$115</c:f>
              <c:numCache>
                <c:formatCode>General</c:formatCode>
                <c:ptCount val="3"/>
                <c:pt idx="0">
                  <c:v>2021</c:v>
                </c:pt>
                <c:pt idx="1">
                  <c:v>2022</c:v>
                </c:pt>
                <c:pt idx="2">
                  <c:v>2023</c:v>
                </c:pt>
              </c:numCache>
            </c:numRef>
          </c:cat>
          <c:val>
            <c:numRef>
              <c:f>Part1!$C$117:$E$117</c:f>
              <c:numCache>
                <c:formatCode>General</c:formatCode>
                <c:ptCount val="3"/>
                <c:pt idx="0">
                  <c:v>111.92</c:v>
                </c:pt>
                <c:pt idx="1">
                  <c:v>142.772</c:v>
                </c:pt>
                <c:pt idx="2">
                  <c:v>138.667</c:v>
                </c:pt>
              </c:numCache>
            </c:numRef>
          </c:val>
        </c:ser>
        <c:ser>
          <c:idx val="2"/>
          <c:order val="2"/>
          <c:tx>
            <c:strRef>
              <c:f>Part1!$B$118</c:f>
              <c:strCache>
                <c:ptCount val="1"/>
                <c:pt idx="0">
                  <c:v>SR22T</c:v>
                </c:pt>
              </c:strCache>
            </c:strRef>
          </c:tx>
          <c:spPr>
            <a:solidFill>
              <a:srgbClr val="E6B9B8"/>
            </a:solidFill>
            <a:ln w="9525" cap="flat" cmpd="sng">
              <a:noFill/>
              <a:prstDash val="solid"/>
            </a:ln>
            <a:effectLst/>
            <a:sp3d contourW="9525"/>
          </c:spPr>
          <c:invertIfNegative val="0"/>
          <c:dLbls>
            <c:delete val="1"/>
          </c:dLbls>
          <c:cat>
            <c:numRef>
              <c:f>Part1!$C$115:$E$115</c:f>
              <c:numCache>
                <c:formatCode>General</c:formatCode>
                <c:ptCount val="3"/>
                <c:pt idx="0">
                  <c:v>2021</c:v>
                </c:pt>
                <c:pt idx="1">
                  <c:v>2022</c:v>
                </c:pt>
                <c:pt idx="2">
                  <c:v>2023</c:v>
                </c:pt>
              </c:numCache>
            </c:numRef>
          </c:cat>
          <c:val>
            <c:numRef>
              <c:f>Part1!$C$118:$E$118</c:f>
              <c:numCache>
                <c:formatCode>General</c:formatCode>
                <c:ptCount val="3"/>
                <c:pt idx="0">
                  <c:v>230.1</c:v>
                </c:pt>
                <c:pt idx="1">
                  <c:v>293.004</c:v>
                </c:pt>
                <c:pt idx="2">
                  <c:v>404.983</c:v>
                </c:pt>
              </c:numCache>
            </c:numRef>
          </c:val>
        </c:ser>
        <c:ser>
          <c:idx val="3"/>
          <c:order val="3"/>
          <c:tx>
            <c:strRef>
              <c:f>Part1!$B$119</c:f>
              <c:strCache>
                <c:ptCount val="1"/>
                <c:pt idx="0">
                  <c:v>Vision Jet</c:v>
                </c:pt>
              </c:strCache>
            </c:strRef>
          </c:tx>
          <c:spPr>
            <a:solidFill>
              <a:srgbClr val="A5A5A5"/>
            </a:solidFill>
            <a:ln>
              <a:solidFill>
                <a:schemeClr val="bg1"/>
              </a:solidFill>
            </a:ln>
            <a:effectLst/>
          </c:spPr>
          <c:invertIfNegative val="0"/>
          <c:dLbls>
            <c:delete val="1"/>
          </c:dLbls>
          <c:cat>
            <c:numRef>
              <c:f>Part1!$C$115:$E$115</c:f>
              <c:numCache>
                <c:formatCode>General</c:formatCode>
                <c:ptCount val="3"/>
                <c:pt idx="0">
                  <c:v>2021</c:v>
                </c:pt>
                <c:pt idx="1">
                  <c:v>2022</c:v>
                </c:pt>
                <c:pt idx="2">
                  <c:v>2023</c:v>
                </c:pt>
              </c:numCache>
            </c:numRef>
          </c:cat>
          <c:val>
            <c:numRef>
              <c:f>Part1!$C$119:$E$119</c:f>
              <c:numCache>
                <c:formatCode>General</c:formatCode>
                <c:ptCount val="3"/>
                <c:pt idx="0">
                  <c:v>234.974</c:v>
                </c:pt>
                <c:pt idx="1">
                  <c:v>266.915</c:v>
                </c:pt>
                <c:pt idx="2">
                  <c:v>302.314</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176970277363978"/>
          <c:y val="0.0147791433298692"/>
          <c:w val="0.742834710157545"/>
          <c:h val="0.0693205278378722"/>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13941017789443"/>
          <c:w val="0.90411833529931"/>
          <c:h val="0.730675123942841"/>
        </c:manualLayout>
      </c:layout>
      <c:barChart>
        <c:barDir val="col"/>
        <c:grouping val="percentStacked"/>
        <c:varyColors val="0"/>
        <c:ser>
          <c:idx val="0"/>
          <c:order val="0"/>
          <c:tx>
            <c:strRef>
              <c:f>Part1!$B$129</c:f>
              <c:strCache>
                <c:ptCount val="1"/>
                <c:pt idx="0">
                  <c:v>SR20</c:v>
                </c:pt>
              </c:strCache>
            </c:strRef>
          </c:tx>
          <c:spPr>
            <a:solidFill>
              <a:srgbClr val="002060"/>
            </a:solidFill>
            <a:ln>
              <a:noFill/>
            </a:ln>
            <a:effectLst/>
          </c:spPr>
          <c:invertIfNegative val="0"/>
          <c:dLbls>
            <c:delete val="1"/>
          </c:dLbls>
          <c:cat>
            <c:numRef>
              <c:f>Part1!$C$128:$E$128</c:f>
              <c:numCache>
                <c:formatCode>General</c:formatCode>
                <c:ptCount val="3"/>
                <c:pt idx="0">
                  <c:v>2021</c:v>
                </c:pt>
                <c:pt idx="1">
                  <c:v>2022</c:v>
                </c:pt>
                <c:pt idx="2">
                  <c:v>2023</c:v>
                </c:pt>
              </c:numCache>
            </c:numRef>
          </c:cat>
          <c:val>
            <c:numRef>
              <c:f>Part1!$C$129:$E$129</c:f>
              <c:numCache>
                <c:formatCode>0.00</c:formatCode>
                <c:ptCount val="3"/>
                <c:pt idx="0">
                  <c:v>0.526148148148148</c:v>
                </c:pt>
                <c:pt idx="1">
                  <c:v>0.57049</c:v>
                </c:pt>
                <c:pt idx="2">
                  <c:v>0.606</c:v>
                </c:pt>
              </c:numCache>
            </c:numRef>
          </c:val>
        </c:ser>
        <c:ser>
          <c:idx val="1"/>
          <c:order val="1"/>
          <c:tx>
            <c:strRef>
              <c:f>Part1!$B$130</c:f>
              <c:strCache>
                <c:ptCount val="1"/>
                <c:pt idx="0">
                  <c:v>SR22</c:v>
                </c:pt>
              </c:strCache>
            </c:strRef>
          </c:tx>
          <c:spPr>
            <a:solidFill>
              <a:srgbClr val="E97132">
                <a:lumMod val="75000"/>
              </a:srgbClr>
            </a:solidFill>
            <a:ln>
              <a:noFill/>
            </a:ln>
            <a:effectLst/>
          </c:spPr>
          <c:invertIfNegative val="0"/>
          <c:dLbls>
            <c:delete val="1"/>
          </c:dLbls>
          <c:cat>
            <c:numRef>
              <c:f>Part1!$C$128:$E$128</c:f>
              <c:numCache>
                <c:formatCode>General</c:formatCode>
                <c:ptCount val="3"/>
                <c:pt idx="0">
                  <c:v>2021</c:v>
                </c:pt>
                <c:pt idx="1">
                  <c:v>2022</c:v>
                </c:pt>
                <c:pt idx="2">
                  <c:v>2023</c:v>
                </c:pt>
              </c:numCache>
            </c:numRef>
          </c:cat>
          <c:val>
            <c:numRef>
              <c:f>Part1!$C$130:$E$130</c:f>
              <c:numCache>
                <c:formatCode>0.00</c:formatCode>
                <c:ptCount val="3"/>
                <c:pt idx="0">
                  <c:v>0.854351145038168</c:v>
                </c:pt>
                <c:pt idx="1">
                  <c:v>0.897937106918239</c:v>
                </c:pt>
                <c:pt idx="2">
                  <c:v>0.976528169014085</c:v>
                </c:pt>
              </c:numCache>
            </c:numRef>
          </c:val>
        </c:ser>
        <c:ser>
          <c:idx val="2"/>
          <c:order val="2"/>
          <c:tx>
            <c:strRef>
              <c:f>Part1!$B$131</c:f>
              <c:strCache>
                <c:ptCount val="1"/>
                <c:pt idx="0">
                  <c:v>SR22T</c:v>
                </c:pt>
              </c:strCache>
            </c:strRef>
          </c:tx>
          <c:spPr>
            <a:solidFill>
              <a:srgbClr val="E6B9B8"/>
            </a:solidFill>
            <a:ln w="9525" cap="flat" cmpd="sng">
              <a:noFill/>
              <a:prstDash val="solid"/>
            </a:ln>
            <a:effectLst/>
            <a:sp3d contourW="9525"/>
          </c:spPr>
          <c:invertIfNegative val="0"/>
          <c:dLbls>
            <c:delete val="1"/>
          </c:dLbls>
          <c:cat>
            <c:numRef>
              <c:f>Part1!$C$128:$E$128</c:f>
              <c:numCache>
                <c:formatCode>General</c:formatCode>
                <c:ptCount val="3"/>
                <c:pt idx="0">
                  <c:v>2021</c:v>
                </c:pt>
                <c:pt idx="1">
                  <c:v>2022</c:v>
                </c:pt>
                <c:pt idx="2">
                  <c:v>2023</c:v>
                </c:pt>
              </c:numCache>
            </c:numRef>
          </c:cat>
          <c:val>
            <c:numRef>
              <c:f>Part1!$C$131:$E$131</c:f>
              <c:numCache>
                <c:formatCode>0.00</c:formatCode>
                <c:ptCount val="3"/>
                <c:pt idx="0">
                  <c:v>1.0004347826087</c:v>
                </c:pt>
                <c:pt idx="1">
                  <c:v>1.04644285714286</c:v>
                </c:pt>
                <c:pt idx="2">
                  <c:v>1.14079718309859</c:v>
                </c:pt>
              </c:numCache>
            </c:numRef>
          </c:val>
        </c:ser>
        <c:ser>
          <c:idx val="3"/>
          <c:order val="3"/>
          <c:tx>
            <c:strRef>
              <c:f>Part1!$B$132</c:f>
              <c:strCache>
                <c:ptCount val="1"/>
                <c:pt idx="0">
                  <c:v>Vision Jet</c:v>
                </c:pt>
              </c:strCache>
            </c:strRef>
          </c:tx>
          <c:spPr>
            <a:solidFill>
              <a:srgbClr val="A5A5A5"/>
            </a:solidFill>
            <a:ln>
              <a:solidFill>
                <a:schemeClr val="bg1"/>
              </a:solidFill>
            </a:ln>
            <a:effectLst/>
          </c:spPr>
          <c:invertIfNegative val="0"/>
          <c:dLbls>
            <c:delete val="1"/>
          </c:dLbls>
          <c:cat>
            <c:numRef>
              <c:f>Part1!$C$128:$E$128</c:f>
              <c:numCache>
                <c:formatCode>General</c:formatCode>
                <c:ptCount val="3"/>
                <c:pt idx="0">
                  <c:v>2021</c:v>
                </c:pt>
                <c:pt idx="1">
                  <c:v>2022</c:v>
                </c:pt>
                <c:pt idx="2">
                  <c:v>2023</c:v>
                </c:pt>
              </c:numCache>
            </c:numRef>
          </c:cat>
          <c:val>
            <c:numRef>
              <c:f>Part1!$C$132:$E$132</c:f>
              <c:numCache>
                <c:formatCode>0.00</c:formatCode>
                <c:ptCount val="3"/>
                <c:pt idx="0">
                  <c:v>2.73225581395349</c:v>
                </c:pt>
                <c:pt idx="1">
                  <c:v>2.96572222222222</c:v>
                </c:pt>
                <c:pt idx="2">
                  <c:v>3.14910416666667</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124691336348008"/>
          <c:y val="0.0152726742490522"/>
          <c:w val="0.72594753954965"/>
          <c:h val="0.0669418926800817"/>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718364584167971"/>
          <c:y val="0.23674588301906"/>
          <c:w val="0.931162239562145"/>
          <c:h val="0.619563915385425"/>
        </c:manualLayout>
      </c:layout>
      <c:barChart>
        <c:barDir val="col"/>
        <c:grouping val="percentStacked"/>
        <c:varyColors val="0"/>
        <c:ser>
          <c:idx val="0"/>
          <c:order val="0"/>
          <c:tx>
            <c:strRef>
              <c:f>Part1!$B$144</c:f>
              <c:strCache>
                <c:ptCount val="1"/>
                <c:pt idx="0">
                  <c:v>售后配件/维护</c:v>
                </c:pt>
              </c:strCache>
            </c:strRef>
          </c:tx>
          <c:spPr>
            <a:solidFill>
              <a:srgbClr val="002060"/>
            </a:solidFill>
            <a:ln>
              <a:noFill/>
            </a:ln>
            <a:effectLst/>
          </c:spPr>
          <c:invertIfNegative val="0"/>
          <c:dLbls>
            <c:delete val="1"/>
          </c:dLbls>
          <c:cat>
            <c:numRef>
              <c:f>Part1!$C$143:$E$143</c:f>
              <c:numCache>
                <c:formatCode>General</c:formatCode>
                <c:ptCount val="3"/>
                <c:pt idx="0">
                  <c:v>2021</c:v>
                </c:pt>
                <c:pt idx="1">
                  <c:v>2022</c:v>
                </c:pt>
                <c:pt idx="2">
                  <c:v>2023</c:v>
                </c:pt>
              </c:numCache>
            </c:numRef>
          </c:cat>
          <c:val>
            <c:numRef>
              <c:f>Part1!$C$144:$E$144</c:f>
              <c:numCache>
                <c:formatCode>#,##0</c:formatCode>
                <c:ptCount val="3"/>
                <c:pt idx="0">
                  <c:v>47996</c:v>
                </c:pt>
                <c:pt idx="1">
                  <c:v>63996</c:v>
                </c:pt>
                <c:pt idx="2">
                  <c:v>80711</c:v>
                </c:pt>
              </c:numCache>
            </c:numRef>
          </c:val>
        </c:ser>
        <c:ser>
          <c:idx val="1"/>
          <c:order val="1"/>
          <c:tx>
            <c:strRef>
              <c:f>Part1!$B$145</c:f>
              <c:strCache>
                <c:ptCount val="1"/>
                <c:pt idx="0">
                  <c:v>培训</c:v>
                </c:pt>
              </c:strCache>
            </c:strRef>
          </c:tx>
          <c:spPr>
            <a:solidFill>
              <a:srgbClr val="E97132">
                <a:lumMod val="75000"/>
              </a:srgbClr>
            </a:solidFill>
            <a:ln>
              <a:noFill/>
            </a:ln>
            <a:effectLst/>
          </c:spPr>
          <c:invertIfNegative val="0"/>
          <c:dLbls>
            <c:delete val="1"/>
          </c:dLbls>
          <c:cat>
            <c:numRef>
              <c:f>Part1!$C$143:$E$143</c:f>
              <c:numCache>
                <c:formatCode>General</c:formatCode>
                <c:ptCount val="3"/>
                <c:pt idx="0">
                  <c:v>2021</c:v>
                </c:pt>
                <c:pt idx="1">
                  <c:v>2022</c:v>
                </c:pt>
                <c:pt idx="2">
                  <c:v>2023</c:v>
                </c:pt>
              </c:numCache>
            </c:numRef>
          </c:cat>
          <c:val>
            <c:numRef>
              <c:f>Part1!$C$145:$E$145</c:f>
              <c:numCache>
                <c:formatCode>#,##0</c:formatCode>
                <c:ptCount val="3"/>
                <c:pt idx="0">
                  <c:v>12712</c:v>
                </c:pt>
                <c:pt idx="1">
                  <c:v>15787</c:v>
                </c:pt>
                <c:pt idx="2">
                  <c:v>19800</c:v>
                </c:pt>
              </c:numCache>
            </c:numRef>
          </c:val>
        </c:ser>
        <c:ser>
          <c:idx val="2"/>
          <c:order val="2"/>
          <c:tx>
            <c:strRef>
              <c:f>Part1!$B$146</c:f>
              <c:strCache>
                <c:ptCount val="1"/>
                <c:pt idx="0">
                  <c:v>二手飞机</c:v>
                </c:pt>
              </c:strCache>
            </c:strRef>
          </c:tx>
          <c:spPr>
            <a:solidFill>
              <a:srgbClr val="E6B9B8"/>
            </a:solidFill>
            <a:ln>
              <a:noFill/>
            </a:ln>
            <a:effectLst/>
            <a:sp3d contourW="9525"/>
          </c:spPr>
          <c:invertIfNegative val="0"/>
          <c:dLbls>
            <c:delete val="1"/>
          </c:dLbls>
          <c:cat>
            <c:numRef>
              <c:f>Part1!$C$143:$E$143</c:f>
              <c:numCache>
                <c:formatCode>General</c:formatCode>
                <c:ptCount val="3"/>
                <c:pt idx="0">
                  <c:v>2021</c:v>
                </c:pt>
                <c:pt idx="1">
                  <c:v>2022</c:v>
                </c:pt>
                <c:pt idx="2">
                  <c:v>2023</c:v>
                </c:pt>
              </c:numCache>
            </c:numRef>
          </c:cat>
          <c:val>
            <c:numRef>
              <c:f>Part1!$C$146:$E$146</c:f>
              <c:numCache>
                <c:formatCode>#,##0</c:formatCode>
                <c:ptCount val="3"/>
                <c:pt idx="0">
                  <c:v>10320</c:v>
                </c:pt>
                <c:pt idx="1">
                  <c:v>23611</c:v>
                </c:pt>
                <c:pt idx="2">
                  <c:v>26648</c:v>
                </c:pt>
              </c:numCache>
            </c:numRef>
          </c:val>
        </c:ser>
        <c:ser>
          <c:idx val="3"/>
          <c:order val="3"/>
          <c:tx>
            <c:strRef>
              <c:f>Part1!$B$147</c:f>
              <c:strCache>
                <c:ptCount val="1"/>
                <c:pt idx="0">
                  <c:v>其他</c:v>
                </c:pt>
              </c:strCache>
            </c:strRef>
          </c:tx>
          <c:spPr>
            <a:solidFill>
              <a:srgbClr val="A5A5A5"/>
            </a:solidFill>
            <a:ln>
              <a:noFill/>
            </a:ln>
            <a:effectLst/>
          </c:spPr>
          <c:invertIfNegative val="0"/>
          <c:dLbls>
            <c:delete val="1"/>
          </c:dLbls>
          <c:cat>
            <c:numRef>
              <c:f>Part1!$C$143:$E$143</c:f>
              <c:numCache>
                <c:formatCode>General</c:formatCode>
                <c:ptCount val="3"/>
                <c:pt idx="0">
                  <c:v>2021</c:v>
                </c:pt>
                <c:pt idx="1">
                  <c:v>2022</c:v>
                </c:pt>
                <c:pt idx="2">
                  <c:v>2023</c:v>
                </c:pt>
              </c:numCache>
            </c:numRef>
          </c:cat>
          <c:val>
            <c:numRef>
              <c:f>Part1!$C$147:$E$147</c:f>
              <c:numCache>
                <c:formatCode>#,##0</c:formatCode>
                <c:ptCount val="3"/>
                <c:pt idx="0">
                  <c:v>47490</c:v>
                </c:pt>
                <c:pt idx="1">
                  <c:v>30948</c:v>
                </c:pt>
                <c:pt idx="2">
                  <c:v>24895</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014795265276748"/>
          <c:y val="0.0291616038882139"/>
          <c:w val="0.72992782152231"/>
          <c:h val="0.0669418926800817"/>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[西锐底稿.xlsx]Part1!$G$87</c:f>
              <c:strCache>
                <c:ptCount val="1"/>
                <c:pt idx="0">
                  <c:v>毛利润</c:v>
                </c:pt>
              </c:strCache>
            </c:strRef>
          </c:tx>
          <c:spPr>
            <a:solidFill>
              <a:srgbClr val="002060"/>
            </a:solidFill>
            <a:ln w="25400">
              <a:noFill/>
            </a:ln>
            <a:effectLst/>
          </c:spPr>
          <c:invertIfNegative val="0"/>
          <c:dLbls>
            <c:delete val="1"/>
          </c:dLbls>
          <c:cat>
            <c:numRef>
              <c:f>[西锐底稿.xlsx]Part1!$H$86:$L$86</c:f>
              <c:numCache>
                <c:formatCode>General</c:formatCode>
                <c:ptCount val="5"/>
                <c:pt idx="0">
                  <c:v>2020</c:v>
                </c:pt>
                <c:pt idx="1">
                  <c:v>2021</c:v>
                </c:pt>
                <c:pt idx="2">
                  <c:v>2022</c:v>
                </c:pt>
                <c:pt idx="3">
                  <c:v>2023</c:v>
                </c:pt>
                <c:pt idx="4">
                  <c:v>2024</c:v>
                </c:pt>
              </c:numCache>
            </c:numRef>
          </c:cat>
          <c:val>
            <c:numRef>
              <c:f>[西锐底稿.xlsx]Part1!$H$87:$L$87</c:f>
              <c:numCache>
                <c:formatCode>0.00</c:formatCode>
                <c:ptCount val="5"/>
                <c:pt idx="0">
                  <c:v>185.32136</c:v>
                </c:pt>
                <c:pt idx="1">
                  <c:v>242.254266</c:v>
                </c:pt>
                <c:pt idx="2">
                  <c:v>298.086272</c:v>
                </c:pt>
                <c:pt idx="3">
                  <c:v>364.729736</c:v>
                </c:pt>
                <c:pt idx="4">
                  <c:v>413.608415</c:v>
                </c:pt>
              </c:numCache>
            </c:numRef>
          </c:val>
        </c:ser>
        <c:ser>
          <c:idx val="2"/>
          <c:order val="2"/>
          <c:tx>
            <c:strRef>
              <c:f>[西锐底稿.xlsx]Part1!$G$89</c:f>
              <c:strCache>
                <c:ptCount val="1"/>
                <c:pt idx="0">
                  <c:v>净利润</c:v>
                </c:pt>
              </c:strCache>
            </c:strRef>
          </c:tx>
          <c:spPr>
            <a:solidFill>
              <a:srgbClr val="A5A5A5"/>
            </a:solidFill>
            <a:ln w="25400">
              <a:noFill/>
            </a:ln>
            <a:effectLst/>
          </c:spPr>
          <c:invertIfNegative val="0"/>
          <c:dLbls>
            <c:delete val="1"/>
          </c:dLbls>
          <c:cat>
            <c:numRef>
              <c:f>[西锐底稿.xlsx]Part1!$H$86:$L$86</c:f>
              <c:numCache>
                <c:formatCode>General</c:formatCode>
                <c:ptCount val="5"/>
                <c:pt idx="0">
                  <c:v>2020</c:v>
                </c:pt>
                <c:pt idx="1">
                  <c:v>2021</c:v>
                </c:pt>
                <c:pt idx="2">
                  <c:v>2022</c:v>
                </c:pt>
                <c:pt idx="3">
                  <c:v>2023</c:v>
                </c:pt>
                <c:pt idx="4">
                  <c:v>2024</c:v>
                </c:pt>
              </c:numCache>
            </c:numRef>
          </c:cat>
          <c:val>
            <c:numRef>
              <c:f>[西锐底稿.xlsx]Part1!$H$89:$L$89</c:f>
              <c:numCache>
                <c:formatCode>0.00</c:formatCode>
                <c:ptCount val="5"/>
                <c:pt idx="0">
                  <c:v>36.125936</c:v>
                </c:pt>
                <c:pt idx="1">
                  <c:v>72.410553</c:v>
                </c:pt>
                <c:pt idx="2">
                  <c:v>88.06688</c:v>
                </c:pt>
                <c:pt idx="3">
                  <c:v>91.182434</c:v>
                </c:pt>
                <c:pt idx="4">
                  <c:v>120.790417</c:v>
                </c:pt>
              </c:numCache>
            </c:numRef>
          </c:val>
        </c:ser>
        <c:dLbls>
          <c:showLegendKey val="0"/>
          <c:showVal val="0"/>
          <c:showCatName val="0"/>
          <c:showSerName val="0"/>
          <c:showPercent val="0"/>
          <c:showBubbleSize val="0"/>
        </c:dLbls>
        <c:gapWidth val="219"/>
        <c:overlap val="-27"/>
        <c:axId val="1162810192"/>
        <c:axId val="1162808272"/>
      </c:barChart>
      <c:lineChart>
        <c:grouping val="standard"/>
        <c:varyColors val="0"/>
        <c:ser>
          <c:idx val="1"/>
          <c:order val="1"/>
          <c:tx>
            <c:strRef>
              <c:f>[西锐底稿.xlsx]Part1!$G$88</c:f>
              <c:strCache>
                <c:ptCount val="1"/>
                <c:pt idx="0">
                  <c:v>yoy</c:v>
                </c:pt>
              </c:strCache>
            </c:strRef>
          </c:tx>
          <c:spPr>
            <a:ln w="28575" cap="rnd">
              <a:solidFill>
                <a:srgbClr val="002060"/>
              </a:solidFill>
              <a:round/>
            </a:ln>
            <a:effectLst/>
          </c:spPr>
          <c:marker>
            <c:symbol val="none"/>
          </c:marker>
          <c:dLbls>
            <c:delete val="1"/>
          </c:dLbls>
          <c:cat>
            <c:numRef>
              <c:f>[西锐底稿.xlsx]Part1!$H$86:$L$86</c:f>
              <c:numCache>
                <c:formatCode>General</c:formatCode>
                <c:ptCount val="5"/>
                <c:pt idx="0">
                  <c:v>2020</c:v>
                </c:pt>
                <c:pt idx="1">
                  <c:v>2021</c:v>
                </c:pt>
                <c:pt idx="2">
                  <c:v>2022</c:v>
                </c:pt>
                <c:pt idx="3">
                  <c:v>2023</c:v>
                </c:pt>
                <c:pt idx="4">
                  <c:v>2024</c:v>
                </c:pt>
              </c:numCache>
            </c:numRef>
          </c:cat>
          <c:val>
            <c:numRef>
              <c:f>[西锐底稿.xlsx]Part1!$H$88:$L$88</c:f>
              <c:numCache>
                <c:formatCode>General</c:formatCode>
                <c:ptCount val="5"/>
                <c:pt idx="1" c:formatCode="0.00%">
                  <c:v>0.307211786056394</c:v>
                </c:pt>
                <c:pt idx="2" c:formatCode="0.00%">
                  <c:v>0.230468618455619</c:v>
                </c:pt>
                <c:pt idx="3" c:formatCode="0.00%">
                  <c:v>0.223571060662599</c:v>
                </c:pt>
                <c:pt idx="4" c:formatCode="0.00%">
                  <c:v>0.134013419185542</c:v>
                </c:pt>
              </c:numCache>
            </c:numRef>
          </c:val>
          <c:smooth val="0"/>
        </c:ser>
        <c:ser>
          <c:idx val="3"/>
          <c:order val="3"/>
          <c:tx>
            <c:strRef>
              <c:f>[西锐底稿.xlsx]Part1!$G$90</c:f>
              <c:strCache>
                <c:ptCount val="1"/>
                <c:pt idx="0">
                  <c:v>yoy</c:v>
                </c:pt>
              </c:strCache>
            </c:strRef>
          </c:tx>
          <c:spPr>
            <a:ln w="28575" cap="rnd">
              <a:solidFill>
                <a:srgbClr val="A5A5A5"/>
              </a:solidFill>
              <a:round/>
            </a:ln>
            <a:effectLst/>
          </c:spPr>
          <c:marker>
            <c:symbol val="none"/>
          </c:marker>
          <c:dLbls>
            <c:delete val="1"/>
          </c:dLbls>
          <c:cat>
            <c:numRef>
              <c:f>[西锐底稿.xlsx]Part1!$H$86:$L$86</c:f>
              <c:numCache>
                <c:formatCode>General</c:formatCode>
                <c:ptCount val="5"/>
                <c:pt idx="0">
                  <c:v>2020</c:v>
                </c:pt>
                <c:pt idx="1">
                  <c:v>2021</c:v>
                </c:pt>
                <c:pt idx="2">
                  <c:v>2022</c:v>
                </c:pt>
                <c:pt idx="3">
                  <c:v>2023</c:v>
                </c:pt>
                <c:pt idx="4">
                  <c:v>2024</c:v>
                </c:pt>
              </c:numCache>
            </c:numRef>
          </c:cat>
          <c:val>
            <c:numRef>
              <c:f>[西锐底稿.xlsx]Part1!$H$90:$L$90</c:f>
              <c:numCache>
                <c:formatCode>General</c:formatCode>
                <c:ptCount val="5"/>
                <c:pt idx="1" c:formatCode="0.0%">
                  <c:v>1.00439243982495</c:v>
                </c:pt>
                <c:pt idx="2" c:formatCode="0.0%">
                  <c:v>0.216216094910917</c:v>
                </c:pt>
                <c:pt idx="3" c:formatCode="0.0%">
                  <c:v>0.0353771361038338</c:v>
                </c:pt>
                <c:pt idx="4" c:formatCode="0.0%">
                  <c:v>0.324711478967539</c:v>
                </c:pt>
              </c:numCache>
            </c:numRef>
          </c:val>
          <c:smooth val="0"/>
        </c:ser>
        <c:dLbls>
          <c:showLegendKey val="0"/>
          <c:showVal val="0"/>
          <c:showCatName val="0"/>
          <c:showSerName val="0"/>
          <c:showPercent val="0"/>
          <c:showBubbleSize val="0"/>
        </c:dLbls>
        <c:marker val="0"/>
        <c:smooth val="0"/>
        <c:axId val="1162807312"/>
        <c:axId val="1162812112"/>
      </c:lineChart>
      <c:catAx>
        <c:axId val="1162810192"/>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08272"/>
        <c:crosses val="autoZero"/>
        <c:auto val="1"/>
        <c:lblAlgn val="ctr"/>
        <c:lblOffset val="100"/>
        <c:noMultiLvlLbl val="0"/>
      </c:catAx>
      <c:valAx>
        <c:axId val="1162808272"/>
        <c:scaling>
          <c:orientation val="minMax"/>
        </c:scaling>
        <c:delete val="0"/>
        <c:axPos val="l"/>
        <c:majorGridlines>
          <c:spPr>
            <a:ln w="9525" cap="flat" cmpd="sng" algn="ctr">
              <a:noFill/>
              <a:round/>
            </a:ln>
            <a:effectLst/>
          </c:spPr>
        </c:majorGridlines>
        <c:numFmt formatCode="#,##0.0_);[Red]\(#,##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10192"/>
        <c:crosses val="autoZero"/>
        <c:crossBetween val="between"/>
      </c:valAx>
      <c:catAx>
        <c:axId val="1162807312"/>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12112"/>
        <c:crosses val="autoZero"/>
        <c:auto val="1"/>
        <c:lblAlgn val="ctr"/>
        <c:lblOffset val="100"/>
        <c:noMultiLvlLbl val="0"/>
      </c:catAx>
      <c:valAx>
        <c:axId val="1162812112"/>
        <c:scaling>
          <c:orientation val="minMax"/>
        </c:scaling>
        <c:delete val="0"/>
        <c:axPos val="r"/>
        <c:numFmt formatCode="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07312"/>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noFill/>
    <a:ln w="9525" cap="flat" cmpd="sng" algn="ctr">
      <a:noFill/>
      <a:round/>
    </a:ln>
    <a:effectLst/>
  </c:spPr>
  <c:txPr>
    <a:bodyPr/>
    <a:lstStyle/>
    <a:p>
      <a:pPr>
        <a:defRPr lang="zh-CN" sz="700"/>
      </a:pPr>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875590354721999"/>
          <c:y val="0.158663874836293"/>
          <c:w val="0.9124409645278"/>
          <c:h val="0.751280547325263"/>
        </c:manualLayout>
      </c:layout>
      <c:barChart>
        <c:barDir val="col"/>
        <c:grouping val="clustered"/>
        <c:varyColors val="0"/>
        <c:ser>
          <c:idx val="0"/>
          <c:order val="0"/>
          <c:tx>
            <c:strRef>
              <c:f>[西锐底稿.xlsx]Part1!$G$82</c:f>
              <c:strCache>
                <c:ptCount val="1"/>
                <c:pt idx="0">
                  <c:v>毛利率</c:v>
                </c:pt>
              </c:strCache>
            </c:strRef>
          </c:tx>
          <c:spPr>
            <a:solidFill>
              <a:srgbClr val="002060"/>
            </a:solidFill>
            <a:ln w="25400">
              <a:noFill/>
            </a:ln>
            <a:effectLst/>
          </c:spPr>
          <c:invertIfNegative val="0"/>
          <c:dLbls>
            <c:delete val="1"/>
          </c:dLbls>
          <c:cat>
            <c:strRef>
              <c:f>[西锐底稿.xlsx]Part1!$H$81:$M$81</c:f>
              <c:strCache>
                <c:ptCount val="6"/>
                <c:pt idx="0">
                  <c:v>2020</c:v>
                </c:pt>
                <c:pt idx="1">
                  <c:v>2021</c:v>
                </c:pt>
                <c:pt idx="2">
                  <c:v>2022</c:v>
                </c:pt>
                <c:pt idx="3">
                  <c:v>2023</c:v>
                </c:pt>
                <c:pt idx="4">
                  <c:v>2024</c:v>
                </c:pt>
                <c:pt idx="5">
                  <c:v>2025H1</c:v>
                </c:pt>
              </c:strCache>
            </c:strRef>
          </c:cat>
          <c:val>
            <c:numRef>
              <c:f>[西锐底稿.xlsx]Part1!$H$82:$M$82</c:f>
              <c:numCache>
                <c:formatCode>0.00%</c:formatCode>
                <c:ptCount val="6"/>
                <c:pt idx="0">
                  <c:v>0.316</c:v>
                </c:pt>
                <c:pt idx="1">
                  <c:v>0.3282</c:v>
                </c:pt>
                <c:pt idx="2">
                  <c:v>0.3334</c:v>
                </c:pt>
                <c:pt idx="3">
                  <c:v>0.3416</c:v>
                </c:pt>
                <c:pt idx="4">
                  <c:v>0.3455</c:v>
                </c:pt>
                <c:pt idx="5">
                  <c:v>0.3617</c:v>
                </c:pt>
              </c:numCache>
            </c:numRef>
          </c:val>
        </c:ser>
        <c:ser>
          <c:idx val="1"/>
          <c:order val="1"/>
          <c:tx>
            <c:strRef>
              <c:f>[西锐底稿.xlsx]Part1!$G$83</c:f>
              <c:strCache>
                <c:ptCount val="1"/>
                <c:pt idx="0">
                  <c:v>净利率</c:v>
                </c:pt>
              </c:strCache>
            </c:strRef>
          </c:tx>
          <c:spPr>
            <a:solidFill>
              <a:srgbClr val="A5A5A5"/>
            </a:solidFill>
            <a:ln>
              <a:noFill/>
            </a:ln>
            <a:effectLst/>
          </c:spPr>
          <c:invertIfNegative val="0"/>
          <c:dLbls>
            <c:delete val="1"/>
          </c:dLbls>
          <c:cat>
            <c:strRef>
              <c:f>[西锐底稿.xlsx]Part1!$H$81:$M$81</c:f>
              <c:strCache>
                <c:ptCount val="6"/>
                <c:pt idx="0">
                  <c:v>2020</c:v>
                </c:pt>
                <c:pt idx="1">
                  <c:v>2021</c:v>
                </c:pt>
                <c:pt idx="2">
                  <c:v>2022</c:v>
                </c:pt>
                <c:pt idx="3">
                  <c:v>2023</c:v>
                </c:pt>
                <c:pt idx="4">
                  <c:v>2024</c:v>
                </c:pt>
                <c:pt idx="5">
                  <c:v>2025H1</c:v>
                </c:pt>
              </c:strCache>
            </c:strRef>
          </c:cat>
          <c:val>
            <c:numRef>
              <c:f>[西锐底稿.xlsx]Part1!$H$83:$M$83</c:f>
              <c:numCache>
                <c:formatCode>0.00%</c:formatCode>
                <c:ptCount val="6"/>
                <c:pt idx="0">
                  <c:v>0.0616</c:v>
                </c:pt>
                <c:pt idx="1">
                  <c:v>0.0981</c:v>
                </c:pt>
                <c:pt idx="2">
                  <c:v>0.0985</c:v>
                </c:pt>
                <c:pt idx="3">
                  <c:v>0.0854</c:v>
                </c:pt>
                <c:pt idx="4">
                  <c:v>0.1009</c:v>
                </c:pt>
                <c:pt idx="5">
                  <c:v>0.1093</c:v>
                </c:pt>
              </c:numCache>
            </c:numRef>
          </c:val>
        </c:ser>
        <c:dLbls>
          <c:showLegendKey val="0"/>
          <c:showVal val="0"/>
          <c:showCatName val="0"/>
          <c:showSerName val="0"/>
          <c:showPercent val="0"/>
          <c:showBubbleSize val="0"/>
        </c:dLbls>
        <c:gapWidth val="150"/>
        <c:axId val="1162810192"/>
        <c:axId val="1162808272"/>
      </c:barChart>
      <c:catAx>
        <c:axId val="1162810192"/>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08272"/>
        <c:crosses val="autoZero"/>
        <c:auto val="1"/>
        <c:lblAlgn val="ctr"/>
        <c:lblOffset val="100"/>
        <c:noMultiLvlLbl val="0"/>
      </c:catAx>
      <c:valAx>
        <c:axId val="1162808272"/>
        <c:scaling>
          <c:orientation val="minMax"/>
        </c:scaling>
        <c:delete val="0"/>
        <c:axPos val="l"/>
        <c:majorGridlines>
          <c:spPr>
            <a:ln w="9525" cap="flat" cmpd="sng" algn="ctr">
              <a:noFill/>
              <a:round/>
            </a:ln>
            <a:effectLst/>
          </c:spPr>
        </c:majorGridlines>
        <c:numFmt formatCode="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10192"/>
        <c:crosses val="autoZero"/>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noFill/>
    <a:ln w="9525" cap="flat" cmpd="sng" algn="ctr">
      <a:noFill/>
      <a:round/>
    </a:ln>
    <a:effectLst/>
  </c:spPr>
  <c:txPr>
    <a:bodyPr/>
    <a:lstStyle/>
    <a:p>
      <a:pPr>
        <a:defRPr lang="zh-CN" sz="700"/>
      </a:pPr>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6402887139108"/>
          <c:y val="0.236214639836687"/>
          <c:w val="0.883597112860892"/>
          <c:h val="0.67244276757072"/>
        </c:manualLayout>
      </c:layout>
      <c:barChart>
        <c:barDir val="col"/>
        <c:grouping val="clustered"/>
        <c:varyColors val="0"/>
        <c:ser>
          <c:idx val="0"/>
          <c:order val="0"/>
          <c:tx>
            <c:strRef>
              <c:f>[西锐底稿.xlsx]Part1!$G$96</c:f>
              <c:strCache>
                <c:ptCount val="1"/>
                <c:pt idx="0">
                  <c:v>销售费用比率</c:v>
                </c:pt>
              </c:strCache>
            </c:strRef>
          </c:tx>
          <c:spPr>
            <a:solidFill>
              <a:srgbClr val="002060"/>
            </a:solidFill>
            <a:ln w="25400">
              <a:noFill/>
            </a:ln>
            <a:effectLst/>
          </c:spPr>
          <c:invertIfNegative val="0"/>
          <c:dLbls>
            <c:delete val="1"/>
          </c:dLbls>
          <c:cat>
            <c:strRef>
              <c:f>[西锐底稿.xlsx]Part1!$H$95:$M$95</c:f>
              <c:strCache>
                <c:ptCount val="6"/>
                <c:pt idx="0">
                  <c:v>2020</c:v>
                </c:pt>
                <c:pt idx="1">
                  <c:v>2021</c:v>
                </c:pt>
                <c:pt idx="2">
                  <c:v>2022</c:v>
                </c:pt>
                <c:pt idx="3">
                  <c:v>2023</c:v>
                </c:pt>
                <c:pt idx="4">
                  <c:v>2024</c:v>
                </c:pt>
                <c:pt idx="5">
                  <c:v>2025H1</c:v>
                </c:pt>
              </c:strCache>
            </c:strRef>
          </c:cat>
          <c:val>
            <c:numRef>
              <c:f>[西锐底稿.xlsx]Part1!$H$96:$M$96</c:f>
              <c:numCache>
                <c:formatCode>0.00%</c:formatCode>
                <c:ptCount val="6"/>
                <c:pt idx="0">
                  <c:v>0.0950448453432459</c:v>
                </c:pt>
                <c:pt idx="1">
                  <c:v>0.089943505886497</c:v>
                </c:pt>
                <c:pt idx="2">
                  <c:v>0.0987495526127416</c:v>
                </c:pt>
                <c:pt idx="3">
                  <c:v>0.0999990634160961</c:v>
                </c:pt>
                <c:pt idx="4">
                  <c:v>0.103188459064596</c:v>
                </c:pt>
                <c:pt idx="5">
                  <c:v>0.106982455550135</c:v>
                </c:pt>
              </c:numCache>
            </c:numRef>
          </c:val>
        </c:ser>
        <c:ser>
          <c:idx val="1"/>
          <c:order val="1"/>
          <c:tx>
            <c:strRef>
              <c:f>[西锐底稿.xlsx]Part1!$G$97</c:f>
              <c:strCache>
                <c:ptCount val="1"/>
                <c:pt idx="0">
                  <c:v>管理费用比率</c:v>
                </c:pt>
              </c:strCache>
            </c:strRef>
          </c:tx>
          <c:spPr>
            <a:solidFill>
              <a:srgbClr val="A5A5A5"/>
            </a:solidFill>
            <a:ln>
              <a:noFill/>
            </a:ln>
            <a:effectLst/>
          </c:spPr>
          <c:invertIfNegative val="0"/>
          <c:dPt>
            <c:idx val="0"/>
            <c:invertIfNegative val="0"/>
            <c:bubble3D val="0"/>
            <c:spPr>
              <a:solidFill>
                <a:srgbClr val="A5A5A5"/>
              </a:solidFill>
              <a:ln>
                <a:noFill/>
              </a:ln>
              <a:effectLst/>
            </c:spPr>
          </c:dPt>
          <c:dPt>
            <c:idx val="1"/>
            <c:invertIfNegative val="0"/>
            <c:bubble3D val="0"/>
            <c:spPr>
              <a:solidFill>
                <a:srgbClr val="A5A5A5"/>
              </a:solidFill>
              <a:ln>
                <a:noFill/>
              </a:ln>
              <a:effectLst/>
            </c:spPr>
          </c:dPt>
          <c:dPt>
            <c:idx val="2"/>
            <c:invertIfNegative val="0"/>
            <c:bubble3D val="0"/>
            <c:spPr>
              <a:solidFill>
                <a:srgbClr val="A5A5A5"/>
              </a:solidFill>
              <a:ln>
                <a:noFill/>
              </a:ln>
              <a:effectLst/>
            </c:spPr>
          </c:dPt>
          <c:dPt>
            <c:idx val="3"/>
            <c:invertIfNegative val="0"/>
            <c:bubble3D val="0"/>
            <c:spPr>
              <a:solidFill>
                <a:srgbClr val="A5A5A5"/>
              </a:solidFill>
              <a:ln>
                <a:noFill/>
              </a:ln>
              <a:effectLst/>
            </c:spPr>
          </c:dPt>
          <c:dPt>
            <c:idx val="4"/>
            <c:invertIfNegative val="0"/>
            <c:bubble3D val="0"/>
            <c:spPr>
              <a:solidFill>
                <a:srgbClr val="A5A5A5"/>
              </a:solidFill>
              <a:ln>
                <a:noFill/>
              </a:ln>
              <a:effectLst/>
            </c:spPr>
          </c:dPt>
          <c:dPt>
            <c:idx val="5"/>
            <c:invertIfNegative val="0"/>
            <c:bubble3D val="0"/>
            <c:spPr>
              <a:solidFill>
                <a:srgbClr val="A5A5A5"/>
              </a:solidFill>
              <a:ln>
                <a:noFill/>
              </a:ln>
              <a:effectLst/>
            </c:spPr>
          </c:dPt>
          <c:dLbls>
            <c:delete val="1"/>
          </c:dLbls>
          <c:cat>
            <c:strRef>
              <c:f>[西锐底稿.xlsx]Part1!$H$95:$M$95</c:f>
              <c:strCache>
                <c:ptCount val="6"/>
                <c:pt idx="0">
                  <c:v>2020</c:v>
                </c:pt>
                <c:pt idx="1">
                  <c:v>2021</c:v>
                </c:pt>
                <c:pt idx="2">
                  <c:v>2022</c:v>
                </c:pt>
                <c:pt idx="3">
                  <c:v>2023</c:v>
                </c:pt>
                <c:pt idx="4">
                  <c:v>2024</c:v>
                </c:pt>
                <c:pt idx="5">
                  <c:v>2025H1</c:v>
                </c:pt>
              </c:strCache>
            </c:strRef>
          </c:cat>
          <c:val>
            <c:numRef>
              <c:f>[西锐底稿.xlsx]Part1!$H$97:$M$97</c:f>
              <c:numCache>
                <c:formatCode>0.00%</c:formatCode>
                <c:ptCount val="6"/>
                <c:pt idx="0">
                  <c:v>0.132950243835897</c:v>
                </c:pt>
                <c:pt idx="1">
                  <c:v>0.126888217522659</c:v>
                </c:pt>
                <c:pt idx="2">
                  <c:v>0.114631800286328</c:v>
                </c:pt>
                <c:pt idx="3">
                  <c:v>0.126607412125015</c:v>
                </c:pt>
                <c:pt idx="4">
                  <c:v>0.118015587279577</c:v>
                </c:pt>
                <c:pt idx="5">
                  <c:v>0.117747985668388</c:v>
                </c:pt>
              </c:numCache>
            </c:numRef>
          </c:val>
        </c:ser>
        <c:ser>
          <c:idx val="2"/>
          <c:order val="2"/>
          <c:tx>
            <c:strRef>
              <c:f>[西锐底稿.xlsx]Part1!$G$98</c:f>
              <c:strCache>
                <c:ptCount val="1"/>
                <c:pt idx="0">
                  <c:v>财务费用比率</c:v>
                </c:pt>
              </c:strCache>
            </c:strRef>
          </c:tx>
          <c:spPr>
            <a:solidFill>
              <a:srgbClr val="EBC3C3"/>
            </a:solidFill>
            <a:ln w="25400">
              <a:noFill/>
            </a:ln>
            <a:effectLst/>
          </c:spPr>
          <c:invertIfNegative val="0"/>
          <c:dLbls>
            <c:delete val="1"/>
          </c:dLbls>
          <c:cat>
            <c:strRef>
              <c:f>[西锐底稿.xlsx]Part1!$H$95:$M$95</c:f>
              <c:strCache>
                <c:ptCount val="6"/>
                <c:pt idx="0">
                  <c:v>2020</c:v>
                </c:pt>
                <c:pt idx="1">
                  <c:v>2021</c:v>
                </c:pt>
                <c:pt idx="2">
                  <c:v>2022</c:v>
                </c:pt>
                <c:pt idx="3">
                  <c:v>2023</c:v>
                </c:pt>
                <c:pt idx="4">
                  <c:v>2024</c:v>
                </c:pt>
                <c:pt idx="5">
                  <c:v>2025H1</c:v>
                </c:pt>
              </c:strCache>
            </c:strRef>
          </c:cat>
          <c:val>
            <c:numRef>
              <c:f>[西锐底稿.xlsx]Part1!$H$98:$M$98</c:f>
              <c:numCache>
                <c:formatCode>0.00%</c:formatCode>
                <c:ptCount val="6"/>
                <c:pt idx="0">
                  <c:v>0.0105207516284146</c:v>
                </c:pt>
                <c:pt idx="1">
                  <c:v>0.00475525991356536</c:v>
                </c:pt>
                <c:pt idx="2">
                  <c:v>0.00357909806728704</c:v>
                </c:pt>
                <c:pt idx="3">
                  <c:v>0.00517930898839573</c:v>
                </c:pt>
                <c:pt idx="4">
                  <c:v>0.00429360219859163</c:v>
                </c:pt>
                <c:pt idx="5">
                  <c:v>0.00331376473952463</c:v>
                </c:pt>
              </c:numCache>
            </c:numRef>
          </c:val>
        </c:ser>
        <c:dLbls>
          <c:showLegendKey val="0"/>
          <c:showVal val="0"/>
          <c:showCatName val="0"/>
          <c:showSerName val="0"/>
          <c:showPercent val="0"/>
          <c:showBubbleSize val="0"/>
        </c:dLbls>
        <c:gapWidth val="150"/>
        <c:axId val="1162810192"/>
        <c:axId val="1162808272"/>
      </c:barChart>
      <c:catAx>
        <c:axId val="1162810192"/>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08272"/>
        <c:crosses val="autoZero"/>
        <c:auto val="1"/>
        <c:lblAlgn val="ctr"/>
        <c:lblOffset val="100"/>
        <c:noMultiLvlLbl val="0"/>
      </c:catAx>
      <c:valAx>
        <c:axId val="1162808272"/>
        <c:scaling>
          <c:orientation val="minMax"/>
        </c:scaling>
        <c:delete val="0"/>
        <c:axPos val="l"/>
        <c:majorGridlines>
          <c:spPr>
            <a:ln w="9525" cap="flat" cmpd="sng" algn="ctr">
              <a:noFill/>
              <a:round/>
            </a:ln>
            <a:effectLst/>
          </c:spPr>
        </c:majorGridlines>
        <c:numFmt formatCode="0.00%"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10192"/>
        <c:crosses val="autoZero"/>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noFill/>
    <a:ln w="9525" cap="flat" cmpd="sng" algn="ctr">
      <a:noFill/>
      <a:round/>
    </a:ln>
    <a:effectLst/>
  </c:spPr>
  <c:txPr>
    <a:bodyPr/>
    <a:lstStyle/>
    <a:p>
      <a:pPr>
        <a:defRPr lang="zh-CN" sz="700"/>
      </a:pPr>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'[西锐底稿.xlsx]Part2.1 '!$F$44</c:f>
              <c:strCache>
                <c:ptCount val="1"/>
                <c:pt idx="0">
                  <c:v>总交付量</c:v>
                </c:pt>
              </c:strCache>
            </c:strRef>
          </c:tx>
          <c:spPr>
            <a:solidFill>
              <a:srgbClr val="002060"/>
            </a:solidFill>
            <a:ln w="25400">
              <a:noFill/>
            </a:ln>
            <a:effectLst/>
          </c:spPr>
          <c:invertIfNegative val="0"/>
          <c:dLbls>
            <c:delete val="1"/>
          </c:dLbls>
          <c:cat>
            <c:strRef>
              <c:f>'[西锐底稿.xlsx]Part2.1 '!$E$45:$E$54</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'[西锐底稿.xlsx]Part2.1 '!$F$45:$F$54</c:f>
              <c:numCache>
                <c:formatCode>General</c:formatCode>
                <c:ptCount val="10"/>
                <c:pt idx="0">
                  <c:v>2657</c:v>
                </c:pt>
                <c:pt idx="1">
                  <c:v>2407</c:v>
                </c:pt>
                <c:pt idx="2">
                  <c:v>2646</c:v>
                </c:pt>
                <c:pt idx="3">
                  <c:v>2818</c:v>
                </c:pt>
                <c:pt idx="4">
                  <c:v>3050</c:v>
                </c:pt>
                <c:pt idx="5">
                  <c:v>2969</c:v>
                </c:pt>
                <c:pt idx="6">
                  <c:v>3088</c:v>
                </c:pt>
                <c:pt idx="7">
                  <c:v>3281</c:v>
                </c:pt>
                <c:pt idx="8">
                  <c:v>3525</c:v>
                </c:pt>
                <c:pt idx="9">
                  <c:v>3779</c:v>
                </c:pt>
              </c:numCache>
            </c:numRef>
          </c:val>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'[西锐底稿.xlsx]Part2.1 '!$G$44</c:f>
              <c:strCache>
                <c:ptCount val="1"/>
                <c:pt idx="0">
                  <c:v>yoy</c:v>
                </c:pt>
              </c:strCache>
            </c:strRef>
          </c:tx>
          <c:spPr>
            <a:ln w="28575" cap="rnd">
              <a:solidFill>
                <a:srgbClr val="A5A5A5"/>
              </a:solidFill>
              <a:round/>
            </a:ln>
            <a:effectLst/>
          </c:spPr>
          <c:marker>
            <c:symbol val="none"/>
          </c:marker>
          <c:dLbls>
            <c:delete val="1"/>
          </c:dLbls>
          <c:cat>
            <c:strRef>
              <c:f>'[西锐底稿.xlsx]Part2.1 '!$E$45:$E$54</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'[西锐底稿.xlsx]Part2.1 '!$G$45:$G$54</c:f>
              <c:numCache>
                <c:formatCode>General</c:formatCode>
                <c:ptCount val="10"/>
                <c:pt idx="1" c:formatCode="0.00%">
                  <c:v>-0.0940910801656003</c:v>
                </c:pt>
                <c:pt idx="2" c:formatCode="0.00%">
                  <c:v>0.0992937266306606</c:v>
                </c:pt>
                <c:pt idx="3" c:formatCode="0.00%">
                  <c:v>0.0650037792894935</c:v>
                </c:pt>
                <c:pt idx="4" c:formatCode="0.00%">
                  <c:v>0.0823278921220725</c:v>
                </c:pt>
                <c:pt idx="5" c:formatCode="0.00%">
                  <c:v>-0.0265573770491804</c:v>
                </c:pt>
                <c:pt idx="6" c:formatCode="0.00%">
                  <c:v>0.0400808352980802</c:v>
                </c:pt>
                <c:pt idx="7" c:formatCode="0.00%">
                  <c:v>0.0625</c:v>
                </c:pt>
                <c:pt idx="8" c:formatCode="0.00%">
                  <c:v>0.074367570862542</c:v>
                </c:pt>
                <c:pt idx="9" c:formatCode="0.00%">
                  <c:v>0.0720567375886525</c:v>
                </c:pt>
              </c:numCache>
            </c:numRef>
          </c:val>
          <c:smooth val="0"/>
        </c:ser>
        <c:dLbls>
          <c:showLegendKey val="0"/>
          <c:showVal val="0"/>
          <c:showCatName val="0"/>
          <c:showSerName val="0"/>
          <c:showPercent val="0"/>
          <c:showBubbleSize val="0"/>
        </c:dLbls>
        <c:marker val="0"/>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General"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120"/>
        <c:crosses val="autoZero"/>
        <c:auto val="1"/>
        <c:lblAlgn val="ctr"/>
        <c:lblOffset val="100"/>
        <c:noMultiLvlLbl val="0"/>
      </c:catAx>
      <c:valAx>
        <c:axId val="1351793120"/>
        <c:scaling>
          <c:orientation val="minMax"/>
        </c:scaling>
        <c:delete val="0"/>
        <c:axPos val="r"/>
        <c:numFmt formatCode="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600"/>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noFill/>
    <a:ln w="9525" cap="flat" cmpd="sng" algn="ctr">
      <a:noFill/>
      <a:round/>
    </a:ln>
    <a:effectLst/>
  </c:spPr>
  <c:txPr>
    <a:bodyPr/>
    <a:lstStyle/>
    <a:p>
      <a:pPr>
        <a:defRPr lang="zh-CN" sz="700"/>
      </a:pPr>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'[西锐底稿.xlsx]Part2.1 '!$I$44</c:f>
              <c:strCache>
                <c:ptCount val="1"/>
                <c:pt idx="0">
                  <c:v>总交付价值 (十亿美元)</c:v>
                </c:pt>
              </c:strCache>
            </c:strRef>
          </c:tx>
          <c:spPr>
            <a:solidFill>
              <a:srgbClr val="002060"/>
            </a:solidFill>
            <a:ln w="25400">
              <a:noFill/>
            </a:ln>
            <a:effectLst/>
          </c:spPr>
          <c:invertIfNegative val="0"/>
          <c:dLbls>
            <c:delete val="1"/>
          </c:dLbls>
          <c:cat>
            <c:strRef>
              <c:f>'[西锐底稿.xlsx]Part2.1 '!$H$45:$H$54</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'[西锐底稿.xlsx]Part2.1 '!$I$45:$I$54</c:f>
              <c:numCache>
                <c:formatCode>General</c:formatCode>
                <c:ptCount val="10"/>
                <c:pt idx="0">
                  <c:v>23.6</c:v>
                </c:pt>
                <c:pt idx="1">
                  <c:v>20.1</c:v>
                </c:pt>
                <c:pt idx="2">
                  <c:v>21.6</c:v>
                </c:pt>
                <c:pt idx="3">
                  <c:v>22.9</c:v>
                </c:pt>
                <c:pt idx="4">
                  <c:v>23.4</c:v>
                </c:pt>
                <c:pt idx="5">
                  <c:v>27</c:v>
                </c:pt>
                <c:pt idx="6">
                  <c:v>26.3</c:v>
                </c:pt>
                <c:pt idx="7">
                  <c:v>28.8</c:v>
                </c:pt>
                <c:pt idx="8">
                  <c:v>31.7</c:v>
                </c:pt>
                <c:pt idx="9">
                  <c:v>34.24</c:v>
                </c:pt>
              </c:numCache>
            </c:numRef>
          </c:val>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'[西锐底稿.xlsx]Part2.1 '!$J$44</c:f>
              <c:strCache>
                <c:ptCount val="1"/>
                <c:pt idx="0">
                  <c:v>yoy</c:v>
                </c:pt>
              </c:strCache>
            </c:strRef>
          </c:tx>
          <c:spPr>
            <a:ln w="28575" cap="rnd">
              <a:solidFill>
                <a:srgbClr val="A5A5A5"/>
              </a:solidFill>
              <a:round/>
            </a:ln>
            <a:effectLst/>
          </c:spPr>
          <c:marker>
            <c:symbol val="none"/>
          </c:marker>
          <c:dLbls>
            <c:delete val="1"/>
          </c:dLbls>
          <c:cat>
            <c:strRef>
              <c:f>'[西锐底稿.xlsx]Part2.1 '!$H$45:$H$54</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'[西锐底稿.xlsx]Part2.1 '!$J$45:$J$54</c:f>
              <c:numCache>
                <c:formatCode>General</c:formatCode>
                <c:ptCount val="10"/>
                <c:pt idx="1" c:formatCode="0.00%">
                  <c:v>-0.148305084745763</c:v>
                </c:pt>
                <c:pt idx="2" c:formatCode="0.00%">
                  <c:v>0.0746268656716418</c:v>
                </c:pt>
                <c:pt idx="3" c:formatCode="0.00%">
                  <c:v>0.0601851851851851</c:v>
                </c:pt>
                <c:pt idx="4" c:formatCode="0.00%">
                  <c:v>0.0218340611353711</c:v>
                </c:pt>
                <c:pt idx="5" c:formatCode="0.00%">
                  <c:v>0.153846153846154</c:v>
                </c:pt>
                <c:pt idx="6" c:formatCode="0.00%">
                  <c:v>-0.0259259259259259</c:v>
                </c:pt>
                <c:pt idx="7" c:formatCode="0.00%">
                  <c:v>0.0950570342205324</c:v>
                </c:pt>
                <c:pt idx="8" c:formatCode="0.00%">
                  <c:v>0.100694444444444</c:v>
                </c:pt>
                <c:pt idx="9" c:formatCode="0.00%">
                  <c:v>0.0801261829652997</c:v>
                </c:pt>
              </c:numCache>
            </c:numRef>
          </c:val>
          <c:smooth val="0"/>
        </c:ser>
        <c:dLbls>
          <c:showLegendKey val="0"/>
          <c:showVal val="0"/>
          <c:showCatName val="0"/>
          <c:showSerName val="0"/>
          <c:showPercent val="0"/>
          <c:showBubbleSize val="0"/>
        </c:dLbls>
        <c:marker val="0"/>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General"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120"/>
        <c:crosses val="autoZero"/>
        <c:auto val="1"/>
        <c:lblAlgn val="ctr"/>
        <c:lblOffset val="100"/>
        <c:noMultiLvlLbl val="0"/>
      </c:catAx>
      <c:valAx>
        <c:axId val="1351793120"/>
        <c:scaling>
          <c:orientation val="minMax"/>
        </c:scaling>
        <c:delete val="0"/>
        <c:axPos val="r"/>
        <c:numFmt formatCode="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600"/>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noFill/>
    <a:ln w="9525" cap="flat" cmpd="sng" algn="ctr">
      <a:noFill/>
      <a:round/>
    </a:ln>
    <a:effectLst/>
  </c:spPr>
  <c:txPr>
    <a:bodyPr/>
    <a:lstStyle/>
    <a:p>
      <a:pPr>
        <a:defRPr lang="zh-CN" sz="700"/>
      </a:pPr>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112407064654767"/>
          <c:w val="0.931162239562145"/>
          <c:h val="0.757678158756052"/>
        </c:manualLayout>
      </c:layout>
      <c:barChart>
        <c:barDir val="col"/>
        <c:grouping val="percentStacked"/>
        <c:varyColors val="0"/>
        <c:ser>
          <c:idx val="0"/>
          <c:order val="0"/>
          <c:tx>
            <c:strRef>
              <c:f>'[西锐底稿.xlsx]Part2.1 '!$F$66</c:f>
              <c:strCache>
                <c:ptCount val="1"/>
                <c:pt idx="0">
                  <c:v>世界其他地区</c:v>
                </c:pt>
              </c:strCache>
            </c:strRef>
          </c:tx>
          <c:spPr>
            <a:solidFill>
              <a:srgbClr val="002060"/>
            </a:solidFill>
            <a:ln>
              <a:noFill/>
            </a:ln>
            <a:effectLst/>
          </c:spPr>
          <c:invertIfNegative val="0"/>
          <c:dLbls>
            <c:delete val="1"/>
          </c:dLbls>
          <c:cat>
            <c:strRef>
              <c:f>'[西锐底稿.xlsx]Part2.1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'[西锐底稿.xlsx]Part2.1 '!$F$67:$F$76</c:f>
              <c:numCache>
                <c:formatCode>General</c:formatCode>
                <c:ptCount val="10"/>
                <c:pt idx="0">
                  <c:v>1456</c:v>
                </c:pt>
                <c:pt idx="1">
                  <c:v>1686</c:v>
                </c:pt>
                <c:pt idx="2">
                  <c:v>1565</c:v>
                </c:pt>
                <c:pt idx="3">
                  <c:v>1713</c:v>
                </c:pt>
                <c:pt idx="4">
                  <c:v>1870</c:v>
                </c:pt>
                <c:pt idx="5">
                  <c:v>1944</c:v>
                </c:pt>
                <c:pt idx="6">
                  <c:v>2010</c:v>
                </c:pt>
                <c:pt idx="7">
                  <c:v>2073</c:v>
                </c:pt>
                <c:pt idx="8">
                  <c:v>2187</c:v>
                </c:pt>
                <c:pt idx="9">
                  <c:v>2341</c:v>
                </c:pt>
              </c:numCache>
            </c:numRef>
          </c:val>
        </c:ser>
        <c:ser>
          <c:idx val="1"/>
          <c:order val="1"/>
          <c:tx>
            <c:strRef>
              <c:f>'[西锐底稿.xlsx]Part2.1 '!$G$66</c:f>
              <c:strCache>
                <c:ptCount val="1"/>
                <c:pt idx="0">
                  <c:v>亚太地区</c:v>
                </c:pt>
              </c:strCache>
            </c:strRef>
          </c:tx>
          <c:spPr>
            <a:solidFill>
              <a:srgbClr val="666666"/>
            </a:solidFill>
            <a:ln>
              <a:noFill/>
            </a:ln>
            <a:effectLst/>
          </c:spPr>
          <c:invertIfNegative val="0"/>
          <c:dLbls>
            <c:delete val="1"/>
          </c:dLbls>
          <c:cat>
            <c:strRef>
              <c:f>'[西锐底稿.xlsx]Part2.1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'[西锐底稿.xlsx]Part2.1 '!$G$67:$G$76</c:f>
              <c:numCache>
                <c:formatCode>General</c:formatCode>
                <c:ptCount val="10"/>
                <c:pt idx="0">
                  <c:v>118</c:v>
                </c:pt>
                <c:pt idx="1">
                  <c:v>135</c:v>
                </c:pt>
                <c:pt idx="2">
                  <c:v>64</c:v>
                </c:pt>
                <c:pt idx="3">
                  <c:v>95</c:v>
                </c:pt>
                <c:pt idx="4">
                  <c:v>114</c:v>
                </c:pt>
                <c:pt idx="5">
                  <c:v>40</c:v>
                </c:pt>
                <c:pt idx="6">
                  <c:v>40</c:v>
                </c:pt>
                <c:pt idx="7">
                  <c:v>44</c:v>
                </c:pt>
                <c:pt idx="8">
                  <c:v>49</c:v>
                </c:pt>
                <c:pt idx="9">
                  <c:v>54</c:v>
                </c:pt>
              </c:numCache>
            </c:numRef>
          </c:val>
        </c:ser>
        <c:ser>
          <c:idx val="2"/>
          <c:order val="2"/>
          <c:tx>
            <c:strRef>
              <c:f>'[西锐底稿.xlsx]Part2.1 '!$H$66</c:f>
              <c:strCache>
                <c:ptCount val="1"/>
                <c:pt idx="0">
                  <c:v>欧洲</c:v>
                </c:pt>
              </c:strCache>
            </c:strRef>
          </c:tx>
          <c:spPr>
            <a:solidFill>
              <a:srgbClr val="E6B9B8"/>
            </a:solidFill>
            <a:ln w="9525" cap="flat" cmpd="sng">
              <a:noFill/>
              <a:prstDash val="solid"/>
            </a:ln>
            <a:effectLst/>
            <a:sp3d contourW="9525"/>
          </c:spPr>
          <c:invertIfNegative val="0"/>
          <c:dLbls>
            <c:delete val="1"/>
          </c:dLbls>
          <c:cat>
            <c:strRef>
              <c:f>'[西锐底稿.xlsx]Part2.1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'[西锐底稿.xlsx]Part2.1 '!$H$67:$H$76</c:f>
              <c:numCache>
                <c:formatCode>General</c:formatCode>
                <c:ptCount val="10"/>
                <c:pt idx="0">
                  <c:v>188</c:v>
                </c:pt>
                <c:pt idx="1">
                  <c:v>194</c:v>
                </c:pt>
                <c:pt idx="2">
                  <c:v>125</c:v>
                </c:pt>
                <c:pt idx="3">
                  <c:v>166</c:v>
                </c:pt>
                <c:pt idx="4">
                  <c:v>237</c:v>
                </c:pt>
                <c:pt idx="5">
                  <c:v>145</c:v>
                </c:pt>
                <c:pt idx="6">
                  <c:v>153</c:v>
                </c:pt>
                <c:pt idx="7">
                  <c:v>165</c:v>
                </c:pt>
                <c:pt idx="8">
                  <c:v>185</c:v>
                </c:pt>
                <c:pt idx="9">
                  <c:v>203</c:v>
                </c:pt>
              </c:numCache>
            </c:numRef>
          </c:val>
        </c:ser>
        <c:ser>
          <c:idx val="3"/>
          <c:order val="3"/>
          <c:tx>
            <c:strRef>
              <c:f>'[西锐底稿.xlsx]Part2.1 '!$I$66</c:f>
              <c:strCache>
                <c:ptCount val="1"/>
                <c:pt idx="0">
                  <c:v>拉丁美洲</c:v>
                </c:pt>
              </c:strCache>
            </c:strRef>
          </c:tx>
          <c:spPr>
            <a:solidFill>
              <a:srgbClr val="E97132">
                <a:lumMod val="75000"/>
              </a:srgbClr>
            </a:solidFill>
            <a:ln>
              <a:noFill/>
            </a:ln>
            <a:effectLst/>
          </c:spPr>
          <c:invertIfNegative val="0"/>
          <c:dLbls>
            <c:delete val="1"/>
          </c:dLbls>
          <c:cat>
            <c:strRef>
              <c:f>'[西锐底稿.xlsx]Part2.1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'[西锐底稿.xlsx]Part2.1 '!$I$67:$I$76</c:f>
              <c:numCache>
                <c:formatCode>General</c:formatCode>
                <c:ptCount val="10"/>
                <c:pt idx="0">
                  <c:v>309</c:v>
                </c:pt>
                <c:pt idx="1">
                  <c:v>331</c:v>
                </c:pt>
                <c:pt idx="2">
                  <c:v>309</c:v>
                </c:pt>
                <c:pt idx="3">
                  <c:v>355</c:v>
                </c:pt>
                <c:pt idx="4">
                  <c:v>358</c:v>
                </c:pt>
                <c:pt idx="5">
                  <c:v>302</c:v>
                </c:pt>
                <c:pt idx="6">
                  <c:v>310</c:v>
                </c:pt>
                <c:pt idx="7">
                  <c:v>325</c:v>
                </c:pt>
                <c:pt idx="8">
                  <c:v>345</c:v>
                </c:pt>
                <c:pt idx="9">
                  <c:v>368</c:v>
                </c:pt>
              </c:numCache>
            </c:numRef>
          </c:val>
        </c:ser>
        <c:ser>
          <c:idx val="4"/>
          <c:order val="4"/>
          <c:tx>
            <c:strRef>
              <c:f>'[西锐底稿.xlsx]Part2.1 '!$J$66</c:f>
              <c:strCache>
                <c:ptCount val="1"/>
                <c:pt idx="0">
                  <c:v>北美洲</c:v>
                </c:pt>
              </c:strCache>
            </c:strRef>
          </c:tx>
          <c:spPr>
            <a:solidFill>
              <a:srgbClr val="A5A5A5"/>
            </a:solidFill>
            <a:ln>
              <a:noFill/>
            </a:ln>
            <a:effectLst/>
          </c:spPr>
          <c:invertIfNegative val="0"/>
          <c:dLbls>
            <c:delete val="1"/>
          </c:dLbls>
          <c:cat>
            <c:strRef>
              <c:f>'[西锐底稿.xlsx]Part2.1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'[西锐底稿.xlsx]Part2.1 '!$J$67:$J$76</c:f>
              <c:numCache>
                <c:formatCode>General</c:formatCode>
                <c:ptCount val="10"/>
                <c:pt idx="0">
                  <c:v>371</c:v>
                </c:pt>
                <c:pt idx="1">
                  <c:v>311</c:v>
                </c:pt>
                <c:pt idx="2">
                  <c:v>344</c:v>
                </c:pt>
                <c:pt idx="3">
                  <c:v>317</c:v>
                </c:pt>
                <c:pt idx="4">
                  <c:v>239</c:v>
                </c:pt>
                <c:pt idx="5">
                  <c:v>432</c:v>
                </c:pt>
                <c:pt idx="6">
                  <c:v>456</c:v>
                </c:pt>
                <c:pt idx="7">
                  <c:v>481</c:v>
                </c:pt>
                <c:pt idx="8">
                  <c:v>515</c:v>
                </c:pt>
                <c:pt idx="9">
                  <c:v>559</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3"/>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4"/>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00379362670713202"/>
          <c:y val="0.0233429843055494"/>
          <c:w val="0.985204734723252"/>
          <c:h val="0.0856140791166044"/>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[西锐底稿.xlsx]Part2.2!$B$2</c:f>
              <c:strCache>
                <c:ptCount val="1"/>
                <c:pt idx="0">
                  <c:v>交付量</c:v>
                </c:pt>
              </c:strCache>
            </c:strRef>
          </c:tx>
          <c:spPr>
            <a:solidFill>
              <a:srgbClr val="002060"/>
            </a:solidFill>
            <a:ln>
              <a:noFill/>
            </a:ln>
            <a:effectLst/>
          </c:spPr>
          <c:invertIfNegative val="0"/>
          <c:dLbls>
            <c:delete val="1"/>
          </c:dLbls>
          <c:cat>
            <c:strRef>
              <c:f>[西锐底稿.xlsx]Part2.2!$A$3:$A$12</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[西锐底稿.xlsx]Part2.2!$B$3:$B$12</c:f>
              <c:numCache>
                <c:formatCode>General</c:formatCode>
                <c:ptCount val="10"/>
                <c:pt idx="0">
                  <c:v>1894</c:v>
                </c:pt>
                <c:pt idx="1">
                  <c:v>1806</c:v>
                </c:pt>
                <c:pt idx="2">
                  <c:v>1927</c:v>
                </c:pt>
                <c:pt idx="3">
                  <c:v>2124</c:v>
                </c:pt>
                <c:pt idx="4">
                  <c:v>2215</c:v>
                </c:pt>
                <c:pt idx="5">
                  <c:v>2341</c:v>
                </c:pt>
                <c:pt idx="6">
                  <c:v>2515</c:v>
                </c:pt>
                <c:pt idx="7">
                  <c:v>2711</c:v>
                </c:pt>
                <c:pt idx="8">
                  <c:v>2936</c:v>
                </c:pt>
                <c:pt idx="9">
                  <c:v>3185</c:v>
                </c:pt>
              </c:numCache>
            </c:numRef>
          </c:val>
        </c:ser>
        <c:dLbls>
          <c:showLegendKey val="0"/>
          <c:showVal val="0"/>
          <c:showCatName val="0"/>
          <c:showSerName val="0"/>
          <c:showPercent val="0"/>
          <c:showBubbleSize val="0"/>
        </c:dLbls>
        <c:gapWidth val="150"/>
        <c:axId val="1021593488"/>
        <c:axId val="1"/>
      </c:barChart>
      <c:lineChart>
        <c:grouping val="standard"/>
        <c:varyColors val="0"/>
        <c:ser>
          <c:idx val="1"/>
          <c:order val="1"/>
          <c:tx>
            <c:strRef>
              <c:f>[西锐底稿.xlsx]Part2.2!$C$2</c:f>
              <c:strCache>
                <c:ptCount val="1"/>
                <c:pt idx="0">
                  <c:v>yoy</c:v>
                </c:pt>
              </c:strCache>
            </c:strRef>
          </c:tx>
          <c:spPr>
            <a:ln w="19050" cap="rnd" cmpd="sng" algn="ctr">
              <a:solidFill>
                <a:srgbClr val="A5A5A5"/>
              </a:solidFill>
              <a:prstDash val="solid"/>
              <a:round/>
            </a:ln>
            <a:effectLst/>
          </c:spPr>
          <c:marker>
            <c:symbol val="none"/>
          </c:marker>
          <c:dLbls>
            <c:delete val="1"/>
          </c:dLbls>
          <c:cat>
            <c:strRef>
              <c:f>[西锐底稿.xlsx]Part2.2!$A$3:$A$12</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[西锐底稿.xlsx]Part2.2!$C$3:$C$12</c:f>
              <c:numCache>
                <c:formatCode>General</c:formatCode>
                <c:ptCount val="10"/>
                <c:pt idx="1" c:formatCode="0.00%">
                  <c:v>-0.0464625131995776</c:v>
                </c:pt>
                <c:pt idx="2" c:formatCode="0.00%">
                  <c:v>0.066998892580288</c:v>
                </c:pt>
                <c:pt idx="3" c:formatCode="0.00%">
                  <c:v>0.102231447846393</c:v>
                </c:pt>
                <c:pt idx="4" c:formatCode="0.00%">
                  <c:v>0.042843691148776</c:v>
                </c:pt>
                <c:pt idx="5" c:formatCode="0.00%">
                  <c:v>0.056884875846501</c:v>
                </c:pt>
                <c:pt idx="6" c:formatCode="0.00%">
                  <c:v>0.0743272105937633</c:v>
                </c:pt>
                <c:pt idx="7" c:formatCode="0.00%">
                  <c:v>0.0779324055666004</c:v>
                </c:pt>
                <c:pt idx="8" c:formatCode="0.00%">
                  <c:v>0.082995204721505</c:v>
                </c:pt>
                <c:pt idx="9" c:formatCode="0.00%">
                  <c:v>0.0848092643051772</c:v>
                </c:pt>
              </c:numCache>
            </c:numRef>
          </c:val>
          <c:smooth val="0"/>
        </c:ser>
        <c:dLbls>
          <c:showLegendKey val="0"/>
          <c:showVal val="0"/>
          <c:showCatName val="0"/>
          <c:showSerName val="0"/>
          <c:showPercent val="0"/>
          <c:showBubbleSize val="0"/>
        </c:dLbls>
        <c:marker val="0"/>
        <c:smooth val="0"/>
        <c:axId val="259816367"/>
        <c:axId val="259820207"/>
      </c:line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catAx>
        <c:axId val="259816367"/>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20207"/>
        <c:crosses val="autoZero"/>
        <c:auto val="1"/>
        <c:lblAlgn val="ctr"/>
        <c:lblOffset val="100"/>
        <c:noMultiLvlLbl val="0"/>
      </c:catAx>
      <c:valAx>
        <c:axId val="259820207"/>
        <c:scaling>
          <c:orientation val="minMax"/>
        </c:scaling>
        <c:delete val="0"/>
        <c:axPos val="r"/>
        <c:numFmt formatCode="0%" sourceLinked="0"/>
        <c:majorTickMark val="out"/>
        <c:minorTickMark val="none"/>
        <c:tickLblPos val="nextTo"/>
        <c:spPr>
          <a:noFill/>
          <a:ln w="6350" cap="flat" cmpd="sng" algn="ctr">
            <a:solidFill>
              <a:schemeClr val="tx1">
                <a:tint val="75000"/>
              </a:schemeClr>
            </a:solidFill>
            <a:prstDash val="solid"/>
            <a:round/>
          </a:ln>
          <a:effectLst/>
        </c:spPr>
        <c:txPr>
          <a:bodyPr rot="-600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16367"/>
        <c:crosses val="max"/>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[西锐底稿.xlsx]Part2.2!$F$2</c:f>
              <c:strCache>
                <c:ptCount val="1"/>
                <c:pt idx="0">
                  <c:v>交付价值（十亿美元）</c:v>
                </c:pt>
              </c:strCache>
            </c:strRef>
          </c:tx>
          <c:spPr>
            <a:solidFill>
              <a:srgbClr val="002060"/>
            </a:solidFill>
            <a:ln>
              <a:noFill/>
            </a:ln>
            <a:effectLst/>
          </c:spPr>
          <c:invertIfNegative val="0"/>
          <c:dLbls>
            <c:delete val="1"/>
          </c:dLbls>
          <c:cat>
            <c:strRef>
              <c:f>[西锐底稿.xlsx]Part2.2!$E$3:$E$12</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[西锐底稿.xlsx]Part2.2!$F$3:$F$12</c:f>
              <c:numCache>
                <c:formatCode>General</c:formatCode>
                <c:ptCount val="10"/>
                <c:pt idx="0">
                  <c:v>2.7</c:v>
                </c:pt>
                <c:pt idx="1">
                  <c:v>2.5</c:v>
                </c:pt>
                <c:pt idx="2">
                  <c:v>2.9</c:v>
                </c:pt>
                <c:pt idx="3">
                  <c:v>3.2</c:v>
                </c:pt>
                <c:pt idx="4">
                  <c:v>3.7</c:v>
                </c:pt>
                <c:pt idx="5">
                  <c:v>4.3</c:v>
                </c:pt>
                <c:pt idx="6">
                  <c:v>4.7</c:v>
                </c:pt>
                <c:pt idx="7">
                  <c:v>5.1</c:v>
                </c:pt>
                <c:pt idx="8">
                  <c:v>5.7</c:v>
                </c:pt>
                <c:pt idx="9">
                  <c:v>6.4</c:v>
                </c:pt>
              </c:numCache>
            </c:numRef>
          </c:val>
        </c:ser>
        <c:dLbls>
          <c:showLegendKey val="0"/>
          <c:showVal val="0"/>
          <c:showCatName val="0"/>
          <c:showSerName val="0"/>
          <c:showPercent val="0"/>
          <c:showBubbleSize val="0"/>
        </c:dLbls>
        <c:gapWidth val="150"/>
        <c:axId val="1021593488"/>
        <c:axId val="1"/>
      </c:barChart>
      <c:lineChart>
        <c:grouping val="standard"/>
        <c:varyColors val="0"/>
        <c:ser>
          <c:idx val="1"/>
          <c:order val="1"/>
          <c:tx>
            <c:strRef>
              <c:f>[西锐底稿.xlsx]Part2.2!$G$2</c:f>
              <c:strCache>
                <c:ptCount val="1"/>
                <c:pt idx="0">
                  <c:v>yoy</c:v>
                </c:pt>
              </c:strCache>
            </c:strRef>
          </c:tx>
          <c:spPr>
            <a:ln w="19050" cap="rnd" cmpd="sng" algn="ctr">
              <a:solidFill>
                <a:srgbClr val="A5A5A5"/>
              </a:solidFill>
              <a:prstDash val="solid"/>
              <a:round/>
            </a:ln>
            <a:effectLst/>
          </c:spPr>
          <c:marker>
            <c:symbol val="none"/>
          </c:marker>
          <c:dLbls>
            <c:delete val="1"/>
          </c:dLbls>
          <c:cat>
            <c:strRef>
              <c:f>[西锐底稿.xlsx]Part2.2!$E$3:$E$12</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[西锐底稿.xlsx]Part2.2!$G$3:$G$12</c:f>
              <c:numCache>
                <c:formatCode>General</c:formatCode>
                <c:ptCount val="10"/>
                <c:pt idx="1" c:formatCode="0.00%">
                  <c:v>-0.0740740740740742</c:v>
                </c:pt>
                <c:pt idx="2" c:formatCode="0.00%">
                  <c:v>0.16</c:v>
                </c:pt>
                <c:pt idx="3" c:formatCode="0.00%">
                  <c:v>0.103448275862069</c:v>
                </c:pt>
                <c:pt idx="4" c:formatCode="0.00%">
                  <c:v>0.15625</c:v>
                </c:pt>
                <c:pt idx="5" c:formatCode="0.00%">
                  <c:v>0.162162162162162</c:v>
                </c:pt>
                <c:pt idx="6" c:formatCode="0.00%">
                  <c:v>0.0930232558139537</c:v>
                </c:pt>
                <c:pt idx="7" c:formatCode="0.00%">
                  <c:v>0.0851063829787233</c:v>
                </c:pt>
                <c:pt idx="8" c:formatCode="0.00%">
                  <c:v>0.117647058823529</c:v>
                </c:pt>
                <c:pt idx="9" c:formatCode="0.00%">
                  <c:v>0.12280701754386</c:v>
                </c:pt>
              </c:numCache>
            </c:numRef>
          </c:val>
          <c:smooth val="0"/>
        </c:ser>
        <c:dLbls>
          <c:showLegendKey val="0"/>
          <c:showVal val="0"/>
          <c:showCatName val="0"/>
          <c:showSerName val="0"/>
          <c:showPercent val="0"/>
          <c:showBubbleSize val="0"/>
        </c:dLbls>
        <c:marker val="0"/>
        <c:smooth val="0"/>
        <c:axId val="259816367"/>
        <c:axId val="259820207"/>
      </c:line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catAx>
        <c:axId val="259816367"/>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20207"/>
        <c:crosses val="autoZero"/>
        <c:auto val="1"/>
        <c:lblAlgn val="ctr"/>
        <c:lblOffset val="100"/>
        <c:noMultiLvlLbl val="0"/>
      </c:catAx>
      <c:valAx>
        <c:axId val="259820207"/>
        <c:scaling>
          <c:orientation val="minMax"/>
        </c:scaling>
        <c:delete val="0"/>
        <c:axPos val="r"/>
        <c:numFmt formatCode="0%" sourceLinked="0"/>
        <c:majorTickMark val="out"/>
        <c:minorTickMark val="none"/>
        <c:tickLblPos val="nextTo"/>
        <c:spPr>
          <a:noFill/>
          <a:ln w="6350" cap="flat" cmpd="sng" algn="ctr">
            <a:solidFill>
              <a:schemeClr val="tx1">
                <a:tint val="75000"/>
              </a:schemeClr>
            </a:solidFill>
            <a:prstDash val="solid"/>
            <a:round/>
          </a:ln>
          <a:effectLst/>
        </c:spPr>
        <c:txPr>
          <a:bodyPr rot="-600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16367"/>
        <c:crosses val="max"/>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[西锐底稿.xlsx]Part2.2!$B$19</c:f>
              <c:strCache>
                <c:ptCount val="1"/>
                <c:pt idx="0">
                  <c:v>平均售卖价格（百万美元）</c:v>
                </c:pt>
              </c:strCache>
            </c:strRef>
          </c:tx>
          <c:spPr>
            <a:solidFill>
              <a:srgbClr val="002060"/>
            </a:solidFill>
            <a:ln>
              <a:noFill/>
            </a:ln>
            <a:effectLst/>
          </c:spPr>
          <c:invertIfNegative val="0"/>
          <c:dLbls>
            <c:delete val="1"/>
          </c:dLbls>
          <c:cat>
            <c:numRef>
              <c:f>[西锐底稿.xlsx]Part2.2!$A$20:$A$25</c:f>
              <c:numCache>
                <c:formatCode>General</c:formatCode>
                <c:ptCount val="6"/>
                <c:pt idx="0">
                  <c:v>2018</c:v>
                </c:pt>
                <c:pt idx="1">
                  <c:v>2019</c:v>
                </c:pt>
                <c:pt idx="2">
                  <c:v>2020</c:v>
                </c:pt>
                <c:pt idx="3">
                  <c:v>2021</c:v>
                </c:pt>
                <c:pt idx="4">
                  <c:v>2022</c:v>
                </c:pt>
                <c:pt idx="5">
                  <c:v>2023</c:v>
                </c:pt>
              </c:numCache>
            </c:numRef>
          </c:cat>
          <c:val>
            <c:numRef>
              <c:f>[西锐底稿.xlsx]Part2.2!$B$20:$B$25</c:f>
              <c:numCache>
                <c:formatCode>General</c:formatCode>
                <c:ptCount val="6"/>
                <c:pt idx="0">
                  <c:v>1.43</c:v>
                </c:pt>
                <c:pt idx="1">
                  <c:v>1.43</c:v>
                </c:pt>
                <c:pt idx="2">
                  <c:v>1.38</c:v>
                </c:pt>
                <c:pt idx="3">
                  <c:v>1.5</c:v>
                </c:pt>
                <c:pt idx="4">
                  <c:v>1.51</c:v>
                </c:pt>
                <c:pt idx="5">
                  <c:v>1.67</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min val="1.2"/>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250521139292582"/>
          <c:w val="0.931162239562145"/>
          <c:h val="0.619563915385425"/>
        </c:manualLayout>
      </c:layout>
      <c:barChart>
        <c:barDir val="col"/>
        <c:grouping val="percentStacked"/>
        <c:varyColors val="0"/>
        <c:ser>
          <c:idx val="0"/>
          <c:order val="0"/>
          <c:tx>
            <c:strRef>
              <c:f>[西锐底稿.xlsx]活塞式飞机市场份额图!$B$205</c:f>
              <c:strCache>
                <c:ptCount val="1"/>
                <c:pt idx="0">
                  <c:v>德事隆航空（比奇飞机）</c:v>
                </c:pt>
              </c:strCache>
            </c:strRef>
          </c:tx>
          <c:spPr>
            <a:solidFill>
              <a:srgbClr val="C00000"/>
            </a:solidFill>
            <a:ln>
              <a:noFill/>
            </a:ln>
            <a:effectLst/>
          </c:spPr>
          <c:invertIfNegative val="0"/>
          <c:dLbls>
            <c:spPr>
              <a:noFill/>
              <a:ln>
                <a:noFill/>
              </a:ln>
              <a:effectLst/>
            </c:spPr>
            <c:txPr>
              <a:bodyPr rot="0" spcFirstLastPara="1" vertOverflow="ellipsis" vert="horz" wrap="square" lIns="38100" tIns="19050" rIns="38100" bIns="19050" anchor="ctr" anchorCtr="1"/>
              <a:lstStyle/>
              <a:p>
                <a:pPr>
                  <a:defRPr lang="zh-CN" sz="700" b="0" i="0" u="none" strike="noStrike" kern="1200" baseline="0">
                    <a:solidFill>
                      <a:schemeClr val="tx1">
                        <a:lumMod val="75000"/>
                        <a:lumOff val="25000"/>
                      </a:schemeClr>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[西锐底稿.xlsx]活塞式飞机市场份额图!$C$205:$AA$205</c:f>
              <c:numCache>
                <c:formatCode>General</c:formatCode>
                <c:ptCount val="25"/>
                <c:pt idx="0">
                  <c:v>153</c:v>
                </c:pt>
                <c:pt idx="1">
                  <c:v>136</c:v>
                </c:pt>
                <c:pt idx="2">
                  <c:v>83</c:v>
                </c:pt>
                <c:pt idx="3">
                  <c:v>82</c:v>
                </c:pt>
                <c:pt idx="4">
                  <c:v>93</c:v>
                </c:pt>
                <c:pt idx="5">
                  <c:v>99</c:v>
                </c:pt>
                <c:pt idx="6">
                  <c:v>118</c:v>
                </c:pt>
                <c:pt idx="7">
                  <c:v>111</c:v>
                </c:pt>
                <c:pt idx="8">
                  <c:v>103</c:v>
                </c:pt>
                <c:pt idx="9">
                  <c:v>56</c:v>
                </c:pt>
                <c:pt idx="10">
                  <c:v>51</c:v>
                </c:pt>
                <c:pt idx="11">
                  <c:v>54</c:v>
                </c:pt>
                <c:pt idx="12">
                  <c:v>36</c:v>
                </c:pt>
                <c:pt idx="13">
                  <c:v>70</c:v>
                </c:pt>
                <c:pt idx="14">
                  <c:v>72</c:v>
                </c:pt>
                <c:pt idx="15">
                  <c:v>41</c:v>
                </c:pt>
                <c:pt idx="16">
                  <c:v>45</c:v>
                </c:pt>
                <c:pt idx="17">
                  <c:v>36</c:v>
                </c:pt>
                <c:pt idx="18">
                  <c:v>34</c:v>
                </c:pt>
                <c:pt idx="19">
                  <c:v>22</c:v>
                </c:pt>
                <c:pt idx="20">
                  <c:v>20</c:v>
                </c:pt>
                <c:pt idx="21">
                  <c:v>0</c:v>
                </c:pt>
                <c:pt idx="22">
                  <c:v>3</c:v>
                </c:pt>
                <c:pt idx="23">
                  <c:v>10</c:v>
                </c:pt>
                <c:pt idx="24">
                  <c:v>7</c:v>
                </c:pt>
              </c:numCache>
            </c:numRef>
          </c:val>
        </c:ser>
        <c:ser>
          <c:idx val="1"/>
          <c:order val="1"/>
          <c:tx>
            <c:strRef>
              <c:f>[西锐底稿.xlsx]活塞式飞机市场份额图!$B$206</c:f>
              <c:strCache>
                <c:ptCount val="1"/>
                <c:pt idx="0">
                  <c:v>德事隆航空（塞斯纳飞机）</c:v>
                </c:pt>
              </c:strCache>
            </c:strRef>
          </c:tx>
          <c:spPr>
            <a:solidFill>
              <a:srgbClr val="666666"/>
            </a:solidFill>
            <a:ln>
              <a:no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[西锐底稿.xlsx]活塞式飞机市场份额图!$C$206:$AA$206</c:f>
              <c:numCache>
                <c:formatCode>General</c:formatCode>
                <c:ptCount val="25"/>
                <c:pt idx="0">
                  <c:v>912</c:v>
                </c:pt>
                <c:pt idx="1">
                  <c:v>821</c:v>
                </c:pt>
                <c:pt idx="2">
                  <c:v>559</c:v>
                </c:pt>
                <c:pt idx="3">
                  <c:v>588</c:v>
                </c:pt>
                <c:pt idx="4">
                  <c:v>654</c:v>
                </c:pt>
                <c:pt idx="5">
                  <c:v>822</c:v>
                </c:pt>
                <c:pt idx="6">
                  <c:v>865</c:v>
                </c:pt>
                <c:pt idx="7">
                  <c:v>807</c:v>
                </c:pt>
                <c:pt idx="8">
                  <c:v>733</c:v>
                </c:pt>
                <c:pt idx="9">
                  <c:v>355</c:v>
                </c:pt>
                <c:pt idx="10">
                  <c:v>261</c:v>
                </c:pt>
                <c:pt idx="11">
                  <c:v>413</c:v>
                </c:pt>
                <c:pt idx="12">
                  <c:v>283</c:v>
                </c:pt>
                <c:pt idx="13">
                  <c:v>206</c:v>
                </c:pt>
                <c:pt idx="14">
                  <c:v>220</c:v>
                </c:pt>
                <c:pt idx="15">
                  <c:v>271</c:v>
                </c:pt>
                <c:pt idx="16">
                  <c:v>217</c:v>
                </c:pt>
                <c:pt idx="17">
                  <c:v>238</c:v>
                </c:pt>
                <c:pt idx="18">
                  <c:v>193</c:v>
                </c:pt>
                <c:pt idx="19">
                  <c:v>196</c:v>
                </c:pt>
                <c:pt idx="20">
                  <c:v>294</c:v>
                </c:pt>
                <c:pt idx="21">
                  <c:v>254</c:v>
                </c:pt>
                <c:pt idx="22">
                  <c:v>241</c:v>
                </c:pt>
                <c:pt idx="23">
                  <c:v>287</c:v>
                </c:pt>
                <c:pt idx="24">
                  <c:v>274</c:v>
                </c:pt>
              </c:numCache>
            </c:numRef>
          </c:val>
        </c:ser>
        <c:ser>
          <c:idx val="2"/>
          <c:order val="2"/>
          <c:tx>
            <c:strRef>
              <c:f>[西锐底稿.xlsx]活塞式飞机市场份额图!$B$207</c:f>
              <c:strCache>
                <c:ptCount val="1"/>
                <c:pt idx="0">
                  <c:v>泰克南飞机</c:v>
                </c:pt>
              </c:strCache>
            </c:strRef>
          </c:tx>
          <c:spPr>
            <a:solidFill>
              <a:srgbClr val="E6B9B8"/>
            </a:solidFill>
            <a:ln w="9525" cap="flat" cmpd="sng">
              <a:noFill/>
              <a:prstDash val="solid"/>
            </a:ln>
            <a:effectLst/>
            <a:sp3d contourW="9525"/>
          </c:spPr>
          <c:invertIfNegative val="0"/>
          <c:dLbls>
            <c:spPr>
              <a:noFill/>
              <a:ln>
                <a:noFill/>
              </a:ln>
              <a:effectLst/>
            </c:spPr>
            <c:txPr>
              <a:bodyPr rot="0" spcFirstLastPara="1" vertOverflow="ellipsis" vert="horz" wrap="square" lIns="38100" tIns="19050" rIns="38100" bIns="19050" anchor="ctr" anchorCtr="1"/>
              <a:lstStyle/>
              <a:p>
                <a:pPr>
                  <a:defRPr lang="zh-CN" sz="700" b="0" i="0" u="none" strike="noStrike" kern="1200" baseline="0">
                    <a:solidFill>
                      <a:schemeClr val="tx1">
                        <a:lumMod val="75000"/>
                        <a:lumOff val="25000"/>
                      </a:schemeClr>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[西锐底稿.xlsx]活塞式飞机市场份额图!$C$207:$AA$207</c:f>
              <c:numCache>
                <c:formatCode>General</c:formatCode>
                <c:ptCount val="25"/>
                <c:pt idx="13">
                  <c:v>197</c:v>
                </c:pt>
                <c:pt idx="14">
                  <c:v>190</c:v>
                </c:pt>
                <c:pt idx="15">
                  <c:v>191</c:v>
                </c:pt>
                <c:pt idx="16">
                  <c:v>191</c:v>
                </c:pt>
                <c:pt idx="17">
                  <c:v>171</c:v>
                </c:pt>
                <c:pt idx="18">
                  <c:v>180</c:v>
                </c:pt>
                <c:pt idx="19">
                  <c:v>205</c:v>
                </c:pt>
                <c:pt idx="20">
                  <c:v>154</c:v>
                </c:pt>
                <c:pt idx="21">
                  <c:v>203</c:v>
                </c:pt>
                <c:pt idx="22">
                  <c:v>209</c:v>
                </c:pt>
                <c:pt idx="23">
                  <c:v>244</c:v>
                </c:pt>
                <c:pt idx="24">
                  <c:v>283</c:v>
                </c:pt>
              </c:numCache>
            </c:numRef>
          </c:val>
        </c:ser>
        <c:ser>
          <c:idx val="3"/>
          <c:order val="3"/>
          <c:tx>
            <c:strRef>
              <c:f>[西锐底稿.xlsx]活塞式飞机市场份额图!$B$208</c:f>
              <c:strCache>
                <c:ptCount val="1"/>
                <c:pt idx="0">
                  <c:v>德事隆航空旗下 Pipistrel 飞机</c:v>
                </c:pt>
              </c:strCache>
            </c:strRef>
          </c:tx>
          <c:spPr>
            <a:solidFill>
              <a:srgbClr val="999999"/>
            </a:solidFill>
            <a:ln>
              <a:noFill/>
            </a:ln>
            <a:effectLst/>
          </c:spPr>
          <c:invertIfNegative val="0"/>
          <c:dLbls>
            <c:spPr>
              <a:noFill/>
              <a:ln>
                <a:noFill/>
              </a:ln>
              <a:effectLst/>
            </c:spPr>
            <c:txPr>
              <a:bodyPr rot="0" spcFirstLastPara="1" vertOverflow="ellipsis" vert="horz" wrap="square" lIns="38100" tIns="19050" rIns="38100" bIns="19050" anchor="ctr" anchorCtr="1"/>
              <a:lstStyle/>
              <a:p>
                <a:pPr>
                  <a:defRPr lang="zh-CN" sz="700" b="0" i="0" u="none" strike="noStrike" kern="1200" baseline="0">
                    <a:solidFill>
                      <a:schemeClr val="tx1">
                        <a:lumMod val="75000"/>
                        <a:lumOff val="25000"/>
                      </a:schemeClr>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[西锐底稿.xlsx]活塞式飞机市场份额图!$C$208:$AA$208</c:f>
              <c:numCache>
                <c:formatCode>General</c:formatCode>
                <c:ptCount val="25"/>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19</c:v>
                </c:pt>
                <c:pt idx="18">
                  <c:v>22</c:v>
                </c:pt>
                <c:pt idx="19">
                  <c:v>24</c:v>
                </c:pt>
                <c:pt idx="20">
                  <c:v>30</c:v>
                </c:pt>
                <c:pt idx="21">
                  <c:v>74</c:v>
                </c:pt>
                <c:pt idx="22">
                  <c:v>66</c:v>
                </c:pt>
                <c:pt idx="23">
                  <c:v>112</c:v>
                </c:pt>
                <c:pt idx="24">
                  <c:v>91</c:v>
                </c:pt>
              </c:numCache>
            </c:numRef>
          </c:val>
        </c:ser>
        <c:ser>
          <c:idx val="4"/>
          <c:order val="4"/>
          <c:tx>
            <c:strRef>
              <c:f>[西锐底稿.xlsx]活塞式飞机市场份额图!$B$209</c:f>
              <c:strCache>
                <c:ptCount val="1"/>
                <c:pt idx="0">
                  <c:v>派珀飞机公司</c:v>
                </c:pt>
              </c:strCache>
            </c:strRef>
          </c:tx>
          <c:spPr>
            <a:solidFill>
              <a:srgbClr val="996633"/>
            </a:solidFill>
            <a:ln>
              <a:no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[西锐底稿.xlsx]活塞式飞机市场份额图!$C$209:$AA$209</c:f>
              <c:numCache>
                <c:formatCode>General</c:formatCode>
                <c:ptCount val="25"/>
                <c:pt idx="0">
                  <c:v>377</c:v>
                </c:pt>
                <c:pt idx="1">
                  <c:v>343</c:v>
                </c:pt>
                <c:pt idx="2">
                  <c:v>265</c:v>
                </c:pt>
                <c:pt idx="3">
                  <c:v>205</c:v>
                </c:pt>
                <c:pt idx="4">
                  <c:v>163</c:v>
                </c:pt>
                <c:pt idx="5">
                  <c:v>193</c:v>
                </c:pt>
                <c:pt idx="6">
                  <c:v>189</c:v>
                </c:pt>
                <c:pt idx="7">
                  <c:v>168</c:v>
                </c:pt>
                <c:pt idx="8">
                  <c:v>216</c:v>
                </c:pt>
                <c:pt idx="9">
                  <c:v>61</c:v>
                </c:pt>
                <c:pt idx="10">
                  <c:v>135</c:v>
                </c:pt>
                <c:pt idx="11">
                  <c:v>104</c:v>
                </c:pt>
                <c:pt idx="12">
                  <c:v>126</c:v>
                </c:pt>
                <c:pt idx="13">
                  <c:v>154</c:v>
                </c:pt>
                <c:pt idx="14">
                  <c:v>136</c:v>
                </c:pt>
                <c:pt idx="15">
                  <c:v>111</c:v>
                </c:pt>
                <c:pt idx="16">
                  <c:v>93</c:v>
                </c:pt>
                <c:pt idx="17">
                  <c:v>108</c:v>
                </c:pt>
                <c:pt idx="18">
                  <c:v>173</c:v>
                </c:pt>
                <c:pt idx="19">
                  <c:v>246</c:v>
                </c:pt>
                <c:pt idx="20">
                  <c:v>201</c:v>
                </c:pt>
                <c:pt idx="21">
                  <c:v>161</c:v>
                </c:pt>
                <c:pt idx="22">
                  <c:v>186</c:v>
                </c:pt>
                <c:pt idx="23">
                  <c:v>185</c:v>
                </c:pt>
                <c:pt idx="24">
                  <c:v>229</c:v>
                </c:pt>
              </c:numCache>
            </c:numRef>
          </c:val>
        </c:ser>
        <c:ser>
          <c:idx val="5"/>
          <c:order val="5"/>
          <c:tx>
            <c:strRef>
              <c:f>[西锐底稿.xlsx]活塞式飞机市场份额图!$B$210</c:f>
              <c:strCache>
                <c:ptCount val="1"/>
                <c:pt idx="0">
                  <c:v>穆尼国际公司</c:v>
                </c:pt>
              </c:strCache>
            </c:strRef>
          </c:tx>
          <c:spPr>
            <a:solidFill>
              <a:srgbClr val="E7D6B5"/>
            </a:solidFill>
            <a:ln>
              <a:no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[西锐底稿.xlsx]活塞式飞机市场份额图!$C$210:$AA$210</c:f>
              <c:numCache>
                <c:formatCode>General</c:formatCode>
                <c:ptCount val="25"/>
                <c:pt idx="0">
                  <c:v>100</c:v>
                </c:pt>
                <c:pt idx="1">
                  <c:v>29</c:v>
                </c:pt>
                <c:pt idx="2">
                  <c:v>10</c:v>
                </c:pt>
                <c:pt idx="3">
                  <c:v>36</c:v>
                </c:pt>
                <c:pt idx="4">
                  <c:v>37</c:v>
                </c:pt>
                <c:pt idx="5">
                  <c:v>85</c:v>
                </c:pt>
                <c:pt idx="6">
                  <c:v>75</c:v>
                </c:pt>
                <c:pt idx="7">
                  <c:v>79</c:v>
                </c:pt>
                <c:pt idx="8">
                  <c:v>65</c:v>
                </c:pt>
                <c:pt idx="9">
                  <c:v>19</c:v>
                </c:pt>
                <c:pt idx="10">
                  <c:v>2</c:v>
                </c:pt>
                <c:pt idx="11">
                  <c:v>0</c:v>
                </c:pt>
                <c:pt idx="12">
                  <c:v>0</c:v>
                </c:pt>
                <c:pt idx="13">
                  <c:v>0</c:v>
                </c:pt>
                <c:pt idx="14">
                  <c:v>1</c:v>
                </c:pt>
                <c:pt idx="15">
                  <c:v>11</c:v>
                </c:pt>
                <c:pt idx="16">
                  <c:v>7</c:v>
                </c:pt>
                <c:pt idx="17">
                  <c:v>7</c:v>
                </c:pt>
                <c:pt idx="18">
                  <c:v>14</c:v>
                </c:pt>
                <c:pt idx="19">
                  <c:v>9</c:v>
                </c:pt>
                <c:pt idx="20">
                  <c:v>0</c:v>
                </c:pt>
                <c:pt idx="21">
                  <c:v>0</c:v>
                </c:pt>
                <c:pt idx="22">
                  <c:v>0</c:v>
                </c:pt>
                <c:pt idx="23">
                  <c:v>0</c:v>
                </c:pt>
                <c:pt idx="24">
                  <c:v>0</c:v>
                </c:pt>
              </c:numCache>
            </c:numRef>
          </c:val>
        </c:ser>
        <c:ser>
          <c:idx val="6"/>
          <c:order val="6"/>
          <c:tx>
            <c:strRef>
              <c:f>[西锐底稿.xlsx]活塞式飞机市场份额图!$B$211</c:f>
              <c:strCache>
                <c:ptCount val="1"/>
                <c:pt idx="0">
                  <c:v>钻石飞机</c:v>
                </c:pt>
              </c:strCache>
            </c:strRef>
          </c:tx>
          <c:spPr>
            <a:solidFill>
              <a:schemeClr val="accent4">
                <a:lumMod val="75000"/>
              </a:schemeClr>
            </a:solidFill>
            <a:ln>
              <a:no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[西锐底稿.xlsx]活塞式飞机市场份额图!$C$211:$AA$211</c:f>
              <c:numCache>
                <c:formatCode>General</c:formatCode>
                <c:ptCount val="25"/>
                <c:pt idx="0">
                  <c:v>0</c:v>
                </c:pt>
                <c:pt idx="1">
                  <c:v>0</c:v>
                </c:pt>
                <c:pt idx="2">
                  <c:v>0</c:v>
                </c:pt>
                <c:pt idx="3">
                  <c:v>228</c:v>
                </c:pt>
                <c:pt idx="4">
                  <c:v>261</c:v>
                </c:pt>
                <c:pt idx="5">
                  <c:v>329</c:v>
                </c:pt>
                <c:pt idx="6">
                  <c:v>438</c:v>
                </c:pt>
                <c:pt idx="7">
                  <c:v>471</c:v>
                </c:pt>
                <c:pt idx="8">
                  <c:v>308</c:v>
                </c:pt>
                <c:pt idx="9">
                  <c:v>163</c:v>
                </c:pt>
                <c:pt idx="10">
                  <c:v>130</c:v>
                </c:pt>
                <c:pt idx="11">
                  <c:v>185</c:v>
                </c:pt>
                <c:pt idx="12">
                  <c:v>156</c:v>
                </c:pt>
                <c:pt idx="13">
                  <c:v>139</c:v>
                </c:pt>
                <c:pt idx="14">
                  <c:v>202</c:v>
                </c:pt>
                <c:pt idx="15">
                  <c:v>144</c:v>
                </c:pt>
                <c:pt idx="16">
                  <c:v>132</c:v>
                </c:pt>
                <c:pt idx="17">
                  <c:v>137</c:v>
                </c:pt>
                <c:pt idx="18">
                  <c:v>134</c:v>
                </c:pt>
                <c:pt idx="19">
                  <c:v>233</c:v>
                </c:pt>
                <c:pt idx="20">
                  <c:v>239</c:v>
                </c:pt>
                <c:pt idx="21">
                  <c:v>240</c:v>
                </c:pt>
                <c:pt idx="22">
                  <c:v>239</c:v>
                </c:pt>
                <c:pt idx="23">
                  <c:v>273</c:v>
                </c:pt>
                <c:pt idx="24">
                  <c:v>252</c:v>
                </c:pt>
              </c:numCache>
            </c:numRef>
          </c:val>
        </c:ser>
        <c:ser>
          <c:idx val="7"/>
          <c:order val="7"/>
          <c:tx>
            <c:strRef>
              <c:f>[西锐底稿.xlsx]活塞式飞机市场份额图!$B$212</c:f>
              <c:strCache>
                <c:ptCount val="1"/>
                <c:pt idx="0">
                  <c:v>立方工匠飞机公司</c:v>
                </c:pt>
              </c:strCache>
            </c:strRef>
          </c:tx>
          <c:spPr>
            <a:solidFill>
              <a:schemeClr val="accent3">
                <a:lumMod val="60000"/>
                <a:lumOff val="40000"/>
              </a:schemeClr>
            </a:solidFill>
            <a:ln>
              <a:no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[西锐底稿.xlsx]活塞式飞机市场份额图!$C$212:$AA$212</c:f>
              <c:numCache>
                <c:formatCode>General</c:formatCode>
                <c:ptCount val="25"/>
                <c:pt idx="0">
                  <c:v>0</c:v>
                </c:pt>
                <c:pt idx="1">
                  <c:v>0</c:v>
                </c:pt>
                <c:pt idx="2">
                  <c:v>0</c:v>
                </c:pt>
                <c:pt idx="3">
                  <c:v>0</c:v>
                </c:pt>
                <c:pt idx="11">
                  <c:v>47</c:v>
                </c:pt>
                <c:pt idx="12">
                  <c:v>58</c:v>
                </c:pt>
                <c:pt idx="13">
                  <c:v>63</c:v>
                </c:pt>
                <c:pt idx="14">
                  <c:v>60</c:v>
                </c:pt>
                <c:pt idx="15">
                  <c:v>52</c:v>
                </c:pt>
                <c:pt idx="16">
                  <c:v>34</c:v>
                </c:pt>
                <c:pt idx="17">
                  <c:v>27</c:v>
                </c:pt>
                <c:pt idx="18">
                  <c:v>19</c:v>
                </c:pt>
                <c:pt idx="19">
                  <c:v>16</c:v>
                </c:pt>
                <c:pt idx="20">
                  <c:v>9</c:v>
                </c:pt>
                <c:pt idx="21">
                  <c:v>50</c:v>
                </c:pt>
                <c:pt idx="22">
                  <c:v>67</c:v>
                </c:pt>
                <c:pt idx="23">
                  <c:v>69</c:v>
                </c:pt>
                <c:pt idx="24">
                  <c:v>87</c:v>
                </c:pt>
              </c:numCache>
            </c:numRef>
          </c:val>
        </c:ser>
        <c:ser>
          <c:idx val="8"/>
          <c:order val="8"/>
          <c:tx>
            <c:strRef>
              <c:f>[西锐底稿.xlsx]活塞式飞机市场份额图!$B$213</c:f>
              <c:strCache>
                <c:ptCount val="1"/>
                <c:pt idx="0">
                  <c:v>哥伦比亚飞机（原兰凯尔 / Lancair）</c:v>
                </c:pt>
              </c:strCache>
            </c:strRef>
          </c:tx>
          <c:spPr>
            <a:solidFill>
              <a:schemeClr val="accent3">
                <a:lumMod val="60000"/>
              </a:schemeClr>
            </a:solidFill>
            <a:ln>
              <a:solidFill>
                <a:schemeClr val="bg1"/>
              </a:solid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[西锐底稿.xlsx]活塞式飞机市场份额图!$C$213:$AA$213</c:f>
              <c:numCache>
                <c:formatCode>General</c:formatCode>
                <c:ptCount val="25"/>
                <c:pt idx="0">
                  <c:v>5</c:v>
                </c:pt>
                <c:pt idx="1">
                  <c:v>27</c:v>
                </c:pt>
                <c:pt idx="2">
                  <c:v>24</c:v>
                </c:pt>
                <c:pt idx="3">
                  <c:v>51</c:v>
                </c:pt>
                <c:pt idx="4">
                  <c:v>78</c:v>
                </c:pt>
                <c:pt idx="5">
                  <c:v>114</c:v>
                </c:pt>
                <c:pt idx="6">
                  <c:v>185</c:v>
                </c:pt>
                <c:pt idx="7">
                  <c:v>152</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numCache>
            </c:numRef>
          </c:val>
        </c:ser>
        <c:ser>
          <c:idx val="9"/>
          <c:order val="9"/>
          <c:tx>
            <c:strRef>
              <c:f>[西锐底稿.xlsx]活塞式飞机市场份额图!$B$214</c:f>
              <c:strCache>
                <c:ptCount val="1"/>
                <c:pt idx="0">
                  <c:v>西锐飞机</c:v>
                </c:pt>
              </c:strCache>
            </c:strRef>
          </c:tx>
          <c:spPr>
            <a:solidFill>
              <a:schemeClr val="accent4">
                <a:lumMod val="60000"/>
              </a:schemeClr>
            </a:solidFill>
            <a:ln>
              <a:solidFill>
                <a:schemeClr val="bg1"/>
              </a:solid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[西锐底稿.xlsx]活塞式飞机市场份额图!$C$214:$AA$214</c:f>
              <c:numCache>
                <c:formatCode>General</c:formatCode>
                <c:ptCount val="25"/>
                <c:pt idx="0">
                  <c:v>95</c:v>
                </c:pt>
                <c:pt idx="1">
                  <c:v>183</c:v>
                </c:pt>
                <c:pt idx="2">
                  <c:v>397</c:v>
                </c:pt>
                <c:pt idx="3">
                  <c:v>469</c:v>
                </c:pt>
                <c:pt idx="4">
                  <c:v>553</c:v>
                </c:pt>
                <c:pt idx="5">
                  <c:v>600</c:v>
                </c:pt>
                <c:pt idx="6">
                  <c:v>721</c:v>
                </c:pt>
                <c:pt idx="7">
                  <c:v>710</c:v>
                </c:pt>
                <c:pt idx="8">
                  <c:v>549</c:v>
                </c:pt>
                <c:pt idx="9">
                  <c:v>266</c:v>
                </c:pt>
                <c:pt idx="10">
                  <c:v>264</c:v>
                </c:pt>
                <c:pt idx="11">
                  <c:v>255</c:v>
                </c:pt>
                <c:pt idx="12">
                  <c:v>253</c:v>
                </c:pt>
                <c:pt idx="13">
                  <c:v>276</c:v>
                </c:pt>
                <c:pt idx="14">
                  <c:v>308</c:v>
                </c:pt>
                <c:pt idx="15">
                  <c:v>301</c:v>
                </c:pt>
                <c:pt idx="16">
                  <c:v>317</c:v>
                </c:pt>
                <c:pt idx="17">
                  <c:v>355</c:v>
                </c:pt>
                <c:pt idx="18">
                  <c:v>380</c:v>
                </c:pt>
                <c:pt idx="19">
                  <c:v>384</c:v>
                </c:pt>
                <c:pt idx="20">
                  <c:v>347</c:v>
                </c:pt>
                <c:pt idx="21">
                  <c:v>442</c:v>
                </c:pt>
                <c:pt idx="22">
                  <c:v>539</c:v>
                </c:pt>
                <c:pt idx="23">
                  <c:v>612</c:v>
                </c:pt>
                <c:pt idx="24">
                  <c:v>630</c:v>
                </c:pt>
              </c:numCache>
            </c:numRef>
          </c:val>
        </c:ser>
        <c:ser>
          <c:idx val="10"/>
          <c:order val="10"/>
          <c:tx>
            <c:strRef>
              <c:f>[西锐底稿.xlsx]活塞式飞机市场份额图!$B$215</c:f>
              <c:strCache>
                <c:ptCount val="1"/>
                <c:pt idx="0">
                  <c:v>其他厂商</c:v>
                </c:pt>
              </c:strCache>
            </c:strRef>
          </c:tx>
          <c:spPr>
            <a:solidFill>
              <a:schemeClr val="accent5">
                <a:lumMod val="60000"/>
              </a:schemeClr>
            </a:solidFill>
            <a:ln>
              <a:solidFill>
                <a:schemeClr val="bg1"/>
              </a:solid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[西锐底稿.xlsx]活塞式飞机市场份额图!$C$215:$AA$215</c:f>
              <c:numCache>
                <c:formatCode>_(* #,##0_);_(* \(#,##0\);_(* "-"??_);_(@_)</c:formatCode>
                <c:ptCount val="25"/>
                <c:pt idx="0">
                  <c:v>271</c:v>
                </c:pt>
                <c:pt idx="1">
                  <c:v>251</c:v>
                </c:pt>
                <c:pt idx="2">
                  <c:v>238</c:v>
                </c:pt>
                <c:pt idx="3">
                  <c:v>237</c:v>
                </c:pt>
                <c:pt idx="4">
                  <c:v>212</c:v>
                </c:pt>
                <c:pt idx="5">
                  <c:v>223</c:v>
                </c:pt>
                <c:pt idx="6">
                  <c:v>164</c:v>
                </c:pt>
                <c:pt idx="7">
                  <c:v>177</c:v>
                </c:pt>
                <c:pt idx="8">
                  <c:v>145</c:v>
                </c:pt>
                <c:pt idx="9">
                  <c:v>57</c:v>
                </c:pt>
                <c:pt idx="10">
                  <c:v>69</c:v>
                </c:pt>
                <c:pt idx="11">
                  <c:v>149</c:v>
                </c:pt>
                <c:pt idx="12">
                  <c:v>160</c:v>
                </c:pt>
                <c:pt idx="13">
                  <c:v>177</c:v>
                </c:pt>
                <c:pt idx="14">
                  <c:v>189</c:v>
                </c:pt>
                <c:pt idx="15">
                  <c:v>143</c:v>
                </c:pt>
                <c:pt idx="16">
                  <c:v>119</c:v>
                </c:pt>
                <c:pt idx="17">
                  <c:v>120</c:v>
                </c:pt>
                <c:pt idx="18">
                  <c:v>154</c:v>
                </c:pt>
                <c:pt idx="19">
                  <c:v>186</c:v>
                </c:pt>
                <c:pt idx="20">
                  <c:v>148</c:v>
                </c:pt>
                <c:pt idx="21">
                  <c:v>153</c:v>
                </c:pt>
                <c:pt idx="22">
                  <c:v>170</c:v>
                </c:pt>
                <c:pt idx="23">
                  <c:v>141</c:v>
                </c:pt>
                <c:pt idx="24">
                  <c:v>119</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3"/>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4"/>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5"/>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6"/>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7"/>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014795265276748"/>
          <c:y val="0.0291616038882139"/>
          <c:w val="0.985204734723252"/>
          <c:h val="0.138734991054429"/>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250521139292582"/>
          <c:w val="0.931162239562145"/>
          <c:h val="0.619563915385425"/>
        </c:manualLayout>
      </c:layout>
      <c:barChart>
        <c:barDir val="col"/>
        <c:grouping val="percentStacked"/>
        <c:varyColors val="0"/>
        <c:ser>
          <c:idx val="0"/>
          <c:order val="0"/>
          <c:tx>
            <c:strRef>
              <c:f>[西锐底稿.xlsx]喷气式飞机市场份额图!$B$144</c:f>
              <c:strCache>
                <c:ptCount val="1"/>
                <c:pt idx="0">
                  <c:v>德事隆航空（比奇飞机）</c:v>
                </c:pt>
              </c:strCache>
            </c:strRef>
          </c:tx>
          <c:spPr>
            <a:solidFill>
              <a:srgbClr val="C00000"/>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[西锐底稿.xlsx]喷气式飞机市场份额图!$C$144:$AA$144</c:f>
              <c:numCache>
                <c:formatCode>General</c:formatCode>
                <c:ptCount val="25"/>
                <c:pt idx="0">
                  <c:v>118</c:v>
                </c:pt>
                <c:pt idx="1">
                  <c:v>98</c:v>
                </c:pt>
                <c:pt idx="2">
                  <c:v>94</c:v>
                </c:pt>
                <c:pt idx="3">
                  <c:v>100</c:v>
                </c:pt>
                <c:pt idx="4">
                  <c:v>115</c:v>
                </c:pt>
                <c:pt idx="5">
                  <c:v>141</c:v>
                </c:pt>
                <c:pt idx="6">
                  <c:v>140</c:v>
                </c:pt>
                <c:pt idx="7">
                  <c:v>162</c:v>
                </c:pt>
                <c:pt idx="8">
                  <c:v>160</c:v>
                </c:pt>
                <c:pt idx="9">
                  <c:v>98</c:v>
                </c:pt>
                <c:pt idx="10">
                  <c:v>73</c:v>
                </c:pt>
                <c:pt idx="11">
                  <c:v>52</c:v>
                </c:pt>
                <c:pt idx="12">
                  <c:v>32</c:v>
                </c:pt>
                <c:pt idx="13">
                  <c:v>6</c:v>
                </c:pt>
                <c:pt idx="14">
                  <c:v>0</c:v>
                </c:pt>
                <c:pt idx="15">
                  <c:v>0</c:v>
                </c:pt>
                <c:pt idx="16">
                  <c:v>0</c:v>
                </c:pt>
                <c:pt idx="17">
                  <c:v>0</c:v>
                </c:pt>
                <c:pt idx="18">
                  <c:v>0</c:v>
                </c:pt>
                <c:pt idx="19">
                  <c:v>0</c:v>
                </c:pt>
                <c:pt idx="20">
                  <c:v>0</c:v>
                </c:pt>
                <c:pt idx="21">
                  <c:v>0</c:v>
                </c:pt>
                <c:pt idx="22">
                  <c:v>0</c:v>
                </c:pt>
                <c:pt idx="23">
                  <c:v>0</c:v>
                </c:pt>
                <c:pt idx="24">
                  <c:v>0</c:v>
                </c:pt>
              </c:numCache>
            </c:numRef>
          </c:val>
        </c:ser>
        <c:ser>
          <c:idx val="1"/>
          <c:order val="1"/>
          <c:tx>
            <c:strRef>
              <c:f>[西锐底稿.xlsx]喷气式飞机市场份额图!$B$145</c:f>
              <c:strCache>
                <c:ptCount val="1"/>
                <c:pt idx="0">
                  <c:v>德事隆航空（塞斯纳飞机）</c:v>
                </c:pt>
              </c:strCache>
            </c:strRef>
          </c:tx>
          <c:spPr>
            <a:solidFill>
              <a:srgbClr val="666666"/>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[西锐底稿.xlsx]喷气式飞机市场份额图!$C$145:$AA$145</c:f>
              <c:numCache>
                <c:formatCode>General</c:formatCode>
                <c:ptCount val="25"/>
                <c:pt idx="0">
                  <c:v>252</c:v>
                </c:pt>
                <c:pt idx="1">
                  <c:v>306</c:v>
                </c:pt>
                <c:pt idx="2">
                  <c:v>305</c:v>
                </c:pt>
                <c:pt idx="3">
                  <c:v>196</c:v>
                </c:pt>
                <c:pt idx="4">
                  <c:v>181</c:v>
                </c:pt>
                <c:pt idx="5">
                  <c:v>247</c:v>
                </c:pt>
                <c:pt idx="6">
                  <c:v>307</c:v>
                </c:pt>
                <c:pt idx="7">
                  <c:v>388</c:v>
                </c:pt>
                <c:pt idx="8">
                  <c:v>466</c:v>
                </c:pt>
                <c:pt idx="9">
                  <c:v>289</c:v>
                </c:pt>
                <c:pt idx="10">
                  <c:v>178</c:v>
                </c:pt>
                <c:pt idx="11">
                  <c:v>183</c:v>
                </c:pt>
                <c:pt idx="12">
                  <c:v>181</c:v>
                </c:pt>
                <c:pt idx="13">
                  <c:v>139</c:v>
                </c:pt>
                <c:pt idx="14">
                  <c:v>159</c:v>
                </c:pt>
                <c:pt idx="15">
                  <c:v>166</c:v>
                </c:pt>
                <c:pt idx="16">
                  <c:v>178</c:v>
                </c:pt>
                <c:pt idx="17">
                  <c:v>180</c:v>
                </c:pt>
                <c:pt idx="18">
                  <c:v>188</c:v>
                </c:pt>
                <c:pt idx="19">
                  <c:v>206</c:v>
                </c:pt>
                <c:pt idx="20">
                  <c:v>132</c:v>
                </c:pt>
                <c:pt idx="21">
                  <c:v>167</c:v>
                </c:pt>
                <c:pt idx="22">
                  <c:v>178</c:v>
                </c:pt>
                <c:pt idx="23">
                  <c:v>168</c:v>
                </c:pt>
                <c:pt idx="24">
                  <c:v>151</c:v>
                </c:pt>
              </c:numCache>
            </c:numRef>
          </c:val>
        </c:ser>
        <c:ser>
          <c:idx val="2"/>
          <c:order val="2"/>
          <c:tx>
            <c:strRef>
              <c:f>[西锐底稿.xlsx]喷气式飞机市场份额图!$B$146</c:f>
              <c:strCache>
                <c:ptCount val="1"/>
                <c:pt idx="0">
                  <c:v>ONE 航空公司（前身为 Eclipse 航空）</c:v>
                </c:pt>
              </c:strCache>
            </c:strRef>
          </c:tx>
          <c:spPr>
            <a:solidFill>
              <a:srgbClr val="E6B9B8"/>
            </a:solidFill>
            <a:ln w="9525" cap="flat" cmpd="sng">
              <a:noFill/>
              <a:prstDash val="solid"/>
            </a:ln>
            <a:effectLst/>
            <a:sp3d contourW="9525"/>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[西锐底稿.xlsx]喷气式飞机市场份额图!$C$146:$AA$146</c:f>
              <c:numCache>
                <c:formatCode>General</c:formatCode>
                <c:ptCount val="25"/>
                <c:pt idx="0">
                  <c:v>0</c:v>
                </c:pt>
                <c:pt idx="1">
                  <c:v>0</c:v>
                </c:pt>
                <c:pt idx="2">
                  <c:v>0</c:v>
                </c:pt>
                <c:pt idx="3">
                  <c:v>0</c:v>
                </c:pt>
                <c:pt idx="4">
                  <c:v>0</c:v>
                </c:pt>
                <c:pt idx="5">
                  <c:v>0</c:v>
                </c:pt>
                <c:pt idx="6">
                  <c:v>1</c:v>
                </c:pt>
                <c:pt idx="7">
                  <c:v>98</c:v>
                </c:pt>
                <c:pt idx="8">
                  <c:v>161</c:v>
                </c:pt>
                <c:pt idx="9">
                  <c:v>0</c:v>
                </c:pt>
                <c:pt idx="10">
                  <c:v>0</c:v>
                </c:pt>
                <c:pt idx="11">
                  <c:v>0</c:v>
                </c:pt>
                <c:pt idx="12">
                  <c:v>0</c:v>
                </c:pt>
                <c:pt idx="13">
                  <c:v>0</c:v>
                </c:pt>
                <c:pt idx="14">
                  <c:v>12</c:v>
                </c:pt>
                <c:pt idx="15">
                  <c:v>7</c:v>
                </c:pt>
                <c:pt idx="16">
                  <c:v>8</c:v>
                </c:pt>
                <c:pt idx="17">
                  <c:v>6</c:v>
                </c:pt>
                <c:pt idx="18">
                  <c:v>0</c:v>
                </c:pt>
                <c:pt idx="19">
                  <c:v>0</c:v>
                </c:pt>
                <c:pt idx="20">
                  <c:v>0</c:v>
                </c:pt>
                <c:pt idx="21">
                  <c:v>0</c:v>
                </c:pt>
                <c:pt idx="22">
                  <c:v>0</c:v>
                </c:pt>
                <c:pt idx="23">
                  <c:v>2</c:v>
                </c:pt>
                <c:pt idx="24">
                  <c:v>0</c:v>
                </c:pt>
              </c:numCache>
            </c:numRef>
          </c:val>
        </c:ser>
        <c:ser>
          <c:idx val="3"/>
          <c:order val="3"/>
          <c:tx>
            <c:strRef>
              <c:f>[西锐底稿.xlsx]喷气式飞机市场份额图!$B$147</c:f>
              <c:strCache>
                <c:ptCount val="1"/>
                <c:pt idx="0">
                  <c:v>湾流宇航公司</c:v>
                </c:pt>
              </c:strCache>
            </c:strRef>
          </c:tx>
          <c:spPr>
            <a:solidFill>
              <a:srgbClr val="999999"/>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[西锐底稿.xlsx]喷气式飞机市场份额图!$C$147:$AA$147</c:f>
              <c:numCache>
                <c:formatCode>General</c:formatCode>
                <c:ptCount val="25"/>
                <c:pt idx="0">
                  <c:v>88</c:v>
                </c:pt>
                <c:pt idx="1">
                  <c:v>101</c:v>
                </c:pt>
                <c:pt idx="2">
                  <c:v>85</c:v>
                </c:pt>
                <c:pt idx="3">
                  <c:v>74</c:v>
                </c:pt>
                <c:pt idx="4">
                  <c:v>78</c:v>
                </c:pt>
                <c:pt idx="5">
                  <c:v>89</c:v>
                </c:pt>
                <c:pt idx="6">
                  <c:v>113</c:v>
                </c:pt>
                <c:pt idx="7">
                  <c:v>138</c:v>
                </c:pt>
                <c:pt idx="8">
                  <c:v>156</c:v>
                </c:pt>
                <c:pt idx="9">
                  <c:v>94</c:v>
                </c:pt>
                <c:pt idx="10">
                  <c:v>99</c:v>
                </c:pt>
                <c:pt idx="11">
                  <c:v>99</c:v>
                </c:pt>
                <c:pt idx="12">
                  <c:v>94</c:v>
                </c:pt>
                <c:pt idx="13">
                  <c:v>144</c:v>
                </c:pt>
                <c:pt idx="14">
                  <c:v>150</c:v>
                </c:pt>
                <c:pt idx="15">
                  <c:v>154</c:v>
                </c:pt>
                <c:pt idx="16">
                  <c:v>121</c:v>
                </c:pt>
                <c:pt idx="17">
                  <c:v>120</c:v>
                </c:pt>
                <c:pt idx="18">
                  <c:v>121</c:v>
                </c:pt>
                <c:pt idx="19">
                  <c:v>147</c:v>
                </c:pt>
                <c:pt idx="20">
                  <c:v>127</c:v>
                </c:pt>
                <c:pt idx="21">
                  <c:v>119</c:v>
                </c:pt>
                <c:pt idx="22">
                  <c:v>120</c:v>
                </c:pt>
                <c:pt idx="23">
                  <c:v>111</c:v>
                </c:pt>
                <c:pt idx="24">
                  <c:v>136</c:v>
                </c:pt>
              </c:numCache>
            </c:numRef>
          </c:val>
        </c:ser>
        <c:ser>
          <c:idx val="4"/>
          <c:order val="4"/>
          <c:tx>
            <c:strRef>
              <c:f>[西锐底稿.xlsx]喷气式飞机市场份额图!$B$148</c:f>
              <c:strCache>
                <c:ptCount val="1"/>
                <c:pt idx="0">
                  <c:v>巴西航空工业公司</c:v>
                </c:pt>
              </c:strCache>
            </c:strRef>
          </c:tx>
          <c:spPr>
            <a:solidFill>
              <a:srgbClr val="996633"/>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[西锐底稿.xlsx]喷气式飞机市场份额图!$C$148:$AA$148</c:f>
              <c:numCache>
                <c:formatCode>General</c:formatCode>
                <c:ptCount val="25"/>
                <c:pt idx="0">
                  <c:v>0</c:v>
                </c:pt>
                <c:pt idx="1">
                  <c:v>0</c:v>
                </c:pt>
                <c:pt idx="2">
                  <c:v>8</c:v>
                </c:pt>
                <c:pt idx="3">
                  <c:v>13</c:v>
                </c:pt>
                <c:pt idx="4">
                  <c:v>13</c:v>
                </c:pt>
                <c:pt idx="5">
                  <c:v>20</c:v>
                </c:pt>
                <c:pt idx="6">
                  <c:v>27</c:v>
                </c:pt>
                <c:pt idx="7">
                  <c:v>36</c:v>
                </c:pt>
                <c:pt idx="8">
                  <c:v>38</c:v>
                </c:pt>
                <c:pt idx="9">
                  <c:v>122</c:v>
                </c:pt>
                <c:pt idx="10">
                  <c:v>145</c:v>
                </c:pt>
                <c:pt idx="11">
                  <c:v>99</c:v>
                </c:pt>
                <c:pt idx="12">
                  <c:v>99</c:v>
                </c:pt>
                <c:pt idx="13">
                  <c:v>119</c:v>
                </c:pt>
                <c:pt idx="14">
                  <c:v>116</c:v>
                </c:pt>
                <c:pt idx="15">
                  <c:v>120</c:v>
                </c:pt>
                <c:pt idx="16">
                  <c:v>117</c:v>
                </c:pt>
                <c:pt idx="17">
                  <c:v>109</c:v>
                </c:pt>
                <c:pt idx="18">
                  <c:v>91</c:v>
                </c:pt>
                <c:pt idx="19">
                  <c:v>109</c:v>
                </c:pt>
                <c:pt idx="20">
                  <c:v>86</c:v>
                </c:pt>
                <c:pt idx="21">
                  <c:v>93</c:v>
                </c:pt>
                <c:pt idx="22">
                  <c:v>102</c:v>
                </c:pt>
                <c:pt idx="23">
                  <c:v>115</c:v>
                </c:pt>
                <c:pt idx="24">
                  <c:v>130</c:v>
                </c:pt>
              </c:numCache>
            </c:numRef>
          </c:val>
        </c:ser>
        <c:ser>
          <c:idx val="5"/>
          <c:order val="5"/>
          <c:tx>
            <c:strRef>
              <c:f>[西锐底稿.xlsx]喷气式飞机市场份额图!$B$149</c:f>
              <c:strCache>
                <c:ptCount val="1"/>
                <c:pt idx="0">
                  <c:v>达索航空</c:v>
                </c:pt>
              </c:strCache>
            </c:strRef>
          </c:tx>
          <c:spPr>
            <a:solidFill>
              <a:srgbClr val="E7D6B5"/>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[西锐底稿.xlsx]喷气式飞机市场份额图!$C$149:$AA$149</c:f>
              <c:numCache>
                <c:formatCode>General</c:formatCode>
                <c:ptCount val="25"/>
                <c:pt idx="0">
                  <c:v>73</c:v>
                </c:pt>
                <c:pt idx="1">
                  <c:v>75</c:v>
                </c:pt>
                <c:pt idx="2">
                  <c:v>66</c:v>
                </c:pt>
                <c:pt idx="3">
                  <c:v>49</c:v>
                </c:pt>
                <c:pt idx="4">
                  <c:v>63</c:v>
                </c:pt>
                <c:pt idx="5">
                  <c:v>51</c:v>
                </c:pt>
                <c:pt idx="6">
                  <c:v>61</c:v>
                </c:pt>
                <c:pt idx="7">
                  <c:v>70</c:v>
                </c:pt>
                <c:pt idx="8">
                  <c:v>72</c:v>
                </c:pt>
                <c:pt idx="9">
                  <c:v>77</c:v>
                </c:pt>
                <c:pt idx="10">
                  <c:v>95</c:v>
                </c:pt>
                <c:pt idx="11">
                  <c:v>63</c:v>
                </c:pt>
                <c:pt idx="12">
                  <c:v>66</c:v>
                </c:pt>
                <c:pt idx="13">
                  <c:v>77</c:v>
                </c:pt>
                <c:pt idx="14">
                  <c:v>66</c:v>
                </c:pt>
                <c:pt idx="15">
                  <c:v>55</c:v>
                </c:pt>
                <c:pt idx="16">
                  <c:v>49</c:v>
                </c:pt>
                <c:pt idx="17">
                  <c:v>49</c:v>
                </c:pt>
                <c:pt idx="18">
                  <c:v>41</c:v>
                </c:pt>
                <c:pt idx="19">
                  <c:v>40</c:v>
                </c:pt>
                <c:pt idx="20">
                  <c:v>34</c:v>
                </c:pt>
                <c:pt idx="21">
                  <c:v>30</c:v>
                </c:pt>
                <c:pt idx="22">
                  <c:v>32</c:v>
                </c:pt>
                <c:pt idx="23">
                  <c:v>26</c:v>
                </c:pt>
                <c:pt idx="24">
                  <c:v>31</c:v>
                </c:pt>
              </c:numCache>
            </c:numRef>
          </c:val>
        </c:ser>
        <c:ser>
          <c:idx val="6"/>
          <c:order val="6"/>
          <c:tx>
            <c:strRef>
              <c:f>[西锐底稿.xlsx]喷气式飞机市场份额图!$B$150</c:f>
              <c:strCache>
                <c:ptCount val="1"/>
                <c:pt idx="0">
                  <c:v>西锐飞机</c:v>
                </c:pt>
              </c:strCache>
            </c:strRef>
          </c:tx>
          <c:spPr>
            <a:solidFill>
              <a:schemeClr val="accent4">
                <a:lumMod val="75000"/>
              </a:schemeClr>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[西锐底稿.xlsx]喷气式飞机市场份额图!$C$150:$AA$150</c:f>
              <c:numCache>
                <c:formatCode>General</c:formatCode>
                <c:ptCount val="25"/>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3</c:v>
                </c:pt>
                <c:pt idx="17">
                  <c:v>22</c:v>
                </c:pt>
                <c:pt idx="18">
                  <c:v>63</c:v>
                </c:pt>
                <c:pt idx="19">
                  <c:v>81</c:v>
                </c:pt>
                <c:pt idx="20">
                  <c:v>73</c:v>
                </c:pt>
                <c:pt idx="21">
                  <c:v>86</c:v>
                </c:pt>
                <c:pt idx="22">
                  <c:v>90</c:v>
                </c:pt>
                <c:pt idx="23">
                  <c:v>96</c:v>
                </c:pt>
                <c:pt idx="24">
                  <c:v>101</c:v>
                </c:pt>
              </c:numCache>
            </c:numRef>
          </c:val>
        </c:ser>
        <c:ser>
          <c:idx val="7"/>
          <c:order val="7"/>
          <c:tx>
            <c:strRef>
              <c:f>[西锐底稿.xlsx]喷气式飞机市场份额图!$B$151</c:f>
              <c:strCache>
                <c:ptCount val="1"/>
                <c:pt idx="0">
                  <c:v>庞巴迪</c:v>
                </c:pt>
              </c:strCache>
            </c:strRef>
          </c:tx>
          <c:spPr>
            <a:solidFill>
              <a:schemeClr val="accent3">
                <a:lumMod val="60000"/>
                <a:lumOff val="40000"/>
              </a:schemeClr>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[西锐底稿.xlsx]喷气式飞机市场份额图!$C$151:$AA$151</c:f>
              <c:numCache>
                <c:formatCode>General</c:formatCode>
                <c:ptCount val="25"/>
                <c:pt idx="0">
                  <c:v>207</c:v>
                </c:pt>
                <c:pt idx="1">
                  <c:v>179</c:v>
                </c:pt>
                <c:pt idx="2">
                  <c:v>101</c:v>
                </c:pt>
                <c:pt idx="3">
                  <c:v>70</c:v>
                </c:pt>
                <c:pt idx="4">
                  <c:v>129</c:v>
                </c:pt>
                <c:pt idx="5">
                  <c:v>188</c:v>
                </c:pt>
                <c:pt idx="6">
                  <c:v>213</c:v>
                </c:pt>
                <c:pt idx="7">
                  <c:v>224</c:v>
                </c:pt>
                <c:pt idx="8">
                  <c:v>247</c:v>
                </c:pt>
                <c:pt idx="9">
                  <c:v>173</c:v>
                </c:pt>
                <c:pt idx="10">
                  <c:v>150</c:v>
                </c:pt>
                <c:pt idx="11">
                  <c:v>182</c:v>
                </c:pt>
                <c:pt idx="12">
                  <c:v>179</c:v>
                </c:pt>
                <c:pt idx="13">
                  <c:v>180</c:v>
                </c:pt>
                <c:pt idx="14">
                  <c:v>204</c:v>
                </c:pt>
                <c:pt idx="15">
                  <c:v>199</c:v>
                </c:pt>
                <c:pt idx="16">
                  <c:v>162</c:v>
                </c:pt>
                <c:pt idx="17">
                  <c:v>138</c:v>
                </c:pt>
                <c:pt idx="18">
                  <c:v>137</c:v>
                </c:pt>
                <c:pt idx="19">
                  <c:v>142</c:v>
                </c:pt>
                <c:pt idx="20">
                  <c:v>114</c:v>
                </c:pt>
                <c:pt idx="21">
                  <c:v>120</c:v>
                </c:pt>
                <c:pt idx="22">
                  <c:v>123</c:v>
                </c:pt>
                <c:pt idx="23">
                  <c:v>138</c:v>
                </c:pt>
                <c:pt idx="24">
                  <c:v>146</c:v>
                </c:pt>
              </c:numCache>
            </c:numRef>
          </c:val>
        </c:ser>
        <c:ser>
          <c:idx val="8"/>
          <c:order val="8"/>
          <c:tx>
            <c:strRef>
              <c:f>[西锐底稿.xlsx]喷气式飞机市场份额图!$B$152</c:f>
              <c:strCache>
                <c:ptCount val="1"/>
                <c:pt idx="0">
                  <c:v>其他厂商</c:v>
                </c:pt>
              </c:strCache>
            </c:strRef>
          </c:tx>
          <c:spPr>
            <a:solidFill>
              <a:schemeClr val="accent3">
                <a:lumMod val="60000"/>
              </a:schemeClr>
            </a:solidFill>
            <a:ln>
              <a:solidFill>
                <a:schemeClr val="bg1"/>
              </a:solid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[西锐底稿.xlsx]喷气式飞机市场份额图!$C$152:$AA$152</c:f>
              <c:numCache>
                <c:formatCode>_(* #,##0_);_(* \(#,##0\);_(* "-"??_);_(@_)</c:formatCode>
                <c:ptCount val="25"/>
                <c:pt idx="0">
                  <c:v>132</c:v>
                </c:pt>
                <c:pt idx="1">
                  <c:v>123</c:v>
                </c:pt>
                <c:pt idx="2">
                  <c:v>111</c:v>
                </c:pt>
                <c:pt idx="3">
                  <c:v>116</c:v>
                </c:pt>
                <c:pt idx="4">
                  <c:v>127</c:v>
                </c:pt>
                <c:pt idx="5">
                  <c:v>155</c:v>
                </c:pt>
                <c:pt idx="6">
                  <c:v>165</c:v>
                </c:pt>
                <c:pt idx="7">
                  <c:v>183</c:v>
                </c:pt>
                <c:pt idx="8">
                  <c:v>177</c:v>
                </c:pt>
                <c:pt idx="9">
                  <c:v>119</c:v>
                </c:pt>
                <c:pt idx="10">
                  <c:v>100</c:v>
                </c:pt>
                <c:pt idx="11">
                  <c:v>70</c:v>
                </c:pt>
                <c:pt idx="12">
                  <c:v>53</c:v>
                </c:pt>
                <c:pt idx="13">
                  <c:v>19</c:v>
                </c:pt>
                <c:pt idx="14">
                  <c:v>15</c:v>
                </c:pt>
                <c:pt idx="15">
                  <c:v>17</c:v>
                </c:pt>
                <c:pt idx="16">
                  <c:v>28</c:v>
                </c:pt>
                <c:pt idx="17">
                  <c:v>53</c:v>
                </c:pt>
                <c:pt idx="18">
                  <c:v>62</c:v>
                </c:pt>
                <c:pt idx="19">
                  <c:v>84</c:v>
                </c:pt>
                <c:pt idx="20">
                  <c:v>78</c:v>
                </c:pt>
                <c:pt idx="21">
                  <c:v>95</c:v>
                </c:pt>
                <c:pt idx="22">
                  <c:v>67</c:v>
                </c:pt>
                <c:pt idx="23">
                  <c:v>74</c:v>
                </c:pt>
                <c:pt idx="24">
                  <c:v>69</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3"/>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4"/>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5"/>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6"/>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7"/>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014795265276748"/>
          <c:y val="0.0291616038882139"/>
          <c:w val="0.985204734723252"/>
          <c:h val="0.138734991054429"/>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'[西锐底稿.xlsx]Part 3.3'!$A$3</c:f>
              <c:strCache>
                <c:ptCount val="1"/>
                <c:pt idx="0">
                  <c:v>交付量（架）</c:v>
                </c:pt>
              </c:strCache>
            </c:strRef>
          </c:tx>
          <c:spPr>
            <a:solidFill>
              <a:srgbClr val="002060"/>
            </a:solidFill>
            <a:ln w="25400">
              <a:noFill/>
            </a:ln>
            <a:effectLst/>
          </c:spPr>
          <c:invertIfNegative val="0"/>
          <c:dLbls>
            <c:delete val="1"/>
          </c:dLbls>
          <c:cat>
            <c:numRef>
              <c:f>'[西锐底稿.xlsx]Part 3.3'!$B$2:$K$2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'[西锐底稿.xlsx]Part 3.3'!$B$3:$K$3</c:f>
              <c:numCache>
                <c:formatCode>General</c:formatCode>
                <c:ptCount val="10"/>
                <c:pt idx="0">
                  <c:v>301</c:v>
                </c:pt>
                <c:pt idx="1">
                  <c:v>320</c:v>
                </c:pt>
                <c:pt idx="2">
                  <c:v>377</c:v>
                </c:pt>
                <c:pt idx="3">
                  <c:v>443</c:v>
                </c:pt>
                <c:pt idx="4">
                  <c:v>465</c:v>
                </c:pt>
                <c:pt idx="5">
                  <c:v>420</c:v>
                </c:pt>
                <c:pt idx="6">
                  <c:v>528</c:v>
                </c:pt>
                <c:pt idx="7">
                  <c:v>629</c:v>
                </c:pt>
                <c:pt idx="8">
                  <c:v>708</c:v>
                </c:pt>
                <c:pt idx="9">
                  <c:v>731</c:v>
                </c:pt>
              </c:numCache>
            </c:numRef>
          </c:val>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'[西锐底稿.xlsx]Part 3.3'!$A$4</c:f>
              <c:strCache>
                <c:ptCount val="1"/>
                <c:pt idx="0">
                  <c:v>平均价格（百万美元）</c:v>
                </c:pt>
              </c:strCache>
            </c:strRef>
          </c:tx>
          <c:spPr>
            <a:ln w="28575" cap="rnd">
              <a:solidFill>
                <a:srgbClr val="A5A5A5"/>
              </a:solidFill>
              <a:round/>
            </a:ln>
            <a:effectLst/>
          </c:spPr>
          <c:marker>
            <c:symbol val="none"/>
          </c:marker>
          <c:dLbls>
            <c:delete val="1"/>
          </c:dLbls>
          <c:cat>
            <c:numRef>
              <c:f>'[西锐底稿.xlsx]Part 3.3'!$B$2:$K$2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'[西锐底稿.xlsx]Part 3.3'!$B$4:$K$4</c:f>
              <c:numCache>
                <c:formatCode>"$"#,##0.00_);[Red]\("$"#,##0.00\)</c:formatCode>
                <c:ptCount val="10"/>
                <c:pt idx="0">
                  <c:v>0.7342766910299</c:v>
                </c:pt>
                <c:pt idx="1">
                  <c:v>0.7595329125</c:v>
                </c:pt>
                <c:pt idx="2">
                  <c:v>0.858616938992042</c:v>
                </c:pt>
                <c:pt idx="3">
                  <c:v>0.987250069977427</c:v>
                </c:pt>
                <c:pt idx="4">
                  <c:v>1.17707288387097</c:v>
                </c:pt>
                <c:pt idx="5">
                  <c:v>1.17083379761905</c:v>
                </c:pt>
                <c:pt idx="6">
                  <c:v>1.19868445833333</c:v>
                </c:pt>
                <c:pt idx="7">
                  <c:v>1.21687531796502</c:v>
                </c:pt>
                <c:pt idx="8">
                  <c:v>1.31374019491525</c:v>
                </c:pt>
                <c:pt idx="9">
                  <c:v>1.40243921751026</c:v>
                </c:pt>
              </c:numCache>
            </c:numRef>
          </c:val>
          <c:smooth val="0"/>
        </c:ser>
        <c:dLbls>
          <c:showLegendKey val="0"/>
          <c:showVal val="0"/>
          <c:showCatName val="0"/>
          <c:showSerName val="0"/>
          <c:showPercent val="0"/>
          <c:showBubbleSize val="0"/>
        </c:dLbls>
        <c:marker val="0"/>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General"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120"/>
        <c:crosses val="autoZero"/>
        <c:auto val="1"/>
        <c:lblAlgn val="ctr"/>
        <c:lblOffset val="100"/>
        <c:noMultiLvlLbl val="0"/>
      </c:catAx>
      <c:valAx>
        <c:axId val="1351793120"/>
        <c:scaling>
          <c:orientation val="minMax"/>
        </c:scaling>
        <c:delete val="0"/>
        <c:axPos val="r"/>
        <c:numFmt formatCode="General"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600"/>
        <c:crosses val="max"/>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noFill/>
    <a:ln w="9525" cap="flat" cmpd="sng" algn="ctr">
      <a:noFill/>
      <a:round/>
    </a:ln>
    <a:effectLst/>
  </c:spPr>
  <c:txPr>
    <a:bodyPr/>
    <a:lstStyle/>
    <a:p>
      <a:pPr>
        <a:defRPr lang="zh-CN" sz="700"/>
      </a:pPr>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'[西锐底稿.xlsx]Part 3.3'!$A$12</c:f>
              <c:strCache>
                <c:ptCount val="1"/>
                <c:pt idx="0">
                  <c:v>出货量（台）</c:v>
                </c:pt>
              </c:strCache>
            </c:strRef>
          </c:tx>
          <c:spPr>
            <a:solidFill>
              <a:srgbClr val="002060"/>
            </a:solidFill>
            <a:ln w="25400">
              <a:noFill/>
            </a:ln>
            <a:effectLst/>
          </c:spPr>
          <c:invertIfNegative val="0"/>
          <c:dLbls>
            <c:delete val="1"/>
          </c:dLbls>
          <c:cat>
            <c:numRef>
              <c:f>'[西锐底稿.xlsx]Part 3.3'!$B$11:$K$11</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'[西锐底稿.xlsx]Part 3.3'!$B$12:$K$12</c:f>
              <c:numCache>
                <c:formatCode>General</c:formatCode>
                <c:ptCount val="10"/>
                <c:pt idx="0">
                  <c:v>7664</c:v>
                </c:pt>
                <c:pt idx="1">
                  <c:v>8014</c:v>
                </c:pt>
                <c:pt idx="2">
                  <c:v>8398</c:v>
                </c:pt>
                <c:pt idx="3">
                  <c:v>9251</c:v>
                </c:pt>
                <c:pt idx="4">
                  <c:v>10131</c:v>
                </c:pt>
                <c:pt idx="5">
                  <c:v>9119</c:v>
                </c:pt>
                <c:pt idx="6">
                  <c:v>11155</c:v>
                </c:pt>
                <c:pt idx="7">
                  <c:v>13221</c:v>
                </c:pt>
                <c:pt idx="8">
                  <c:v>13663</c:v>
                </c:pt>
                <c:pt idx="9">
                  <c:v>13752</c:v>
                </c:pt>
              </c:numCache>
            </c:numRef>
          </c:val>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'[西锐底稿.xlsx]Part 3.3'!$A$13</c:f>
              <c:strCache>
                <c:ptCount val="1"/>
                <c:pt idx="0">
                  <c:v>平均价格（百万英镑）</c:v>
                </c:pt>
              </c:strCache>
            </c:strRef>
          </c:tx>
          <c:spPr>
            <a:ln w="28575" cap="rnd">
              <a:solidFill>
                <a:srgbClr val="A5A5A5"/>
              </a:solidFill>
              <a:round/>
            </a:ln>
            <a:effectLst/>
          </c:spPr>
          <c:marker>
            <c:symbol val="none"/>
          </c:marker>
          <c:dLbls>
            <c:delete val="1"/>
          </c:dLbls>
          <c:cat>
            <c:numRef>
              <c:f>'[西锐底稿.xlsx]Part 3.3'!$B$11:$K$11</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'[西锐底稿.xlsx]Part 3.3'!$B$13:$K$13</c:f>
              <c:numCache>
                <c:formatCode>0.00</c:formatCode>
                <c:ptCount val="10"/>
                <c:pt idx="0">
                  <c:v>0.271398747390397</c:v>
                </c:pt>
                <c:pt idx="1">
                  <c:v>0.272023958073372</c:v>
                </c:pt>
                <c:pt idx="2">
                  <c:v>0.292450583472255</c:v>
                </c:pt>
                <c:pt idx="3">
                  <c:v>0.274024429791374</c:v>
                </c:pt>
                <c:pt idx="4">
                  <c:v>0.288816503800217</c:v>
                </c:pt>
                <c:pt idx="5">
                  <c:v>0.310889351902621</c:v>
                </c:pt>
                <c:pt idx="6">
                  <c:v>0.32030479605558</c:v>
                </c:pt>
                <c:pt idx="7">
                  <c:v>0.32834127524393</c:v>
                </c:pt>
                <c:pt idx="8">
                  <c:v>0.374661494547318</c:v>
                </c:pt>
                <c:pt idx="9">
                  <c:v>0.41652123327516</c:v>
                </c:pt>
              </c:numCache>
            </c:numRef>
          </c:val>
          <c:smooth val="0"/>
        </c:ser>
        <c:dLbls>
          <c:showLegendKey val="0"/>
          <c:showVal val="0"/>
          <c:showCatName val="0"/>
          <c:showSerName val="0"/>
          <c:showPercent val="0"/>
          <c:showBubbleSize val="0"/>
        </c:dLbls>
        <c:marker val="0"/>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General"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120"/>
        <c:crosses val="autoZero"/>
        <c:auto val="1"/>
        <c:lblAlgn val="ctr"/>
        <c:lblOffset val="100"/>
        <c:noMultiLvlLbl val="0"/>
      </c:catAx>
      <c:valAx>
        <c:axId val="1351793120"/>
        <c:scaling>
          <c:orientation val="minMax"/>
        </c:scaling>
        <c:delete val="0"/>
        <c:axPos val="r"/>
        <c:numFmt formatCode="General"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600"/>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noFill/>
    <a:ln w="9525" cap="flat" cmpd="sng" algn="ctr">
      <a:noFill/>
      <a:round/>
    </a:ln>
    <a:effectLst/>
  </c:spPr>
  <c:txPr>
    <a:bodyPr/>
    <a:lstStyle/>
    <a:p>
      <a:pPr>
        <a:defRPr lang="zh-CN" sz="700"/>
      </a:pPr>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 3.3'!$B$39</c:f>
              <c:strCache>
                <c:ptCount val="1"/>
                <c:pt idx="0">
                  <c:v>美国人均可支配收入</c:v>
                </c:pt>
              </c:strCache>
            </c:strRef>
          </c:tx>
          <c:spPr>
            <a:solidFill>
              <a:srgbClr val="002060"/>
            </a:solidFill>
            <a:ln>
              <a:noFill/>
            </a:ln>
            <a:effectLst/>
          </c:spPr>
          <c:invertIfNegative val="0"/>
          <c:dLbls>
            <c:delete val="1"/>
          </c:dLbls>
          <c:cat>
            <c:numRef>
              <c:f>'[西锐底稿.xlsx]Part 3.3'!$A$41:$A$50</c:f>
              <c:numCache>
                <c:formatCode>@</c:formatCode>
                <c:ptCount val="10"/>
                <c:pt idx="0" c:formatCode="@">
                  <c:v>2015</c:v>
                </c:pt>
                <c:pt idx="1" c:formatCode="@">
                  <c:v>2016</c:v>
                </c:pt>
                <c:pt idx="2" c:formatCode="@">
                  <c:v>2017</c:v>
                </c:pt>
                <c:pt idx="3" c:formatCode="@">
                  <c:v>2018</c:v>
                </c:pt>
                <c:pt idx="4" c:formatCode="@">
                  <c:v>2019</c:v>
                </c:pt>
                <c:pt idx="5" c:formatCode="@">
                  <c:v>2020</c:v>
                </c:pt>
                <c:pt idx="6" c:formatCode="@">
                  <c:v>2021</c:v>
                </c:pt>
                <c:pt idx="7" c:formatCode="@">
                  <c:v>2022</c:v>
                </c:pt>
                <c:pt idx="8" c:formatCode="@">
                  <c:v>2023</c:v>
                </c:pt>
                <c:pt idx="9" c:formatCode="@">
                  <c:v>2024</c:v>
                </c:pt>
              </c:numCache>
            </c:numRef>
          </c:cat>
          <c:val>
            <c:numRef>
              <c:f>'[西锐底稿.xlsx]Part 3.3'!$B$41:$B$50</c:f>
              <c:numCache>
                <c:formatCode>#,##0.00_ </c:formatCode>
                <c:ptCount val="10"/>
                <c:pt idx="0">
                  <c:v>42013</c:v>
                </c:pt>
                <c:pt idx="1">
                  <c:v>42910</c:v>
                </c:pt>
                <c:pt idx="2">
                  <c:v>44710</c:v>
                </c:pt>
                <c:pt idx="3">
                  <c:v>47002</c:v>
                </c:pt>
                <c:pt idx="4">
                  <c:v>48907</c:v>
                </c:pt>
                <c:pt idx="5">
                  <c:v>52385</c:v>
                </c:pt>
                <c:pt idx="6">
                  <c:v>56543</c:v>
                </c:pt>
                <c:pt idx="7">
                  <c:v>56555</c:v>
                </c:pt>
                <c:pt idx="8">
                  <c:v>61545</c:v>
                </c:pt>
                <c:pt idx="9">
                  <c:v>64423</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 3.3'!$B$58</c:f>
              <c:strCache>
                <c:ptCount val="1"/>
                <c:pt idx="0">
                  <c:v>美国: CPI(1982-84=100)</c:v>
                </c:pt>
              </c:strCache>
            </c:strRef>
          </c:tx>
          <c:spPr>
            <a:solidFill>
              <a:srgbClr val="002060"/>
            </a:solidFill>
            <a:ln>
              <a:noFill/>
            </a:ln>
            <a:effectLst/>
          </c:spPr>
          <c:invertIfNegative val="0"/>
          <c:dLbls>
            <c:delete val="1"/>
          </c:dLbls>
          <c:cat>
            <c:numRef>
              <c:f>'[西锐底稿.xlsx]Part 3.3'!$A$59:$A$69</c:f>
              <c:numCache>
                <c:formatCode>@</c:formatCode>
                <c:ptCount val="11"/>
                <c:pt idx="0" c:formatCode="@">
                  <c:v>2015</c:v>
                </c:pt>
                <c:pt idx="1" c:formatCode="@">
                  <c:v>2016</c:v>
                </c:pt>
                <c:pt idx="2" c:formatCode="@">
                  <c:v>2017</c:v>
                </c:pt>
                <c:pt idx="3" c:formatCode="@">
                  <c:v>2018</c:v>
                </c:pt>
                <c:pt idx="4" c:formatCode="@">
                  <c:v>2019</c:v>
                </c:pt>
                <c:pt idx="5" c:formatCode="@">
                  <c:v>2020</c:v>
                </c:pt>
                <c:pt idx="6" c:formatCode="@">
                  <c:v>2021</c:v>
                </c:pt>
                <c:pt idx="7" c:formatCode="@">
                  <c:v>2022</c:v>
                </c:pt>
                <c:pt idx="8" c:formatCode="@">
                  <c:v>2023</c:v>
                </c:pt>
                <c:pt idx="9" c:formatCode="@">
                  <c:v>2024</c:v>
                </c:pt>
                <c:pt idx="10" c:formatCode="@">
                  <c:v>2025</c:v>
                </c:pt>
              </c:numCache>
            </c:numRef>
          </c:cat>
          <c:val>
            <c:numRef>
              <c:f>'[西锐底稿.xlsx]Part 3.3'!$B$59:$B$69</c:f>
              <c:numCache>
                <c:formatCode>#,##0.00_ </c:formatCode>
                <c:ptCount val="11"/>
                <c:pt idx="0">
                  <c:v>2844.204</c:v>
                </c:pt>
                <c:pt idx="1">
                  <c:v>2880.086</c:v>
                </c:pt>
                <c:pt idx="2">
                  <c:v>2941.435</c:v>
                </c:pt>
                <c:pt idx="3">
                  <c:v>3013.282</c:v>
                </c:pt>
                <c:pt idx="4">
                  <c:v>3067.889</c:v>
                </c:pt>
                <c:pt idx="5">
                  <c:v>3105.734</c:v>
                </c:pt>
                <c:pt idx="6">
                  <c:v>3251.637</c:v>
                </c:pt>
                <c:pt idx="7">
                  <c:v>3511.859</c:v>
                </c:pt>
                <c:pt idx="8">
                  <c:v>3656.419</c:v>
                </c:pt>
                <c:pt idx="9">
                  <c:v>3764.266</c:v>
                </c:pt>
                <c:pt idx="10">
                  <c:v>3217.319</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'Part 4'!$A$2</c:f>
              <c:strCache>
                <c:ptCount val="1"/>
                <c:pt idx="0">
                  <c:v>Q1</c:v>
                </c:pt>
              </c:strCache>
            </c:strRef>
          </c:tx>
          <c:spPr>
            <a:solidFill>
              <a:srgbClr val="002060"/>
            </a:solidFill>
            <a:ln>
              <a:noFill/>
            </a:ln>
            <a:effectLst/>
          </c:spPr>
          <c:invertIfNegative val="0"/>
          <c:dLbls>
            <c:delete val="1"/>
          </c:dLbls>
          <c:cat>
            <c:numRef>
              <c:f>'Part 4'!$B$1:$E$1</c:f>
              <c:numCache>
                <c:formatCode>General</c:formatCode>
                <c:ptCount val="4"/>
                <c:pt idx="0">
                  <c:v>2022</c:v>
                </c:pt>
                <c:pt idx="1">
                  <c:v>2023</c:v>
                </c:pt>
                <c:pt idx="2">
                  <c:v>2024</c:v>
                </c:pt>
                <c:pt idx="3">
                  <c:v>2025</c:v>
                </c:pt>
              </c:numCache>
            </c:numRef>
          </c:cat>
          <c:val>
            <c:numRef>
              <c:f>'Part 4'!$B$2:$E$2</c:f>
              <c:numCache>
                <c:formatCode>General</c:formatCode>
                <c:ptCount val="4"/>
                <c:pt idx="0">
                  <c:v>79</c:v>
                </c:pt>
                <c:pt idx="1">
                  <c:v>90</c:v>
                </c:pt>
                <c:pt idx="2">
                  <c:v>75</c:v>
                </c:pt>
                <c:pt idx="3">
                  <c:v>150</c:v>
                </c:pt>
              </c:numCache>
            </c:numRef>
          </c:val>
        </c:ser>
        <c:ser>
          <c:idx val="1"/>
          <c:order val="1"/>
          <c:tx>
            <c:strRef>
              <c:f>'Part 4'!$A$3</c:f>
              <c:strCache>
                <c:ptCount val="1"/>
                <c:pt idx="0">
                  <c:v>Q2</c:v>
                </c:pt>
              </c:strCache>
            </c:strRef>
          </c:tx>
          <c:spPr>
            <a:solidFill>
              <a:srgbClr val="A5A5A5"/>
            </a:solidFill>
            <a:ln>
              <a:solidFill>
                <a:srgbClr val="A5A5A5"/>
              </a:solidFill>
            </a:ln>
            <a:effectLst/>
          </c:spPr>
          <c:invertIfNegative val="0"/>
          <c:dLbls>
            <c:delete val="1"/>
          </c:dLbls>
          <c:cat>
            <c:numRef>
              <c:f>'Part 4'!$B$1:$E$1</c:f>
              <c:numCache>
                <c:formatCode>General</c:formatCode>
                <c:ptCount val="4"/>
                <c:pt idx="0">
                  <c:v>2022</c:v>
                </c:pt>
                <c:pt idx="1">
                  <c:v>2023</c:v>
                </c:pt>
                <c:pt idx="2">
                  <c:v>2024</c:v>
                </c:pt>
                <c:pt idx="3">
                  <c:v>2025</c:v>
                </c:pt>
              </c:numCache>
            </c:numRef>
          </c:cat>
          <c:val>
            <c:numRef>
              <c:f>'Part 4'!$B$3:$E$3</c:f>
              <c:numCache>
                <c:formatCode>General</c:formatCode>
                <c:ptCount val="4"/>
                <c:pt idx="0">
                  <c:v>132</c:v>
                </c:pt>
                <c:pt idx="1">
                  <c:v>177</c:v>
                </c:pt>
                <c:pt idx="2">
                  <c:v>212</c:v>
                </c:pt>
                <c:pt idx="3">
                  <c:v>200</c:v>
                </c:pt>
              </c:numCache>
            </c:numRef>
          </c:val>
        </c:ser>
        <c:ser>
          <c:idx val="2"/>
          <c:order val="2"/>
          <c:tx>
            <c:strRef>
              <c:f>'Part 4'!$A$4</c:f>
              <c:strCache>
                <c:ptCount val="1"/>
                <c:pt idx="0">
                  <c:v>Q3</c:v>
                </c:pt>
              </c:strCache>
            </c:strRef>
          </c:tx>
          <c:spPr>
            <a:solidFill>
              <a:srgbClr val="A5A5A5">
                <a:lumMod val="75000"/>
              </a:srgbClr>
            </a:solidFill>
            <a:ln>
              <a:noFill/>
            </a:ln>
            <a:effectLst/>
          </c:spPr>
          <c:invertIfNegative val="0"/>
          <c:dLbls>
            <c:delete val="1"/>
          </c:dLbls>
          <c:cat>
            <c:numRef>
              <c:f>'Part 4'!$B$1:$E$1</c:f>
              <c:numCache>
                <c:formatCode>General</c:formatCode>
                <c:ptCount val="4"/>
                <c:pt idx="0">
                  <c:v>2022</c:v>
                </c:pt>
                <c:pt idx="1">
                  <c:v>2023</c:v>
                </c:pt>
                <c:pt idx="2">
                  <c:v>2024</c:v>
                </c:pt>
                <c:pt idx="3">
                  <c:v>2025</c:v>
                </c:pt>
              </c:numCache>
            </c:numRef>
          </c:cat>
          <c:val>
            <c:numRef>
              <c:f>'Part 4'!$B$4:$E$4</c:f>
              <c:numCache>
                <c:formatCode>General</c:formatCode>
                <c:ptCount val="4"/>
                <c:pt idx="0">
                  <c:v>155</c:v>
                </c:pt>
                <c:pt idx="1">
                  <c:v>183</c:v>
                </c:pt>
                <c:pt idx="2">
                  <c:v>194</c:v>
                </c:pt>
                <c:pt idx="3">
                  <c:v>205</c:v>
                </c:pt>
              </c:numCache>
            </c:numRef>
          </c:val>
        </c:ser>
        <c:ser>
          <c:idx val="3"/>
          <c:order val="3"/>
          <c:tx>
            <c:strRef>
              <c:f>'Part 4'!$A$5</c:f>
              <c:strCache>
                <c:ptCount val="1"/>
                <c:pt idx="0">
                  <c:v>Q4</c:v>
                </c:pt>
              </c:strCache>
            </c:strRef>
          </c:tx>
          <c:spPr>
            <a:solidFill>
              <a:srgbClr val="5B9BD5">
                <a:lumMod val="20000"/>
                <a:lumOff val="80000"/>
              </a:srgbClr>
            </a:solidFill>
            <a:ln>
              <a:noFill/>
            </a:ln>
            <a:effectLst/>
          </c:spPr>
          <c:invertIfNegative val="0"/>
          <c:dLbls>
            <c:delete val="1"/>
          </c:dLbls>
          <c:cat>
            <c:numRef>
              <c:f>'Part 4'!$B$1:$E$1</c:f>
              <c:numCache>
                <c:formatCode>General</c:formatCode>
                <c:ptCount val="4"/>
                <c:pt idx="0">
                  <c:v>2022</c:v>
                </c:pt>
                <c:pt idx="1">
                  <c:v>2023</c:v>
                </c:pt>
                <c:pt idx="2">
                  <c:v>2024</c:v>
                </c:pt>
                <c:pt idx="3">
                  <c:v>2025</c:v>
                </c:pt>
              </c:numCache>
            </c:numRef>
          </c:cat>
          <c:val>
            <c:numRef>
              <c:f>'Part 4'!$B$5:$E$5</c:f>
              <c:numCache>
                <c:formatCode>General</c:formatCode>
                <c:ptCount val="4"/>
                <c:pt idx="0">
                  <c:v>263</c:v>
                </c:pt>
                <c:pt idx="1">
                  <c:v>258</c:v>
                </c:pt>
                <c:pt idx="2">
                  <c:v>250</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6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6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 4'!$A$60</c:f>
              <c:strCache>
                <c:ptCount val="1"/>
                <c:pt idx="0">
                  <c:v>售后服务收入占比</c:v>
                </c:pt>
              </c:strCache>
            </c:strRef>
          </c:tx>
          <c:spPr>
            <a:solidFill>
              <a:srgbClr val="002060"/>
            </a:solidFill>
            <a:ln>
              <a:noFill/>
            </a:ln>
            <a:effectLst/>
          </c:spPr>
          <c:invertIfNegative val="0"/>
          <c:dLbls>
            <c:delete val="1"/>
          </c:dLbls>
          <c:cat>
            <c:strRef>
              <c:f>'[西锐底稿.xlsx]Part 4'!$B$59:$G$59</c:f>
              <c:strCache>
                <c:ptCount val="6"/>
                <c:pt idx="0">
                  <c:v>2020</c:v>
                </c:pt>
                <c:pt idx="1">
                  <c:v>2021</c:v>
                </c:pt>
                <c:pt idx="2">
                  <c:v>2022</c:v>
                </c:pt>
                <c:pt idx="3">
                  <c:v>2023</c:v>
                </c:pt>
                <c:pt idx="4">
                  <c:v>2024</c:v>
                </c:pt>
                <c:pt idx="5">
                  <c:v>2025H1</c:v>
                </c:pt>
              </c:strCache>
            </c:strRef>
          </c:cat>
          <c:val>
            <c:numRef>
              <c:f>'[西锐底稿.xlsx]Part 4'!$B$60:$G$60</c:f>
              <c:numCache>
                <c:formatCode>0.00%</c:formatCode>
                <c:ptCount val="6"/>
                <c:pt idx="0">
                  <c:v>0.1674</c:v>
                </c:pt>
                <c:pt idx="1">
                  <c:v>0.1606</c:v>
                </c:pt>
                <c:pt idx="2">
                  <c:v>0.1503</c:v>
                </c:pt>
                <c:pt idx="3">
                  <c:v>0.1424</c:v>
                </c:pt>
                <c:pt idx="4">
                  <c:v>0.1447</c:v>
                </c:pt>
                <c:pt idx="5">
                  <c:v>0.1618</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0.0%"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40532061199931"/>
          <c:y val="0.181747483442863"/>
          <c:w val="0.736598905506848"/>
          <c:h val="0.715094978907071"/>
        </c:manualLayout>
      </c:layout>
      <c:barChart>
        <c:barDir val="col"/>
        <c:grouping val="clustered"/>
        <c:varyColors val="0"/>
        <c:ser>
          <c:idx val="0"/>
          <c:order val="0"/>
          <c:tx>
            <c:strRef>
              <c:f>[西锐底稿.xlsx]Part1!$H$43</c:f>
              <c:strCache>
                <c:ptCount val="1"/>
                <c:pt idx="0">
                  <c:v>营业总收入</c:v>
                </c:pt>
              </c:strCache>
            </c:strRef>
          </c:tx>
          <c:spPr>
            <a:solidFill>
              <a:srgbClr val="002060"/>
            </a:solidFill>
            <a:ln w="25400">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7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[西锐底稿.xlsx]Part1!$G$44:$G$49</c:f>
              <c:numCache>
                <c:formatCode>General</c:formatCode>
                <c:ptCount val="5"/>
                <c:pt idx="0">
                  <c:v>2020</c:v>
                </c:pt>
                <c:pt idx="1">
                  <c:v>2021</c:v>
                </c:pt>
                <c:pt idx="2">
                  <c:v>2022</c:v>
                </c:pt>
                <c:pt idx="3">
                  <c:v>2023</c:v>
                </c:pt>
                <c:pt idx="4">
                  <c:v>2024</c:v>
                </c:pt>
              </c:numCache>
            </c:numRef>
          </c:cat>
          <c:val>
            <c:numRef>
              <c:f>Part1!$H$44:$H$49</c:f>
              <c:numCache>
                <c:formatCode>#,##0.00</c:formatCode>
                <c:ptCount val="5"/>
                <c:pt idx="0">
                  <c:v>586.46</c:v>
                </c:pt>
                <c:pt idx="1">
                  <c:v>738.13</c:v>
                </c:pt>
                <c:pt idx="2">
                  <c:v>894.08</c:v>
                </c:pt>
                <c:pt idx="3">
                  <c:v>1067.71</c:v>
                </c:pt>
                <c:pt idx="4">
                  <c:v>1197.13</c:v>
                </c:pt>
              </c:numCache>
            </c:numRef>
          </c:val>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[西锐底稿.xlsx]Part1!$I$43</c:f>
              <c:strCache>
                <c:ptCount val="1"/>
                <c:pt idx="0">
                  <c:v>yoy</c:v>
                </c:pt>
              </c:strCache>
            </c:strRef>
          </c:tx>
          <c:spPr>
            <a:ln w="28575" cap="rnd">
              <a:solidFill>
                <a:srgbClr val="A5A5A5"/>
              </a:solidFill>
              <a:round/>
            </a:ln>
            <a:effectLst/>
          </c:spPr>
          <c:marker>
            <c:symbol val="none"/>
          </c:marker>
          <c:dLbls>
            <c:delete val="1"/>
          </c:dLbls>
          <c:cat>
            <c:numRef>
              <c:f>[西锐底稿.xlsx]Part1!$G$44:$G$49</c:f>
              <c:numCache>
                <c:formatCode>General</c:formatCode>
                <c:ptCount val="5"/>
                <c:pt idx="0">
                  <c:v>2020</c:v>
                </c:pt>
                <c:pt idx="1">
                  <c:v>2021</c:v>
                </c:pt>
                <c:pt idx="2">
                  <c:v>2022</c:v>
                </c:pt>
                <c:pt idx="3">
                  <c:v>2023</c:v>
                </c:pt>
                <c:pt idx="4">
                  <c:v>2024</c:v>
                </c:pt>
              </c:numCache>
            </c:numRef>
          </c:cat>
          <c:val>
            <c:numRef>
              <c:f>Part1!$I$44:$I$49</c:f>
              <c:numCache>
                <c:formatCode>General</c:formatCode>
                <c:ptCount val="5"/>
                <c:pt idx="1" c:formatCode="0.00%">
                  <c:v>0.258619513692323</c:v>
                </c:pt>
                <c:pt idx="2" c:formatCode="0.00%">
                  <c:v>0.211277146302142</c:v>
                </c:pt>
                <c:pt idx="3" c:formatCode="0.00%">
                  <c:v>0.194199624194703</c:v>
                </c:pt>
                <c:pt idx="4" c:formatCode="0.00%">
                  <c:v>0.12121268883873</c:v>
                </c:pt>
              </c:numCache>
            </c:numRef>
          </c:val>
          <c:smooth val="0"/>
        </c:ser>
        <c:dLbls>
          <c:showLegendKey val="0"/>
          <c:showVal val="0"/>
          <c:showCatName val="0"/>
          <c:showSerName val="0"/>
          <c:showPercent val="0"/>
          <c:showBubbleSize val="0"/>
        </c:dLbls>
        <c:marker val="0"/>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351793120"/>
        <c:crosses val="autoZero"/>
        <c:auto val="1"/>
        <c:lblAlgn val="ctr"/>
        <c:lblOffset val="100"/>
        <c:noMultiLvlLbl val="0"/>
      </c:catAx>
      <c:valAx>
        <c:axId val="1351793120"/>
        <c:scaling>
          <c:orientation val="minMax"/>
        </c:scaling>
        <c:delete val="0"/>
        <c:axPos val="r"/>
        <c:numFmt formatCode="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351793600"/>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900" b="0" i="0" u="none" strike="noStrike" kern="1200" baseline="0">
              <a:solidFill>
                <a:srgbClr val="4C4D4F"/>
              </a:solidFill>
              <a:latin typeface="微软雅黑" panose="020B0503020204020204" pitchFamily="2" charset="-122"/>
              <a:ea typeface="微软雅黑" panose="020B0503020204020204" pitchFamily="2" charset="-122"/>
              <a:cs typeface="+mn-cs"/>
            </a:defRPr>
          </a:pPr>
        </a:p>
      </c:txPr>
    </c:legend>
    <c:plotVisOnly val="1"/>
    <c:dispBlanksAs val="gap"/>
    <c:showDLblsOverMax val="0"/>
    <c:extLst>
      <c:ext uri="{0b15fc19-7d7d-44ad-8c2d-2c3a37ce22c3}">
        <chartProps xmlns="https://web.wps.cn/et/2018/main" chartId="{aa17423c-5c89-4556-b926-baea0ff5ddd9}"/>
      </c:ext>
    </c:extLst>
  </c:chart>
  <c:spPr>
    <a:noFill/>
    <a:ln w="9525" cap="flat" cmpd="sng" algn="ctr">
      <a:noFill/>
      <a:round/>
    </a:ln>
    <a:effectLst/>
  </c:spPr>
  <c:txPr>
    <a:bodyPr/>
    <a:lstStyle/>
    <a:p>
      <a:pPr>
        <a:defRPr lang="zh-CN"/>
      </a:pPr>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01288197701049"/>
          <c:y val="0.119168487446923"/>
          <c:w val="0.895941719196458"/>
          <c:h val="0.823239889516428"/>
        </c:manualLayout>
      </c:layout>
      <c:barChart>
        <c:barDir val="col"/>
        <c:grouping val="stacked"/>
        <c:varyColors val="0"/>
        <c:ser>
          <c:idx val="1"/>
          <c:order val="0"/>
          <c:tx>
            <c:strRef>
              <c:f>Part1!$G$68</c:f>
              <c:strCache>
                <c:ptCount val="1"/>
                <c:pt idx="0">
                  <c:v>飞机业务</c:v>
                </c:pt>
              </c:strCache>
            </c:strRef>
          </c:tx>
          <c:spPr>
            <a:solidFill>
              <a:srgbClr val="002060"/>
            </a:solidFill>
            <a:ln>
              <a:noFill/>
            </a:ln>
            <a:effectLst/>
          </c:spPr>
          <c:invertIfNegative val="0"/>
          <c:dLbls>
            <c:delete val="1"/>
          </c:dLbls>
          <c:cat>
            <c:numRef>
              <c:f>Part1!$H$67:$L$67</c:f>
              <c:numCache>
                <c:formatCode>General</c:formatCode>
                <c:ptCount val="5"/>
                <c:pt idx="0">
                  <c:v>2020</c:v>
                </c:pt>
                <c:pt idx="1">
                  <c:v>2021</c:v>
                </c:pt>
                <c:pt idx="2">
                  <c:v>2022</c:v>
                </c:pt>
                <c:pt idx="3">
                  <c:v>2023</c:v>
                </c:pt>
                <c:pt idx="4">
                  <c:v>2024</c:v>
                </c:pt>
              </c:numCache>
            </c:numRef>
          </c:cat>
          <c:val>
            <c:numRef>
              <c:f>Part1!$H$68:$L$68</c:f>
              <c:numCache>
                <c:formatCode>#,##0.00</c:formatCode>
                <c:ptCount val="5"/>
                <c:pt idx="0">
                  <c:v>488.29</c:v>
                </c:pt>
                <c:pt idx="1">
                  <c:v>619.61</c:v>
                </c:pt>
                <c:pt idx="2">
                  <c:v>759.74</c:v>
                </c:pt>
                <c:pt idx="3">
                  <c:v>915.65</c:v>
                </c:pt>
                <c:pt idx="4">
                  <c:v>1023.91</c:v>
                </c:pt>
              </c:numCache>
            </c:numRef>
          </c:val>
        </c:ser>
        <c:ser>
          <c:idx val="3"/>
          <c:order val="2"/>
          <c:tx>
            <c:strRef>
              <c:f>Part1!$G$70</c:f>
              <c:strCache>
                <c:ptCount val="1"/>
                <c:pt idx="0">
                  <c:v>服务业务</c:v>
                </c:pt>
              </c:strCache>
            </c:strRef>
          </c:tx>
          <c:spPr>
            <a:solidFill>
              <a:sysClr val="window" lastClr="FFFFFF">
                <a:lumMod val="75000"/>
              </a:sysClr>
            </a:solidFill>
            <a:ln>
              <a:noFill/>
            </a:ln>
            <a:effectLst/>
          </c:spPr>
          <c:invertIfNegative val="0"/>
          <c:dLbls>
            <c:delete val="1"/>
          </c:dLbls>
          <c:cat>
            <c:numRef>
              <c:f>Part1!$H$67:$L$67</c:f>
              <c:numCache>
                <c:formatCode>General</c:formatCode>
                <c:ptCount val="5"/>
                <c:pt idx="0">
                  <c:v>2020</c:v>
                </c:pt>
                <c:pt idx="1">
                  <c:v>2021</c:v>
                </c:pt>
                <c:pt idx="2">
                  <c:v>2022</c:v>
                </c:pt>
                <c:pt idx="3">
                  <c:v>2023</c:v>
                </c:pt>
                <c:pt idx="4">
                  <c:v>2024</c:v>
                </c:pt>
              </c:numCache>
            </c:numRef>
          </c:cat>
          <c:val>
            <c:numRef>
              <c:f>Part1!$H$70:$L$70</c:f>
              <c:numCache>
                <c:formatCode>#,##0.00</c:formatCode>
                <c:ptCount val="5"/>
                <c:pt idx="0">
                  <c:v>98.17</c:v>
                </c:pt>
                <c:pt idx="1">
                  <c:v>118.52</c:v>
                </c:pt>
                <c:pt idx="2">
                  <c:v>134.34</c:v>
                </c:pt>
                <c:pt idx="3">
                  <c:v>152.05</c:v>
                </c:pt>
                <c:pt idx="4">
                  <c:v>173.22</c:v>
                </c:pt>
              </c:numCache>
            </c:numRef>
          </c:val>
        </c:ser>
        <c:dLbls>
          <c:showLegendKey val="0"/>
          <c:showVal val="0"/>
          <c:showCatName val="0"/>
          <c:showSerName val="0"/>
          <c:showPercent val="0"/>
          <c:showBubbleSize val="0"/>
        </c:dLbls>
        <c:gapWidth val="150"/>
        <c:overlap val="100"/>
        <c:axId val="1162810192"/>
        <c:axId val="1162808272"/>
      </c:barChart>
      <c:lineChart>
        <c:grouping val="standard"/>
        <c:varyColors val="0"/>
        <c:ser>
          <c:idx val="2"/>
          <c:order val="1"/>
          <c:tx>
            <c:strRef>
              <c:f>Part1!$G$69</c:f>
              <c:strCache>
                <c:ptCount val="1"/>
                <c:pt idx="0">
                  <c:v>yoy</c:v>
                </c:pt>
              </c:strCache>
            </c:strRef>
          </c:tx>
          <c:spPr>
            <a:ln w="28575" cap="rnd">
              <a:solidFill>
                <a:srgbClr val="002060"/>
              </a:solidFill>
              <a:round/>
            </a:ln>
            <a:effectLst/>
          </c:spPr>
          <c:marker>
            <c:symbol val="none"/>
          </c:marker>
          <c:dLbls>
            <c:delete val="1"/>
          </c:dLbls>
          <c:cat>
            <c:numRef>
              <c:f>Part1!$H$67:$L$67</c:f>
              <c:numCache>
                <c:formatCode>General</c:formatCode>
                <c:ptCount val="5"/>
                <c:pt idx="0">
                  <c:v>2020</c:v>
                </c:pt>
                <c:pt idx="1">
                  <c:v>2021</c:v>
                </c:pt>
                <c:pt idx="2">
                  <c:v>2022</c:v>
                </c:pt>
                <c:pt idx="3">
                  <c:v>2023</c:v>
                </c:pt>
                <c:pt idx="4">
                  <c:v>2024</c:v>
                </c:pt>
              </c:numCache>
            </c:numRef>
          </c:cat>
          <c:val>
            <c:numRef>
              <c:f>Part1!$H$69:$L$69</c:f>
              <c:numCache>
                <c:formatCode>General</c:formatCode>
                <c:ptCount val="5"/>
                <c:pt idx="1" c:formatCode="0.00%">
                  <c:v>0.268938540621352</c:v>
                </c:pt>
                <c:pt idx="2" c:formatCode="0.00%">
                  <c:v>0.226158389954972</c:v>
                </c:pt>
                <c:pt idx="3" c:formatCode="0.00%">
                  <c:v>0.205214941953826</c:v>
                </c:pt>
                <c:pt idx="4" c:formatCode="0.00%">
                  <c:v>0.11823294927101</c:v>
                </c:pt>
              </c:numCache>
            </c:numRef>
          </c:val>
          <c:smooth val="0"/>
        </c:ser>
        <c:ser>
          <c:idx val="4"/>
          <c:order val="3"/>
          <c:tx>
            <c:strRef>
              <c:f>Part1!$G$71</c:f>
              <c:strCache>
                <c:ptCount val="1"/>
                <c:pt idx="0">
                  <c:v>yoy</c:v>
                </c:pt>
              </c:strCache>
            </c:strRef>
          </c:tx>
          <c:spPr>
            <a:ln w="28575" cap="rnd">
              <a:solidFill>
                <a:sysClr val="window" lastClr="FFFFFF">
                  <a:lumMod val="85000"/>
                </a:sysClr>
              </a:solidFill>
              <a:round/>
            </a:ln>
            <a:effectLst/>
          </c:spPr>
          <c:marker>
            <c:symbol val="none"/>
          </c:marker>
          <c:dLbls>
            <c:delete val="1"/>
          </c:dLbls>
          <c:cat>
            <c:numRef>
              <c:f>Part1!$H$67:$L$67</c:f>
              <c:numCache>
                <c:formatCode>General</c:formatCode>
                <c:ptCount val="5"/>
                <c:pt idx="0">
                  <c:v>2020</c:v>
                </c:pt>
                <c:pt idx="1">
                  <c:v>2021</c:v>
                </c:pt>
                <c:pt idx="2">
                  <c:v>2022</c:v>
                </c:pt>
                <c:pt idx="3">
                  <c:v>2023</c:v>
                </c:pt>
                <c:pt idx="4">
                  <c:v>2024</c:v>
                </c:pt>
              </c:numCache>
            </c:numRef>
          </c:cat>
          <c:val>
            <c:numRef>
              <c:f>Part1!$H$71:$L$71</c:f>
              <c:numCache>
                <c:formatCode>General</c:formatCode>
                <c:ptCount val="5"/>
                <c:pt idx="1" c:formatCode="0.00%">
                  <c:v>0.207293470510339</c:v>
                </c:pt>
                <c:pt idx="2" c:formatCode="0.00%">
                  <c:v>0.133479581505231</c:v>
                </c:pt>
                <c:pt idx="3" c:formatCode="0.00%">
                  <c:v>0.131829685871669</c:v>
                </c:pt>
                <c:pt idx="4" c:formatCode="0.00%">
                  <c:v>0.13923051627754</c:v>
                </c:pt>
              </c:numCache>
            </c:numRef>
          </c:val>
          <c:smooth val="0"/>
        </c:ser>
        <c:dLbls>
          <c:showLegendKey val="0"/>
          <c:showVal val="0"/>
          <c:showCatName val="0"/>
          <c:showSerName val="0"/>
          <c:showPercent val="0"/>
          <c:showBubbleSize val="0"/>
        </c:dLbls>
        <c:marker val="0"/>
        <c:smooth val="0"/>
        <c:axId val="735652879"/>
        <c:axId val="735651439"/>
      </c:lineChart>
      <c:catAx>
        <c:axId val="1162810192"/>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162808272"/>
        <c:crosses val="autoZero"/>
        <c:auto val="1"/>
        <c:lblAlgn val="ctr"/>
        <c:lblOffset val="100"/>
        <c:noMultiLvlLbl val="0"/>
      </c:catAx>
      <c:valAx>
        <c:axId val="1162808272"/>
        <c:scaling>
          <c:orientation val="minMax"/>
        </c:scaling>
        <c:delete val="0"/>
        <c:axPos val="l"/>
        <c:majorGridlines>
          <c:spPr>
            <a:ln w="9525" cap="flat" cmpd="sng" algn="ctr">
              <a:noFill/>
              <a:round/>
            </a:ln>
            <a:effectLst/>
          </c:spPr>
        </c:majorGridlines>
        <c:numFmt formatCode="#,##0_);[Red]\(#,##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162810192"/>
        <c:crosses val="autoZero"/>
        <c:crossBetween val="between"/>
      </c:valAx>
      <c:catAx>
        <c:axId val="735652879"/>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35651439"/>
        <c:crosses val="autoZero"/>
        <c:auto val="1"/>
        <c:lblAlgn val="ctr"/>
        <c:lblOffset val="100"/>
        <c:noMultiLvlLbl val="0"/>
      </c:catAx>
      <c:valAx>
        <c:axId val="735651439"/>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735652879"/>
        <c:crosses val="max"/>
        <c:crossBetween val="between"/>
      </c:valAx>
      <c:spPr>
        <a:noFill/>
        <a:ln>
          <a:noFill/>
        </a:ln>
        <a:effectLst/>
      </c:spPr>
    </c:plotArea>
    <c:legend>
      <c:legendPos val="t"/>
      <c:layout>
        <c:manualLayout>
          <c:xMode val="edge"/>
          <c:yMode val="edge"/>
          <c:x val="0.0666052180370658"/>
          <c:y val="0.0261780104712042"/>
          <c:w val="0.883394891172584"/>
          <c:h val="0.075754224542157"/>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mn-cs"/>
            </a:defRPr>
          </a:pPr>
        </a:p>
      </c:txPr>
    </c:legend>
    <c:plotVisOnly val="1"/>
    <c:dispBlanksAs val="gap"/>
    <c:showDLblsOverMax val="0"/>
    <c:extLst>
      <c:ext uri="{0b15fc19-7d7d-44ad-8c2d-2c3a37ce22c3}">
        <chartProps xmlns="https://web.wps.cn/et/2018/main" chartId="{257e32a2-7590-41b1-b7c6-5119a271d04e}"/>
      </c:ext>
    </c:extLst>
  </c:chart>
  <c:spPr>
    <a:noFill/>
    <a:ln w="9525" cap="flat" cmpd="sng" algn="ctr">
      <a:noFill/>
      <a:round/>
    </a:ln>
    <a:effectLst/>
  </c:spPr>
  <c:txPr>
    <a:bodyPr/>
    <a:lstStyle/>
    <a:p>
      <a:pPr>
        <a:defRPr lang="zh-CN"/>
      </a:pPr>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116285293976643"/>
          <c:w val="0.931162239562145"/>
          <c:h val="0.753799728282103"/>
        </c:manualLayout>
      </c:layout>
      <c:barChart>
        <c:barDir val="col"/>
        <c:grouping val="percentStacked"/>
        <c:varyColors val="0"/>
        <c:ser>
          <c:idx val="0"/>
          <c:order val="0"/>
          <c:tx>
            <c:strRef>
              <c:f>Part1!$B$116</c:f>
              <c:strCache>
                <c:ptCount val="1"/>
                <c:pt idx="0">
                  <c:v>SR20</c:v>
                </c:pt>
              </c:strCache>
            </c:strRef>
          </c:tx>
          <c:spPr>
            <a:solidFill>
              <a:srgbClr val="002060"/>
            </a:solidFill>
            <a:ln>
              <a:noFill/>
            </a:ln>
            <a:effectLst/>
          </c:spPr>
          <c:invertIfNegative val="0"/>
          <c:dLbls>
            <c:delete val="1"/>
          </c:dLbls>
          <c:cat>
            <c:numRef>
              <c:f>Part1!$C$115:$E$115</c:f>
              <c:numCache>
                <c:formatCode>General</c:formatCode>
                <c:ptCount val="3"/>
                <c:pt idx="0">
                  <c:v>2021</c:v>
                </c:pt>
                <c:pt idx="1">
                  <c:v>2022</c:v>
                </c:pt>
                <c:pt idx="2">
                  <c:v>2023</c:v>
                </c:pt>
              </c:numCache>
            </c:numRef>
          </c:cat>
          <c:val>
            <c:numRef>
              <c:f>Part1!$C$116:$E$116</c:f>
              <c:numCache>
                <c:formatCode>General</c:formatCode>
                <c:ptCount val="3"/>
                <c:pt idx="0">
                  <c:v>42.618</c:v>
                </c:pt>
                <c:pt idx="1">
                  <c:v>57.049</c:v>
                </c:pt>
                <c:pt idx="2">
                  <c:v>69.69</c:v>
                </c:pt>
              </c:numCache>
            </c:numRef>
          </c:val>
        </c:ser>
        <c:ser>
          <c:idx val="1"/>
          <c:order val="1"/>
          <c:tx>
            <c:strRef>
              <c:f>Part1!$B$117</c:f>
              <c:strCache>
                <c:ptCount val="1"/>
                <c:pt idx="0">
                  <c:v>SR22</c:v>
                </c:pt>
              </c:strCache>
            </c:strRef>
          </c:tx>
          <c:spPr>
            <a:solidFill>
              <a:srgbClr val="E97132">
                <a:lumMod val="75000"/>
              </a:srgbClr>
            </a:solidFill>
            <a:ln>
              <a:noFill/>
            </a:ln>
            <a:effectLst/>
          </c:spPr>
          <c:invertIfNegative val="0"/>
          <c:dLbls>
            <c:delete val="1"/>
          </c:dLbls>
          <c:cat>
            <c:numRef>
              <c:f>Part1!$C$115:$E$115</c:f>
              <c:numCache>
                <c:formatCode>General</c:formatCode>
                <c:ptCount val="3"/>
                <c:pt idx="0">
                  <c:v>2021</c:v>
                </c:pt>
                <c:pt idx="1">
                  <c:v>2022</c:v>
                </c:pt>
                <c:pt idx="2">
                  <c:v>2023</c:v>
                </c:pt>
              </c:numCache>
            </c:numRef>
          </c:cat>
          <c:val>
            <c:numRef>
              <c:f>Part1!$C$117:$E$117</c:f>
              <c:numCache>
                <c:formatCode>General</c:formatCode>
                <c:ptCount val="3"/>
                <c:pt idx="0">
                  <c:v>111.92</c:v>
                </c:pt>
                <c:pt idx="1">
                  <c:v>142.772</c:v>
                </c:pt>
                <c:pt idx="2">
                  <c:v>138.667</c:v>
                </c:pt>
              </c:numCache>
            </c:numRef>
          </c:val>
        </c:ser>
        <c:ser>
          <c:idx val="2"/>
          <c:order val="2"/>
          <c:tx>
            <c:strRef>
              <c:f>Part1!$B$118</c:f>
              <c:strCache>
                <c:ptCount val="1"/>
                <c:pt idx="0">
                  <c:v>SR22T</c:v>
                </c:pt>
              </c:strCache>
            </c:strRef>
          </c:tx>
          <c:spPr>
            <a:solidFill>
              <a:srgbClr val="E6B9B8"/>
            </a:solidFill>
            <a:ln w="9525" cap="flat" cmpd="sng">
              <a:noFill/>
              <a:prstDash val="solid"/>
            </a:ln>
            <a:effectLst/>
            <a:sp3d contourW="9525"/>
          </c:spPr>
          <c:invertIfNegative val="0"/>
          <c:dLbls>
            <c:delete val="1"/>
          </c:dLbls>
          <c:cat>
            <c:numRef>
              <c:f>Part1!$C$115:$E$115</c:f>
              <c:numCache>
                <c:formatCode>General</c:formatCode>
                <c:ptCount val="3"/>
                <c:pt idx="0">
                  <c:v>2021</c:v>
                </c:pt>
                <c:pt idx="1">
                  <c:v>2022</c:v>
                </c:pt>
                <c:pt idx="2">
                  <c:v>2023</c:v>
                </c:pt>
              </c:numCache>
            </c:numRef>
          </c:cat>
          <c:val>
            <c:numRef>
              <c:f>Part1!$C$118:$E$118</c:f>
              <c:numCache>
                <c:formatCode>General</c:formatCode>
                <c:ptCount val="3"/>
                <c:pt idx="0">
                  <c:v>230.1</c:v>
                </c:pt>
                <c:pt idx="1">
                  <c:v>293.004</c:v>
                </c:pt>
                <c:pt idx="2">
                  <c:v>404.983</c:v>
                </c:pt>
              </c:numCache>
            </c:numRef>
          </c:val>
        </c:ser>
        <c:ser>
          <c:idx val="3"/>
          <c:order val="3"/>
          <c:tx>
            <c:strRef>
              <c:f>Part1!$B$119</c:f>
              <c:strCache>
                <c:ptCount val="1"/>
                <c:pt idx="0">
                  <c:v>Vision Jet</c:v>
                </c:pt>
              </c:strCache>
            </c:strRef>
          </c:tx>
          <c:spPr>
            <a:solidFill>
              <a:srgbClr val="A5A5A5"/>
            </a:solidFill>
            <a:ln>
              <a:solidFill>
                <a:schemeClr val="bg1"/>
              </a:solidFill>
            </a:ln>
            <a:effectLst/>
          </c:spPr>
          <c:invertIfNegative val="0"/>
          <c:dLbls>
            <c:delete val="1"/>
          </c:dLbls>
          <c:cat>
            <c:numRef>
              <c:f>Part1!$C$115:$E$115</c:f>
              <c:numCache>
                <c:formatCode>General</c:formatCode>
                <c:ptCount val="3"/>
                <c:pt idx="0">
                  <c:v>2021</c:v>
                </c:pt>
                <c:pt idx="1">
                  <c:v>2022</c:v>
                </c:pt>
                <c:pt idx="2">
                  <c:v>2023</c:v>
                </c:pt>
              </c:numCache>
            </c:numRef>
          </c:cat>
          <c:val>
            <c:numRef>
              <c:f>Part1!$C$119:$E$119</c:f>
              <c:numCache>
                <c:formatCode>General</c:formatCode>
                <c:ptCount val="3"/>
                <c:pt idx="0">
                  <c:v>234.974</c:v>
                </c:pt>
                <c:pt idx="1">
                  <c:v>266.915</c:v>
                </c:pt>
                <c:pt idx="2">
                  <c:v>302.314</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176970277363978"/>
          <c:y val="0.0147791433298692"/>
          <c:w val="0.742834710157545"/>
          <c:h val="0.0693205278378722"/>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24180db2-9ddf-410a-b5d5-5430d8ddccfa}"/>
      </c:ext>
    </c:extLst>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13941017789443"/>
          <c:w val="0.90411833529931"/>
          <c:h val="0.730675123942841"/>
        </c:manualLayout>
      </c:layout>
      <c:barChart>
        <c:barDir val="col"/>
        <c:grouping val="percentStacked"/>
        <c:varyColors val="0"/>
        <c:ser>
          <c:idx val="0"/>
          <c:order val="0"/>
          <c:tx>
            <c:strRef>
              <c:f>Part1!$B$129</c:f>
              <c:strCache>
                <c:ptCount val="1"/>
                <c:pt idx="0">
                  <c:v>SR20</c:v>
                </c:pt>
              </c:strCache>
            </c:strRef>
          </c:tx>
          <c:spPr>
            <a:solidFill>
              <a:srgbClr val="002060"/>
            </a:solidFill>
            <a:ln>
              <a:noFill/>
            </a:ln>
            <a:effectLst/>
          </c:spPr>
          <c:invertIfNegative val="0"/>
          <c:dLbls>
            <c:delete val="1"/>
          </c:dLbls>
          <c:cat>
            <c:numRef>
              <c:f>Part1!$C$128:$E$128</c:f>
              <c:numCache>
                <c:formatCode>General</c:formatCode>
                <c:ptCount val="3"/>
                <c:pt idx="0">
                  <c:v>2021</c:v>
                </c:pt>
                <c:pt idx="1">
                  <c:v>2022</c:v>
                </c:pt>
                <c:pt idx="2">
                  <c:v>2023</c:v>
                </c:pt>
              </c:numCache>
            </c:numRef>
          </c:cat>
          <c:val>
            <c:numRef>
              <c:f>Part1!$C$129:$E$129</c:f>
              <c:numCache>
                <c:formatCode>0.00</c:formatCode>
                <c:ptCount val="3"/>
                <c:pt idx="0">
                  <c:v>0.526148148148148</c:v>
                </c:pt>
                <c:pt idx="1">
                  <c:v>0.57049</c:v>
                </c:pt>
                <c:pt idx="2">
                  <c:v>0.606</c:v>
                </c:pt>
              </c:numCache>
            </c:numRef>
          </c:val>
        </c:ser>
        <c:ser>
          <c:idx val="1"/>
          <c:order val="1"/>
          <c:tx>
            <c:strRef>
              <c:f>Part1!$B$130</c:f>
              <c:strCache>
                <c:ptCount val="1"/>
                <c:pt idx="0">
                  <c:v>SR22</c:v>
                </c:pt>
              </c:strCache>
            </c:strRef>
          </c:tx>
          <c:spPr>
            <a:solidFill>
              <a:srgbClr val="E97132">
                <a:lumMod val="75000"/>
              </a:srgbClr>
            </a:solidFill>
            <a:ln>
              <a:noFill/>
            </a:ln>
            <a:effectLst/>
          </c:spPr>
          <c:invertIfNegative val="0"/>
          <c:dLbls>
            <c:delete val="1"/>
          </c:dLbls>
          <c:cat>
            <c:numRef>
              <c:f>Part1!$C$128:$E$128</c:f>
              <c:numCache>
                <c:formatCode>General</c:formatCode>
                <c:ptCount val="3"/>
                <c:pt idx="0">
                  <c:v>2021</c:v>
                </c:pt>
                <c:pt idx="1">
                  <c:v>2022</c:v>
                </c:pt>
                <c:pt idx="2">
                  <c:v>2023</c:v>
                </c:pt>
              </c:numCache>
            </c:numRef>
          </c:cat>
          <c:val>
            <c:numRef>
              <c:f>Part1!$C$130:$E$130</c:f>
              <c:numCache>
                <c:formatCode>0.00</c:formatCode>
                <c:ptCount val="3"/>
                <c:pt idx="0">
                  <c:v>0.854351145038168</c:v>
                </c:pt>
                <c:pt idx="1">
                  <c:v>0.897937106918239</c:v>
                </c:pt>
                <c:pt idx="2">
                  <c:v>0.976528169014085</c:v>
                </c:pt>
              </c:numCache>
            </c:numRef>
          </c:val>
        </c:ser>
        <c:ser>
          <c:idx val="2"/>
          <c:order val="2"/>
          <c:tx>
            <c:strRef>
              <c:f>Part1!$B$131</c:f>
              <c:strCache>
                <c:ptCount val="1"/>
                <c:pt idx="0">
                  <c:v>SR22T</c:v>
                </c:pt>
              </c:strCache>
            </c:strRef>
          </c:tx>
          <c:spPr>
            <a:solidFill>
              <a:srgbClr val="E6B9B8"/>
            </a:solidFill>
            <a:ln w="9525" cap="flat" cmpd="sng">
              <a:noFill/>
              <a:prstDash val="solid"/>
            </a:ln>
            <a:effectLst/>
            <a:sp3d contourW="9525"/>
          </c:spPr>
          <c:invertIfNegative val="0"/>
          <c:dLbls>
            <c:delete val="1"/>
          </c:dLbls>
          <c:cat>
            <c:numRef>
              <c:f>Part1!$C$128:$E$128</c:f>
              <c:numCache>
                <c:formatCode>General</c:formatCode>
                <c:ptCount val="3"/>
                <c:pt idx="0">
                  <c:v>2021</c:v>
                </c:pt>
                <c:pt idx="1">
                  <c:v>2022</c:v>
                </c:pt>
                <c:pt idx="2">
                  <c:v>2023</c:v>
                </c:pt>
              </c:numCache>
            </c:numRef>
          </c:cat>
          <c:val>
            <c:numRef>
              <c:f>Part1!$C$131:$E$131</c:f>
              <c:numCache>
                <c:formatCode>0.00</c:formatCode>
                <c:ptCount val="3"/>
                <c:pt idx="0">
                  <c:v>1.0004347826087</c:v>
                </c:pt>
                <c:pt idx="1">
                  <c:v>1.04644285714286</c:v>
                </c:pt>
                <c:pt idx="2">
                  <c:v>1.14079718309859</c:v>
                </c:pt>
              </c:numCache>
            </c:numRef>
          </c:val>
        </c:ser>
        <c:ser>
          <c:idx val="3"/>
          <c:order val="3"/>
          <c:tx>
            <c:strRef>
              <c:f>Part1!$B$132</c:f>
              <c:strCache>
                <c:ptCount val="1"/>
                <c:pt idx="0">
                  <c:v>Vision Jet</c:v>
                </c:pt>
              </c:strCache>
            </c:strRef>
          </c:tx>
          <c:spPr>
            <a:solidFill>
              <a:srgbClr val="A5A5A5"/>
            </a:solidFill>
            <a:ln>
              <a:solidFill>
                <a:schemeClr val="bg1"/>
              </a:solidFill>
            </a:ln>
            <a:effectLst/>
          </c:spPr>
          <c:invertIfNegative val="0"/>
          <c:dLbls>
            <c:delete val="1"/>
          </c:dLbls>
          <c:cat>
            <c:numRef>
              <c:f>Part1!$C$128:$E$128</c:f>
              <c:numCache>
                <c:formatCode>General</c:formatCode>
                <c:ptCount val="3"/>
                <c:pt idx="0">
                  <c:v>2021</c:v>
                </c:pt>
                <c:pt idx="1">
                  <c:v>2022</c:v>
                </c:pt>
                <c:pt idx="2">
                  <c:v>2023</c:v>
                </c:pt>
              </c:numCache>
            </c:numRef>
          </c:cat>
          <c:val>
            <c:numRef>
              <c:f>Part1!$C$132:$E$132</c:f>
              <c:numCache>
                <c:formatCode>0.00</c:formatCode>
                <c:ptCount val="3"/>
                <c:pt idx="0">
                  <c:v>2.73225581395349</c:v>
                </c:pt>
                <c:pt idx="1">
                  <c:v>2.96572222222222</c:v>
                </c:pt>
                <c:pt idx="2">
                  <c:v>3.14910416666667</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124691336348008"/>
          <c:y val="0.0152726742490522"/>
          <c:w val="0.72594753954965"/>
          <c:h val="0.0669418926800817"/>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24180db2-9ddf-410a-b5d5-5430d8ddccfa}"/>
      </c:ext>
    </c:extLst>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718364584167971"/>
          <c:y val="0.23674588301906"/>
          <c:w val="0.931162239562145"/>
          <c:h val="0.619563915385425"/>
        </c:manualLayout>
      </c:layout>
      <c:barChart>
        <c:barDir val="col"/>
        <c:grouping val="percentStacked"/>
        <c:varyColors val="0"/>
        <c:ser>
          <c:idx val="0"/>
          <c:order val="0"/>
          <c:tx>
            <c:strRef>
              <c:f>Part1!$B$144</c:f>
              <c:strCache>
                <c:ptCount val="1"/>
                <c:pt idx="0">
                  <c:v>售后配件/维护</c:v>
                </c:pt>
              </c:strCache>
            </c:strRef>
          </c:tx>
          <c:spPr>
            <a:solidFill>
              <a:srgbClr val="002060"/>
            </a:solidFill>
            <a:ln>
              <a:noFill/>
            </a:ln>
            <a:effectLst/>
          </c:spPr>
          <c:invertIfNegative val="0"/>
          <c:dLbls>
            <c:delete val="1"/>
          </c:dLbls>
          <c:cat>
            <c:numRef>
              <c:f>Part1!$C$143:$E$143</c:f>
              <c:numCache>
                <c:formatCode>General</c:formatCode>
                <c:ptCount val="3"/>
                <c:pt idx="0">
                  <c:v>2021</c:v>
                </c:pt>
                <c:pt idx="1">
                  <c:v>2022</c:v>
                </c:pt>
                <c:pt idx="2">
                  <c:v>2023</c:v>
                </c:pt>
              </c:numCache>
            </c:numRef>
          </c:cat>
          <c:val>
            <c:numRef>
              <c:f>Part1!$C$144:$E$144</c:f>
              <c:numCache>
                <c:formatCode>#,##0</c:formatCode>
                <c:ptCount val="3"/>
                <c:pt idx="0">
                  <c:v>47996</c:v>
                </c:pt>
                <c:pt idx="1">
                  <c:v>63996</c:v>
                </c:pt>
                <c:pt idx="2">
                  <c:v>80711</c:v>
                </c:pt>
              </c:numCache>
            </c:numRef>
          </c:val>
        </c:ser>
        <c:ser>
          <c:idx val="1"/>
          <c:order val="1"/>
          <c:tx>
            <c:strRef>
              <c:f>Part1!$B$145</c:f>
              <c:strCache>
                <c:ptCount val="1"/>
                <c:pt idx="0">
                  <c:v>培训</c:v>
                </c:pt>
              </c:strCache>
            </c:strRef>
          </c:tx>
          <c:spPr>
            <a:solidFill>
              <a:srgbClr val="E97132">
                <a:lumMod val="75000"/>
              </a:srgbClr>
            </a:solidFill>
            <a:ln>
              <a:noFill/>
            </a:ln>
            <a:effectLst/>
          </c:spPr>
          <c:invertIfNegative val="0"/>
          <c:dLbls>
            <c:delete val="1"/>
          </c:dLbls>
          <c:cat>
            <c:numRef>
              <c:f>Part1!$C$143:$E$143</c:f>
              <c:numCache>
                <c:formatCode>General</c:formatCode>
                <c:ptCount val="3"/>
                <c:pt idx="0">
                  <c:v>2021</c:v>
                </c:pt>
                <c:pt idx="1">
                  <c:v>2022</c:v>
                </c:pt>
                <c:pt idx="2">
                  <c:v>2023</c:v>
                </c:pt>
              </c:numCache>
            </c:numRef>
          </c:cat>
          <c:val>
            <c:numRef>
              <c:f>Part1!$C$145:$E$145</c:f>
              <c:numCache>
                <c:formatCode>#,##0</c:formatCode>
                <c:ptCount val="3"/>
                <c:pt idx="0">
                  <c:v>12712</c:v>
                </c:pt>
                <c:pt idx="1">
                  <c:v>15787</c:v>
                </c:pt>
                <c:pt idx="2">
                  <c:v>19800</c:v>
                </c:pt>
              </c:numCache>
            </c:numRef>
          </c:val>
        </c:ser>
        <c:ser>
          <c:idx val="2"/>
          <c:order val="2"/>
          <c:tx>
            <c:strRef>
              <c:f>Part1!$B$146</c:f>
              <c:strCache>
                <c:ptCount val="1"/>
                <c:pt idx="0">
                  <c:v>二手飞机</c:v>
                </c:pt>
              </c:strCache>
            </c:strRef>
          </c:tx>
          <c:spPr>
            <a:solidFill>
              <a:srgbClr val="E6B9B8"/>
            </a:solidFill>
            <a:ln>
              <a:noFill/>
            </a:ln>
            <a:effectLst/>
            <a:sp3d contourW="9525"/>
          </c:spPr>
          <c:invertIfNegative val="0"/>
          <c:dLbls>
            <c:delete val="1"/>
          </c:dLbls>
          <c:cat>
            <c:numRef>
              <c:f>Part1!$C$143:$E$143</c:f>
              <c:numCache>
                <c:formatCode>General</c:formatCode>
                <c:ptCount val="3"/>
                <c:pt idx="0">
                  <c:v>2021</c:v>
                </c:pt>
                <c:pt idx="1">
                  <c:v>2022</c:v>
                </c:pt>
                <c:pt idx="2">
                  <c:v>2023</c:v>
                </c:pt>
              </c:numCache>
            </c:numRef>
          </c:cat>
          <c:val>
            <c:numRef>
              <c:f>Part1!$C$146:$E$146</c:f>
              <c:numCache>
                <c:formatCode>#,##0</c:formatCode>
                <c:ptCount val="3"/>
                <c:pt idx="0">
                  <c:v>10320</c:v>
                </c:pt>
                <c:pt idx="1">
                  <c:v>23611</c:v>
                </c:pt>
                <c:pt idx="2">
                  <c:v>26648</c:v>
                </c:pt>
              </c:numCache>
            </c:numRef>
          </c:val>
        </c:ser>
        <c:ser>
          <c:idx val="3"/>
          <c:order val="3"/>
          <c:tx>
            <c:strRef>
              <c:f>Part1!$B$147</c:f>
              <c:strCache>
                <c:ptCount val="1"/>
                <c:pt idx="0">
                  <c:v>其他</c:v>
                </c:pt>
              </c:strCache>
            </c:strRef>
          </c:tx>
          <c:spPr>
            <a:solidFill>
              <a:srgbClr val="A5A5A5"/>
            </a:solidFill>
            <a:ln>
              <a:noFill/>
            </a:ln>
            <a:effectLst/>
          </c:spPr>
          <c:invertIfNegative val="0"/>
          <c:dLbls>
            <c:delete val="1"/>
          </c:dLbls>
          <c:cat>
            <c:numRef>
              <c:f>Part1!$C$143:$E$143</c:f>
              <c:numCache>
                <c:formatCode>General</c:formatCode>
                <c:ptCount val="3"/>
                <c:pt idx="0">
                  <c:v>2021</c:v>
                </c:pt>
                <c:pt idx="1">
                  <c:v>2022</c:v>
                </c:pt>
                <c:pt idx="2">
                  <c:v>2023</c:v>
                </c:pt>
              </c:numCache>
            </c:numRef>
          </c:cat>
          <c:val>
            <c:numRef>
              <c:f>Part1!$C$147:$E$147</c:f>
              <c:numCache>
                <c:formatCode>#,##0</c:formatCode>
                <c:ptCount val="3"/>
                <c:pt idx="0">
                  <c:v>47490</c:v>
                </c:pt>
                <c:pt idx="1">
                  <c:v>30948</c:v>
                </c:pt>
                <c:pt idx="2">
                  <c:v>24895</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014795265276748"/>
          <c:y val="0.0291616038882139"/>
          <c:w val="0.72992782152231"/>
          <c:h val="0.0669418926800817"/>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24180db2-9ddf-410a-b5d5-5430d8ddccfa}"/>
      </c:ext>
    </c:extLst>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[西锐底稿.xlsx]Part1!$G$87</c:f>
              <c:strCache>
                <c:ptCount val="1"/>
                <c:pt idx="0">
                  <c:v>毛利润</c:v>
                </c:pt>
              </c:strCache>
            </c:strRef>
          </c:tx>
          <c:spPr>
            <a:solidFill>
              <a:srgbClr val="002060"/>
            </a:solidFill>
            <a:ln w="25400">
              <a:noFill/>
            </a:ln>
            <a:effectLst/>
          </c:spPr>
          <c:invertIfNegative val="0"/>
          <c:dLbls>
            <c:delete val="1"/>
          </c:dLbls>
          <c:cat>
            <c:numRef>
              <c:f>[西锐底稿.xlsx]Part1!$H$86:$L$86</c:f>
              <c:numCache>
                <c:formatCode>General</c:formatCode>
                <c:ptCount val="5"/>
                <c:pt idx="0">
                  <c:v>2020</c:v>
                </c:pt>
                <c:pt idx="1">
                  <c:v>2021</c:v>
                </c:pt>
                <c:pt idx="2">
                  <c:v>2022</c:v>
                </c:pt>
                <c:pt idx="3">
                  <c:v>2023</c:v>
                </c:pt>
                <c:pt idx="4">
                  <c:v>2024</c:v>
                </c:pt>
              </c:numCache>
            </c:numRef>
          </c:cat>
          <c:val>
            <c:numRef>
              <c:f>[西锐底稿.xlsx]Part1!$H$87:$L$87</c:f>
              <c:numCache>
                <c:formatCode>0.00</c:formatCode>
                <c:ptCount val="5"/>
                <c:pt idx="0">
                  <c:v>185.32136</c:v>
                </c:pt>
                <c:pt idx="1">
                  <c:v>242.254266</c:v>
                </c:pt>
                <c:pt idx="2">
                  <c:v>298.086272</c:v>
                </c:pt>
                <c:pt idx="3">
                  <c:v>364.729736</c:v>
                </c:pt>
                <c:pt idx="4">
                  <c:v>413.608415</c:v>
                </c:pt>
              </c:numCache>
            </c:numRef>
          </c:val>
        </c:ser>
        <c:ser>
          <c:idx val="2"/>
          <c:order val="2"/>
          <c:tx>
            <c:strRef>
              <c:f>[西锐底稿.xlsx]Part1!$G$89</c:f>
              <c:strCache>
                <c:ptCount val="1"/>
                <c:pt idx="0">
                  <c:v>净利润</c:v>
                </c:pt>
              </c:strCache>
            </c:strRef>
          </c:tx>
          <c:spPr>
            <a:solidFill>
              <a:srgbClr val="A5A5A5"/>
            </a:solidFill>
            <a:ln w="25400">
              <a:noFill/>
            </a:ln>
            <a:effectLst/>
          </c:spPr>
          <c:invertIfNegative val="0"/>
          <c:dLbls>
            <c:delete val="1"/>
          </c:dLbls>
          <c:cat>
            <c:numRef>
              <c:f>[西锐底稿.xlsx]Part1!$H$86:$L$86</c:f>
              <c:numCache>
                <c:formatCode>General</c:formatCode>
                <c:ptCount val="5"/>
                <c:pt idx="0">
                  <c:v>2020</c:v>
                </c:pt>
                <c:pt idx="1">
                  <c:v>2021</c:v>
                </c:pt>
                <c:pt idx="2">
                  <c:v>2022</c:v>
                </c:pt>
                <c:pt idx="3">
                  <c:v>2023</c:v>
                </c:pt>
                <c:pt idx="4">
                  <c:v>2024</c:v>
                </c:pt>
              </c:numCache>
            </c:numRef>
          </c:cat>
          <c:val>
            <c:numRef>
              <c:f>[西锐底稿.xlsx]Part1!$H$89:$L$89</c:f>
              <c:numCache>
                <c:formatCode>0.00</c:formatCode>
                <c:ptCount val="5"/>
                <c:pt idx="0">
                  <c:v>36.125936</c:v>
                </c:pt>
                <c:pt idx="1">
                  <c:v>72.410553</c:v>
                </c:pt>
                <c:pt idx="2">
                  <c:v>88.06688</c:v>
                </c:pt>
                <c:pt idx="3">
                  <c:v>91.182434</c:v>
                </c:pt>
                <c:pt idx="4">
                  <c:v>120.790417</c:v>
                </c:pt>
              </c:numCache>
            </c:numRef>
          </c:val>
        </c:ser>
        <c:dLbls>
          <c:showLegendKey val="0"/>
          <c:showVal val="0"/>
          <c:showCatName val="0"/>
          <c:showSerName val="0"/>
          <c:showPercent val="0"/>
          <c:showBubbleSize val="0"/>
        </c:dLbls>
        <c:gapWidth val="219"/>
        <c:overlap val="-27"/>
        <c:axId val="1162810192"/>
        <c:axId val="1162808272"/>
      </c:barChart>
      <c:lineChart>
        <c:grouping val="standard"/>
        <c:varyColors val="0"/>
        <c:ser>
          <c:idx val="1"/>
          <c:order val="1"/>
          <c:tx>
            <c:strRef>
              <c:f>[西锐底稿.xlsx]Part1!$G$88</c:f>
              <c:strCache>
                <c:ptCount val="1"/>
                <c:pt idx="0">
                  <c:v>yoy</c:v>
                </c:pt>
              </c:strCache>
            </c:strRef>
          </c:tx>
          <c:spPr>
            <a:ln w="28575" cap="rnd">
              <a:solidFill>
                <a:srgbClr val="002060"/>
              </a:solidFill>
              <a:round/>
            </a:ln>
            <a:effectLst/>
          </c:spPr>
          <c:marker>
            <c:symbol val="none"/>
          </c:marker>
          <c:dLbls>
            <c:delete val="1"/>
          </c:dLbls>
          <c:cat>
            <c:numRef>
              <c:f>[西锐底稿.xlsx]Part1!$H$86:$L$86</c:f>
              <c:numCache>
                <c:formatCode>General</c:formatCode>
                <c:ptCount val="5"/>
                <c:pt idx="0">
                  <c:v>2020</c:v>
                </c:pt>
                <c:pt idx="1">
                  <c:v>2021</c:v>
                </c:pt>
                <c:pt idx="2">
                  <c:v>2022</c:v>
                </c:pt>
                <c:pt idx="3">
                  <c:v>2023</c:v>
                </c:pt>
                <c:pt idx="4">
                  <c:v>2024</c:v>
                </c:pt>
              </c:numCache>
            </c:numRef>
          </c:cat>
          <c:val>
            <c:numRef>
              <c:f>[西锐底稿.xlsx]Part1!$H$88:$L$88</c:f>
              <c:numCache>
                <c:formatCode>General</c:formatCode>
                <c:ptCount val="5"/>
                <c:pt idx="1" c:formatCode="0.00%">
                  <c:v>0.307211786056394</c:v>
                </c:pt>
                <c:pt idx="2" c:formatCode="0.00%">
                  <c:v>0.230468618455619</c:v>
                </c:pt>
                <c:pt idx="3" c:formatCode="0.00%">
                  <c:v>0.223571060662599</c:v>
                </c:pt>
                <c:pt idx="4" c:formatCode="0.00%">
                  <c:v>0.134013419185542</c:v>
                </c:pt>
              </c:numCache>
            </c:numRef>
          </c:val>
          <c:smooth val="0"/>
        </c:ser>
        <c:ser>
          <c:idx val="3"/>
          <c:order val="3"/>
          <c:tx>
            <c:strRef>
              <c:f>[西锐底稿.xlsx]Part1!$G$90</c:f>
              <c:strCache>
                <c:ptCount val="1"/>
                <c:pt idx="0">
                  <c:v>yoy</c:v>
                </c:pt>
              </c:strCache>
            </c:strRef>
          </c:tx>
          <c:spPr>
            <a:ln w="28575" cap="rnd">
              <a:solidFill>
                <a:srgbClr val="A5A5A5"/>
              </a:solidFill>
              <a:round/>
            </a:ln>
            <a:effectLst/>
          </c:spPr>
          <c:marker>
            <c:symbol val="none"/>
          </c:marker>
          <c:dLbls>
            <c:delete val="1"/>
          </c:dLbls>
          <c:cat>
            <c:numRef>
              <c:f>[西锐底稿.xlsx]Part1!$H$86:$L$86</c:f>
              <c:numCache>
                <c:formatCode>General</c:formatCode>
                <c:ptCount val="5"/>
                <c:pt idx="0">
                  <c:v>2020</c:v>
                </c:pt>
                <c:pt idx="1">
                  <c:v>2021</c:v>
                </c:pt>
                <c:pt idx="2">
                  <c:v>2022</c:v>
                </c:pt>
                <c:pt idx="3">
                  <c:v>2023</c:v>
                </c:pt>
                <c:pt idx="4">
                  <c:v>2024</c:v>
                </c:pt>
              </c:numCache>
            </c:numRef>
          </c:cat>
          <c:val>
            <c:numRef>
              <c:f>[西锐底稿.xlsx]Part1!$H$90:$L$90</c:f>
              <c:numCache>
                <c:formatCode>General</c:formatCode>
                <c:ptCount val="5"/>
                <c:pt idx="1" c:formatCode="0.0%">
                  <c:v>1.00439243982495</c:v>
                </c:pt>
                <c:pt idx="2" c:formatCode="0.0%">
                  <c:v>0.216216094910917</c:v>
                </c:pt>
                <c:pt idx="3" c:formatCode="0.0%">
                  <c:v>0.0353771361038338</c:v>
                </c:pt>
                <c:pt idx="4" c:formatCode="0.0%">
                  <c:v>0.324711478967539</c:v>
                </c:pt>
              </c:numCache>
            </c:numRef>
          </c:val>
          <c:smooth val="0"/>
        </c:ser>
        <c:dLbls>
          <c:showLegendKey val="0"/>
          <c:showVal val="0"/>
          <c:showCatName val="0"/>
          <c:showSerName val="0"/>
          <c:showPercent val="0"/>
          <c:showBubbleSize val="0"/>
        </c:dLbls>
        <c:marker val="0"/>
        <c:smooth val="0"/>
        <c:axId val="1162807312"/>
        <c:axId val="1162812112"/>
      </c:lineChart>
      <c:catAx>
        <c:axId val="1162810192"/>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08272"/>
        <c:crosses val="autoZero"/>
        <c:auto val="1"/>
        <c:lblAlgn val="ctr"/>
        <c:lblOffset val="100"/>
        <c:noMultiLvlLbl val="0"/>
      </c:catAx>
      <c:valAx>
        <c:axId val="1162808272"/>
        <c:scaling>
          <c:orientation val="minMax"/>
        </c:scaling>
        <c:delete val="0"/>
        <c:axPos val="l"/>
        <c:majorGridlines>
          <c:spPr>
            <a:ln w="9525" cap="flat" cmpd="sng" algn="ctr">
              <a:noFill/>
              <a:round/>
            </a:ln>
            <a:effectLst/>
          </c:spPr>
        </c:majorGridlines>
        <c:numFmt formatCode="#,##0.0_);[Red]\(#,##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10192"/>
        <c:crosses val="autoZero"/>
        <c:crossBetween val="between"/>
      </c:valAx>
      <c:catAx>
        <c:axId val="1162807312"/>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12112"/>
        <c:crosses val="autoZero"/>
        <c:auto val="1"/>
        <c:lblAlgn val="ctr"/>
        <c:lblOffset val="100"/>
        <c:noMultiLvlLbl val="0"/>
      </c:catAx>
      <c:valAx>
        <c:axId val="1162812112"/>
        <c:scaling>
          <c:orientation val="minMax"/>
        </c:scaling>
        <c:delete val="0"/>
        <c:axPos val="r"/>
        <c:numFmt formatCode="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07312"/>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257e32a2-7590-41b1-b7c6-5119a271d04e}"/>
      </c:ext>
    </c:extLst>
  </c:chart>
  <c:spPr>
    <a:noFill/>
    <a:ln w="9525" cap="flat" cmpd="sng" algn="ctr">
      <a:noFill/>
      <a:round/>
    </a:ln>
    <a:effectLst/>
  </c:spPr>
  <c:txPr>
    <a:bodyPr/>
    <a:lstStyle/>
    <a:p>
      <a:pPr>
        <a:defRPr lang="zh-CN" sz="700"/>
      </a:pPr>
    </a:p>
  </c:txPr>
  <c:externalData r:id="rId1">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875590354721999"/>
          <c:y val="0.158663874836293"/>
          <c:w val="0.9124409645278"/>
          <c:h val="0.751280547325263"/>
        </c:manualLayout>
      </c:layout>
      <c:barChart>
        <c:barDir val="col"/>
        <c:grouping val="clustered"/>
        <c:varyColors val="0"/>
        <c:ser>
          <c:idx val="0"/>
          <c:order val="0"/>
          <c:tx>
            <c:strRef>
              <c:f>[西锐底稿.xlsx]Part1!$G$82</c:f>
              <c:strCache>
                <c:ptCount val="1"/>
                <c:pt idx="0">
                  <c:v>毛利率</c:v>
                </c:pt>
              </c:strCache>
            </c:strRef>
          </c:tx>
          <c:spPr>
            <a:solidFill>
              <a:srgbClr val="002060"/>
            </a:solidFill>
            <a:ln w="25400">
              <a:noFill/>
            </a:ln>
            <a:effectLst/>
          </c:spPr>
          <c:invertIfNegative val="0"/>
          <c:dLbls>
            <c:delete val="1"/>
          </c:dLbls>
          <c:cat>
            <c:strRef>
              <c:f>[西锐底稿.xlsx]Part1!$H$81:$M$81</c:f>
              <c:strCache>
                <c:ptCount val="6"/>
                <c:pt idx="0">
                  <c:v>2020</c:v>
                </c:pt>
                <c:pt idx="1">
                  <c:v>2021</c:v>
                </c:pt>
                <c:pt idx="2">
                  <c:v>2022</c:v>
                </c:pt>
                <c:pt idx="3">
                  <c:v>2023</c:v>
                </c:pt>
                <c:pt idx="4">
                  <c:v>2024</c:v>
                </c:pt>
                <c:pt idx="5">
                  <c:v>2025H1</c:v>
                </c:pt>
              </c:strCache>
            </c:strRef>
          </c:cat>
          <c:val>
            <c:numRef>
              <c:f>[西锐底稿.xlsx]Part1!$H$82:$M$82</c:f>
              <c:numCache>
                <c:formatCode>0.00%</c:formatCode>
                <c:ptCount val="6"/>
                <c:pt idx="0">
                  <c:v>0.316</c:v>
                </c:pt>
                <c:pt idx="1">
                  <c:v>0.3282</c:v>
                </c:pt>
                <c:pt idx="2">
                  <c:v>0.3334</c:v>
                </c:pt>
                <c:pt idx="3">
                  <c:v>0.3416</c:v>
                </c:pt>
                <c:pt idx="4">
                  <c:v>0.3455</c:v>
                </c:pt>
                <c:pt idx="5">
                  <c:v>0.3617</c:v>
                </c:pt>
              </c:numCache>
            </c:numRef>
          </c:val>
        </c:ser>
        <c:ser>
          <c:idx val="1"/>
          <c:order val="1"/>
          <c:tx>
            <c:strRef>
              <c:f>[西锐底稿.xlsx]Part1!$G$83</c:f>
              <c:strCache>
                <c:ptCount val="1"/>
                <c:pt idx="0">
                  <c:v>净利率</c:v>
                </c:pt>
              </c:strCache>
            </c:strRef>
          </c:tx>
          <c:spPr>
            <a:solidFill>
              <a:srgbClr val="A5A5A5"/>
            </a:solidFill>
            <a:ln>
              <a:noFill/>
            </a:ln>
            <a:effectLst/>
          </c:spPr>
          <c:invertIfNegative val="0"/>
          <c:dLbls>
            <c:delete val="1"/>
          </c:dLbls>
          <c:cat>
            <c:strRef>
              <c:f>[西锐底稿.xlsx]Part1!$H$81:$M$81</c:f>
              <c:strCache>
                <c:ptCount val="6"/>
                <c:pt idx="0">
                  <c:v>2020</c:v>
                </c:pt>
                <c:pt idx="1">
                  <c:v>2021</c:v>
                </c:pt>
                <c:pt idx="2">
                  <c:v>2022</c:v>
                </c:pt>
                <c:pt idx="3">
                  <c:v>2023</c:v>
                </c:pt>
                <c:pt idx="4">
                  <c:v>2024</c:v>
                </c:pt>
                <c:pt idx="5">
                  <c:v>2025H1</c:v>
                </c:pt>
              </c:strCache>
            </c:strRef>
          </c:cat>
          <c:val>
            <c:numRef>
              <c:f>[西锐底稿.xlsx]Part1!$H$83:$M$83</c:f>
              <c:numCache>
                <c:formatCode>0.00%</c:formatCode>
                <c:ptCount val="6"/>
                <c:pt idx="0">
                  <c:v>0.0616</c:v>
                </c:pt>
                <c:pt idx="1">
                  <c:v>0.0981</c:v>
                </c:pt>
                <c:pt idx="2">
                  <c:v>0.0985</c:v>
                </c:pt>
                <c:pt idx="3">
                  <c:v>0.0854</c:v>
                </c:pt>
                <c:pt idx="4">
                  <c:v>0.1009</c:v>
                </c:pt>
                <c:pt idx="5">
                  <c:v>0.1093</c:v>
                </c:pt>
              </c:numCache>
            </c:numRef>
          </c:val>
        </c:ser>
        <c:dLbls>
          <c:showLegendKey val="0"/>
          <c:showVal val="0"/>
          <c:showCatName val="0"/>
          <c:showSerName val="0"/>
          <c:showPercent val="0"/>
          <c:showBubbleSize val="0"/>
        </c:dLbls>
        <c:gapWidth val="150"/>
        <c:axId val="1162810192"/>
        <c:axId val="1162808272"/>
      </c:barChart>
      <c:catAx>
        <c:axId val="1162810192"/>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08272"/>
        <c:crosses val="autoZero"/>
        <c:auto val="1"/>
        <c:lblAlgn val="ctr"/>
        <c:lblOffset val="100"/>
        <c:noMultiLvlLbl val="0"/>
      </c:catAx>
      <c:valAx>
        <c:axId val="1162808272"/>
        <c:scaling>
          <c:orientation val="minMax"/>
        </c:scaling>
        <c:delete val="0"/>
        <c:axPos val="l"/>
        <c:majorGridlines>
          <c:spPr>
            <a:ln w="9525" cap="flat" cmpd="sng" algn="ctr">
              <a:noFill/>
              <a:round/>
            </a:ln>
            <a:effectLst/>
          </c:spPr>
        </c:majorGridlines>
        <c:numFmt formatCode="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10192"/>
        <c:crosses val="autoZero"/>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257e32a2-7590-41b1-b7c6-5119a271d04e}"/>
      </c:ext>
    </c:extLst>
  </c:chart>
  <c:spPr>
    <a:noFill/>
    <a:ln w="9525" cap="flat" cmpd="sng" algn="ctr">
      <a:noFill/>
      <a:round/>
    </a:ln>
    <a:effectLst/>
  </c:spPr>
  <c:txPr>
    <a:bodyPr/>
    <a:lstStyle/>
    <a:p>
      <a:pPr>
        <a:defRPr lang="zh-CN" sz="700"/>
      </a:pPr>
    </a:p>
  </c:txPr>
  <c:externalData r:id="rId1">
    <c:autoUpdate val="0"/>
  </c:externalData>
</c:chartSpace>
</file>

<file path=word/charts/chart3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6402887139108"/>
          <c:y val="0.236214639836687"/>
          <c:w val="0.883597112860892"/>
          <c:h val="0.67244276757072"/>
        </c:manualLayout>
      </c:layout>
      <c:barChart>
        <c:barDir val="col"/>
        <c:grouping val="clustered"/>
        <c:varyColors val="0"/>
        <c:ser>
          <c:idx val="0"/>
          <c:order val="0"/>
          <c:tx>
            <c:strRef>
              <c:f>[西锐底稿.xlsx]Part1!$G$96</c:f>
              <c:strCache>
                <c:ptCount val="1"/>
                <c:pt idx="0">
                  <c:v>销售费用比率</c:v>
                </c:pt>
              </c:strCache>
            </c:strRef>
          </c:tx>
          <c:spPr>
            <a:solidFill>
              <a:srgbClr val="002060"/>
            </a:solidFill>
            <a:ln w="25400">
              <a:noFill/>
            </a:ln>
            <a:effectLst/>
          </c:spPr>
          <c:invertIfNegative val="0"/>
          <c:dLbls>
            <c:delete val="1"/>
          </c:dLbls>
          <c:cat>
            <c:strRef>
              <c:f>[西锐底稿.xlsx]Part1!$H$95:$M$95</c:f>
              <c:strCache>
                <c:ptCount val="6"/>
                <c:pt idx="0">
                  <c:v>2020</c:v>
                </c:pt>
                <c:pt idx="1">
                  <c:v>2021</c:v>
                </c:pt>
                <c:pt idx="2">
                  <c:v>2022</c:v>
                </c:pt>
                <c:pt idx="3">
                  <c:v>2023</c:v>
                </c:pt>
                <c:pt idx="4">
                  <c:v>2024</c:v>
                </c:pt>
                <c:pt idx="5">
                  <c:v>2025H1</c:v>
                </c:pt>
              </c:strCache>
            </c:strRef>
          </c:cat>
          <c:val>
            <c:numRef>
              <c:f>[西锐底稿.xlsx]Part1!$H$96:$M$96</c:f>
              <c:numCache>
                <c:formatCode>0.00%</c:formatCode>
                <c:ptCount val="6"/>
                <c:pt idx="0">
                  <c:v>0.0950448453432459</c:v>
                </c:pt>
                <c:pt idx="1">
                  <c:v>0.089943505886497</c:v>
                </c:pt>
                <c:pt idx="2">
                  <c:v>0.0987495526127416</c:v>
                </c:pt>
                <c:pt idx="3">
                  <c:v>0.0999990634160961</c:v>
                </c:pt>
                <c:pt idx="4">
                  <c:v>0.103188459064596</c:v>
                </c:pt>
                <c:pt idx="5">
                  <c:v>0.106982455550135</c:v>
                </c:pt>
              </c:numCache>
            </c:numRef>
          </c:val>
        </c:ser>
        <c:ser>
          <c:idx val="1"/>
          <c:order val="1"/>
          <c:tx>
            <c:strRef>
              <c:f>[西锐底稿.xlsx]Part1!$G$97</c:f>
              <c:strCache>
                <c:ptCount val="1"/>
                <c:pt idx="0">
                  <c:v>管理费用比率</c:v>
                </c:pt>
              </c:strCache>
            </c:strRef>
          </c:tx>
          <c:spPr>
            <a:solidFill>
              <a:srgbClr val="A5A5A5"/>
            </a:solidFill>
            <a:ln>
              <a:noFill/>
            </a:ln>
            <a:effectLst/>
          </c:spPr>
          <c:invertIfNegative val="0"/>
          <c:dPt>
            <c:idx val="0"/>
            <c:invertIfNegative val="0"/>
            <c:bubble3D val="0"/>
            <c:spPr>
              <a:solidFill>
                <a:srgbClr val="A5A5A5"/>
              </a:solidFill>
              <a:ln>
                <a:noFill/>
              </a:ln>
              <a:effectLst/>
            </c:spPr>
          </c:dPt>
          <c:dPt>
            <c:idx val="1"/>
            <c:invertIfNegative val="0"/>
            <c:bubble3D val="0"/>
            <c:spPr>
              <a:solidFill>
                <a:srgbClr val="A5A5A5"/>
              </a:solidFill>
              <a:ln>
                <a:noFill/>
              </a:ln>
              <a:effectLst/>
            </c:spPr>
          </c:dPt>
          <c:dPt>
            <c:idx val="2"/>
            <c:invertIfNegative val="0"/>
            <c:bubble3D val="0"/>
            <c:spPr>
              <a:solidFill>
                <a:srgbClr val="A5A5A5"/>
              </a:solidFill>
              <a:ln>
                <a:noFill/>
              </a:ln>
              <a:effectLst/>
            </c:spPr>
          </c:dPt>
          <c:dPt>
            <c:idx val="3"/>
            <c:invertIfNegative val="0"/>
            <c:bubble3D val="0"/>
            <c:spPr>
              <a:solidFill>
                <a:srgbClr val="A5A5A5"/>
              </a:solidFill>
              <a:ln>
                <a:noFill/>
              </a:ln>
              <a:effectLst/>
            </c:spPr>
          </c:dPt>
          <c:dPt>
            <c:idx val="4"/>
            <c:invertIfNegative val="0"/>
            <c:bubble3D val="0"/>
            <c:spPr>
              <a:solidFill>
                <a:srgbClr val="A5A5A5"/>
              </a:solidFill>
              <a:ln>
                <a:noFill/>
              </a:ln>
              <a:effectLst/>
            </c:spPr>
          </c:dPt>
          <c:dPt>
            <c:idx val="5"/>
            <c:invertIfNegative val="0"/>
            <c:bubble3D val="0"/>
            <c:spPr>
              <a:solidFill>
                <a:srgbClr val="A5A5A5"/>
              </a:solidFill>
              <a:ln>
                <a:noFill/>
              </a:ln>
              <a:effectLst/>
            </c:spPr>
          </c:dPt>
          <c:dLbls>
            <c:delete val="1"/>
          </c:dLbls>
          <c:cat>
            <c:strRef>
              <c:f>[西锐底稿.xlsx]Part1!$H$95:$M$95</c:f>
              <c:strCache>
                <c:ptCount val="6"/>
                <c:pt idx="0">
                  <c:v>2020</c:v>
                </c:pt>
                <c:pt idx="1">
                  <c:v>2021</c:v>
                </c:pt>
                <c:pt idx="2">
                  <c:v>2022</c:v>
                </c:pt>
                <c:pt idx="3">
                  <c:v>2023</c:v>
                </c:pt>
                <c:pt idx="4">
                  <c:v>2024</c:v>
                </c:pt>
                <c:pt idx="5">
                  <c:v>2025H1</c:v>
                </c:pt>
              </c:strCache>
            </c:strRef>
          </c:cat>
          <c:val>
            <c:numRef>
              <c:f>[西锐底稿.xlsx]Part1!$H$97:$M$97</c:f>
              <c:numCache>
                <c:formatCode>0.00%</c:formatCode>
                <c:ptCount val="6"/>
                <c:pt idx="0">
                  <c:v>0.132950243835897</c:v>
                </c:pt>
                <c:pt idx="1">
                  <c:v>0.126888217522659</c:v>
                </c:pt>
                <c:pt idx="2">
                  <c:v>0.114631800286328</c:v>
                </c:pt>
                <c:pt idx="3">
                  <c:v>0.126607412125015</c:v>
                </c:pt>
                <c:pt idx="4">
                  <c:v>0.118015587279577</c:v>
                </c:pt>
                <c:pt idx="5">
                  <c:v>0.117747985668388</c:v>
                </c:pt>
              </c:numCache>
            </c:numRef>
          </c:val>
        </c:ser>
        <c:ser>
          <c:idx val="2"/>
          <c:order val="2"/>
          <c:tx>
            <c:strRef>
              <c:f>[西锐底稿.xlsx]Part1!$G$98</c:f>
              <c:strCache>
                <c:ptCount val="1"/>
                <c:pt idx="0">
                  <c:v>财务费用比率</c:v>
                </c:pt>
              </c:strCache>
            </c:strRef>
          </c:tx>
          <c:spPr>
            <a:solidFill>
              <a:srgbClr val="EBC3C3"/>
            </a:solidFill>
            <a:ln w="25400">
              <a:noFill/>
            </a:ln>
            <a:effectLst/>
          </c:spPr>
          <c:invertIfNegative val="0"/>
          <c:dLbls>
            <c:delete val="1"/>
          </c:dLbls>
          <c:cat>
            <c:strRef>
              <c:f>[西锐底稿.xlsx]Part1!$H$95:$M$95</c:f>
              <c:strCache>
                <c:ptCount val="6"/>
                <c:pt idx="0">
                  <c:v>2020</c:v>
                </c:pt>
                <c:pt idx="1">
                  <c:v>2021</c:v>
                </c:pt>
                <c:pt idx="2">
                  <c:v>2022</c:v>
                </c:pt>
                <c:pt idx="3">
                  <c:v>2023</c:v>
                </c:pt>
                <c:pt idx="4">
                  <c:v>2024</c:v>
                </c:pt>
                <c:pt idx="5">
                  <c:v>2025H1</c:v>
                </c:pt>
              </c:strCache>
            </c:strRef>
          </c:cat>
          <c:val>
            <c:numRef>
              <c:f>[西锐底稿.xlsx]Part1!$H$98:$M$98</c:f>
              <c:numCache>
                <c:formatCode>0.00%</c:formatCode>
                <c:ptCount val="6"/>
                <c:pt idx="0">
                  <c:v>0.0105207516284146</c:v>
                </c:pt>
                <c:pt idx="1">
                  <c:v>0.00475525991356536</c:v>
                </c:pt>
                <c:pt idx="2">
                  <c:v>0.00357909806728704</c:v>
                </c:pt>
                <c:pt idx="3">
                  <c:v>0.00517930898839573</c:v>
                </c:pt>
                <c:pt idx="4">
                  <c:v>0.00429360219859163</c:v>
                </c:pt>
                <c:pt idx="5">
                  <c:v>0.00331376473952463</c:v>
                </c:pt>
              </c:numCache>
            </c:numRef>
          </c:val>
        </c:ser>
        <c:dLbls>
          <c:showLegendKey val="0"/>
          <c:showVal val="0"/>
          <c:showCatName val="0"/>
          <c:showSerName val="0"/>
          <c:showPercent val="0"/>
          <c:showBubbleSize val="0"/>
        </c:dLbls>
        <c:gapWidth val="150"/>
        <c:axId val="1162810192"/>
        <c:axId val="1162808272"/>
      </c:barChart>
      <c:catAx>
        <c:axId val="1162810192"/>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08272"/>
        <c:crosses val="autoZero"/>
        <c:auto val="1"/>
        <c:lblAlgn val="ctr"/>
        <c:lblOffset val="100"/>
        <c:noMultiLvlLbl val="0"/>
      </c:catAx>
      <c:valAx>
        <c:axId val="1162808272"/>
        <c:scaling>
          <c:orientation val="minMax"/>
        </c:scaling>
        <c:delete val="0"/>
        <c:axPos val="l"/>
        <c:majorGridlines>
          <c:spPr>
            <a:ln w="9525" cap="flat" cmpd="sng" algn="ctr">
              <a:noFill/>
              <a:round/>
            </a:ln>
            <a:effectLst/>
          </c:spPr>
        </c:majorGridlines>
        <c:numFmt formatCode="0.00%"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10192"/>
        <c:crosses val="autoZero"/>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257e32a2-7590-41b1-b7c6-5119a271d04e}"/>
      </c:ext>
    </c:extLst>
  </c:chart>
  <c:spPr>
    <a:noFill/>
    <a:ln w="9525" cap="flat" cmpd="sng" algn="ctr">
      <a:noFill/>
      <a:round/>
    </a:ln>
    <a:effectLst/>
  </c:spPr>
  <c:txPr>
    <a:bodyPr/>
    <a:lstStyle/>
    <a:p>
      <a:pPr>
        <a:defRPr lang="zh-CN" sz="700"/>
      </a:pPr>
    </a:p>
  </c:txPr>
  <c:externalData r:id="rId1">
    <c:autoUpdate val="0"/>
  </c:externalData>
</c:chartSpace>
</file>

<file path=word/charts/chart3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'[西锐底稿.xlsx]Part2.1 '!$F$44</c:f>
              <c:strCache>
                <c:ptCount val="1"/>
                <c:pt idx="0">
                  <c:v>总交付量</c:v>
                </c:pt>
              </c:strCache>
            </c:strRef>
          </c:tx>
          <c:spPr>
            <a:solidFill>
              <a:srgbClr val="002060"/>
            </a:solidFill>
            <a:ln w="25400">
              <a:noFill/>
            </a:ln>
            <a:effectLst/>
          </c:spPr>
          <c:invertIfNegative val="0"/>
          <c:dLbls>
            <c:delete val="1"/>
          </c:dLbls>
          <c:cat>
            <c:strRef>
              <c:f>'[西锐底稿.xlsx]Part2.1 '!$E$45:$E$54</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'[西锐底稿.xlsx]Part2.1 '!$F$45:$F$54</c:f>
              <c:numCache>
                <c:formatCode>General</c:formatCode>
                <c:ptCount val="10"/>
                <c:pt idx="0">
                  <c:v>2657</c:v>
                </c:pt>
                <c:pt idx="1">
                  <c:v>2407</c:v>
                </c:pt>
                <c:pt idx="2">
                  <c:v>2646</c:v>
                </c:pt>
                <c:pt idx="3">
                  <c:v>2818</c:v>
                </c:pt>
                <c:pt idx="4">
                  <c:v>3050</c:v>
                </c:pt>
                <c:pt idx="5">
                  <c:v>2969</c:v>
                </c:pt>
                <c:pt idx="6">
                  <c:v>3088</c:v>
                </c:pt>
                <c:pt idx="7">
                  <c:v>3281</c:v>
                </c:pt>
                <c:pt idx="8">
                  <c:v>3525</c:v>
                </c:pt>
                <c:pt idx="9">
                  <c:v>3779</c:v>
                </c:pt>
              </c:numCache>
            </c:numRef>
          </c:val>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'[西锐底稿.xlsx]Part2.1 '!$G$44</c:f>
              <c:strCache>
                <c:ptCount val="1"/>
                <c:pt idx="0">
                  <c:v>yoy</c:v>
                </c:pt>
              </c:strCache>
            </c:strRef>
          </c:tx>
          <c:spPr>
            <a:ln w="28575" cap="rnd">
              <a:solidFill>
                <a:srgbClr val="A5A5A5"/>
              </a:solidFill>
              <a:round/>
            </a:ln>
            <a:effectLst/>
          </c:spPr>
          <c:marker>
            <c:symbol val="none"/>
          </c:marker>
          <c:dLbls>
            <c:delete val="1"/>
          </c:dLbls>
          <c:cat>
            <c:strRef>
              <c:f>'[西锐底稿.xlsx]Part2.1 '!$E$45:$E$54</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'[西锐底稿.xlsx]Part2.1 '!$G$45:$G$54</c:f>
              <c:numCache>
                <c:formatCode>General</c:formatCode>
                <c:ptCount val="10"/>
                <c:pt idx="1" c:formatCode="0.00%">
                  <c:v>-0.0940910801656003</c:v>
                </c:pt>
                <c:pt idx="2" c:formatCode="0.00%">
                  <c:v>0.0992937266306606</c:v>
                </c:pt>
                <c:pt idx="3" c:formatCode="0.00%">
                  <c:v>0.0650037792894935</c:v>
                </c:pt>
                <c:pt idx="4" c:formatCode="0.00%">
                  <c:v>0.0823278921220725</c:v>
                </c:pt>
                <c:pt idx="5" c:formatCode="0.00%">
                  <c:v>-0.0265573770491804</c:v>
                </c:pt>
                <c:pt idx="6" c:formatCode="0.00%">
                  <c:v>0.0400808352980802</c:v>
                </c:pt>
                <c:pt idx="7" c:formatCode="0.00%">
                  <c:v>0.0625</c:v>
                </c:pt>
                <c:pt idx="8" c:formatCode="0.00%">
                  <c:v>0.074367570862542</c:v>
                </c:pt>
                <c:pt idx="9" c:formatCode="0.00%">
                  <c:v>0.0720567375886525</c:v>
                </c:pt>
              </c:numCache>
            </c:numRef>
          </c:val>
          <c:smooth val="0"/>
        </c:ser>
        <c:dLbls>
          <c:showLegendKey val="0"/>
          <c:showVal val="0"/>
          <c:showCatName val="0"/>
          <c:showSerName val="0"/>
          <c:showPercent val="0"/>
          <c:showBubbleSize val="0"/>
        </c:dLbls>
        <c:marker val="0"/>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General"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120"/>
        <c:crosses val="autoZero"/>
        <c:auto val="1"/>
        <c:lblAlgn val="ctr"/>
        <c:lblOffset val="100"/>
        <c:noMultiLvlLbl val="0"/>
      </c:catAx>
      <c:valAx>
        <c:axId val="1351793120"/>
        <c:scaling>
          <c:orientation val="minMax"/>
        </c:scaling>
        <c:delete val="0"/>
        <c:axPos val="r"/>
        <c:numFmt formatCode="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600"/>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aa17423c-5c89-4556-b926-baea0ff5ddd9}"/>
      </c:ext>
    </c:extLst>
  </c:chart>
  <c:spPr>
    <a:noFill/>
    <a:ln w="9525" cap="flat" cmpd="sng" algn="ctr">
      <a:noFill/>
      <a:round/>
    </a:ln>
    <a:effectLst/>
  </c:spPr>
  <c:txPr>
    <a:bodyPr/>
    <a:lstStyle/>
    <a:p>
      <a:pPr>
        <a:defRPr lang="zh-CN" sz="700"/>
      </a:pPr>
    </a:p>
  </c:txPr>
  <c:externalData r:id="rId1">
    <c:autoUpdate val="0"/>
  </c:externalData>
</c:chartSpace>
</file>

<file path=word/charts/chart3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'[西锐底稿.xlsx]Part2.1 '!$I$44</c:f>
              <c:strCache>
                <c:ptCount val="1"/>
                <c:pt idx="0">
                  <c:v>总交付价值 (十亿美元)</c:v>
                </c:pt>
              </c:strCache>
            </c:strRef>
          </c:tx>
          <c:spPr>
            <a:solidFill>
              <a:srgbClr val="002060"/>
            </a:solidFill>
            <a:ln w="25400">
              <a:noFill/>
            </a:ln>
            <a:effectLst/>
          </c:spPr>
          <c:invertIfNegative val="0"/>
          <c:dLbls>
            <c:delete val="1"/>
          </c:dLbls>
          <c:cat>
            <c:strRef>
              <c:f>'[西锐底稿.xlsx]Part2.1 '!$H$45:$H$54</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'[西锐底稿.xlsx]Part2.1 '!$I$45:$I$54</c:f>
              <c:numCache>
                <c:formatCode>General</c:formatCode>
                <c:ptCount val="10"/>
                <c:pt idx="0">
                  <c:v>23.6</c:v>
                </c:pt>
                <c:pt idx="1">
                  <c:v>20.1</c:v>
                </c:pt>
                <c:pt idx="2">
                  <c:v>21.6</c:v>
                </c:pt>
                <c:pt idx="3">
                  <c:v>22.9</c:v>
                </c:pt>
                <c:pt idx="4">
                  <c:v>23.4</c:v>
                </c:pt>
                <c:pt idx="5">
                  <c:v>27</c:v>
                </c:pt>
                <c:pt idx="6">
                  <c:v>26.3</c:v>
                </c:pt>
                <c:pt idx="7">
                  <c:v>28.8</c:v>
                </c:pt>
                <c:pt idx="8">
                  <c:v>31.7</c:v>
                </c:pt>
                <c:pt idx="9">
                  <c:v>34.24</c:v>
                </c:pt>
              </c:numCache>
            </c:numRef>
          </c:val>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'[西锐底稿.xlsx]Part2.1 '!$J$44</c:f>
              <c:strCache>
                <c:ptCount val="1"/>
                <c:pt idx="0">
                  <c:v>yoy</c:v>
                </c:pt>
              </c:strCache>
            </c:strRef>
          </c:tx>
          <c:spPr>
            <a:ln w="28575" cap="rnd">
              <a:solidFill>
                <a:srgbClr val="A5A5A5"/>
              </a:solidFill>
              <a:round/>
            </a:ln>
            <a:effectLst/>
          </c:spPr>
          <c:marker>
            <c:symbol val="none"/>
          </c:marker>
          <c:dLbls>
            <c:delete val="1"/>
          </c:dLbls>
          <c:cat>
            <c:strRef>
              <c:f>'[西锐底稿.xlsx]Part2.1 '!$H$45:$H$54</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'[西锐底稿.xlsx]Part2.1 '!$J$45:$J$54</c:f>
              <c:numCache>
                <c:formatCode>General</c:formatCode>
                <c:ptCount val="10"/>
                <c:pt idx="1" c:formatCode="0.00%">
                  <c:v>-0.148305084745763</c:v>
                </c:pt>
                <c:pt idx="2" c:formatCode="0.00%">
                  <c:v>0.0746268656716418</c:v>
                </c:pt>
                <c:pt idx="3" c:formatCode="0.00%">
                  <c:v>0.0601851851851851</c:v>
                </c:pt>
                <c:pt idx="4" c:formatCode="0.00%">
                  <c:v>0.0218340611353711</c:v>
                </c:pt>
                <c:pt idx="5" c:formatCode="0.00%">
                  <c:v>0.153846153846154</c:v>
                </c:pt>
                <c:pt idx="6" c:formatCode="0.00%">
                  <c:v>-0.0259259259259259</c:v>
                </c:pt>
                <c:pt idx="7" c:formatCode="0.00%">
                  <c:v>0.0950570342205324</c:v>
                </c:pt>
                <c:pt idx="8" c:formatCode="0.00%">
                  <c:v>0.100694444444444</c:v>
                </c:pt>
                <c:pt idx="9" c:formatCode="0.00%">
                  <c:v>0.0801261829652997</c:v>
                </c:pt>
              </c:numCache>
            </c:numRef>
          </c:val>
          <c:smooth val="0"/>
        </c:ser>
        <c:dLbls>
          <c:showLegendKey val="0"/>
          <c:showVal val="0"/>
          <c:showCatName val="0"/>
          <c:showSerName val="0"/>
          <c:showPercent val="0"/>
          <c:showBubbleSize val="0"/>
        </c:dLbls>
        <c:marker val="0"/>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General"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120"/>
        <c:crosses val="autoZero"/>
        <c:auto val="1"/>
        <c:lblAlgn val="ctr"/>
        <c:lblOffset val="100"/>
        <c:noMultiLvlLbl val="0"/>
      </c:catAx>
      <c:valAx>
        <c:axId val="1351793120"/>
        <c:scaling>
          <c:orientation val="minMax"/>
        </c:scaling>
        <c:delete val="0"/>
        <c:axPos val="r"/>
        <c:numFmt formatCode="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600"/>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aa17423c-5c89-4556-b926-baea0ff5ddd9}"/>
      </c:ext>
    </c:extLst>
  </c:chart>
  <c:spPr>
    <a:noFill/>
    <a:ln w="9525" cap="flat" cmpd="sng" algn="ctr">
      <a:noFill/>
      <a:round/>
    </a:ln>
    <a:effectLst/>
  </c:spPr>
  <c:txPr>
    <a:bodyPr/>
    <a:lstStyle/>
    <a:p>
      <a:pPr>
        <a:defRPr lang="zh-CN" sz="700"/>
      </a:pPr>
    </a:p>
  </c:txPr>
  <c:externalData r:id="rId1">
    <c:autoUpdate val="0"/>
  </c:externalData>
</c:chartSpace>
</file>

<file path=word/charts/chart3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112407064654767"/>
          <c:w val="0.931162239562145"/>
          <c:h val="0.757678158756052"/>
        </c:manualLayout>
      </c:layout>
      <c:barChart>
        <c:barDir val="col"/>
        <c:grouping val="percentStacked"/>
        <c:varyColors val="0"/>
        <c:ser>
          <c:idx val="0"/>
          <c:order val="0"/>
          <c:tx>
            <c:strRef>
              <c:f>'[西锐底稿.xlsx]Part2.1 '!$F$66</c:f>
              <c:strCache>
                <c:ptCount val="1"/>
                <c:pt idx="0">
                  <c:v>世界其他地区</c:v>
                </c:pt>
              </c:strCache>
            </c:strRef>
          </c:tx>
          <c:spPr>
            <a:solidFill>
              <a:srgbClr val="002060"/>
            </a:solidFill>
            <a:ln>
              <a:noFill/>
            </a:ln>
            <a:effectLst/>
          </c:spPr>
          <c:invertIfNegative val="0"/>
          <c:dLbls>
            <c:delete val="1"/>
          </c:dLbls>
          <c:cat>
            <c:strRef>
              <c:f>'[西锐底稿.xlsx]Part2.1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'[西锐底稿.xlsx]Part2.1 '!$F$67:$F$76</c:f>
              <c:numCache>
                <c:formatCode>General</c:formatCode>
                <c:ptCount val="10"/>
                <c:pt idx="0">
                  <c:v>1456</c:v>
                </c:pt>
                <c:pt idx="1">
                  <c:v>1686</c:v>
                </c:pt>
                <c:pt idx="2">
                  <c:v>1565</c:v>
                </c:pt>
                <c:pt idx="3">
                  <c:v>1713</c:v>
                </c:pt>
                <c:pt idx="4">
                  <c:v>1870</c:v>
                </c:pt>
                <c:pt idx="5">
                  <c:v>1944</c:v>
                </c:pt>
                <c:pt idx="6">
                  <c:v>2010</c:v>
                </c:pt>
                <c:pt idx="7">
                  <c:v>2073</c:v>
                </c:pt>
                <c:pt idx="8">
                  <c:v>2187</c:v>
                </c:pt>
                <c:pt idx="9">
                  <c:v>2341</c:v>
                </c:pt>
              </c:numCache>
            </c:numRef>
          </c:val>
        </c:ser>
        <c:ser>
          <c:idx val="1"/>
          <c:order val="1"/>
          <c:tx>
            <c:strRef>
              <c:f>'[西锐底稿.xlsx]Part2.1 '!$G$66</c:f>
              <c:strCache>
                <c:ptCount val="1"/>
                <c:pt idx="0">
                  <c:v>亚太地区</c:v>
                </c:pt>
              </c:strCache>
            </c:strRef>
          </c:tx>
          <c:spPr>
            <a:solidFill>
              <a:srgbClr val="666666"/>
            </a:solidFill>
            <a:ln>
              <a:noFill/>
            </a:ln>
            <a:effectLst/>
          </c:spPr>
          <c:invertIfNegative val="0"/>
          <c:dLbls>
            <c:delete val="1"/>
          </c:dLbls>
          <c:cat>
            <c:strRef>
              <c:f>'[西锐底稿.xlsx]Part2.1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'[西锐底稿.xlsx]Part2.1 '!$G$67:$G$76</c:f>
              <c:numCache>
                <c:formatCode>General</c:formatCode>
                <c:ptCount val="10"/>
                <c:pt idx="0">
                  <c:v>118</c:v>
                </c:pt>
                <c:pt idx="1">
                  <c:v>135</c:v>
                </c:pt>
                <c:pt idx="2">
                  <c:v>64</c:v>
                </c:pt>
                <c:pt idx="3">
                  <c:v>95</c:v>
                </c:pt>
                <c:pt idx="4">
                  <c:v>114</c:v>
                </c:pt>
                <c:pt idx="5">
                  <c:v>40</c:v>
                </c:pt>
                <c:pt idx="6">
                  <c:v>40</c:v>
                </c:pt>
                <c:pt idx="7">
                  <c:v>44</c:v>
                </c:pt>
                <c:pt idx="8">
                  <c:v>49</c:v>
                </c:pt>
                <c:pt idx="9">
                  <c:v>54</c:v>
                </c:pt>
              </c:numCache>
            </c:numRef>
          </c:val>
        </c:ser>
        <c:ser>
          <c:idx val="2"/>
          <c:order val="2"/>
          <c:tx>
            <c:strRef>
              <c:f>'[西锐底稿.xlsx]Part2.1 '!$H$66</c:f>
              <c:strCache>
                <c:ptCount val="1"/>
                <c:pt idx="0">
                  <c:v>欧洲</c:v>
                </c:pt>
              </c:strCache>
            </c:strRef>
          </c:tx>
          <c:spPr>
            <a:solidFill>
              <a:srgbClr val="E6B9B8"/>
            </a:solidFill>
            <a:ln w="9525" cap="flat" cmpd="sng">
              <a:noFill/>
              <a:prstDash val="solid"/>
            </a:ln>
            <a:effectLst/>
            <a:sp3d contourW="9525"/>
          </c:spPr>
          <c:invertIfNegative val="0"/>
          <c:dLbls>
            <c:delete val="1"/>
          </c:dLbls>
          <c:cat>
            <c:strRef>
              <c:f>'[西锐底稿.xlsx]Part2.1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'[西锐底稿.xlsx]Part2.1 '!$H$67:$H$76</c:f>
              <c:numCache>
                <c:formatCode>General</c:formatCode>
                <c:ptCount val="10"/>
                <c:pt idx="0">
                  <c:v>188</c:v>
                </c:pt>
                <c:pt idx="1">
                  <c:v>194</c:v>
                </c:pt>
                <c:pt idx="2">
                  <c:v>125</c:v>
                </c:pt>
                <c:pt idx="3">
                  <c:v>166</c:v>
                </c:pt>
                <c:pt idx="4">
                  <c:v>237</c:v>
                </c:pt>
                <c:pt idx="5">
                  <c:v>145</c:v>
                </c:pt>
                <c:pt idx="6">
                  <c:v>153</c:v>
                </c:pt>
                <c:pt idx="7">
                  <c:v>165</c:v>
                </c:pt>
                <c:pt idx="8">
                  <c:v>185</c:v>
                </c:pt>
                <c:pt idx="9">
                  <c:v>203</c:v>
                </c:pt>
              </c:numCache>
            </c:numRef>
          </c:val>
        </c:ser>
        <c:ser>
          <c:idx val="3"/>
          <c:order val="3"/>
          <c:tx>
            <c:strRef>
              <c:f>'[西锐底稿.xlsx]Part2.1 '!$I$66</c:f>
              <c:strCache>
                <c:ptCount val="1"/>
                <c:pt idx="0">
                  <c:v>拉丁美洲</c:v>
                </c:pt>
              </c:strCache>
            </c:strRef>
          </c:tx>
          <c:spPr>
            <a:solidFill>
              <a:srgbClr val="E97132">
                <a:lumMod val="75000"/>
              </a:srgbClr>
            </a:solidFill>
            <a:ln>
              <a:noFill/>
            </a:ln>
            <a:effectLst/>
          </c:spPr>
          <c:invertIfNegative val="0"/>
          <c:dLbls>
            <c:delete val="1"/>
          </c:dLbls>
          <c:cat>
            <c:strRef>
              <c:f>'[西锐底稿.xlsx]Part2.1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'[西锐底稿.xlsx]Part2.1 '!$I$67:$I$76</c:f>
              <c:numCache>
                <c:formatCode>General</c:formatCode>
                <c:ptCount val="10"/>
                <c:pt idx="0">
                  <c:v>309</c:v>
                </c:pt>
                <c:pt idx="1">
                  <c:v>331</c:v>
                </c:pt>
                <c:pt idx="2">
                  <c:v>309</c:v>
                </c:pt>
                <c:pt idx="3">
                  <c:v>355</c:v>
                </c:pt>
                <c:pt idx="4">
                  <c:v>358</c:v>
                </c:pt>
                <c:pt idx="5">
                  <c:v>302</c:v>
                </c:pt>
                <c:pt idx="6">
                  <c:v>310</c:v>
                </c:pt>
                <c:pt idx="7">
                  <c:v>325</c:v>
                </c:pt>
                <c:pt idx="8">
                  <c:v>345</c:v>
                </c:pt>
                <c:pt idx="9">
                  <c:v>368</c:v>
                </c:pt>
              </c:numCache>
            </c:numRef>
          </c:val>
        </c:ser>
        <c:ser>
          <c:idx val="4"/>
          <c:order val="4"/>
          <c:tx>
            <c:strRef>
              <c:f>'[西锐底稿.xlsx]Part2.1 '!$J$66</c:f>
              <c:strCache>
                <c:ptCount val="1"/>
                <c:pt idx="0">
                  <c:v>北美洲</c:v>
                </c:pt>
              </c:strCache>
            </c:strRef>
          </c:tx>
          <c:spPr>
            <a:solidFill>
              <a:srgbClr val="A5A5A5"/>
            </a:solidFill>
            <a:ln>
              <a:noFill/>
            </a:ln>
            <a:effectLst/>
          </c:spPr>
          <c:invertIfNegative val="0"/>
          <c:dLbls>
            <c:delete val="1"/>
          </c:dLbls>
          <c:cat>
            <c:strRef>
              <c:f>'[西锐底稿.xlsx]Part2.1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'[西锐底稿.xlsx]Part2.1 '!$J$67:$J$76</c:f>
              <c:numCache>
                <c:formatCode>General</c:formatCode>
                <c:ptCount val="10"/>
                <c:pt idx="0">
                  <c:v>371</c:v>
                </c:pt>
                <c:pt idx="1">
                  <c:v>311</c:v>
                </c:pt>
                <c:pt idx="2">
                  <c:v>344</c:v>
                </c:pt>
                <c:pt idx="3">
                  <c:v>317</c:v>
                </c:pt>
                <c:pt idx="4">
                  <c:v>239</c:v>
                </c:pt>
                <c:pt idx="5">
                  <c:v>432</c:v>
                </c:pt>
                <c:pt idx="6">
                  <c:v>456</c:v>
                </c:pt>
                <c:pt idx="7">
                  <c:v>481</c:v>
                </c:pt>
                <c:pt idx="8">
                  <c:v>515</c:v>
                </c:pt>
                <c:pt idx="9">
                  <c:v>559</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3"/>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4"/>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00379362670713202"/>
          <c:y val="0.0233429843055494"/>
          <c:w val="0.985204734723252"/>
          <c:h val="0.0856140791166044"/>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24180db2-9ddf-410a-b5d5-5430d8ddccfa}"/>
      </c:ext>
    </c:extLst>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3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[西锐底稿.xlsx]Part2.2!$B$2</c:f>
              <c:strCache>
                <c:ptCount val="1"/>
                <c:pt idx="0">
                  <c:v>交付量</c:v>
                </c:pt>
              </c:strCache>
            </c:strRef>
          </c:tx>
          <c:spPr>
            <a:solidFill>
              <a:srgbClr val="002060"/>
            </a:solidFill>
            <a:ln>
              <a:noFill/>
            </a:ln>
            <a:effectLst/>
          </c:spPr>
          <c:invertIfNegative val="0"/>
          <c:dLbls>
            <c:delete val="1"/>
          </c:dLbls>
          <c:cat>
            <c:strRef>
              <c:f>[西锐底稿.xlsx]Part2.2!$A$3:$A$12</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[西锐底稿.xlsx]Part2.2!$B$3:$B$12</c:f>
              <c:numCache>
                <c:formatCode>General</c:formatCode>
                <c:ptCount val="10"/>
                <c:pt idx="0">
                  <c:v>1894</c:v>
                </c:pt>
                <c:pt idx="1">
                  <c:v>1806</c:v>
                </c:pt>
                <c:pt idx="2">
                  <c:v>1927</c:v>
                </c:pt>
                <c:pt idx="3">
                  <c:v>2124</c:v>
                </c:pt>
                <c:pt idx="4">
                  <c:v>2215</c:v>
                </c:pt>
                <c:pt idx="5">
                  <c:v>2341</c:v>
                </c:pt>
                <c:pt idx="6">
                  <c:v>2515</c:v>
                </c:pt>
                <c:pt idx="7">
                  <c:v>2711</c:v>
                </c:pt>
                <c:pt idx="8">
                  <c:v>2936</c:v>
                </c:pt>
                <c:pt idx="9">
                  <c:v>3185</c:v>
                </c:pt>
              </c:numCache>
            </c:numRef>
          </c:val>
        </c:ser>
        <c:dLbls>
          <c:showLegendKey val="0"/>
          <c:showVal val="0"/>
          <c:showCatName val="0"/>
          <c:showSerName val="0"/>
          <c:showPercent val="0"/>
          <c:showBubbleSize val="0"/>
        </c:dLbls>
        <c:gapWidth val="150"/>
        <c:axId val="1021593488"/>
        <c:axId val="1"/>
      </c:barChart>
      <c:lineChart>
        <c:grouping val="standard"/>
        <c:varyColors val="0"/>
        <c:ser>
          <c:idx val="1"/>
          <c:order val="1"/>
          <c:tx>
            <c:strRef>
              <c:f>[西锐底稿.xlsx]Part2.2!$C$2</c:f>
              <c:strCache>
                <c:ptCount val="1"/>
                <c:pt idx="0">
                  <c:v>yoy</c:v>
                </c:pt>
              </c:strCache>
            </c:strRef>
          </c:tx>
          <c:spPr>
            <a:ln w="19050" cap="rnd" cmpd="sng" algn="ctr">
              <a:solidFill>
                <a:srgbClr val="A5A5A5"/>
              </a:solidFill>
              <a:prstDash val="solid"/>
              <a:round/>
            </a:ln>
            <a:effectLst/>
          </c:spPr>
          <c:marker>
            <c:symbol val="none"/>
          </c:marker>
          <c:dLbls>
            <c:delete val="1"/>
          </c:dLbls>
          <c:cat>
            <c:strRef>
              <c:f>[西锐底稿.xlsx]Part2.2!$A$3:$A$12</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[西锐底稿.xlsx]Part2.2!$C$3:$C$12</c:f>
              <c:numCache>
                <c:formatCode>General</c:formatCode>
                <c:ptCount val="10"/>
                <c:pt idx="1" c:formatCode="0.00%">
                  <c:v>-0.0464625131995776</c:v>
                </c:pt>
                <c:pt idx="2" c:formatCode="0.00%">
                  <c:v>0.066998892580288</c:v>
                </c:pt>
                <c:pt idx="3" c:formatCode="0.00%">
                  <c:v>0.102231447846393</c:v>
                </c:pt>
                <c:pt idx="4" c:formatCode="0.00%">
                  <c:v>0.042843691148776</c:v>
                </c:pt>
                <c:pt idx="5" c:formatCode="0.00%">
                  <c:v>0.056884875846501</c:v>
                </c:pt>
                <c:pt idx="6" c:formatCode="0.00%">
                  <c:v>0.0743272105937633</c:v>
                </c:pt>
                <c:pt idx="7" c:formatCode="0.00%">
                  <c:v>0.0779324055666004</c:v>
                </c:pt>
                <c:pt idx="8" c:formatCode="0.00%">
                  <c:v>0.082995204721505</c:v>
                </c:pt>
                <c:pt idx="9" c:formatCode="0.00%">
                  <c:v>0.0848092643051772</c:v>
                </c:pt>
              </c:numCache>
            </c:numRef>
          </c:val>
          <c:smooth val="0"/>
        </c:ser>
        <c:dLbls>
          <c:showLegendKey val="0"/>
          <c:showVal val="0"/>
          <c:showCatName val="0"/>
          <c:showSerName val="0"/>
          <c:showPercent val="0"/>
          <c:showBubbleSize val="0"/>
        </c:dLbls>
        <c:marker val="0"/>
        <c:smooth val="0"/>
        <c:axId val="259816367"/>
        <c:axId val="259820207"/>
      </c:line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catAx>
        <c:axId val="259816367"/>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20207"/>
        <c:crosses val="autoZero"/>
        <c:auto val="1"/>
        <c:lblAlgn val="ctr"/>
        <c:lblOffset val="100"/>
        <c:noMultiLvlLbl val="0"/>
      </c:catAx>
      <c:valAx>
        <c:axId val="259820207"/>
        <c:scaling>
          <c:orientation val="minMax"/>
        </c:scaling>
        <c:delete val="0"/>
        <c:axPos val="r"/>
        <c:numFmt formatCode="0%" sourceLinked="0"/>
        <c:majorTickMark val="out"/>
        <c:minorTickMark val="none"/>
        <c:tickLblPos val="nextTo"/>
        <c:spPr>
          <a:noFill/>
          <a:ln w="6350" cap="flat" cmpd="sng" algn="ctr">
            <a:solidFill>
              <a:schemeClr val="tx1">
                <a:tint val="75000"/>
              </a:schemeClr>
            </a:solidFill>
            <a:prstDash val="solid"/>
            <a:round/>
          </a:ln>
          <a:effectLst/>
        </c:spPr>
        <c:txPr>
          <a:bodyPr rot="-600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16367"/>
        <c:crosses val="max"/>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extLst>
      <c:ext uri="{0b15fc19-7d7d-44ad-8c2d-2c3a37ce22c3}">
        <chartProps xmlns="https://web.wps.cn/et/2018/main" chartId="{e15fb4f2-60f2-47fe-b8ae-5c9f7e370c69}"/>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3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[西锐底稿.xlsx]Part2.2!$F$2</c:f>
              <c:strCache>
                <c:ptCount val="1"/>
                <c:pt idx="0">
                  <c:v>交付价值（十亿美元）</c:v>
                </c:pt>
              </c:strCache>
            </c:strRef>
          </c:tx>
          <c:spPr>
            <a:solidFill>
              <a:srgbClr val="002060"/>
            </a:solidFill>
            <a:ln>
              <a:noFill/>
            </a:ln>
            <a:effectLst/>
          </c:spPr>
          <c:invertIfNegative val="0"/>
          <c:dLbls>
            <c:delete val="1"/>
          </c:dLbls>
          <c:cat>
            <c:strRef>
              <c:f>[西锐底稿.xlsx]Part2.2!$E$3:$E$12</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[西锐底稿.xlsx]Part2.2!$F$3:$F$12</c:f>
              <c:numCache>
                <c:formatCode>General</c:formatCode>
                <c:ptCount val="10"/>
                <c:pt idx="0">
                  <c:v>2.7</c:v>
                </c:pt>
                <c:pt idx="1">
                  <c:v>2.5</c:v>
                </c:pt>
                <c:pt idx="2">
                  <c:v>2.9</c:v>
                </c:pt>
                <c:pt idx="3">
                  <c:v>3.2</c:v>
                </c:pt>
                <c:pt idx="4">
                  <c:v>3.7</c:v>
                </c:pt>
                <c:pt idx="5">
                  <c:v>4.3</c:v>
                </c:pt>
                <c:pt idx="6">
                  <c:v>4.7</c:v>
                </c:pt>
                <c:pt idx="7">
                  <c:v>5.1</c:v>
                </c:pt>
                <c:pt idx="8">
                  <c:v>5.7</c:v>
                </c:pt>
                <c:pt idx="9">
                  <c:v>6.4</c:v>
                </c:pt>
              </c:numCache>
            </c:numRef>
          </c:val>
        </c:ser>
        <c:dLbls>
          <c:showLegendKey val="0"/>
          <c:showVal val="0"/>
          <c:showCatName val="0"/>
          <c:showSerName val="0"/>
          <c:showPercent val="0"/>
          <c:showBubbleSize val="0"/>
        </c:dLbls>
        <c:gapWidth val="150"/>
        <c:axId val="1021593488"/>
        <c:axId val="1"/>
      </c:barChart>
      <c:lineChart>
        <c:grouping val="standard"/>
        <c:varyColors val="0"/>
        <c:ser>
          <c:idx val="1"/>
          <c:order val="1"/>
          <c:tx>
            <c:strRef>
              <c:f>[西锐底稿.xlsx]Part2.2!$G$2</c:f>
              <c:strCache>
                <c:ptCount val="1"/>
                <c:pt idx="0">
                  <c:v>yoy</c:v>
                </c:pt>
              </c:strCache>
            </c:strRef>
          </c:tx>
          <c:spPr>
            <a:ln w="19050" cap="rnd" cmpd="sng" algn="ctr">
              <a:solidFill>
                <a:srgbClr val="A5A5A5"/>
              </a:solidFill>
              <a:prstDash val="solid"/>
              <a:round/>
            </a:ln>
            <a:effectLst/>
          </c:spPr>
          <c:marker>
            <c:symbol val="none"/>
          </c:marker>
          <c:dLbls>
            <c:delete val="1"/>
          </c:dLbls>
          <c:cat>
            <c:strRef>
              <c:f>[西锐底稿.xlsx]Part2.2!$E$3:$E$12</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[西锐底稿.xlsx]Part2.2!$G$3:$G$12</c:f>
              <c:numCache>
                <c:formatCode>General</c:formatCode>
                <c:ptCount val="10"/>
                <c:pt idx="1" c:formatCode="0.00%">
                  <c:v>-0.0740740740740742</c:v>
                </c:pt>
                <c:pt idx="2" c:formatCode="0.00%">
                  <c:v>0.16</c:v>
                </c:pt>
                <c:pt idx="3" c:formatCode="0.00%">
                  <c:v>0.103448275862069</c:v>
                </c:pt>
                <c:pt idx="4" c:formatCode="0.00%">
                  <c:v>0.15625</c:v>
                </c:pt>
                <c:pt idx="5" c:formatCode="0.00%">
                  <c:v>0.162162162162162</c:v>
                </c:pt>
                <c:pt idx="6" c:formatCode="0.00%">
                  <c:v>0.0930232558139537</c:v>
                </c:pt>
                <c:pt idx="7" c:formatCode="0.00%">
                  <c:v>0.0851063829787233</c:v>
                </c:pt>
                <c:pt idx="8" c:formatCode="0.00%">
                  <c:v>0.117647058823529</c:v>
                </c:pt>
                <c:pt idx="9" c:formatCode="0.00%">
                  <c:v>0.12280701754386</c:v>
                </c:pt>
              </c:numCache>
            </c:numRef>
          </c:val>
          <c:smooth val="0"/>
        </c:ser>
        <c:dLbls>
          <c:showLegendKey val="0"/>
          <c:showVal val="0"/>
          <c:showCatName val="0"/>
          <c:showSerName val="0"/>
          <c:showPercent val="0"/>
          <c:showBubbleSize val="0"/>
        </c:dLbls>
        <c:marker val="0"/>
        <c:smooth val="0"/>
        <c:axId val="259816367"/>
        <c:axId val="259820207"/>
      </c:line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catAx>
        <c:axId val="259816367"/>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20207"/>
        <c:crosses val="autoZero"/>
        <c:auto val="1"/>
        <c:lblAlgn val="ctr"/>
        <c:lblOffset val="100"/>
        <c:noMultiLvlLbl val="0"/>
      </c:catAx>
      <c:valAx>
        <c:axId val="259820207"/>
        <c:scaling>
          <c:orientation val="minMax"/>
        </c:scaling>
        <c:delete val="0"/>
        <c:axPos val="r"/>
        <c:numFmt formatCode="0%" sourceLinked="0"/>
        <c:majorTickMark val="out"/>
        <c:minorTickMark val="none"/>
        <c:tickLblPos val="nextTo"/>
        <c:spPr>
          <a:noFill/>
          <a:ln w="6350" cap="flat" cmpd="sng" algn="ctr">
            <a:solidFill>
              <a:schemeClr val="tx1">
                <a:tint val="75000"/>
              </a:schemeClr>
            </a:solidFill>
            <a:prstDash val="solid"/>
            <a:round/>
          </a:ln>
          <a:effectLst/>
        </c:spPr>
        <c:txPr>
          <a:bodyPr rot="-600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16367"/>
        <c:crosses val="max"/>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extLst>
      <c:ext uri="{0b15fc19-7d7d-44ad-8c2d-2c3a37ce22c3}">
        <chartProps xmlns="https://web.wps.cn/et/2018/main" chartId="{8c37e9e3-f321-4b58-a9b6-3deaa46ce5b5}"/>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3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[西锐底稿.xlsx]Part2.2!$B$19</c:f>
              <c:strCache>
                <c:ptCount val="1"/>
                <c:pt idx="0">
                  <c:v>平均售卖价格（百万美元）</c:v>
                </c:pt>
              </c:strCache>
            </c:strRef>
          </c:tx>
          <c:spPr>
            <a:solidFill>
              <a:srgbClr val="002060"/>
            </a:solidFill>
            <a:ln>
              <a:noFill/>
            </a:ln>
            <a:effectLst/>
          </c:spPr>
          <c:invertIfNegative val="0"/>
          <c:dLbls>
            <c:delete val="1"/>
          </c:dLbls>
          <c:cat>
            <c:numRef>
              <c:f>[西锐底稿.xlsx]Part2.2!$A$20:$A$25</c:f>
              <c:numCache>
                <c:formatCode>General</c:formatCode>
                <c:ptCount val="6"/>
                <c:pt idx="0">
                  <c:v>2018</c:v>
                </c:pt>
                <c:pt idx="1">
                  <c:v>2019</c:v>
                </c:pt>
                <c:pt idx="2">
                  <c:v>2020</c:v>
                </c:pt>
                <c:pt idx="3">
                  <c:v>2021</c:v>
                </c:pt>
                <c:pt idx="4">
                  <c:v>2022</c:v>
                </c:pt>
                <c:pt idx="5">
                  <c:v>2023</c:v>
                </c:pt>
              </c:numCache>
            </c:numRef>
          </c:cat>
          <c:val>
            <c:numRef>
              <c:f>[西锐底稿.xlsx]Part2.2!$B$20:$B$25</c:f>
              <c:numCache>
                <c:formatCode>General</c:formatCode>
                <c:ptCount val="6"/>
                <c:pt idx="0">
                  <c:v>1.43</c:v>
                </c:pt>
                <c:pt idx="1">
                  <c:v>1.43</c:v>
                </c:pt>
                <c:pt idx="2">
                  <c:v>1.38</c:v>
                </c:pt>
                <c:pt idx="3">
                  <c:v>1.5</c:v>
                </c:pt>
                <c:pt idx="4">
                  <c:v>1.51</c:v>
                </c:pt>
                <c:pt idx="5">
                  <c:v>1.67</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min val="1.2"/>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extLst>
      <c:ext uri="{0b15fc19-7d7d-44ad-8c2d-2c3a37ce22c3}">
        <chartProps xmlns="https://web.wps.cn/et/2018/main" chartId="{357ee1ad-1471-49f3-aa83-11e6e6febd8c}"/>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3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250521139292582"/>
          <c:w val="0.931162239562145"/>
          <c:h val="0.619563915385425"/>
        </c:manualLayout>
      </c:layout>
      <c:barChart>
        <c:barDir val="col"/>
        <c:grouping val="percentStacked"/>
        <c:varyColors val="0"/>
        <c:ser>
          <c:idx val="0"/>
          <c:order val="0"/>
          <c:tx>
            <c:strRef>
              <c:f>[西锐底稿.xlsx]活塞式飞机市场份额图!$B$205</c:f>
              <c:strCache>
                <c:ptCount val="1"/>
                <c:pt idx="0">
                  <c:v>德事隆航空（比奇飞机）</c:v>
                </c:pt>
              </c:strCache>
            </c:strRef>
          </c:tx>
          <c:spPr>
            <a:solidFill>
              <a:srgbClr val="C00000"/>
            </a:solidFill>
            <a:ln>
              <a:noFill/>
            </a:ln>
            <a:effectLst/>
          </c:spPr>
          <c:invertIfNegative val="0"/>
          <c:dLbls>
            <c:spPr>
              <a:noFill/>
              <a:ln>
                <a:noFill/>
              </a:ln>
              <a:effectLst/>
            </c:spPr>
            <c:txPr>
              <a:bodyPr rot="0" spcFirstLastPara="1" vertOverflow="ellipsis" vert="horz" wrap="square" lIns="38100" tIns="19050" rIns="38100" bIns="19050" anchor="ctr" anchorCtr="1"/>
              <a:lstStyle/>
              <a:p>
                <a:pPr>
                  <a:defRPr lang="zh-CN" sz="700" b="0" i="0" u="none" strike="noStrike" kern="1200" baseline="0">
                    <a:solidFill>
                      <a:schemeClr val="tx1">
                        <a:lumMod val="75000"/>
                        <a:lumOff val="25000"/>
                      </a:schemeClr>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[西锐底稿.xlsx]活塞式飞机市场份额图!$C$205:$AA$205</c:f>
              <c:numCache>
                <c:formatCode>General</c:formatCode>
                <c:ptCount val="25"/>
                <c:pt idx="0">
                  <c:v>153</c:v>
                </c:pt>
                <c:pt idx="1">
                  <c:v>136</c:v>
                </c:pt>
                <c:pt idx="2">
                  <c:v>83</c:v>
                </c:pt>
                <c:pt idx="3">
                  <c:v>82</c:v>
                </c:pt>
                <c:pt idx="4">
                  <c:v>93</c:v>
                </c:pt>
                <c:pt idx="5">
                  <c:v>99</c:v>
                </c:pt>
                <c:pt idx="6">
                  <c:v>118</c:v>
                </c:pt>
                <c:pt idx="7">
                  <c:v>111</c:v>
                </c:pt>
                <c:pt idx="8">
                  <c:v>103</c:v>
                </c:pt>
                <c:pt idx="9">
                  <c:v>56</c:v>
                </c:pt>
                <c:pt idx="10">
                  <c:v>51</c:v>
                </c:pt>
                <c:pt idx="11">
                  <c:v>54</c:v>
                </c:pt>
                <c:pt idx="12">
                  <c:v>36</c:v>
                </c:pt>
                <c:pt idx="13">
                  <c:v>70</c:v>
                </c:pt>
                <c:pt idx="14">
                  <c:v>72</c:v>
                </c:pt>
                <c:pt idx="15">
                  <c:v>41</c:v>
                </c:pt>
                <c:pt idx="16">
                  <c:v>45</c:v>
                </c:pt>
                <c:pt idx="17">
                  <c:v>36</c:v>
                </c:pt>
                <c:pt idx="18">
                  <c:v>34</c:v>
                </c:pt>
                <c:pt idx="19">
                  <c:v>22</c:v>
                </c:pt>
                <c:pt idx="20">
                  <c:v>20</c:v>
                </c:pt>
                <c:pt idx="21">
                  <c:v>0</c:v>
                </c:pt>
                <c:pt idx="22">
                  <c:v>3</c:v>
                </c:pt>
                <c:pt idx="23">
                  <c:v>10</c:v>
                </c:pt>
                <c:pt idx="24">
                  <c:v>7</c:v>
                </c:pt>
              </c:numCache>
            </c:numRef>
          </c:val>
        </c:ser>
        <c:ser>
          <c:idx val="1"/>
          <c:order val="1"/>
          <c:tx>
            <c:strRef>
              <c:f>[西锐底稿.xlsx]活塞式飞机市场份额图!$B$206</c:f>
              <c:strCache>
                <c:ptCount val="1"/>
                <c:pt idx="0">
                  <c:v>德事隆航空（塞斯纳飞机）</c:v>
                </c:pt>
              </c:strCache>
            </c:strRef>
          </c:tx>
          <c:spPr>
            <a:solidFill>
              <a:srgbClr val="666666"/>
            </a:solidFill>
            <a:ln>
              <a:no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[西锐底稿.xlsx]活塞式飞机市场份额图!$C$206:$AA$206</c:f>
              <c:numCache>
                <c:formatCode>General</c:formatCode>
                <c:ptCount val="25"/>
                <c:pt idx="0">
                  <c:v>912</c:v>
                </c:pt>
                <c:pt idx="1">
                  <c:v>821</c:v>
                </c:pt>
                <c:pt idx="2">
                  <c:v>559</c:v>
                </c:pt>
                <c:pt idx="3">
                  <c:v>588</c:v>
                </c:pt>
                <c:pt idx="4">
                  <c:v>654</c:v>
                </c:pt>
                <c:pt idx="5">
                  <c:v>822</c:v>
                </c:pt>
                <c:pt idx="6">
                  <c:v>865</c:v>
                </c:pt>
                <c:pt idx="7">
                  <c:v>807</c:v>
                </c:pt>
                <c:pt idx="8">
                  <c:v>733</c:v>
                </c:pt>
                <c:pt idx="9">
                  <c:v>355</c:v>
                </c:pt>
                <c:pt idx="10">
                  <c:v>261</c:v>
                </c:pt>
                <c:pt idx="11">
                  <c:v>413</c:v>
                </c:pt>
                <c:pt idx="12">
                  <c:v>283</c:v>
                </c:pt>
                <c:pt idx="13">
                  <c:v>206</c:v>
                </c:pt>
                <c:pt idx="14">
                  <c:v>220</c:v>
                </c:pt>
                <c:pt idx="15">
                  <c:v>271</c:v>
                </c:pt>
                <c:pt idx="16">
                  <c:v>217</c:v>
                </c:pt>
                <c:pt idx="17">
                  <c:v>238</c:v>
                </c:pt>
                <c:pt idx="18">
                  <c:v>193</c:v>
                </c:pt>
                <c:pt idx="19">
                  <c:v>196</c:v>
                </c:pt>
                <c:pt idx="20">
                  <c:v>294</c:v>
                </c:pt>
                <c:pt idx="21">
                  <c:v>254</c:v>
                </c:pt>
                <c:pt idx="22">
                  <c:v>241</c:v>
                </c:pt>
                <c:pt idx="23">
                  <c:v>287</c:v>
                </c:pt>
                <c:pt idx="24">
                  <c:v>274</c:v>
                </c:pt>
              </c:numCache>
            </c:numRef>
          </c:val>
        </c:ser>
        <c:ser>
          <c:idx val="2"/>
          <c:order val="2"/>
          <c:tx>
            <c:strRef>
              <c:f>[西锐底稿.xlsx]活塞式飞机市场份额图!$B$207</c:f>
              <c:strCache>
                <c:ptCount val="1"/>
                <c:pt idx="0">
                  <c:v>泰克南飞机</c:v>
                </c:pt>
              </c:strCache>
            </c:strRef>
          </c:tx>
          <c:spPr>
            <a:solidFill>
              <a:srgbClr val="E6B9B8"/>
            </a:solidFill>
            <a:ln w="9525" cap="flat" cmpd="sng">
              <a:noFill/>
              <a:prstDash val="solid"/>
            </a:ln>
            <a:effectLst/>
            <a:sp3d contourW="9525"/>
          </c:spPr>
          <c:invertIfNegative val="0"/>
          <c:dLbls>
            <c:spPr>
              <a:noFill/>
              <a:ln>
                <a:noFill/>
              </a:ln>
              <a:effectLst/>
            </c:spPr>
            <c:txPr>
              <a:bodyPr rot="0" spcFirstLastPara="1" vertOverflow="ellipsis" vert="horz" wrap="square" lIns="38100" tIns="19050" rIns="38100" bIns="19050" anchor="ctr" anchorCtr="1"/>
              <a:lstStyle/>
              <a:p>
                <a:pPr>
                  <a:defRPr lang="zh-CN" sz="700" b="0" i="0" u="none" strike="noStrike" kern="1200" baseline="0">
                    <a:solidFill>
                      <a:schemeClr val="tx1">
                        <a:lumMod val="75000"/>
                        <a:lumOff val="25000"/>
                      </a:schemeClr>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[西锐底稿.xlsx]活塞式飞机市场份额图!$C$207:$AA$207</c:f>
              <c:numCache>
                <c:formatCode>General</c:formatCode>
                <c:ptCount val="25"/>
                <c:pt idx="13">
                  <c:v>197</c:v>
                </c:pt>
                <c:pt idx="14">
                  <c:v>190</c:v>
                </c:pt>
                <c:pt idx="15">
                  <c:v>191</c:v>
                </c:pt>
                <c:pt idx="16">
                  <c:v>191</c:v>
                </c:pt>
                <c:pt idx="17">
                  <c:v>171</c:v>
                </c:pt>
                <c:pt idx="18">
                  <c:v>180</c:v>
                </c:pt>
                <c:pt idx="19">
                  <c:v>205</c:v>
                </c:pt>
                <c:pt idx="20">
                  <c:v>154</c:v>
                </c:pt>
                <c:pt idx="21">
                  <c:v>203</c:v>
                </c:pt>
                <c:pt idx="22">
                  <c:v>209</c:v>
                </c:pt>
                <c:pt idx="23">
                  <c:v>244</c:v>
                </c:pt>
                <c:pt idx="24">
                  <c:v>283</c:v>
                </c:pt>
              </c:numCache>
            </c:numRef>
          </c:val>
        </c:ser>
        <c:ser>
          <c:idx val="3"/>
          <c:order val="3"/>
          <c:tx>
            <c:strRef>
              <c:f>[西锐底稿.xlsx]活塞式飞机市场份额图!$B$208</c:f>
              <c:strCache>
                <c:ptCount val="1"/>
                <c:pt idx="0">
                  <c:v>德事隆航空旗下 Pipistrel 飞机</c:v>
                </c:pt>
              </c:strCache>
            </c:strRef>
          </c:tx>
          <c:spPr>
            <a:solidFill>
              <a:srgbClr val="999999"/>
            </a:solidFill>
            <a:ln>
              <a:noFill/>
            </a:ln>
            <a:effectLst/>
          </c:spPr>
          <c:invertIfNegative val="0"/>
          <c:dLbls>
            <c:spPr>
              <a:noFill/>
              <a:ln>
                <a:noFill/>
              </a:ln>
              <a:effectLst/>
            </c:spPr>
            <c:txPr>
              <a:bodyPr rot="0" spcFirstLastPara="1" vertOverflow="ellipsis" vert="horz" wrap="square" lIns="38100" tIns="19050" rIns="38100" bIns="19050" anchor="ctr" anchorCtr="1"/>
              <a:lstStyle/>
              <a:p>
                <a:pPr>
                  <a:defRPr lang="zh-CN" sz="700" b="0" i="0" u="none" strike="noStrike" kern="1200" baseline="0">
                    <a:solidFill>
                      <a:schemeClr val="tx1">
                        <a:lumMod val="75000"/>
                        <a:lumOff val="25000"/>
                      </a:schemeClr>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[西锐底稿.xlsx]活塞式飞机市场份额图!$C$208:$AA$208</c:f>
              <c:numCache>
                <c:formatCode>General</c:formatCode>
                <c:ptCount val="25"/>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19</c:v>
                </c:pt>
                <c:pt idx="18">
                  <c:v>22</c:v>
                </c:pt>
                <c:pt idx="19">
                  <c:v>24</c:v>
                </c:pt>
                <c:pt idx="20">
                  <c:v>30</c:v>
                </c:pt>
                <c:pt idx="21">
                  <c:v>74</c:v>
                </c:pt>
                <c:pt idx="22">
                  <c:v>66</c:v>
                </c:pt>
                <c:pt idx="23">
                  <c:v>112</c:v>
                </c:pt>
                <c:pt idx="24">
                  <c:v>91</c:v>
                </c:pt>
              </c:numCache>
            </c:numRef>
          </c:val>
        </c:ser>
        <c:ser>
          <c:idx val="4"/>
          <c:order val="4"/>
          <c:tx>
            <c:strRef>
              <c:f>[西锐底稿.xlsx]活塞式飞机市场份额图!$B$209</c:f>
              <c:strCache>
                <c:ptCount val="1"/>
                <c:pt idx="0">
                  <c:v>派珀飞机公司</c:v>
                </c:pt>
              </c:strCache>
            </c:strRef>
          </c:tx>
          <c:spPr>
            <a:solidFill>
              <a:srgbClr val="996633"/>
            </a:solidFill>
            <a:ln>
              <a:no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[西锐底稿.xlsx]活塞式飞机市场份额图!$C$209:$AA$209</c:f>
              <c:numCache>
                <c:formatCode>General</c:formatCode>
                <c:ptCount val="25"/>
                <c:pt idx="0">
                  <c:v>377</c:v>
                </c:pt>
                <c:pt idx="1">
                  <c:v>343</c:v>
                </c:pt>
                <c:pt idx="2">
                  <c:v>265</c:v>
                </c:pt>
                <c:pt idx="3">
                  <c:v>205</c:v>
                </c:pt>
                <c:pt idx="4">
                  <c:v>163</c:v>
                </c:pt>
                <c:pt idx="5">
                  <c:v>193</c:v>
                </c:pt>
                <c:pt idx="6">
                  <c:v>189</c:v>
                </c:pt>
                <c:pt idx="7">
                  <c:v>168</c:v>
                </c:pt>
                <c:pt idx="8">
                  <c:v>216</c:v>
                </c:pt>
                <c:pt idx="9">
                  <c:v>61</c:v>
                </c:pt>
                <c:pt idx="10">
                  <c:v>135</c:v>
                </c:pt>
                <c:pt idx="11">
                  <c:v>104</c:v>
                </c:pt>
                <c:pt idx="12">
                  <c:v>126</c:v>
                </c:pt>
                <c:pt idx="13">
                  <c:v>154</c:v>
                </c:pt>
                <c:pt idx="14">
                  <c:v>136</c:v>
                </c:pt>
                <c:pt idx="15">
                  <c:v>111</c:v>
                </c:pt>
                <c:pt idx="16">
                  <c:v>93</c:v>
                </c:pt>
                <c:pt idx="17">
                  <c:v>108</c:v>
                </c:pt>
                <c:pt idx="18">
                  <c:v>173</c:v>
                </c:pt>
                <c:pt idx="19">
                  <c:v>246</c:v>
                </c:pt>
                <c:pt idx="20">
                  <c:v>201</c:v>
                </c:pt>
                <c:pt idx="21">
                  <c:v>161</c:v>
                </c:pt>
                <c:pt idx="22">
                  <c:v>186</c:v>
                </c:pt>
                <c:pt idx="23">
                  <c:v>185</c:v>
                </c:pt>
                <c:pt idx="24">
                  <c:v>229</c:v>
                </c:pt>
              </c:numCache>
            </c:numRef>
          </c:val>
        </c:ser>
        <c:ser>
          <c:idx val="5"/>
          <c:order val="5"/>
          <c:tx>
            <c:strRef>
              <c:f>[西锐底稿.xlsx]活塞式飞机市场份额图!$B$210</c:f>
              <c:strCache>
                <c:ptCount val="1"/>
                <c:pt idx="0">
                  <c:v>穆尼国际公司</c:v>
                </c:pt>
              </c:strCache>
            </c:strRef>
          </c:tx>
          <c:spPr>
            <a:solidFill>
              <a:srgbClr val="E7D6B5"/>
            </a:solidFill>
            <a:ln>
              <a:no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[西锐底稿.xlsx]活塞式飞机市场份额图!$C$210:$AA$210</c:f>
              <c:numCache>
                <c:formatCode>General</c:formatCode>
                <c:ptCount val="25"/>
                <c:pt idx="0">
                  <c:v>100</c:v>
                </c:pt>
                <c:pt idx="1">
                  <c:v>29</c:v>
                </c:pt>
                <c:pt idx="2">
                  <c:v>10</c:v>
                </c:pt>
                <c:pt idx="3">
                  <c:v>36</c:v>
                </c:pt>
                <c:pt idx="4">
                  <c:v>37</c:v>
                </c:pt>
                <c:pt idx="5">
                  <c:v>85</c:v>
                </c:pt>
                <c:pt idx="6">
                  <c:v>75</c:v>
                </c:pt>
                <c:pt idx="7">
                  <c:v>79</c:v>
                </c:pt>
                <c:pt idx="8">
                  <c:v>65</c:v>
                </c:pt>
                <c:pt idx="9">
                  <c:v>19</c:v>
                </c:pt>
                <c:pt idx="10">
                  <c:v>2</c:v>
                </c:pt>
                <c:pt idx="11">
                  <c:v>0</c:v>
                </c:pt>
                <c:pt idx="12">
                  <c:v>0</c:v>
                </c:pt>
                <c:pt idx="13">
                  <c:v>0</c:v>
                </c:pt>
                <c:pt idx="14">
                  <c:v>1</c:v>
                </c:pt>
                <c:pt idx="15">
                  <c:v>11</c:v>
                </c:pt>
                <c:pt idx="16">
                  <c:v>7</c:v>
                </c:pt>
                <c:pt idx="17">
                  <c:v>7</c:v>
                </c:pt>
                <c:pt idx="18">
                  <c:v>14</c:v>
                </c:pt>
                <c:pt idx="19">
                  <c:v>9</c:v>
                </c:pt>
                <c:pt idx="20">
                  <c:v>0</c:v>
                </c:pt>
                <c:pt idx="21">
                  <c:v>0</c:v>
                </c:pt>
                <c:pt idx="22">
                  <c:v>0</c:v>
                </c:pt>
                <c:pt idx="23">
                  <c:v>0</c:v>
                </c:pt>
                <c:pt idx="24">
                  <c:v>0</c:v>
                </c:pt>
              </c:numCache>
            </c:numRef>
          </c:val>
        </c:ser>
        <c:ser>
          <c:idx val="6"/>
          <c:order val="6"/>
          <c:tx>
            <c:strRef>
              <c:f>[西锐底稿.xlsx]活塞式飞机市场份额图!$B$211</c:f>
              <c:strCache>
                <c:ptCount val="1"/>
                <c:pt idx="0">
                  <c:v>钻石飞机</c:v>
                </c:pt>
              </c:strCache>
            </c:strRef>
          </c:tx>
          <c:spPr>
            <a:solidFill>
              <a:schemeClr val="accent4">
                <a:lumMod val="75000"/>
              </a:schemeClr>
            </a:solidFill>
            <a:ln>
              <a:no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[西锐底稿.xlsx]活塞式飞机市场份额图!$C$211:$AA$211</c:f>
              <c:numCache>
                <c:formatCode>General</c:formatCode>
                <c:ptCount val="25"/>
                <c:pt idx="0">
                  <c:v>0</c:v>
                </c:pt>
                <c:pt idx="1">
                  <c:v>0</c:v>
                </c:pt>
                <c:pt idx="2">
                  <c:v>0</c:v>
                </c:pt>
                <c:pt idx="3">
                  <c:v>228</c:v>
                </c:pt>
                <c:pt idx="4">
                  <c:v>261</c:v>
                </c:pt>
                <c:pt idx="5">
                  <c:v>329</c:v>
                </c:pt>
                <c:pt idx="6">
                  <c:v>438</c:v>
                </c:pt>
                <c:pt idx="7">
                  <c:v>471</c:v>
                </c:pt>
                <c:pt idx="8">
                  <c:v>308</c:v>
                </c:pt>
                <c:pt idx="9">
                  <c:v>163</c:v>
                </c:pt>
                <c:pt idx="10">
                  <c:v>130</c:v>
                </c:pt>
                <c:pt idx="11">
                  <c:v>185</c:v>
                </c:pt>
                <c:pt idx="12">
                  <c:v>156</c:v>
                </c:pt>
                <c:pt idx="13">
                  <c:v>139</c:v>
                </c:pt>
                <c:pt idx="14">
                  <c:v>202</c:v>
                </c:pt>
                <c:pt idx="15">
                  <c:v>144</c:v>
                </c:pt>
                <c:pt idx="16">
                  <c:v>132</c:v>
                </c:pt>
                <c:pt idx="17">
                  <c:v>137</c:v>
                </c:pt>
                <c:pt idx="18">
                  <c:v>134</c:v>
                </c:pt>
                <c:pt idx="19">
                  <c:v>233</c:v>
                </c:pt>
                <c:pt idx="20">
                  <c:v>239</c:v>
                </c:pt>
                <c:pt idx="21">
                  <c:v>240</c:v>
                </c:pt>
                <c:pt idx="22">
                  <c:v>239</c:v>
                </c:pt>
                <c:pt idx="23">
                  <c:v>273</c:v>
                </c:pt>
                <c:pt idx="24">
                  <c:v>252</c:v>
                </c:pt>
              </c:numCache>
            </c:numRef>
          </c:val>
        </c:ser>
        <c:ser>
          <c:idx val="7"/>
          <c:order val="7"/>
          <c:tx>
            <c:strRef>
              <c:f>[西锐底稿.xlsx]活塞式飞机市场份额图!$B$212</c:f>
              <c:strCache>
                <c:ptCount val="1"/>
                <c:pt idx="0">
                  <c:v>立方工匠飞机公司</c:v>
                </c:pt>
              </c:strCache>
            </c:strRef>
          </c:tx>
          <c:spPr>
            <a:solidFill>
              <a:schemeClr val="accent3">
                <a:lumMod val="60000"/>
                <a:lumOff val="40000"/>
              </a:schemeClr>
            </a:solidFill>
            <a:ln>
              <a:no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[西锐底稿.xlsx]活塞式飞机市场份额图!$C$212:$AA$212</c:f>
              <c:numCache>
                <c:formatCode>General</c:formatCode>
                <c:ptCount val="25"/>
                <c:pt idx="0">
                  <c:v>0</c:v>
                </c:pt>
                <c:pt idx="1">
                  <c:v>0</c:v>
                </c:pt>
                <c:pt idx="2">
                  <c:v>0</c:v>
                </c:pt>
                <c:pt idx="3">
                  <c:v>0</c:v>
                </c:pt>
                <c:pt idx="11">
                  <c:v>47</c:v>
                </c:pt>
                <c:pt idx="12">
                  <c:v>58</c:v>
                </c:pt>
                <c:pt idx="13">
                  <c:v>63</c:v>
                </c:pt>
                <c:pt idx="14">
                  <c:v>60</c:v>
                </c:pt>
                <c:pt idx="15">
                  <c:v>52</c:v>
                </c:pt>
                <c:pt idx="16">
                  <c:v>34</c:v>
                </c:pt>
                <c:pt idx="17">
                  <c:v>27</c:v>
                </c:pt>
                <c:pt idx="18">
                  <c:v>19</c:v>
                </c:pt>
                <c:pt idx="19">
                  <c:v>16</c:v>
                </c:pt>
                <c:pt idx="20">
                  <c:v>9</c:v>
                </c:pt>
                <c:pt idx="21">
                  <c:v>50</c:v>
                </c:pt>
                <c:pt idx="22">
                  <c:v>67</c:v>
                </c:pt>
                <c:pt idx="23">
                  <c:v>69</c:v>
                </c:pt>
                <c:pt idx="24">
                  <c:v>87</c:v>
                </c:pt>
              </c:numCache>
            </c:numRef>
          </c:val>
        </c:ser>
        <c:ser>
          <c:idx val="8"/>
          <c:order val="8"/>
          <c:tx>
            <c:strRef>
              <c:f>[西锐底稿.xlsx]活塞式飞机市场份额图!$B$213</c:f>
              <c:strCache>
                <c:ptCount val="1"/>
                <c:pt idx="0">
                  <c:v>哥伦比亚飞机（原兰凯尔 / Lancair）</c:v>
                </c:pt>
              </c:strCache>
            </c:strRef>
          </c:tx>
          <c:spPr>
            <a:solidFill>
              <a:schemeClr val="accent3">
                <a:lumMod val="60000"/>
              </a:schemeClr>
            </a:solidFill>
            <a:ln>
              <a:solidFill>
                <a:schemeClr val="bg1"/>
              </a:solid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[西锐底稿.xlsx]活塞式飞机市场份额图!$C$213:$AA$213</c:f>
              <c:numCache>
                <c:formatCode>General</c:formatCode>
                <c:ptCount val="25"/>
                <c:pt idx="0">
                  <c:v>5</c:v>
                </c:pt>
                <c:pt idx="1">
                  <c:v>27</c:v>
                </c:pt>
                <c:pt idx="2">
                  <c:v>24</c:v>
                </c:pt>
                <c:pt idx="3">
                  <c:v>51</c:v>
                </c:pt>
                <c:pt idx="4">
                  <c:v>78</c:v>
                </c:pt>
                <c:pt idx="5">
                  <c:v>114</c:v>
                </c:pt>
                <c:pt idx="6">
                  <c:v>185</c:v>
                </c:pt>
                <c:pt idx="7">
                  <c:v>152</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numCache>
            </c:numRef>
          </c:val>
        </c:ser>
        <c:ser>
          <c:idx val="9"/>
          <c:order val="9"/>
          <c:tx>
            <c:strRef>
              <c:f>[西锐底稿.xlsx]活塞式飞机市场份额图!$B$214</c:f>
              <c:strCache>
                <c:ptCount val="1"/>
                <c:pt idx="0">
                  <c:v>西锐飞机</c:v>
                </c:pt>
              </c:strCache>
            </c:strRef>
          </c:tx>
          <c:spPr>
            <a:solidFill>
              <a:schemeClr val="accent4">
                <a:lumMod val="60000"/>
              </a:schemeClr>
            </a:solidFill>
            <a:ln>
              <a:solidFill>
                <a:schemeClr val="bg1"/>
              </a:solid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[西锐底稿.xlsx]活塞式飞机市场份额图!$C$214:$AA$214</c:f>
              <c:numCache>
                <c:formatCode>General</c:formatCode>
                <c:ptCount val="25"/>
                <c:pt idx="0">
                  <c:v>95</c:v>
                </c:pt>
                <c:pt idx="1">
                  <c:v>183</c:v>
                </c:pt>
                <c:pt idx="2">
                  <c:v>397</c:v>
                </c:pt>
                <c:pt idx="3">
                  <c:v>469</c:v>
                </c:pt>
                <c:pt idx="4">
                  <c:v>553</c:v>
                </c:pt>
                <c:pt idx="5">
                  <c:v>600</c:v>
                </c:pt>
                <c:pt idx="6">
                  <c:v>721</c:v>
                </c:pt>
                <c:pt idx="7">
                  <c:v>710</c:v>
                </c:pt>
                <c:pt idx="8">
                  <c:v>549</c:v>
                </c:pt>
                <c:pt idx="9">
                  <c:v>266</c:v>
                </c:pt>
                <c:pt idx="10">
                  <c:v>264</c:v>
                </c:pt>
                <c:pt idx="11">
                  <c:v>255</c:v>
                </c:pt>
                <c:pt idx="12">
                  <c:v>253</c:v>
                </c:pt>
                <c:pt idx="13">
                  <c:v>276</c:v>
                </c:pt>
                <c:pt idx="14">
                  <c:v>308</c:v>
                </c:pt>
                <c:pt idx="15">
                  <c:v>301</c:v>
                </c:pt>
                <c:pt idx="16">
                  <c:v>317</c:v>
                </c:pt>
                <c:pt idx="17">
                  <c:v>355</c:v>
                </c:pt>
                <c:pt idx="18">
                  <c:v>380</c:v>
                </c:pt>
                <c:pt idx="19">
                  <c:v>384</c:v>
                </c:pt>
                <c:pt idx="20">
                  <c:v>347</c:v>
                </c:pt>
                <c:pt idx="21">
                  <c:v>442</c:v>
                </c:pt>
                <c:pt idx="22">
                  <c:v>539</c:v>
                </c:pt>
                <c:pt idx="23">
                  <c:v>612</c:v>
                </c:pt>
                <c:pt idx="24">
                  <c:v>630</c:v>
                </c:pt>
              </c:numCache>
            </c:numRef>
          </c:val>
        </c:ser>
        <c:ser>
          <c:idx val="10"/>
          <c:order val="10"/>
          <c:tx>
            <c:strRef>
              <c:f>[西锐底稿.xlsx]活塞式飞机市场份额图!$B$215</c:f>
              <c:strCache>
                <c:ptCount val="1"/>
                <c:pt idx="0">
                  <c:v>其他厂商</c:v>
                </c:pt>
              </c:strCache>
            </c:strRef>
          </c:tx>
          <c:spPr>
            <a:solidFill>
              <a:schemeClr val="accent5">
                <a:lumMod val="60000"/>
              </a:schemeClr>
            </a:solidFill>
            <a:ln>
              <a:solidFill>
                <a:schemeClr val="bg1"/>
              </a:solid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[西锐底稿.xlsx]活塞式飞机市场份额图!$C$215:$AA$215</c:f>
              <c:numCache>
                <c:formatCode>_(* #,##0_);_(* \(#,##0\);_(* "-"??_);_(@_)</c:formatCode>
                <c:ptCount val="25"/>
                <c:pt idx="0">
                  <c:v>271</c:v>
                </c:pt>
                <c:pt idx="1">
                  <c:v>251</c:v>
                </c:pt>
                <c:pt idx="2">
                  <c:v>238</c:v>
                </c:pt>
                <c:pt idx="3">
                  <c:v>237</c:v>
                </c:pt>
                <c:pt idx="4">
                  <c:v>212</c:v>
                </c:pt>
                <c:pt idx="5">
                  <c:v>223</c:v>
                </c:pt>
                <c:pt idx="6">
                  <c:v>164</c:v>
                </c:pt>
                <c:pt idx="7">
                  <c:v>177</c:v>
                </c:pt>
                <c:pt idx="8">
                  <c:v>145</c:v>
                </c:pt>
                <c:pt idx="9">
                  <c:v>57</c:v>
                </c:pt>
                <c:pt idx="10">
                  <c:v>69</c:v>
                </c:pt>
                <c:pt idx="11">
                  <c:v>149</c:v>
                </c:pt>
                <c:pt idx="12">
                  <c:v>160</c:v>
                </c:pt>
                <c:pt idx="13">
                  <c:v>177</c:v>
                </c:pt>
                <c:pt idx="14">
                  <c:v>189</c:v>
                </c:pt>
                <c:pt idx="15">
                  <c:v>143</c:v>
                </c:pt>
                <c:pt idx="16">
                  <c:v>119</c:v>
                </c:pt>
                <c:pt idx="17">
                  <c:v>120</c:v>
                </c:pt>
                <c:pt idx="18">
                  <c:v>154</c:v>
                </c:pt>
                <c:pt idx="19">
                  <c:v>186</c:v>
                </c:pt>
                <c:pt idx="20">
                  <c:v>148</c:v>
                </c:pt>
                <c:pt idx="21">
                  <c:v>153</c:v>
                </c:pt>
                <c:pt idx="22">
                  <c:v>170</c:v>
                </c:pt>
                <c:pt idx="23">
                  <c:v>141</c:v>
                </c:pt>
                <c:pt idx="24">
                  <c:v>119</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3"/>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4"/>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5"/>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6"/>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7"/>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014795265276748"/>
          <c:y val="0.0291616038882139"/>
          <c:w val="0.985204734723252"/>
          <c:h val="0.138734991054429"/>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24180db2-9ddf-410a-b5d5-5430d8ddccfa}"/>
      </c:ext>
    </c:extLst>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3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250521139292582"/>
          <c:w val="0.931162239562145"/>
          <c:h val="0.619563915385425"/>
        </c:manualLayout>
      </c:layout>
      <c:barChart>
        <c:barDir val="col"/>
        <c:grouping val="percentStacked"/>
        <c:varyColors val="0"/>
        <c:ser>
          <c:idx val="0"/>
          <c:order val="0"/>
          <c:tx>
            <c:strRef>
              <c:f>[西锐底稿.xlsx]喷气式飞机市场份额图!$B$144</c:f>
              <c:strCache>
                <c:ptCount val="1"/>
                <c:pt idx="0">
                  <c:v>德事隆航空（比奇飞机）</c:v>
                </c:pt>
              </c:strCache>
            </c:strRef>
          </c:tx>
          <c:spPr>
            <a:solidFill>
              <a:srgbClr val="C00000"/>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[西锐底稿.xlsx]喷气式飞机市场份额图!$C$144:$AA$144</c:f>
              <c:numCache>
                <c:formatCode>General</c:formatCode>
                <c:ptCount val="25"/>
                <c:pt idx="0">
                  <c:v>118</c:v>
                </c:pt>
                <c:pt idx="1">
                  <c:v>98</c:v>
                </c:pt>
                <c:pt idx="2">
                  <c:v>94</c:v>
                </c:pt>
                <c:pt idx="3">
                  <c:v>100</c:v>
                </c:pt>
                <c:pt idx="4">
                  <c:v>115</c:v>
                </c:pt>
                <c:pt idx="5">
                  <c:v>141</c:v>
                </c:pt>
                <c:pt idx="6">
                  <c:v>140</c:v>
                </c:pt>
                <c:pt idx="7">
                  <c:v>162</c:v>
                </c:pt>
                <c:pt idx="8">
                  <c:v>160</c:v>
                </c:pt>
                <c:pt idx="9">
                  <c:v>98</c:v>
                </c:pt>
                <c:pt idx="10">
                  <c:v>73</c:v>
                </c:pt>
                <c:pt idx="11">
                  <c:v>52</c:v>
                </c:pt>
                <c:pt idx="12">
                  <c:v>32</c:v>
                </c:pt>
                <c:pt idx="13">
                  <c:v>6</c:v>
                </c:pt>
                <c:pt idx="14">
                  <c:v>0</c:v>
                </c:pt>
                <c:pt idx="15">
                  <c:v>0</c:v>
                </c:pt>
                <c:pt idx="16">
                  <c:v>0</c:v>
                </c:pt>
                <c:pt idx="17">
                  <c:v>0</c:v>
                </c:pt>
                <c:pt idx="18">
                  <c:v>0</c:v>
                </c:pt>
                <c:pt idx="19">
                  <c:v>0</c:v>
                </c:pt>
                <c:pt idx="20">
                  <c:v>0</c:v>
                </c:pt>
                <c:pt idx="21">
                  <c:v>0</c:v>
                </c:pt>
                <c:pt idx="22">
                  <c:v>0</c:v>
                </c:pt>
                <c:pt idx="23">
                  <c:v>0</c:v>
                </c:pt>
                <c:pt idx="24">
                  <c:v>0</c:v>
                </c:pt>
              </c:numCache>
            </c:numRef>
          </c:val>
        </c:ser>
        <c:ser>
          <c:idx val="1"/>
          <c:order val="1"/>
          <c:tx>
            <c:strRef>
              <c:f>[西锐底稿.xlsx]喷气式飞机市场份额图!$B$145</c:f>
              <c:strCache>
                <c:ptCount val="1"/>
                <c:pt idx="0">
                  <c:v>德事隆航空（塞斯纳飞机）</c:v>
                </c:pt>
              </c:strCache>
            </c:strRef>
          </c:tx>
          <c:spPr>
            <a:solidFill>
              <a:srgbClr val="666666"/>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[西锐底稿.xlsx]喷气式飞机市场份额图!$C$145:$AA$145</c:f>
              <c:numCache>
                <c:formatCode>General</c:formatCode>
                <c:ptCount val="25"/>
                <c:pt idx="0">
                  <c:v>252</c:v>
                </c:pt>
                <c:pt idx="1">
                  <c:v>306</c:v>
                </c:pt>
                <c:pt idx="2">
                  <c:v>305</c:v>
                </c:pt>
                <c:pt idx="3">
                  <c:v>196</c:v>
                </c:pt>
                <c:pt idx="4">
                  <c:v>181</c:v>
                </c:pt>
                <c:pt idx="5">
                  <c:v>247</c:v>
                </c:pt>
                <c:pt idx="6">
                  <c:v>307</c:v>
                </c:pt>
                <c:pt idx="7">
                  <c:v>388</c:v>
                </c:pt>
                <c:pt idx="8">
                  <c:v>466</c:v>
                </c:pt>
                <c:pt idx="9">
                  <c:v>289</c:v>
                </c:pt>
                <c:pt idx="10">
                  <c:v>178</c:v>
                </c:pt>
                <c:pt idx="11">
                  <c:v>183</c:v>
                </c:pt>
                <c:pt idx="12">
                  <c:v>181</c:v>
                </c:pt>
                <c:pt idx="13">
                  <c:v>139</c:v>
                </c:pt>
                <c:pt idx="14">
                  <c:v>159</c:v>
                </c:pt>
                <c:pt idx="15">
                  <c:v>166</c:v>
                </c:pt>
                <c:pt idx="16">
                  <c:v>178</c:v>
                </c:pt>
                <c:pt idx="17">
                  <c:v>180</c:v>
                </c:pt>
                <c:pt idx="18">
                  <c:v>188</c:v>
                </c:pt>
                <c:pt idx="19">
                  <c:v>206</c:v>
                </c:pt>
                <c:pt idx="20">
                  <c:v>132</c:v>
                </c:pt>
                <c:pt idx="21">
                  <c:v>167</c:v>
                </c:pt>
                <c:pt idx="22">
                  <c:v>178</c:v>
                </c:pt>
                <c:pt idx="23">
                  <c:v>168</c:v>
                </c:pt>
                <c:pt idx="24">
                  <c:v>151</c:v>
                </c:pt>
              </c:numCache>
            </c:numRef>
          </c:val>
        </c:ser>
        <c:ser>
          <c:idx val="2"/>
          <c:order val="2"/>
          <c:tx>
            <c:strRef>
              <c:f>[西锐底稿.xlsx]喷气式飞机市场份额图!$B$146</c:f>
              <c:strCache>
                <c:ptCount val="1"/>
                <c:pt idx="0">
                  <c:v>ONE 航空公司（前身为 Eclipse 航空）</c:v>
                </c:pt>
              </c:strCache>
            </c:strRef>
          </c:tx>
          <c:spPr>
            <a:solidFill>
              <a:srgbClr val="E6B9B8"/>
            </a:solidFill>
            <a:ln w="9525" cap="flat" cmpd="sng">
              <a:noFill/>
              <a:prstDash val="solid"/>
            </a:ln>
            <a:effectLst/>
            <a:sp3d contourW="9525"/>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[西锐底稿.xlsx]喷气式飞机市场份额图!$C$146:$AA$146</c:f>
              <c:numCache>
                <c:formatCode>General</c:formatCode>
                <c:ptCount val="25"/>
                <c:pt idx="0">
                  <c:v>0</c:v>
                </c:pt>
                <c:pt idx="1">
                  <c:v>0</c:v>
                </c:pt>
                <c:pt idx="2">
                  <c:v>0</c:v>
                </c:pt>
                <c:pt idx="3">
                  <c:v>0</c:v>
                </c:pt>
                <c:pt idx="4">
                  <c:v>0</c:v>
                </c:pt>
                <c:pt idx="5">
                  <c:v>0</c:v>
                </c:pt>
                <c:pt idx="6">
                  <c:v>1</c:v>
                </c:pt>
                <c:pt idx="7">
                  <c:v>98</c:v>
                </c:pt>
                <c:pt idx="8">
                  <c:v>161</c:v>
                </c:pt>
                <c:pt idx="9">
                  <c:v>0</c:v>
                </c:pt>
                <c:pt idx="10">
                  <c:v>0</c:v>
                </c:pt>
                <c:pt idx="11">
                  <c:v>0</c:v>
                </c:pt>
                <c:pt idx="12">
                  <c:v>0</c:v>
                </c:pt>
                <c:pt idx="13">
                  <c:v>0</c:v>
                </c:pt>
                <c:pt idx="14">
                  <c:v>12</c:v>
                </c:pt>
                <c:pt idx="15">
                  <c:v>7</c:v>
                </c:pt>
                <c:pt idx="16">
                  <c:v>8</c:v>
                </c:pt>
                <c:pt idx="17">
                  <c:v>6</c:v>
                </c:pt>
                <c:pt idx="18">
                  <c:v>0</c:v>
                </c:pt>
                <c:pt idx="19">
                  <c:v>0</c:v>
                </c:pt>
                <c:pt idx="20">
                  <c:v>0</c:v>
                </c:pt>
                <c:pt idx="21">
                  <c:v>0</c:v>
                </c:pt>
                <c:pt idx="22">
                  <c:v>0</c:v>
                </c:pt>
                <c:pt idx="23">
                  <c:v>2</c:v>
                </c:pt>
                <c:pt idx="24">
                  <c:v>0</c:v>
                </c:pt>
              </c:numCache>
            </c:numRef>
          </c:val>
        </c:ser>
        <c:ser>
          <c:idx val="3"/>
          <c:order val="3"/>
          <c:tx>
            <c:strRef>
              <c:f>[西锐底稿.xlsx]喷气式飞机市场份额图!$B$147</c:f>
              <c:strCache>
                <c:ptCount val="1"/>
                <c:pt idx="0">
                  <c:v>湾流宇航公司</c:v>
                </c:pt>
              </c:strCache>
            </c:strRef>
          </c:tx>
          <c:spPr>
            <a:solidFill>
              <a:srgbClr val="999999"/>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[西锐底稿.xlsx]喷气式飞机市场份额图!$C$147:$AA$147</c:f>
              <c:numCache>
                <c:formatCode>General</c:formatCode>
                <c:ptCount val="25"/>
                <c:pt idx="0">
                  <c:v>88</c:v>
                </c:pt>
                <c:pt idx="1">
                  <c:v>101</c:v>
                </c:pt>
                <c:pt idx="2">
                  <c:v>85</c:v>
                </c:pt>
                <c:pt idx="3">
                  <c:v>74</c:v>
                </c:pt>
                <c:pt idx="4">
                  <c:v>78</c:v>
                </c:pt>
                <c:pt idx="5">
                  <c:v>89</c:v>
                </c:pt>
                <c:pt idx="6">
                  <c:v>113</c:v>
                </c:pt>
                <c:pt idx="7">
                  <c:v>138</c:v>
                </c:pt>
                <c:pt idx="8">
                  <c:v>156</c:v>
                </c:pt>
                <c:pt idx="9">
                  <c:v>94</c:v>
                </c:pt>
                <c:pt idx="10">
                  <c:v>99</c:v>
                </c:pt>
                <c:pt idx="11">
                  <c:v>99</c:v>
                </c:pt>
                <c:pt idx="12">
                  <c:v>94</c:v>
                </c:pt>
                <c:pt idx="13">
                  <c:v>144</c:v>
                </c:pt>
                <c:pt idx="14">
                  <c:v>150</c:v>
                </c:pt>
                <c:pt idx="15">
                  <c:v>154</c:v>
                </c:pt>
                <c:pt idx="16">
                  <c:v>121</c:v>
                </c:pt>
                <c:pt idx="17">
                  <c:v>120</c:v>
                </c:pt>
                <c:pt idx="18">
                  <c:v>121</c:v>
                </c:pt>
                <c:pt idx="19">
                  <c:v>147</c:v>
                </c:pt>
                <c:pt idx="20">
                  <c:v>127</c:v>
                </c:pt>
                <c:pt idx="21">
                  <c:v>119</c:v>
                </c:pt>
                <c:pt idx="22">
                  <c:v>120</c:v>
                </c:pt>
                <c:pt idx="23">
                  <c:v>111</c:v>
                </c:pt>
                <c:pt idx="24">
                  <c:v>136</c:v>
                </c:pt>
              </c:numCache>
            </c:numRef>
          </c:val>
        </c:ser>
        <c:ser>
          <c:idx val="4"/>
          <c:order val="4"/>
          <c:tx>
            <c:strRef>
              <c:f>[西锐底稿.xlsx]喷气式飞机市场份额图!$B$148</c:f>
              <c:strCache>
                <c:ptCount val="1"/>
                <c:pt idx="0">
                  <c:v>巴西航空工业公司</c:v>
                </c:pt>
              </c:strCache>
            </c:strRef>
          </c:tx>
          <c:spPr>
            <a:solidFill>
              <a:srgbClr val="996633"/>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[西锐底稿.xlsx]喷气式飞机市场份额图!$C$148:$AA$148</c:f>
              <c:numCache>
                <c:formatCode>General</c:formatCode>
                <c:ptCount val="25"/>
                <c:pt idx="0">
                  <c:v>0</c:v>
                </c:pt>
                <c:pt idx="1">
                  <c:v>0</c:v>
                </c:pt>
                <c:pt idx="2">
                  <c:v>8</c:v>
                </c:pt>
                <c:pt idx="3">
                  <c:v>13</c:v>
                </c:pt>
                <c:pt idx="4">
                  <c:v>13</c:v>
                </c:pt>
                <c:pt idx="5">
                  <c:v>20</c:v>
                </c:pt>
                <c:pt idx="6">
                  <c:v>27</c:v>
                </c:pt>
                <c:pt idx="7">
                  <c:v>36</c:v>
                </c:pt>
                <c:pt idx="8">
                  <c:v>38</c:v>
                </c:pt>
                <c:pt idx="9">
                  <c:v>122</c:v>
                </c:pt>
                <c:pt idx="10">
                  <c:v>145</c:v>
                </c:pt>
                <c:pt idx="11">
                  <c:v>99</c:v>
                </c:pt>
                <c:pt idx="12">
                  <c:v>99</c:v>
                </c:pt>
                <c:pt idx="13">
                  <c:v>119</c:v>
                </c:pt>
                <c:pt idx="14">
                  <c:v>116</c:v>
                </c:pt>
                <c:pt idx="15">
                  <c:v>120</c:v>
                </c:pt>
                <c:pt idx="16">
                  <c:v>117</c:v>
                </c:pt>
                <c:pt idx="17">
                  <c:v>109</c:v>
                </c:pt>
                <c:pt idx="18">
                  <c:v>91</c:v>
                </c:pt>
                <c:pt idx="19">
                  <c:v>109</c:v>
                </c:pt>
                <c:pt idx="20">
                  <c:v>86</c:v>
                </c:pt>
                <c:pt idx="21">
                  <c:v>93</c:v>
                </c:pt>
                <c:pt idx="22">
                  <c:v>102</c:v>
                </c:pt>
                <c:pt idx="23">
                  <c:v>115</c:v>
                </c:pt>
                <c:pt idx="24">
                  <c:v>130</c:v>
                </c:pt>
              </c:numCache>
            </c:numRef>
          </c:val>
        </c:ser>
        <c:ser>
          <c:idx val="5"/>
          <c:order val="5"/>
          <c:tx>
            <c:strRef>
              <c:f>[西锐底稿.xlsx]喷气式飞机市场份额图!$B$149</c:f>
              <c:strCache>
                <c:ptCount val="1"/>
                <c:pt idx="0">
                  <c:v>达索航空</c:v>
                </c:pt>
              </c:strCache>
            </c:strRef>
          </c:tx>
          <c:spPr>
            <a:solidFill>
              <a:srgbClr val="E7D6B5"/>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[西锐底稿.xlsx]喷气式飞机市场份额图!$C$149:$AA$149</c:f>
              <c:numCache>
                <c:formatCode>General</c:formatCode>
                <c:ptCount val="25"/>
                <c:pt idx="0">
                  <c:v>73</c:v>
                </c:pt>
                <c:pt idx="1">
                  <c:v>75</c:v>
                </c:pt>
                <c:pt idx="2">
                  <c:v>66</c:v>
                </c:pt>
                <c:pt idx="3">
                  <c:v>49</c:v>
                </c:pt>
                <c:pt idx="4">
                  <c:v>63</c:v>
                </c:pt>
                <c:pt idx="5">
                  <c:v>51</c:v>
                </c:pt>
                <c:pt idx="6">
                  <c:v>61</c:v>
                </c:pt>
                <c:pt idx="7">
                  <c:v>70</c:v>
                </c:pt>
                <c:pt idx="8">
                  <c:v>72</c:v>
                </c:pt>
                <c:pt idx="9">
                  <c:v>77</c:v>
                </c:pt>
                <c:pt idx="10">
                  <c:v>95</c:v>
                </c:pt>
                <c:pt idx="11">
                  <c:v>63</c:v>
                </c:pt>
                <c:pt idx="12">
                  <c:v>66</c:v>
                </c:pt>
                <c:pt idx="13">
                  <c:v>77</c:v>
                </c:pt>
                <c:pt idx="14">
                  <c:v>66</c:v>
                </c:pt>
                <c:pt idx="15">
                  <c:v>55</c:v>
                </c:pt>
                <c:pt idx="16">
                  <c:v>49</c:v>
                </c:pt>
                <c:pt idx="17">
                  <c:v>49</c:v>
                </c:pt>
                <c:pt idx="18">
                  <c:v>41</c:v>
                </c:pt>
                <c:pt idx="19">
                  <c:v>40</c:v>
                </c:pt>
                <c:pt idx="20">
                  <c:v>34</c:v>
                </c:pt>
                <c:pt idx="21">
                  <c:v>30</c:v>
                </c:pt>
                <c:pt idx="22">
                  <c:v>32</c:v>
                </c:pt>
                <c:pt idx="23">
                  <c:v>26</c:v>
                </c:pt>
                <c:pt idx="24">
                  <c:v>31</c:v>
                </c:pt>
              </c:numCache>
            </c:numRef>
          </c:val>
        </c:ser>
        <c:ser>
          <c:idx val="6"/>
          <c:order val="6"/>
          <c:tx>
            <c:strRef>
              <c:f>[西锐底稿.xlsx]喷气式飞机市场份额图!$B$150</c:f>
              <c:strCache>
                <c:ptCount val="1"/>
                <c:pt idx="0">
                  <c:v>西锐飞机</c:v>
                </c:pt>
              </c:strCache>
            </c:strRef>
          </c:tx>
          <c:spPr>
            <a:solidFill>
              <a:schemeClr val="accent4">
                <a:lumMod val="75000"/>
              </a:schemeClr>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[西锐底稿.xlsx]喷气式飞机市场份额图!$C$150:$AA$150</c:f>
              <c:numCache>
                <c:formatCode>General</c:formatCode>
                <c:ptCount val="25"/>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3</c:v>
                </c:pt>
                <c:pt idx="17">
                  <c:v>22</c:v>
                </c:pt>
                <c:pt idx="18">
                  <c:v>63</c:v>
                </c:pt>
                <c:pt idx="19">
                  <c:v>81</c:v>
                </c:pt>
                <c:pt idx="20">
                  <c:v>73</c:v>
                </c:pt>
                <c:pt idx="21">
                  <c:v>86</c:v>
                </c:pt>
                <c:pt idx="22">
                  <c:v>90</c:v>
                </c:pt>
                <c:pt idx="23">
                  <c:v>96</c:v>
                </c:pt>
                <c:pt idx="24">
                  <c:v>101</c:v>
                </c:pt>
              </c:numCache>
            </c:numRef>
          </c:val>
        </c:ser>
        <c:ser>
          <c:idx val="7"/>
          <c:order val="7"/>
          <c:tx>
            <c:strRef>
              <c:f>[西锐底稿.xlsx]喷气式飞机市场份额图!$B$151</c:f>
              <c:strCache>
                <c:ptCount val="1"/>
                <c:pt idx="0">
                  <c:v>庞巴迪</c:v>
                </c:pt>
              </c:strCache>
            </c:strRef>
          </c:tx>
          <c:spPr>
            <a:solidFill>
              <a:schemeClr val="accent3">
                <a:lumMod val="60000"/>
                <a:lumOff val="40000"/>
              </a:schemeClr>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[西锐底稿.xlsx]喷气式飞机市场份额图!$C$151:$AA$151</c:f>
              <c:numCache>
                <c:formatCode>General</c:formatCode>
                <c:ptCount val="25"/>
                <c:pt idx="0">
                  <c:v>207</c:v>
                </c:pt>
                <c:pt idx="1">
                  <c:v>179</c:v>
                </c:pt>
                <c:pt idx="2">
                  <c:v>101</c:v>
                </c:pt>
                <c:pt idx="3">
                  <c:v>70</c:v>
                </c:pt>
                <c:pt idx="4">
                  <c:v>129</c:v>
                </c:pt>
                <c:pt idx="5">
                  <c:v>188</c:v>
                </c:pt>
                <c:pt idx="6">
                  <c:v>213</c:v>
                </c:pt>
                <c:pt idx="7">
                  <c:v>224</c:v>
                </c:pt>
                <c:pt idx="8">
                  <c:v>247</c:v>
                </c:pt>
                <c:pt idx="9">
                  <c:v>173</c:v>
                </c:pt>
                <c:pt idx="10">
                  <c:v>150</c:v>
                </c:pt>
                <c:pt idx="11">
                  <c:v>182</c:v>
                </c:pt>
                <c:pt idx="12">
                  <c:v>179</c:v>
                </c:pt>
                <c:pt idx="13">
                  <c:v>180</c:v>
                </c:pt>
                <c:pt idx="14">
                  <c:v>204</c:v>
                </c:pt>
                <c:pt idx="15">
                  <c:v>199</c:v>
                </c:pt>
                <c:pt idx="16">
                  <c:v>162</c:v>
                </c:pt>
                <c:pt idx="17">
                  <c:v>138</c:v>
                </c:pt>
                <c:pt idx="18">
                  <c:v>137</c:v>
                </c:pt>
                <c:pt idx="19">
                  <c:v>142</c:v>
                </c:pt>
                <c:pt idx="20">
                  <c:v>114</c:v>
                </c:pt>
                <c:pt idx="21">
                  <c:v>120</c:v>
                </c:pt>
                <c:pt idx="22">
                  <c:v>123</c:v>
                </c:pt>
                <c:pt idx="23">
                  <c:v>138</c:v>
                </c:pt>
                <c:pt idx="24">
                  <c:v>146</c:v>
                </c:pt>
              </c:numCache>
            </c:numRef>
          </c:val>
        </c:ser>
        <c:ser>
          <c:idx val="8"/>
          <c:order val="8"/>
          <c:tx>
            <c:strRef>
              <c:f>[西锐底稿.xlsx]喷气式飞机市场份额图!$B$152</c:f>
              <c:strCache>
                <c:ptCount val="1"/>
                <c:pt idx="0">
                  <c:v>其他厂商</c:v>
                </c:pt>
              </c:strCache>
            </c:strRef>
          </c:tx>
          <c:spPr>
            <a:solidFill>
              <a:schemeClr val="accent3">
                <a:lumMod val="60000"/>
              </a:schemeClr>
            </a:solidFill>
            <a:ln>
              <a:solidFill>
                <a:schemeClr val="bg1"/>
              </a:solid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[西锐底稿.xlsx]喷气式飞机市场份额图!$C$152:$AA$152</c:f>
              <c:numCache>
                <c:formatCode>_(* #,##0_);_(* \(#,##0\);_(* "-"??_);_(@_)</c:formatCode>
                <c:ptCount val="25"/>
                <c:pt idx="0">
                  <c:v>132</c:v>
                </c:pt>
                <c:pt idx="1">
                  <c:v>123</c:v>
                </c:pt>
                <c:pt idx="2">
                  <c:v>111</c:v>
                </c:pt>
                <c:pt idx="3">
                  <c:v>116</c:v>
                </c:pt>
                <c:pt idx="4">
                  <c:v>127</c:v>
                </c:pt>
                <c:pt idx="5">
                  <c:v>155</c:v>
                </c:pt>
                <c:pt idx="6">
                  <c:v>165</c:v>
                </c:pt>
                <c:pt idx="7">
                  <c:v>183</c:v>
                </c:pt>
                <c:pt idx="8">
                  <c:v>177</c:v>
                </c:pt>
                <c:pt idx="9">
                  <c:v>119</c:v>
                </c:pt>
                <c:pt idx="10">
                  <c:v>100</c:v>
                </c:pt>
                <c:pt idx="11">
                  <c:v>70</c:v>
                </c:pt>
                <c:pt idx="12">
                  <c:v>53</c:v>
                </c:pt>
                <c:pt idx="13">
                  <c:v>19</c:v>
                </c:pt>
                <c:pt idx="14">
                  <c:v>15</c:v>
                </c:pt>
                <c:pt idx="15">
                  <c:v>17</c:v>
                </c:pt>
                <c:pt idx="16">
                  <c:v>28</c:v>
                </c:pt>
                <c:pt idx="17">
                  <c:v>53</c:v>
                </c:pt>
                <c:pt idx="18">
                  <c:v>62</c:v>
                </c:pt>
                <c:pt idx="19">
                  <c:v>84</c:v>
                </c:pt>
                <c:pt idx="20">
                  <c:v>78</c:v>
                </c:pt>
                <c:pt idx="21">
                  <c:v>95</c:v>
                </c:pt>
                <c:pt idx="22">
                  <c:v>67</c:v>
                </c:pt>
                <c:pt idx="23">
                  <c:v>74</c:v>
                </c:pt>
                <c:pt idx="24">
                  <c:v>69</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3"/>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4"/>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5"/>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6"/>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7"/>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014795265276748"/>
          <c:y val="0.0291616038882139"/>
          <c:w val="0.985204734723252"/>
          <c:h val="0.138734991054429"/>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24180db2-9ddf-410a-b5d5-5430d8ddccfa}"/>
      </c:ext>
    </c:extLst>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3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'[西锐底稿.xlsx]Part 3.3'!$A$3</c:f>
              <c:strCache>
                <c:ptCount val="1"/>
                <c:pt idx="0">
                  <c:v>交付量（架）</c:v>
                </c:pt>
              </c:strCache>
            </c:strRef>
          </c:tx>
          <c:spPr>
            <a:solidFill>
              <a:srgbClr val="002060"/>
            </a:solidFill>
            <a:ln w="25400">
              <a:noFill/>
            </a:ln>
            <a:effectLst/>
          </c:spPr>
          <c:invertIfNegative val="0"/>
          <c:dLbls>
            <c:delete val="1"/>
          </c:dLbls>
          <c:cat>
            <c:numRef>
              <c:f>'[西锐底稿.xlsx]Part 3.3'!$B$2:$K$2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'[西锐底稿.xlsx]Part 3.3'!$B$3:$K$3</c:f>
              <c:numCache>
                <c:formatCode>General</c:formatCode>
                <c:ptCount val="10"/>
                <c:pt idx="0">
                  <c:v>301</c:v>
                </c:pt>
                <c:pt idx="1">
                  <c:v>320</c:v>
                </c:pt>
                <c:pt idx="2">
                  <c:v>377</c:v>
                </c:pt>
                <c:pt idx="3">
                  <c:v>443</c:v>
                </c:pt>
                <c:pt idx="4">
                  <c:v>465</c:v>
                </c:pt>
                <c:pt idx="5">
                  <c:v>420</c:v>
                </c:pt>
                <c:pt idx="6">
                  <c:v>528</c:v>
                </c:pt>
                <c:pt idx="7">
                  <c:v>629</c:v>
                </c:pt>
                <c:pt idx="8">
                  <c:v>708</c:v>
                </c:pt>
                <c:pt idx="9">
                  <c:v>731</c:v>
                </c:pt>
              </c:numCache>
            </c:numRef>
          </c:val>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'[西锐底稿.xlsx]Part 3.3'!$A$4</c:f>
              <c:strCache>
                <c:ptCount val="1"/>
                <c:pt idx="0">
                  <c:v>平均价格（百万美元）</c:v>
                </c:pt>
              </c:strCache>
            </c:strRef>
          </c:tx>
          <c:spPr>
            <a:ln w="28575" cap="rnd">
              <a:solidFill>
                <a:srgbClr val="A5A5A5"/>
              </a:solidFill>
              <a:round/>
            </a:ln>
            <a:effectLst/>
          </c:spPr>
          <c:marker>
            <c:symbol val="none"/>
          </c:marker>
          <c:dLbls>
            <c:delete val="1"/>
          </c:dLbls>
          <c:cat>
            <c:numRef>
              <c:f>'[西锐底稿.xlsx]Part 3.3'!$B$2:$K$2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'[西锐底稿.xlsx]Part 3.3'!$B$4:$K$4</c:f>
              <c:numCache>
                <c:formatCode>"$"#,##0.00_);[Red]\("$"#,##0.00\)</c:formatCode>
                <c:ptCount val="10"/>
                <c:pt idx="0">
                  <c:v>0.7342766910299</c:v>
                </c:pt>
                <c:pt idx="1">
                  <c:v>0.7595329125</c:v>
                </c:pt>
                <c:pt idx="2">
                  <c:v>0.858616938992042</c:v>
                </c:pt>
                <c:pt idx="3">
                  <c:v>0.987250069977427</c:v>
                </c:pt>
                <c:pt idx="4">
                  <c:v>1.17707288387097</c:v>
                </c:pt>
                <c:pt idx="5">
                  <c:v>1.17083379761905</c:v>
                </c:pt>
                <c:pt idx="6">
                  <c:v>1.19868445833333</c:v>
                </c:pt>
                <c:pt idx="7">
                  <c:v>1.21687531796502</c:v>
                </c:pt>
                <c:pt idx="8">
                  <c:v>1.31374019491525</c:v>
                </c:pt>
                <c:pt idx="9">
                  <c:v>1.40243921751026</c:v>
                </c:pt>
              </c:numCache>
            </c:numRef>
          </c:val>
          <c:smooth val="0"/>
        </c:ser>
        <c:dLbls>
          <c:showLegendKey val="0"/>
          <c:showVal val="0"/>
          <c:showCatName val="0"/>
          <c:showSerName val="0"/>
          <c:showPercent val="0"/>
          <c:showBubbleSize val="0"/>
        </c:dLbls>
        <c:marker val="0"/>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General"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120"/>
        <c:crosses val="autoZero"/>
        <c:auto val="1"/>
        <c:lblAlgn val="ctr"/>
        <c:lblOffset val="100"/>
        <c:noMultiLvlLbl val="0"/>
      </c:catAx>
      <c:valAx>
        <c:axId val="1351793120"/>
        <c:scaling>
          <c:orientation val="minMax"/>
        </c:scaling>
        <c:delete val="0"/>
        <c:axPos val="r"/>
        <c:numFmt formatCode="General"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600"/>
        <c:crosses val="max"/>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aa17423c-5c89-4556-b926-baea0ff5ddd9}"/>
      </c:ext>
    </c:extLst>
  </c:chart>
  <c:spPr>
    <a:noFill/>
    <a:ln w="9525" cap="flat" cmpd="sng" algn="ctr">
      <a:noFill/>
      <a:round/>
    </a:ln>
    <a:effectLst/>
  </c:spPr>
  <c:txPr>
    <a:bodyPr/>
    <a:lstStyle/>
    <a:p>
      <a:pPr>
        <a:defRPr lang="zh-CN" sz="700"/>
      </a:pPr>
    </a:p>
  </c:txPr>
  <c:externalData r:id="rId1">
    <c:autoUpdate val="0"/>
  </c:externalData>
</c:chartSpace>
</file>

<file path=word/charts/chart4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'[西锐底稿.xlsx]Part 3.3'!$A$12</c:f>
              <c:strCache>
                <c:ptCount val="1"/>
                <c:pt idx="0">
                  <c:v>出货量（台）</c:v>
                </c:pt>
              </c:strCache>
            </c:strRef>
          </c:tx>
          <c:spPr>
            <a:solidFill>
              <a:srgbClr val="002060"/>
            </a:solidFill>
            <a:ln w="25400">
              <a:noFill/>
            </a:ln>
            <a:effectLst/>
          </c:spPr>
          <c:invertIfNegative val="0"/>
          <c:dLbls>
            <c:delete val="1"/>
          </c:dLbls>
          <c:cat>
            <c:numRef>
              <c:f>'[西锐底稿.xlsx]Part 3.3'!$B$11:$K$11</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'[西锐底稿.xlsx]Part 3.3'!$B$12:$K$12</c:f>
              <c:numCache>
                <c:formatCode>General</c:formatCode>
                <c:ptCount val="10"/>
                <c:pt idx="0">
                  <c:v>7664</c:v>
                </c:pt>
                <c:pt idx="1">
                  <c:v>8014</c:v>
                </c:pt>
                <c:pt idx="2">
                  <c:v>8398</c:v>
                </c:pt>
                <c:pt idx="3">
                  <c:v>9251</c:v>
                </c:pt>
                <c:pt idx="4">
                  <c:v>10131</c:v>
                </c:pt>
                <c:pt idx="5">
                  <c:v>9119</c:v>
                </c:pt>
                <c:pt idx="6">
                  <c:v>11155</c:v>
                </c:pt>
                <c:pt idx="7">
                  <c:v>13221</c:v>
                </c:pt>
                <c:pt idx="8">
                  <c:v>13663</c:v>
                </c:pt>
                <c:pt idx="9">
                  <c:v>13752</c:v>
                </c:pt>
              </c:numCache>
            </c:numRef>
          </c:val>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'[西锐底稿.xlsx]Part 3.3'!$A$13</c:f>
              <c:strCache>
                <c:ptCount val="1"/>
                <c:pt idx="0">
                  <c:v>平均价格（百万英镑）</c:v>
                </c:pt>
              </c:strCache>
            </c:strRef>
          </c:tx>
          <c:spPr>
            <a:ln w="28575" cap="rnd">
              <a:solidFill>
                <a:srgbClr val="A5A5A5"/>
              </a:solidFill>
              <a:round/>
            </a:ln>
            <a:effectLst/>
          </c:spPr>
          <c:marker>
            <c:symbol val="none"/>
          </c:marker>
          <c:dLbls>
            <c:delete val="1"/>
          </c:dLbls>
          <c:cat>
            <c:numRef>
              <c:f>'[西锐底稿.xlsx]Part 3.3'!$B$11:$K$11</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'[西锐底稿.xlsx]Part 3.3'!$B$13:$K$13</c:f>
              <c:numCache>
                <c:formatCode>0.00</c:formatCode>
                <c:ptCount val="10"/>
                <c:pt idx="0">
                  <c:v>0.271398747390397</c:v>
                </c:pt>
                <c:pt idx="1">
                  <c:v>0.272023958073372</c:v>
                </c:pt>
                <c:pt idx="2">
                  <c:v>0.292450583472255</c:v>
                </c:pt>
                <c:pt idx="3">
                  <c:v>0.274024429791374</c:v>
                </c:pt>
                <c:pt idx="4">
                  <c:v>0.288816503800217</c:v>
                </c:pt>
                <c:pt idx="5">
                  <c:v>0.310889351902621</c:v>
                </c:pt>
                <c:pt idx="6">
                  <c:v>0.32030479605558</c:v>
                </c:pt>
                <c:pt idx="7">
                  <c:v>0.32834127524393</c:v>
                </c:pt>
                <c:pt idx="8">
                  <c:v>0.374661494547318</c:v>
                </c:pt>
                <c:pt idx="9">
                  <c:v>0.41652123327516</c:v>
                </c:pt>
              </c:numCache>
            </c:numRef>
          </c:val>
          <c:smooth val="0"/>
        </c:ser>
        <c:dLbls>
          <c:showLegendKey val="0"/>
          <c:showVal val="0"/>
          <c:showCatName val="0"/>
          <c:showSerName val="0"/>
          <c:showPercent val="0"/>
          <c:showBubbleSize val="0"/>
        </c:dLbls>
        <c:marker val="0"/>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General"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120"/>
        <c:crosses val="autoZero"/>
        <c:auto val="1"/>
        <c:lblAlgn val="ctr"/>
        <c:lblOffset val="100"/>
        <c:noMultiLvlLbl val="0"/>
      </c:catAx>
      <c:valAx>
        <c:axId val="1351793120"/>
        <c:scaling>
          <c:orientation val="minMax"/>
        </c:scaling>
        <c:delete val="0"/>
        <c:axPos val="r"/>
        <c:numFmt formatCode="General"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600"/>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aa17423c-5c89-4556-b926-baea0ff5ddd9}"/>
      </c:ext>
    </c:extLst>
  </c:chart>
  <c:spPr>
    <a:noFill/>
    <a:ln w="9525" cap="flat" cmpd="sng" algn="ctr">
      <a:noFill/>
      <a:round/>
    </a:ln>
    <a:effectLst/>
  </c:spPr>
  <c:txPr>
    <a:bodyPr/>
    <a:lstStyle/>
    <a:p>
      <a:pPr>
        <a:defRPr lang="zh-CN" sz="700"/>
      </a:pPr>
    </a:p>
  </c:txPr>
  <c:externalData r:id="rId1">
    <c:autoUpdate val="0"/>
  </c:externalData>
</c:chartSpace>
</file>

<file path=word/charts/chart4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 3.3'!$B$39</c:f>
              <c:strCache>
                <c:ptCount val="1"/>
                <c:pt idx="0">
                  <c:v>美国人均可支配收入</c:v>
                </c:pt>
              </c:strCache>
            </c:strRef>
          </c:tx>
          <c:spPr>
            <a:solidFill>
              <a:srgbClr val="002060"/>
            </a:solidFill>
            <a:ln>
              <a:noFill/>
            </a:ln>
            <a:effectLst/>
          </c:spPr>
          <c:invertIfNegative val="0"/>
          <c:dLbls>
            <c:delete val="1"/>
          </c:dLbls>
          <c:cat>
            <c:numRef>
              <c:f>'[西锐底稿.xlsx]Part 3.3'!$A$41:$A$50</c:f>
              <c:numCache>
                <c:formatCode>@</c:formatCode>
                <c:ptCount val="10"/>
                <c:pt idx="0" c:formatCode="@">
                  <c:v>2015</c:v>
                </c:pt>
                <c:pt idx="1" c:formatCode="@">
                  <c:v>2016</c:v>
                </c:pt>
                <c:pt idx="2" c:formatCode="@">
                  <c:v>2017</c:v>
                </c:pt>
                <c:pt idx="3" c:formatCode="@">
                  <c:v>2018</c:v>
                </c:pt>
                <c:pt idx="4" c:formatCode="@">
                  <c:v>2019</c:v>
                </c:pt>
                <c:pt idx="5" c:formatCode="@">
                  <c:v>2020</c:v>
                </c:pt>
                <c:pt idx="6" c:formatCode="@">
                  <c:v>2021</c:v>
                </c:pt>
                <c:pt idx="7" c:formatCode="@">
                  <c:v>2022</c:v>
                </c:pt>
                <c:pt idx="8" c:formatCode="@">
                  <c:v>2023</c:v>
                </c:pt>
                <c:pt idx="9" c:formatCode="@">
                  <c:v>2024</c:v>
                </c:pt>
              </c:numCache>
            </c:numRef>
          </c:cat>
          <c:val>
            <c:numRef>
              <c:f>'[西锐底稿.xlsx]Part 3.3'!$B$41:$B$50</c:f>
              <c:numCache>
                <c:formatCode>#,##0.00_ </c:formatCode>
                <c:ptCount val="10"/>
                <c:pt idx="0">
                  <c:v>42013</c:v>
                </c:pt>
                <c:pt idx="1">
                  <c:v>42910</c:v>
                </c:pt>
                <c:pt idx="2">
                  <c:v>44710</c:v>
                </c:pt>
                <c:pt idx="3">
                  <c:v>47002</c:v>
                </c:pt>
                <c:pt idx="4">
                  <c:v>48907</c:v>
                </c:pt>
                <c:pt idx="5">
                  <c:v>52385</c:v>
                </c:pt>
                <c:pt idx="6">
                  <c:v>56543</c:v>
                </c:pt>
                <c:pt idx="7">
                  <c:v>56555</c:v>
                </c:pt>
                <c:pt idx="8">
                  <c:v>61545</c:v>
                </c:pt>
                <c:pt idx="9">
                  <c:v>64423</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extLst>
      <c:ext uri="{0b15fc19-7d7d-44ad-8c2d-2c3a37ce22c3}">
        <chartProps xmlns="https://web.wps.cn/et/2018/main" chartId="{e7093cdd-fa86-4f93-aae2-74f4f58d3087}"/>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4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 3.3'!$B$58</c:f>
              <c:strCache>
                <c:ptCount val="1"/>
                <c:pt idx="0">
                  <c:v>美国: CPI(1982-84=100)</c:v>
                </c:pt>
              </c:strCache>
            </c:strRef>
          </c:tx>
          <c:spPr>
            <a:solidFill>
              <a:srgbClr val="002060"/>
            </a:solidFill>
            <a:ln>
              <a:noFill/>
            </a:ln>
            <a:effectLst/>
          </c:spPr>
          <c:invertIfNegative val="0"/>
          <c:dLbls>
            <c:delete val="1"/>
          </c:dLbls>
          <c:cat>
            <c:numRef>
              <c:f>'[西锐底稿.xlsx]Part 3.3'!$A$59:$A$69</c:f>
              <c:numCache>
                <c:formatCode>@</c:formatCode>
                <c:ptCount val="11"/>
                <c:pt idx="0" c:formatCode="@">
                  <c:v>2015</c:v>
                </c:pt>
                <c:pt idx="1" c:formatCode="@">
                  <c:v>2016</c:v>
                </c:pt>
                <c:pt idx="2" c:formatCode="@">
                  <c:v>2017</c:v>
                </c:pt>
                <c:pt idx="3" c:formatCode="@">
                  <c:v>2018</c:v>
                </c:pt>
                <c:pt idx="4" c:formatCode="@">
                  <c:v>2019</c:v>
                </c:pt>
                <c:pt idx="5" c:formatCode="@">
                  <c:v>2020</c:v>
                </c:pt>
                <c:pt idx="6" c:formatCode="@">
                  <c:v>2021</c:v>
                </c:pt>
                <c:pt idx="7" c:formatCode="@">
                  <c:v>2022</c:v>
                </c:pt>
                <c:pt idx="8" c:formatCode="@">
                  <c:v>2023</c:v>
                </c:pt>
                <c:pt idx="9" c:formatCode="@">
                  <c:v>2024</c:v>
                </c:pt>
                <c:pt idx="10" c:formatCode="@">
                  <c:v>2025</c:v>
                </c:pt>
              </c:numCache>
            </c:numRef>
          </c:cat>
          <c:val>
            <c:numRef>
              <c:f>'[西锐底稿.xlsx]Part 3.3'!$B$59:$B$69</c:f>
              <c:numCache>
                <c:formatCode>#,##0.00_ </c:formatCode>
                <c:ptCount val="11"/>
                <c:pt idx="0">
                  <c:v>2844.204</c:v>
                </c:pt>
                <c:pt idx="1">
                  <c:v>2880.086</c:v>
                </c:pt>
                <c:pt idx="2">
                  <c:v>2941.435</c:v>
                </c:pt>
                <c:pt idx="3">
                  <c:v>3013.282</c:v>
                </c:pt>
                <c:pt idx="4">
                  <c:v>3067.889</c:v>
                </c:pt>
                <c:pt idx="5">
                  <c:v>3105.734</c:v>
                </c:pt>
                <c:pt idx="6">
                  <c:v>3251.637</c:v>
                </c:pt>
                <c:pt idx="7">
                  <c:v>3511.859</c:v>
                </c:pt>
                <c:pt idx="8">
                  <c:v>3656.419</c:v>
                </c:pt>
                <c:pt idx="9">
                  <c:v>3764.266</c:v>
                </c:pt>
                <c:pt idx="10">
                  <c:v>3217.319</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extLst>
      <c:ext uri="{0b15fc19-7d7d-44ad-8c2d-2c3a37ce22c3}">
        <chartProps xmlns="https://web.wps.cn/et/2018/main" chartId="{d037c0a5-c0ba-4b1a-88e7-c34c46af6e29}"/>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4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'Part 4'!$A$2</c:f>
              <c:strCache>
                <c:ptCount val="1"/>
                <c:pt idx="0">
                  <c:v>Q1</c:v>
                </c:pt>
              </c:strCache>
            </c:strRef>
          </c:tx>
          <c:spPr>
            <a:solidFill>
              <a:srgbClr val="002060"/>
            </a:solidFill>
            <a:ln>
              <a:noFill/>
            </a:ln>
            <a:effectLst/>
          </c:spPr>
          <c:invertIfNegative val="0"/>
          <c:dLbls>
            <c:delete val="1"/>
          </c:dLbls>
          <c:cat>
            <c:numRef>
              <c:f>'Part 4'!$B$1:$E$1</c:f>
              <c:numCache>
                <c:formatCode>General</c:formatCode>
                <c:ptCount val="4"/>
                <c:pt idx="0">
                  <c:v>2022</c:v>
                </c:pt>
                <c:pt idx="1">
                  <c:v>2023</c:v>
                </c:pt>
                <c:pt idx="2">
                  <c:v>2024</c:v>
                </c:pt>
                <c:pt idx="3">
                  <c:v>2025</c:v>
                </c:pt>
              </c:numCache>
            </c:numRef>
          </c:cat>
          <c:val>
            <c:numRef>
              <c:f>'Part 4'!$B$2:$E$2</c:f>
              <c:numCache>
                <c:formatCode>General</c:formatCode>
                <c:ptCount val="4"/>
                <c:pt idx="0">
                  <c:v>79</c:v>
                </c:pt>
                <c:pt idx="1">
                  <c:v>90</c:v>
                </c:pt>
                <c:pt idx="2">
                  <c:v>75</c:v>
                </c:pt>
                <c:pt idx="3">
                  <c:v>150</c:v>
                </c:pt>
              </c:numCache>
            </c:numRef>
          </c:val>
        </c:ser>
        <c:ser>
          <c:idx val="1"/>
          <c:order val="1"/>
          <c:tx>
            <c:strRef>
              <c:f>'Part 4'!$A$3</c:f>
              <c:strCache>
                <c:ptCount val="1"/>
                <c:pt idx="0">
                  <c:v>Q2</c:v>
                </c:pt>
              </c:strCache>
            </c:strRef>
          </c:tx>
          <c:spPr>
            <a:solidFill>
              <a:srgbClr val="A5A5A5"/>
            </a:solidFill>
            <a:ln>
              <a:solidFill>
                <a:srgbClr val="A5A5A5"/>
              </a:solidFill>
            </a:ln>
            <a:effectLst/>
          </c:spPr>
          <c:invertIfNegative val="0"/>
          <c:dLbls>
            <c:delete val="1"/>
          </c:dLbls>
          <c:cat>
            <c:numRef>
              <c:f>'Part 4'!$B$1:$E$1</c:f>
              <c:numCache>
                <c:formatCode>General</c:formatCode>
                <c:ptCount val="4"/>
                <c:pt idx="0">
                  <c:v>2022</c:v>
                </c:pt>
                <c:pt idx="1">
                  <c:v>2023</c:v>
                </c:pt>
                <c:pt idx="2">
                  <c:v>2024</c:v>
                </c:pt>
                <c:pt idx="3">
                  <c:v>2025</c:v>
                </c:pt>
              </c:numCache>
            </c:numRef>
          </c:cat>
          <c:val>
            <c:numRef>
              <c:f>'Part 4'!$B$3:$E$3</c:f>
              <c:numCache>
                <c:formatCode>General</c:formatCode>
                <c:ptCount val="4"/>
                <c:pt idx="0">
                  <c:v>132</c:v>
                </c:pt>
                <c:pt idx="1">
                  <c:v>177</c:v>
                </c:pt>
                <c:pt idx="2">
                  <c:v>212</c:v>
                </c:pt>
                <c:pt idx="3">
                  <c:v>200</c:v>
                </c:pt>
              </c:numCache>
            </c:numRef>
          </c:val>
        </c:ser>
        <c:ser>
          <c:idx val="2"/>
          <c:order val="2"/>
          <c:tx>
            <c:strRef>
              <c:f>'Part 4'!$A$4</c:f>
              <c:strCache>
                <c:ptCount val="1"/>
                <c:pt idx="0">
                  <c:v>Q3</c:v>
                </c:pt>
              </c:strCache>
            </c:strRef>
          </c:tx>
          <c:spPr>
            <a:solidFill>
              <a:srgbClr val="A5A5A5">
                <a:lumMod val="75000"/>
              </a:srgbClr>
            </a:solidFill>
            <a:ln>
              <a:noFill/>
            </a:ln>
            <a:effectLst/>
          </c:spPr>
          <c:invertIfNegative val="0"/>
          <c:dLbls>
            <c:delete val="1"/>
          </c:dLbls>
          <c:cat>
            <c:numRef>
              <c:f>'Part 4'!$B$1:$E$1</c:f>
              <c:numCache>
                <c:formatCode>General</c:formatCode>
                <c:ptCount val="4"/>
                <c:pt idx="0">
                  <c:v>2022</c:v>
                </c:pt>
                <c:pt idx="1">
                  <c:v>2023</c:v>
                </c:pt>
                <c:pt idx="2">
                  <c:v>2024</c:v>
                </c:pt>
                <c:pt idx="3">
                  <c:v>2025</c:v>
                </c:pt>
              </c:numCache>
            </c:numRef>
          </c:cat>
          <c:val>
            <c:numRef>
              <c:f>'Part 4'!$B$4:$E$4</c:f>
              <c:numCache>
                <c:formatCode>General</c:formatCode>
                <c:ptCount val="4"/>
                <c:pt idx="0">
                  <c:v>155</c:v>
                </c:pt>
                <c:pt idx="1">
                  <c:v>183</c:v>
                </c:pt>
                <c:pt idx="2">
                  <c:v>194</c:v>
                </c:pt>
                <c:pt idx="3">
                  <c:v>205</c:v>
                </c:pt>
              </c:numCache>
            </c:numRef>
          </c:val>
        </c:ser>
        <c:ser>
          <c:idx val="3"/>
          <c:order val="3"/>
          <c:tx>
            <c:strRef>
              <c:f>'Part 4'!$A$5</c:f>
              <c:strCache>
                <c:ptCount val="1"/>
                <c:pt idx="0">
                  <c:v>Q4</c:v>
                </c:pt>
              </c:strCache>
            </c:strRef>
          </c:tx>
          <c:spPr>
            <a:solidFill>
              <a:srgbClr val="5B9BD5">
                <a:lumMod val="20000"/>
                <a:lumOff val="80000"/>
              </a:srgbClr>
            </a:solidFill>
            <a:ln>
              <a:noFill/>
            </a:ln>
            <a:effectLst/>
          </c:spPr>
          <c:invertIfNegative val="0"/>
          <c:dLbls>
            <c:delete val="1"/>
          </c:dLbls>
          <c:cat>
            <c:numRef>
              <c:f>'Part 4'!$B$1:$E$1</c:f>
              <c:numCache>
                <c:formatCode>General</c:formatCode>
                <c:ptCount val="4"/>
                <c:pt idx="0">
                  <c:v>2022</c:v>
                </c:pt>
                <c:pt idx="1">
                  <c:v>2023</c:v>
                </c:pt>
                <c:pt idx="2">
                  <c:v>2024</c:v>
                </c:pt>
                <c:pt idx="3">
                  <c:v>2025</c:v>
                </c:pt>
              </c:numCache>
            </c:numRef>
          </c:cat>
          <c:val>
            <c:numRef>
              <c:f>'Part 4'!$B$5:$E$5</c:f>
              <c:numCache>
                <c:formatCode>General</c:formatCode>
                <c:ptCount val="4"/>
                <c:pt idx="0">
                  <c:v>263</c:v>
                </c:pt>
                <c:pt idx="1">
                  <c:v>258</c:v>
                </c:pt>
                <c:pt idx="2">
                  <c:v>250</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6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6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extLst>
      <c:ext uri="{0b15fc19-7d7d-44ad-8c2d-2c3a37ce22c3}">
        <chartProps xmlns="https://web.wps.cn/et/2018/main" chartId="{088f5f2c-76bd-4967-a229-f5ca0b6d39fb}"/>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4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 4'!$A$60</c:f>
              <c:strCache>
                <c:ptCount val="1"/>
                <c:pt idx="0">
                  <c:v>售后服务收入占比</c:v>
                </c:pt>
              </c:strCache>
            </c:strRef>
          </c:tx>
          <c:spPr>
            <a:solidFill>
              <a:srgbClr val="002060"/>
            </a:solidFill>
            <a:ln>
              <a:noFill/>
            </a:ln>
            <a:effectLst/>
          </c:spPr>
          <c:invertIfNegative val="0"/>
          <c:dLbls>
            <c:delete val="1"/>
          </c:dLbls>
          <c:cat>
            <c:strRef>
              <c:f>'[西锐底稿.xlsx]Part 4'!$B$59:$G$59</c:f>
              <c:strCache>
                <c:ptCount val="6"/>
                <c:pt idx="0">
                  <c:v>2020</c:v>
                </c:pt>
                <c:pt idx="1">
                  <c:v>2021</c:v>
                </c:pt>
                <c:pt idx="2">
                  <c:v>2022</c:v>
                </c:pt>
                <c:pt idx="3">
                  <c:v>2023</c:v>
                </c:pt>
                <c:pt idx="4">
                  <c:v>2024</c:v>
                </c:pt>
                <c:pt idx="5">
                  <c:v>2025H1</c:v>
                </c:pt>
              </c:strCache>
            </c:strRef>
          </c:cat>
          <c:val>
            <c:numRef>
              <c:f>'[西锐底稿.xlsx]Part 4'!$B$60:$G$60</c:f>
              <c:numCache>
                <c:formatCode>0.00%</c:formatCode>
                <c:ptCount val="6"/>
                <c:pt idx="0">
                  <c:v>0.1674</c:v>
                </c:pt>
                <c:pt idx="1">
                  <c:v>0.1606</c:v>
                </c:pt>
                <c:pt idx="2">
                  <c:v>0.1503</c:v>
                </c:pt>
                <c:pt idx="3">
                  <c:v>0.1424</c:v>
                </c:pt>
                <c:pt idx="4">
                  <c:v>0.1447</c:v>
                </c:pt>
                <c:pt idx="5">
                  <c:v>0.1618</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0.0%"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extLst>
      <c:ext uri="{0b15fc19-7d7d-44ad-8c2d-2c3a37ce22c3}">
        <chartProps xmlns="https://web.wps.cn/et/2018/main" chartId="{45e956e6-b455-4781-90ec-763f95e4caed}"/>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withinLinear" id="18">
  <a:schemeClr val="accent5"/>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withinLinear" id="18">
  <a:schemeClr val="accent5"/>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withinLinear" id="18">
  <a:schemeClr val="accent5"/>
</cs:colorStyle>
</file>

<file path=word/charts/colors16.xml><?xml version="1.0" encoding="utf-8"?>
<cs:colorStyle xmlns:cs="http://schemas.microsoft.com/office/drawing/2012/chartStyle" xmlns:a="http://schemas.openxmlformats.org/drawingml/2006/main" meth="withinLinear" id="18">
  <a:schemeClr val="accent5"/>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withinLinear" id="18">
  <a:schemeClr val="accent5"/>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withinLinear" id="18">
  <a:schemeClr val="accent5"/>
</cs:colorStyle>
</file>

<file path=word/charts/colors22.xml><?xml version="1.0" encoding="utf-8"?>
<cs:colorStyle xmlns:cs="http://schemas.microsoft.com/office/drawing/2012/chartStyle" xmlns:a="http://schemas.openxmlformats.org/drawingml/2006/main" meth="withinLinear" id="18">
  <a:schemeClr val="accent5"/>
</cs:colorStyle>
</file>

<file path=word/charts/colors2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4.xml><?xml version="1.0" encoding="utf-8"?>
<cs:colorStyle xmlns:cs="http://schemas.microsoft.com/office/drawing/2012/chartStyle" xmlns:a="http://schemas.openxmlformats.org/drawingml/2006/main" meth="withinLinear" id="18">
  <a:schemeClr val="accent5"/>
</cs:colorStyle>
</file>

<file path=word/charts/colors35.xml><?xml version="1.0" encoding="utf-8"?>
<cs:colorStyle xmlns:cs="http://schemas.microsoft.com/office/drawing/2012/chartStyle" xmlns:a="http://schemas.openxmlformats.org/drawingml/2006/main" meth="withinLinear" id="18">
  <a:schemeClr val="accent5"/>
</cs:colorStyle>
</file>

<file path=word/charts/colors36.xml><?xml version="1.0" encoding="utf-8"?>
<cs:colorStyle xmlns:cs="http://schemas.microsoft.com/office/drawing/2012/chartStyle" xmlns:a="http://schemas.openxmlformats.org/drawingml/2006/main" meth="withinLinear" id="18">
  <a:schemeClr val="accent5"/>
</cs:colorStyle>
</file>

<file path=word/charts/colors3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1.xml><?xml version="1.0" encoding="utf-8"?>
<cs:colorStyle xmlns:cs="http://schemas.microsoft.com/office/drawing/2012/chartStyle" xmlns:a="http://schemas.openxmlformats.org/drawingml/2006/main" meth="withinLinear" id="18">
  <a:schemeClr val="accent5"/>
</cs:colorStyle>
</file>

<file path=word/charts/colors42.xml><?xml version="1.0" encoding="utf-8"?>
<cs:colorStyle xmlns:cs="http://schemas.microsoft.com/office/drawing/2012/chartStyle" xmlns:a="http://schemas.openxmlformats.org/drawingml/2006/main" meth="withinLinear" id="18">
  <a:schemeClr val="accent5"/>
</cs:colorStyle>
</file>

<file path=word/charts/colors43.xml><?xml version="1.0" encoding="utf-8"?>
<cs:colorStyle xmlns:cs="http://schemas.microsoft.com/office/drawing/2012/chartStyle" xmlns:a="http://schemas.openxmlformats.org/drawingml/2006/main" meth="withinLinear" id="18">
  <a:schemeClr val="accent5"/>
</cs:colorStyle>
</file>

<file path=word/charts/colors44.xml><?xml version="1.0" encoding="utf-8"?>
<cs:colorStyle xmlns:cs="http://schemas.microsoft.com/office/drawing/2012/chartStyle" xmlns:a="http://schemas.openxmlformats.org/drawingml/2006/main" meth="withinLinear" id="18">
  <a:schemeClr val="accent5"/>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6.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16.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17.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2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22.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2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5.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6.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7.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3.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4.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35.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36.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37.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8.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1.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42.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43.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44.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0A7DF2113BC84988AC653F937B869E52"/>
        <w:style w:val=""/>
        <w:category>
          <w:name w:val="常规"/>
          <w:gallery w:val="placeholder"/>
        </w:category>
        <w:types>
          <w:type w:val="bbPlcHdr"/>
        </w:types>
        <w:behaviors>
          <w:behavior w:val="content"/>
        </w:behaviors>
        <w:description w:val=""/>
        <w:guid w:val="{CCC19E6C-F05C-44C1-B9B0-AB5549CC6D93}"/>
      </w:docPartPr>
      <w:docPartBody>
        <w:p>
          <w:pPr>
            <w:pStyle w:val="4"/>
            <w:rPr>
              <w:rFonts w:hint="eastAsia"/>
            </w:rPr>
          </w:pPr>
          <w:r>
            <w:rPr>
              <w:lang w:val="zh-CN"/>
            </w:rPr>
            <w:t>[在此处键入]</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2462"/>
    <w:rsid w:val="000202AF"/>
    <w:rsid w:val="00033511"/>
    <w:rsid w:val="00061815"/>
    <w:rsid w:val="00096427"/>
    <w:rsid w:val="000C513D"/>
    <w:rsid w:val="00176706"/>
    <w:rsid w:val="00176D52"/>
    <w:rsid w:val="00196F29"/>
    <w:rsid w:val="001A6A8F"/>
    <w:rsid w:val="001D5A22"/>
    <w:rsid w:val="001D7381"/>
    <w:rsid w:val="001E0203"/>
    <w:rsid w:val="00262310"/>
    <w:rsid w:val="002A0007"/>
    <w:rsid w:val="002B6266"/>
    <w:rsid w:val="002D795F"/>
    <w:rsid w:val="003108EF"/>
    <w:rsid w:val="00341C85"/>
    <w:rsid w:val="003E4F87"/>
    <w:rsid w:val="00414D3F"/>
    <w:rsid w:val="00433488"/>
    <w:rsid w:val="004653EA"/>
    <w:rsid w:val="004A77A0"/>
    <w:rsid w:val="00532462"/>
    <w:rsid w:val="00585FEA"/>
    <w:rsid w:val="005B3912"/>
    <w:rsid w:val="005C7598"/>
    <w:rsid w:val="006206E5"/>
    <w:rsid w:val="0062713A"/>
    <w:rsid w:val="006A0886"/>
    <w:rsid w:val="006A2C06"/>
    <w:rsid w:val="006B39BB"/>
    <w:rsid w:val="007064AC"/>
    <w:rsid w:val="00731DBD"/>
    <w:rsid w:val="00732BE6"/>
    <w:rsid w:val="00744DA6"/>
    <w:rsid w:val="00757BB2"/>
    <w:rsid w:val="007B330D"/>
    <w:rsid w:val="007C609E"/>
    <w:rsid w:val="008D5780"/>
    <w:rsid w:val="008F1387"/>
    <w:rsid w:val="00912C77"/>
    <w:rsid w:val="009255EC"/>
    <w:rsid w:val="00936C11"/>
    <w:rsid w:val="00955955"/>
    <w:rsid w:val="00976834"/>
    <w:rsid w:val="00996501"/>
    <w:rsid w:val="009D5877"/>
    <w:rsid w:val="00A354E2"/>
    <w:rsid w:val="00A4142A"/>
    <w:rsid w:val="00AC1224"/>
    <w:rsid w:val="00B542A3"/>
    <w:rsid w:val="00B61A81"/>
    <w:rsid w:val="00B70510"/>
    <w:rsid w:val="00BF7880"/>
    <w:rsid w:val="00C46ABE"/>
    <w:rsid w:val="00CE6729"/>
    <w:rsid w:val="00CE76D0"/>
    <w:rsid w:val="00CF7F45"/>
    <w:rsid w:val="00D12B3B"/>
    <w:rsid w:val="00D15E10"/>
    <w:rsid w:val="00D52466"/>
    <w:rsid w:val="00D715ED"/>
    <w:rsid w:val="00D81B9A"/>
    <w:rsid w:val="00D92F8D"/>
    <w:rsid w:val="00DB417A"/>
    <w:rsid w:val="00DD0428"/>
    <w:rsid w:val="00DD421F"/>
    <w:rsid w:val="00E9250A"/>
    <w:rsid w:val="00F1146A"/>
    <w:rsid w:val="00F613D7"/>
    <w:rsid w:val="00F80B9B"/>
    <w:rsid w:val="00FA5472"/>
    <w:rsid w:val="00FC57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qFormat="1" w:uiPriority="99" w:name="Normal Table"/>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customStyle="1" w:styleId="4">
    <w:name w:val="0A7DF2113BC84988AC653F937B869E52"/>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word/theme/themeOverride1.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2.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3.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8.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0.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3.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4.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5.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8.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9.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0.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1.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2.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8.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9.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0.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C9FD1BB-8468-4381-B344-02B2A34111CF}">
  <ds:schemaRefs/>
</ds:datastoreItem>
</file>

<file path=docProps/app.xml><?xml version="1.0" encoding="utf-8"?>
<Properties xmlns="http://schemas.openxmlformats.org/officeDocument/2006/extended-properties" xmlns:vt="http://schemas.openxmlformats.org/officeDocument/2006/docPropsVTypes">
  <Template>Normal</Template>
  <Pages>27</Pages>
  <Words>12234</Words>
  <Characters>20985</Characters>
  <Lines>649</Lines>
  <Paragraphs>374</Paragraphs>
  <TotalTime>4</TotalTime>
  <ScaleCrop>false</ScaleCrop>
  <LinksUpToDate>false</LinksUpToDate>
  <CharactersWithSpaces>22716</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2026-01-13T02:06:00Z</dcterms:created>
  <dc:creator>强 罗</dc:creator>
  <cp:lastModifiedBy>Etein.</cp:lastModifiedBy>
  <dcterms:modified xsi:type="dcterms:W3CDTF">2026-03-25T07:39:43Z</dcterms:modified>
  <cp:revision>15</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eyJoZGlkIjoiMzZjNzRlNjcyNmM5NGY1YjZmYzc5MzY0MjcyMDM4M2MiLCJ1c2VySWQiOiIzOTI4MzU2MjAifQ==</vt:lpwstr>
  </property>
  <property fmtid="{D5CDD505-2E9C-101B-9397-08002B2CF9AE}" pid="3" name="KSOProductBuildVer">
    <vt:lpwstr>2052-12.1.0.16250</vt:lpwstr>
  </property>
  <property fmtid="{D5CDD505-2E9C-101B-9397-08002B2CF9AE}" pid="4" name="ICV">
    <vt:lpwstr>5770013363A24D63A9998D7439416111_13</vt:lpwstr>
  </property>
</Properties>
</file>