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西锐飞机</w:t>
            </w:r>
            <w:r>
              <w:rPr>
                <w:rFonts w:eastAsia="楷体_GB2312" w:cs="Calibri"/>
                <w:sz w:val="40"/>
                <w:szCs w:val="40"/>
                <w:lang w:eastAsia="zh-CN"/>
              </w:rPr>
              <w:t xml:space="preserve"> (2507.HK)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首次覆盖：</w:t>
            </w:r>
            <w:r>
              <w:rPr>
                <w:rFonts w:eastAsia="楷体_GB2312" w:cs="Calibri"/>
                <w:b w:val="0"/>
                <w:color w:val="23558C"/>
                <w:lang w:eastAsia="zh-CN"/>
              </w:rPr>
              <w:t>安全、创新与强大生态系统铸就</w:t>
            </w:r>
            <w:r>
              <w:rPr>
                <w:rFonts w:hint="eastAsia" w:eastAsia="楷体_GB2312" w:cs="Calibri"/>
                <w:b w:val="0"/>
                <w:color w:val="23558C"/>
                <w:lang w:eastAsia="zh-CN"/>
              </w:rPr>
              <w:t>西锐</w:t>
            </w:r>
            <w:r>
              <w:rPr>
                <w:rFonts w:hint="eastAsia" w:eastAsia="楷体_GB2312" w:cs="Calibri"/>
                <w:b w:val="0"/>
                <w:color w:val="23558C"/>
              </w:rPr>
              <w:t>私人航空全球领导者</w:t>
            </w:r>
            <w:r>
              <w:rPr>
                <w:rFonts w:hint="eastAsia" w:eastAsia="楷体_GB2312" w:cs="Calibri"/>
                <w:b w:val="0"/>
                <w:color w:val="23558C"/>
                <w:lang w:eastAsia="zh-CN"/>
              </w:rPr>
              <w:t>地位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OUTPERFORM</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60.40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86.72</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22.11bn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365.99mn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73.40-20.50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注：现价60.40为2026 年 01 月 15 日收盘价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7"/>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8"/>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default" w:ascii="楷体" w:hAnsi="楷体" w:eastAsia="楷体" w:cs="Calibri"/>
                <w:snapToGrid/>
                <w:sz w:val="20"/>
                <w:szCs w:val="20"/>
                <w:lang w:val="en-IE" w:eastAsia="zh-CN"/>
              </w:rPr>
            </w:pPr>
            <w:r>
              <w:rPr>
                <w:rFonts w:ascii="楷体" w:hAnsi="楷体" w:eastAsia="楷体" w:cs="Calibri"/>
                <w:snapToGrid/>
                <w:sz w:val="20"/>
                <w:szCs w:val="20"/>
              </w:rPr>
              <w:t>原材料价格波动；供应链中断；市场竞争加剧；客户需求变化；政策变化.</w:t>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杨斌</w:t>
                  </w:r>
                  <w:r>
                    <w:rPr>
                      <w:rFonts w:hint="eastAsia" w:eastAsia="楷体_GB2312" w:cs="Calibri"/>
                      <w:b/>
                      <w:bCs/>
                      <w:snapToGrid w:val="0"/>
                      <w:color w:val="333333"/>
                      <w:kern w:val="0"/>
                      <w:sz w:val="16"/>
                      <w:szCs w:val="16"/>
                      <w:lang w:val="en-US" w:eastAsia="zh-CN" w:bidi="ar"/>
                    </w:rPr>
                    <w:t xml:space="preserve"> Bin Yang</w:t>
                  </w:r>
                  <w:r>
                    <w:rPr>
                      <w:rFonts w:hint="default" w:ascii="Calibri" w:hAnsi="Calibri" w:eastAsia="宋体" w:cs="Calibri"/>
                      <w:snapToGrid w:val="0"/>
                      <w:color w:val="FFFFFF"/>
                      <w:kern w:val="0"/>
                      <w:sz w:val="16"/>
                      <w:szCs w:val="16"/>
                      <w:lang w:val="en-US" w:eastAsia="zh-CN" w:bidi="ar"/>
                    </w:rPr>
                    <w:t>]</w:t>
                  </w:r>
                  <w:r>
                    <w:rPr>
                      <w:rFonts w:hint="default" w:ascii="Calibri" w:hAnsi="Calibri" w:eastAsia="宋体" w:cs="Calibri"/>
                      <w:b/>
                      <w:bCs/>
                      <w:snapToGrid w:val="0"/>
                      <w:color w:val="000000"/>
                      <w:kern w:val="0"/>
                      <w:sz w:val="16"/>
                      <w:szCs w:val="16"/>
                      <w:lang w:val="en-US" w:eastAsia="zh-CN" w:bidi="ar"/>
                    </w:rPr>
                    <w:t>, SFC:BSQ313</w:t>
                  </w:r>
                </w:p>
              </w:tc>
              <w:tc>
                <w:tcPr>
                  <w:tcW w:w="2551" w:type="dxa"/>
                </w:tcPr>
                <w:p>
                  <w:pPr>
                    <w:pStyle w:val="52"/>
                    <w:framePr w:wrap="auto" w:vAnchor="margin" w:hAnchor="text" w:yAlign="inline"/>
                    <w:rPr>
                      <w:rFonts w:eastAsia="楷体_GB2312" w:cs="等线"/>
                    </w:rPr>
                  </w:pPr>
                </w:p>
              </w:tc>
              <w:tc>
                <w:tcPr>
                  <w:tcW w:w="2693" w:type="dxa"/>
                </w:tcPr>
                <w:p>
                  <w:pPr>
                    <w:pStyle w:val="52"/>
                    <w:framePr w:wrap="auto" w:vAnchor="margin" w:hAnchor="text" w:yAlign="inline"/>
                    <w:rPr>
                      <w:rFonts w:eastAsia="楷体_GB2312" w:cs="等线"/>
                    </w:rPr>
                  </w:pPr>
                </w:p>
              </w:tc>
              <w:tc>
                <w:tcPr>
                  <w:tcW w:w="2694" w:type="dxa"/>
                </w:tcPr>
                <w:p>
                  <w:pPr>
                    <w:pStyle w:val="52"/>
                    <w:framePr w:wrap="auto" w:vAnchor="margin" w:hAnchor="text" w:yAlign="inline"/>
                    <w:rPr>
                      <w:rFonts w:eastAsia="楷体_GB2312" w:cs="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bl>
          <w:p>
            <w:pPr>
              <w:pStyle w:val="56"/>
              <w:spacing w:after="0"/>
              <w:jc w:val="both"/>
              <w:rPr>
                <w:rFonts w:eastAsia="楷体_GB2312" w:cs="Calibri"/>
                <w:bCs/>
                <w:kern w:val="28"/>
                <w:lang w:eastAsia="zh-CN"/>
              </w:rPr>
            </w:pPr>
          </w:p>
        </w:tc>
      </w:tr>
    </w:tbl>
    <w:p>
      <w:pPr>
        <w:rPr>
          <w:rFonts w:eastAsiaTheme="minorEastAsia"/>
        </w:rPr>
      </w:pPr>
    </w:p>
    <w:p>
      <w:pPr>
        <w:bidi w:val="0"/>
        <w:rPr>
          <w:rFonts w:ascii="Calibri" w:hAnsi="Calibri" w:eastAsia="MS Mincho" w:cs="Times New Roman"/>
          <w:snapToGrid w:val="0"/>
          <w:sz w:val="16"/>
          <w:szCs w:val="16"/>
          <w:lang w:val="en-US" w:eastAsia="zh-CN" w:bidi="ar-SA"/>
        </w:rPr>
      </w:pPr>
    </w:p>
    <w:p>
      <w:pPr>
        <w:tabs>
          <w:tab w:val="left" w:pos="3484"/>
        </w:tabs>
        <w:bidi w:val="0"/>
        <w:jc w:val="left"/>
        <w:rPr>
          <w:lang w:val="en-US" w:eastAsia="zh-CN"/>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p>
      <w:pPr>
        <w:pStyle w:val="44"/>
        <w:rPr>
          <w:rFonts w:eastAsia="宋体" w:cs="Calibri"/>
          <w:lang w:eastAsia="zh-CN"/>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br w:type="page"/>
      </w:r>
    </w:p>
    <w:p>
      <w:pPr>
        <w:pStyle w:val="2"/>
        <w:spacing w:before="240" w:beforeLines="100" w:after="240" w:afterLines="100"/>
        <w:jc w:val="both"/>
        <w:rPr>
          <w:rFonts w:hint="eastAsia" w:ascii="楷体" w:hAnsi="楷体" w:eastAsia="楷体" w:cs="楷体"/>
          <w:b/>
          <w:bCs/>
          <w:color w:val="23558C"/>
          <w:sz w:val="28"/>
          <w:szCs w:val="28"/>
        </w:rPr>
      </w:pPr>
      <w:r>
        <w:rPr>
          <w:rFonts w:hint="eastAsia" w:ascii="楷体" w:hAnsi="楷体" w:eastAsia="楷体" w:cs="楷体"/>
          <w:b/>
          <w:bCs/>
          <w:color w:val="23558C"/>
          <w:sz w:val="28"/>
          <w:szCs w:val="28"/>
        </w:rPr>
        <w:t>1 西锐飞机：拥有四十余年历史的全球私人航空领导者</w:t>
      </w:r>
      <w:bookmarkEnd w:id="0"/>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19"/>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0"/>
                          <a:stretch>
                            <a:fillRect/>
                          </a:stretch>
                        </pic:blipFill>
                        <pic:spPr>
                          <a:xfrm>
                            <a:off x="0" y="0"/>
                            <a:ext cx="4692368" cy="137599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1"/>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widowControl w:val="0"/>
        <w:jc w:val="both"/>
        <w:rPr>
          <w:rFonts w:eastAsia="楷体" w:cs="Calibri"/>
          <w:kern w:val="2"/>
          <w:sz w:val="22"/>
          <w:szCs w:val="22"/>
        </w:rPr>
      </w:pPr>
    </w:p>
    <w:p>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7"/>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1"/>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2"/>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p>
      <w:pPr>
        <w:rPr>
          <w:rFonts w:eastAsia="楷体" w:cs="Calibri"/>
          <w:kern w:val="2"/>
          <w:sz w:val="22"/>
          <w:szCs w:val="22"/>
        </w:rPr>
      </w:pP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39"/>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0"/>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p>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3"/>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4"/>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5"/>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6"/>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7"/>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0"/>
                          <a:stretch>
                            <a:fillRect/>
                          </a:stretch>
                        </pic:blipFill>
                        <pic:spPr>
                          <a:xfrm>
                            <a:off x="0" y="0"/>
                            <a:ext cx="3365668" cy="1470288"/>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1"/>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2"/>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3"/>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4"/>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5"/>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1"/>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2"/>
                          <a:stretch>
                            <a:fillRect/>
                          </a:stretch>
                        </pic:blipFill>
                        <pic:spPr>
                          <a:xfrm>
                            <a:off x="0" y="0"/>
                            <a:ext cx="4603750" cy="16357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4"/>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6"/>
                          <a:stretch>
                            <a:fillRect/>
                          </a:stretch>
                        </pic:blipFill>
                        <pic:spPr>
                          <a:xfrm>
                            <a:off x="0" y="0"/>
                            <a:ext cx="4916805" cy="4362450"/>
                          </a:xfrm>
                          <a:prstGeom prst="rect">
                            <a:avLst/>
                          </a:prstGeom>
                          <a:noFill/>
                          <a:ln w="9525">
                            <a:noFill/>
                          </a:ln>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7"/>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hint="eastAsia"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pPr>
        <w:tabs>
          <w:tab w:val="left" w:pos="871"/>
        </w:tabs>
        <w:rPr>
          <w:rFonts w:hint="eastAsia" w:ascii="楷体" w:hAnsi="楷体" w:eastAsia="楷体" w:cs="楷体"/>
          <w:sz w:val="22"/>
          <w:szCs w:val="22"/>
        </w:rPr>
      </w:pPr>
      <w:r>
        <w:rPr>
          <w:rFonts w:hint="eastAsia" w:ascii="楷体" w:hAnsi="楷体" w:eastAsia="楷体" w:cs="楷体"/>
          <w:sz w:val="22"/>
          <w:szCs w:val="22"/>
        </w:rPr>
        <w:t>原材料价格波动；供应链中断；市场竞争加剧；客户需求和偏好变化；政策执行未达预</w:t>
      </w:r>
    </w:p>
    <w:p>
      <w:pPr>
        <w:rPr>
          <w:rFonts w:hint="eastAsia" w:ascii="楷体" w:hAnsi="楷体" w:eastAsia="楷体" w:cs="楷体"/>
          <w:sz w:val="22"/>
          <w:szCs w:val="22"/>
        </w:rPr>
        <w:sectPr>
          <w:headerReference r:id="rId10" w:type="first"/>
          <w:headerReference r:id="rId9" w:type="default"/>
          <w:footerReference r:id="rId11" w:type="default"/>
          <w:pgSz w:w="11910" w:h="16840"/>
          <w:pgMar w:top="567" w:right="567" w:bottom="1021" w:left="3600" w:header="567" w:footer="919" w:gutter="0"/>
          <w:cols w:space="425" w:num="1"/>
          <w:docGrid w:linePitch="299" w:charSpace="0"/>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spacing w:after="60"/>
              <w:rPr>
                <w:rFonts w:eastAsia="楷体_GB2312" w:cs="Calibri"/>
                <w:b/>
                <w:bCs/>
                <w:color w:val="FFFFFF" w:themeColor="background1"/>
                <w:w w:val="70"/>
                <w:sz w:val="22"/>
                <w:szCs w:val="22"/>
                <w14:textFill>
                  <w14:solidFill>
                    <w14:schemeClr w14:val="bg1"/>
                  </w14:solidFill>
                </w14:textFill>
              </w:rPr>
            </w:pPr>
          </w:p>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color w:val="FFFFFF" w:themeColor="background1"/>
                      <w:w w:val="70"/>
                      <w:sz w:val="22"/>
                      <w:szCs w:val="22"/>
                      <w14:textFill>
                        <w14:solidFill>
                          <w14:schemeClr w14:val="bg1"/>
                        </w14:solidFill>
                      </w14:textFill>
                    </w:rPr>
                  </w:pPr>
                  <w:r>
                    <w:rPr>
                      <w:rFonts w:eastAsia="楷体_GB2312" w:cs="Calibri"/>
                      <w:b/>
                      <w:bCs/>
                      <w:color w:val="FFFFFF" w:themeColor="background1"/>
                      <w:w w:val="70"/>
                      <w:sz w:val="22"/>
                      <w:szCs w:val="22"/>
                      <w14:textFill>
                        <w14:solidFill>
                          <w14:schemeClr w14:val="bg1"/>
                        </w14:solidFill>
                      </w14:textFill>
                    </w:rPr>
                    <w:t xml:space="preserve"> </w:t>
                  </w:r>
                </w:p>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3" w:type="first"/>
      <w:footerReference r:id="rId15" w:type="first"/>
      <w:headerReference r:id="rId12" w:type="default"/>
      <w:footerReference r:id="rId14"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17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17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17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bookmarkStart w:id="22" w:name="_GoBack"/>
    <w:bookmarkEnd w:id="22"/>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1312" behindDoc="0" locked="0" layoutInCell="1" allowOverlap="1">
          <wp:simplePos x="0" y="0"/>
          <wp:positionH relativeFrom="margin">
            <wp:posOffset>4735830</wp:posOffset>
          </wp:positionH>
          <wp:positionV relativeFrom="paragraph">
            <wp:posOffset>139065</wp:posOffset>
          </wp:positionV>
          <wp:extent cx="1925955" cy="651510"/>
          <wp:effectExtent l="0" t="0" r="4445" b="889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14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3061F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3DC3C49"/>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716529"/>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footer" Target="foot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30.emf"/><Relationship Id="rId66" Type="http://schemas.openxmlformats.org/officeDocument/2006/relationships/image" Target="media/image29.emf"/><Relationship Id="rId65" Type="http://schemas.openxmlformats.org/officeDocument/2006/relationships/image" Target="media/image28.emf"/><Relationship Id="rId64" Type="http://schemas.openxmlformats.org/officeDocument/2006/relationships/image" Target="media/image27.png"/><Relationship Id="rId63" Type="http://schemas.openxmlformats.org/officeDocument/2006/relationships/chart" Target="charts/chart22.xml"/><Relationship Id="rId62" Type="http://schemas.openxmlformats.org/officeDocument/2006/relationships/image" Target="media/image26.png"/><Relationship Id="rId61" Type="http://schemas.openxmlformats.org/officeDocument/2006/relationships/image" Target="media/image25.png"/><Relationship Id="rId60" Type="http://schemas.openxmlformats.org/officeDocument/2006/relationships/chart" Target="charts/chart21.xml"/><Relationship Id="rId6" Type="http://schemas.openxmlformats.org/officeDocument/2006/relationships/footer" Target="footer1.xml"/><Relationship Id="rId59" Type="http://schemas.openxmlformats.org/officeDocument/2006/relationships/chart" Target="charts/chart20.xml"/><Relationship Id="rId58" Type="http://schemas.openxmlformats.org/officeDocument/2006/relationships/chart" Target="charts/chart19.xml"/><Relationship Id="rId57" Type="http://schemas.openxmlformats.org/officeDocument/2006/relationships/chart" Target="charts/chart18.xml"/><Relationship Id="rId56" Type="http://schemas.openxmlformats.org/officeDocument/2006/relationships/chart" Target="charts/chart17.xml"/><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3.xml"/><Relationship Id="rId49" Type="http://schemas.openxmlformats.org/officeDocument/2006/relationships/image" Target="media/image18.emf"/><Relationship Id="rId48" Type="http://schemas.openxmlformats.org/officeDocument/2006/relationships/image" Target="media/image17.emf"/><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chart" Target="charts/chart16.xml"/><Relationship Id="rId41" Type="http://schemas.openxmlformats.org/officeDocument/2006/relationships/chart" Target="charts/chart15.xml"/><Relationship Id="rId40" Type="http://schemas.openxmlformats.org/officeDocument/2006/relationships/image" Target="media/image11.png"/><Relationship Id="rId4" Type="http://schemas.openxmlformats.org/officeDocument/2006/relationships/header" Target="header2.xml"/><Relationship Id="rId39" Type="http://schemas.openxmlformats.org/officeDocument/2006/relationships/image" Target="media/image10.png"/><Relationship Id="rId38" Type="http://schemas.openxmlformats.org/officeDocument/2006/relationships/chart" Target="charts/chart14.xml"/><Relationship Id="rId37" Type="http://schemas.openxmlformats.org/officeDocument/2006/relationships/chart" Target="charts/chart13.xml"/><Relationship Id="rId36" Type="http://schemas.openxmlformats.org/officeDocument/2006/relationships/chart" Target="charts/chart12.xml"/><Relationship Id="rId35" Type="http://schemas.openxmlformats.org/officeDocument/2006/relationships/chart" Target="charts/chart11.xml"/><Relationship Id="rId34" Type="http://schemas.openxmlformats.org/officeDocument/2006/relationships/chart" Target="charts/chart10.xml"/><Relationship Id="rId33" Type="http://schemas.openxmlformats.org/officeDocument/2006/relationships/chart" Target="charts/chart9.xml"/><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emf"/><Relationship Id="rId3" Type="http://schemas.openxmlformats.org/officeDocument/2006/relationships/header" Target="header1.xml"/><Relationship Id="rId29" Type="http://schemas.openxmlformats.org/officeDocument/2006/relationships/chart" Target="charts/chart8.xml"/><Relationship Id="rId28" Type="http://schemas.openxmlformats.org/officeDocument/2006/relationships/chart" Target="charts/chart7.xml"/><Relationship Id="rId27" Type="http://schemas.openxmlformats.org/officeDocument/2006/relationships/chart" Target="charts/chart6.xml"/><Relationship Id="rId26" Type="http://schemas.openxmlformats.org/officeDocument/2006/relationships/chart" Target="charts/chart5.xml"/><Relationship Id="rId25" Type="http://schemas.openxmlformats.org/officeDocument/2006/relationships/chart" Target="charts/chart4.xml"/><Relationship Id="rId24" Type="http://schemas.openxmlformats.org/officeDocument/2006/relationships/chart" Target="charts/chart3.xml"/><Relationship Id="rId23" Type="http://schemas.openxmlformats.org/officeDocument/2006/relationships/chart" Target="charts/chart2.xml"/><Relationship Id="rId22" Type="http://schemas.openxmlformats.org/officeDocument/2006/relationships/chart" Target="charts/chart1.xml"/><Relationship Id="rId21" Type="http://schemas.openxmlformats.org/officeDocument/2006/relationships/image" Target="media/image6.emf"/><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2</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2026-04-17T07:16:21Z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