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0"/>
        <w:tblpPr w:leftFromText="180" w:rightFromText="180" w:vertAnchor="text" w:tblpXSpec="right" w:tblpY="1"/>
        <w:tblOverlap w:val="never"/>
        <w:tblW w:w="10774" w:type="dxa"/>
        <w:tblCaption w:val="[Table_Main]"/>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30" w:type="dxa"/>
          <w:bottom w:w="0" w:type="dxa"/>
          <w:right w:w="40" w:type="dxa"/>
        </w:tblCellMar>
      </w:tblPr>
      <w:tblGrid>
        <w:gridCol w:w="125"/>
        <w:gridCol w:w="4269"/>
        <w:gridCol w:w="2037"/>
        <w:gridCol w:w="1218"/>
        <w:gridCol w:w="3062"/>
        <w:gridCol w:w="12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3" w:hRule="exact"/>
        </w:trPr>
        <w:tc>
          <w:tcPr>
            <w:tcW w:w="6470" w:type="dxa"/>
            <w:gridSpan w:val="3"/>
            <w:tcMar>
              <w:top w:w="60" w:type="dxa"/>
              <w:left w:w="120" w:type="dxa"/>
            </w:tcMar>
          </w:tcPr>
          <w:p>
            <w:pPr>
              <w:pStyle w:val="60"/>
              <w:rPr>
                <w:rFonts w:eastAsia="楷体_GB2312" w:cs="Calibri"/>
                <w:color w:val="FFFFFF" w:themeColor="background1"/>
                <w:sz w:val="21"/>
                <w:szCs w:val="21"/>
                <w:lang w:eastAsia="zh-CN"/>
                <w14:textFill>
                  <w14:solidFill>
                    <w14:schemeClr w14:val="bg1"/>
                  </w14:solidFill>
                </w14:textFill>
              </w:rPr>
            </w:pPr>
            <w:r>
              <w:rPr>
                <w:rFonts w:hint="eastAsia" w:eastAsia="楷体_GB2312" w:cs="Calibri"/>
                <w:color w:val="FFFFFF" w:themeColor="background1"/>
                <w:sz w:val="21"/>
                <w:szCs w:val="21"/>
                <w:lang w:eastAsia="zh-CN"/>
                <w14:textFill>
                  <w14:solidFill>
                    <w14:schemeClr w14:val="bg1"/>
                  </w14:solidFill>
                </w14:textFill>
              </w:rPr>
              <w:t>0；【】跑不过【M</w:t>
            </w:r>
            <w:r>
              <w:rPr>
                <w:rFonts w:eastAsia="楷体_GB2312" w:cs="Calibri"/>
                <w:color w:val="FFFFFF" w:themeColor="background1"/>
                <w:sz w:val="21"/>
                <w:szCs w:val="21"/>
                <w:lang w:eastAsia="zh-CN"/>
                <w14:textFill>
                  <w14:solidFill>
                    <w14:schemeClr w14:val="bg1"/>
                  </w14:solidFill>
                </w14:textFill>
              </w:rPr>
              <w:t>[Table_Main]</w:t>
            </w:r>
          </w:p>
        </w:tc>
        <w:tc>
          <w:tcPr>
            <w:tcW w:w="1224" w:type="dxa"/>
            <w:vAlign w:val="center"/>
          </w:tcPr>
          <w:p>
            <w:pPr>
              <w:pStyle w:val="46"/>
              <w:framePr w:wrap="auto" w:vAnchor="margin" w:hAnchor="text" w:xAlign="left" w:yAlign="inline"/>
              <w:rPr>
                <w:rFonts w:eastAsia="楷体_GB2312" w:cs="Calibri"/>
                <w:highlight w:val="yellow"/>
              </w:rPr>
            </w:pPr>
          </w:p>
        </w:tc>
        <w:tc>
          <w:tcPr>
            <w:tcW w:w="3080" w:type="dxa"/>
          </w:tcPr>
          <w:p>
            <w:pPr>
              <w:pStyle w:val="45"/>
              <w:framePr w:wrap="auto" w:vAnchor="margin" w:hAnchor="text" w:xAlign="left" w:yAlign="inline"/>
              <w:rPr>
                <w:rFonts w:eastAsia="楷体_GB2312" w:cs="Calibri"/>
                <w:highlight w:val="yellow"/>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318" w:hRule="exact"/>
        </w:trPr>
        <w:tc>
          <w:tcPr>
            <w:tcW w:w="6470" w:type="dxa"/>
            <w:gridSpan w:val="3"/>
            <w:tcMar>
              <w:top w:w="60" w:type="dxa"/>
              <w:left w:w="119" w:type="dxa"/>
              <w:right w:w="0" w:type="dxa"/>
            </w:tcMar>
            <w:vAlign w:val="center"/>
          </w:tcPr>
          <w:p>
            <w:pPr>
              <w:pStyle w:val="46"/>
              <w:framePr w:wrap="auto" w:vAnchor="margin" w:hAnchor="text" w:xAlign="left" w:yAlign="inline"/>
              <w:rPr>
                <w:rFonts w:eastAsia="楷体_GB2312" w:cs="Calibri"/>
                <w:b w:val="0"/>
                <w:sz w:val="16"/>
                <w:lang w:eastAsia="zh-CN"/>
              </w:rPr>
            </w:pPr>
            <w:r>
              <w:rPr>
                <w:rFonts w:eastAsia="楷体_GB2312" w:cs="Calibri"/>
                <w:b w:val="0"/>
                <w:sz w:val="16"/>
                <w:lang w:eastAsia="zh-CN"/>
              </w:rPr>
              <w:t>研究报告Research Report</w:t>
            </w:r>
          </w:p>
        </w:tc>
        <w:tc>
          <w:tcPr>
            <w:tcW w:w="4304" w:type="dxa"/>
            <w:gridSpan w:val="2"/>
          </w:tcPr>
          <w:p>
            <w:pPr>
              <w:pStyle w:val="60"/>
              <w:rPr>
                <w:rFonts w:eastAsia="楷体_GB2312" w:cs="Calibri"/>
                <w:color w:val="A7242B"/>
                <w:sz w:val="16"/>
                <w:szCs w:val="16"/>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76" w:hRule="exact"/>
        </w:trPr>
        <w:tc>
          <w:tcPr>
            <w:tcW w:w="6470" w:type="dxa"/>
            <w:gridSpan w:val="3"/>
            <w:tcMar>
              <w:top w:w="60" w:type="dxa"/>
              <w:left w:w="119" w:type="dxa"/>
              <w:right w:w="0" w:type="dxa"/>
            </w:tcMar>
            <w:vAlign w:val="center"/>
          </w:tcPr>
          <w:p>
            <w:pPr>
              <w:pStyle w:val="46"/>
              <w:framePr w:wrap="auto" w:vAnchor="margin" w:hAnchor="text" w:xAlign="left" w:yAlign="inline"/>
              <w:rPr>
                <w:rFonts w:eastAsia="楷体_GB2312" w:cs="Calibri"/>
                <w:b w:val="0"/>
                <w:sz w:val="20"/>
                <w:szCs w:val="20"/>
              </w:rPr>
            </w:pPr>
            <w:r>
              <w:rPr>
                <w:rFonts w:eastAsia="楷体_GB2312" w:cs="Calibri"/>
                <w:b w:val="0"/>
                <w:sz w:val="20"/>
                <w:szCs w:val="20"/>
              </w:rPr>
              <w:t>{{ report_date }}</w:t>
            </w:r>
          </w:p>
        </w:tc>
        <w:tc>
          <w:tcPr>
            <w:tcW w:w="4304" w:type="dxa"/>
            <w:gridSpan w:val="2"/>
          </w:tcPr>
          <w:p>
            <w:pPr>
              <w:pStyle w:val="60"/>
              <w:rPr>
                <w:rFonts w:eastAsia="楷体_GB2312" w:cs="Calibri"/>
                <w:color w:val="A7242B"/>
                <w:sz w:val="16"/>
                <w:szCs w:val="16"/>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57" w:hRule="exact"/>
        </w:trPr>
        <w:tc>
          <w:tcPr>
            <w:tcW w:w="10774" w:type="dxa"/>
            <w:gridSpan w:val="5"/>
            <w:tcMar>
              <w:top w:w="60" w:type="dxa"/>
              <w:left w:w="119" w:type="dxa"/>
              <w:right w:w="0" w:type="dxa"/>
            </w:tcMar>
          </w:tcPr>
          <w:p>
            <w:pPr>
              <w:pStyle w:val="45"/>
              <w:framePr w:wrap="auto" w:vAnchor="margin" w:hAnchor="text" w:xAlign="left" w:yAlign="inline"/>
              <w:jc w:val="left"/>
              <w:rPr>
                <w:rFonts w:eastAsia="楷体_GB2312" w:cs="Calibri"/>
                <w:sz w:val="40"/>
                <w:szCs w:val="40"/>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601" w:hRule="exact"/>
        </w:trPr>
        <w:tc>
          <w:tcPr>
            <w:tcW w:w="10774" w:type="dxa"/>
            <w:gridSpan w:val="5"/>
            <w:tcMar>
              <w:top w:w="60" w:type="dxa"/>
              <w:left w:w="119" w:type="dxa"/>
              <w:right w:w="0" w:type="dxa"/>
            </w:tcMar>
          </w:tcPr>
          <w:p>
            <w:pPr>
              <w:pStyle w:val="45"/>
              <w:framePr w:wrap="auto" w:vAnchor="margin" w:hAnchor="text" w:xAlign="left" w:yAlign="inline"/>
              <w:jc w:val="left"/>
              <w:rPr>
                <w:rFonts w:eastAsia="楷体_GB2312" w:cs="Calibri"/>
                <w:sz w:val="40"/>
                <w:szCs w:val="40"/>
                <w:lang w:eastAsia="zh-CN"/>
              </w:rPr>
            </w:pPr>
            <w:r>
              <w:rPr>
                <w:rFonts w:hint="eastAsia" w:eastAsia="楷体_GB2312" w:cs="Calibri"/>
                <w:sz w:val="40"/>
                <w:szCs w:val="40"/>
                <w:lang w:eastAsia="zh-CN"/>
              </w:rPr>
              <w:t>{{ company }} ({{ ticker }})</w:t>
            </w:r>
            <w:r>
              <w:rPr>
                <w:rFonts w:eastAsia="楷体_GB2312" w:cs="Calibri"/>
                <w:sz w:val="40"/>
                <w:szCs w:val="40"/>
                <w:lang w:eastAsia="zh-CN"/>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851" w:hRule="exact"/>
        </w:trPr>
        <w:tc>
          <w:tcPr>
            <w:tcW w:w="10774" w:type="dxa"/>
            <w:gridSpan w:val="5"/>
            <w:tcMar>
              <w:top w:w="60" w:type="dxa"/>
              <w:left w:w="119" w:type="dxa"/>
              <w:right w:w="0" w:type="dxa"/>
            </w:tcMar>
          </w:tcPr>
          <w:p>
            <w:pPr>
              <w:pStyle w:val="60"/>
              <w:rPr>
                <w:rFonts w:eastAsia="楷体_GB2312" w:cs="Calibri"/>
                <w:b w:val="0"/>
                <w:color w:val="23558C"/>
                <w:lang w:eastAsia="zh-CN"/>
              </w:rPr>
            </w:pPr>
            <w:r>
              <w:rPr>
                <w:rFonts w:hint="eastAsia" w:eastAsia="楷体_GB2312" w:cs="Calibri"/>
                <w:b w:val="0"/>
                <w:color w:val="23558C"/>
                <w:lang w:eastAsia="zh-CN"/>
              </w:rPr>
              <w:t>{{ title }}</w:t>
            </w:r>
            <w:r>
              <w:rPr>
                <w:rFonts w:eastAsia="楷体_GB2312" w:cs="Calibri"/>
                <w:b w:val="0"/>
                <w:color w:val="23558C"/>
                <w:lang w:eastAsia="zh-CN"/>
              </w:rPr>
            </w:r>
            <w:r>
              <w:rPr>
                <w:rFonts w:hint="eastAsia" w:eastAsia="楷体_GB2312" w:cs="Calibri"/>
                <w:b w:val="0"/>
                <w:color w:val="23558C"/>
                <w:lang w:eastAsia="zh-CN"/>
              </w:rPr>
            </w:r>
            <w:r>
              <w:rPr>
                <w:rFonts w:hint="eastAsia" w:eastAsia="楷体_GB2312" w:cs="Calibri"/>
                <w:b w:val="0"/>
                <w:color w:val="23558C"/>
              </w:rPr>
            </w:r>
            <w:r>
              <w:rPr>
                <w:rFonts w:hint="eastAsia" w:eastAsia="楷体_GB2312" w:cs="Calibri"/>
                <w:b w:val="0"/>
                <w:color w:val="23558C"/>
                <w:lang w:eastAsia="zh-CN"/>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78" w:hRule="atLeast"/>
        </w:trPr>
        <w:tc>
          <w:tcPr>
            <w:tcW w:w="10774" w:type="dxa"/>
            <w:gridSpan w:val="5"/>
            <w:tcMar>
              <w:top w:w="60" w:type="dxa"/>
              <w:left w:w="119" w:type="dxa"/>
              <w:right w:w="0" w:type="dxa"/>
            </w:tcMar>
          </w:tcPr>
          <w:p>
            <w:pPr>
              <w:pStyle w:val="45"/>
              <w:framePr w:wrap="auto" w:vAnchor="margin" w:hAnchor="text" w:xAlign="left" w:yAlign="inline"/>
              <w:rPr>
                <w:rFonts w:eastAsia="楷体_GB2312" w:cs="Calibri"/>
                <w:szCs w:val="24"/>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3" w:hRule="exact"/>
        </w:trPr>
        <w:tc>
          <w:tcPr>
            <w:tcW w:w="10774" w:type="dxa"/>
            <w:gridSpan w:val="5"/>
            <w:tcMar>
              <w:left w:w="119" w:type="dxa"/>
            </w:tcMar>
          </w:tcPr>
          <w:p>
            <w:pPr>
              <w:pStyle w:val="45"/>
              <w:framePr w:wrap="auto" w:vAnchor="margin" w:hAnchor="text" w:xAlign="left" w:yAlign="inline"/>
              <w:rPr>
                <w:rFonts w:eastAsia="楷体_GB2312" w:cs="Calibri"/>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Before w:val="1"/>
          <w:wBefore w:w="63" w:type="dxa"/>
          <w:trHeight w:val="227" w:hRule="atLeast"/>
        </w:trPr>
        <w:tc>
          <w:tcPr>
            <w:tcW w:w="4294" w:type="dxa"/>
            <w:tcMar>
              <w:left w:w="57" w:type="dxa"/>
            </w:tcMar>
          </w:tcPr>
          <w:tbl>
            <w:tblPr>
              <w:tblStyle w:val="20"/>
              <w:tblW w:w="4071" w:type="dxa"/>
              <w:tblCaption w:val="[Table_Info]"/>
              <w:tblDescription w:val="表格隐藏唯一标识（请勿删除或修改）"/>
              <w:tblInd w:w="0" w:type="dxa"/>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Layout w:type="fixed"/>
              <w:tblCellMar>
                <w:top w:w="0" w:type="dxa"/>
                <w:left w:w="0" w:type="dxa"/>
                <w:bottom w:w="0" w:type="dxa"/>
                <w:right w:w="0" w:type="dxa"/>
              </w:tblCellMar>
            </w:tblPr>
            <w:tblGrid>
              <w:gridCol w:w="1724"/>
              <w:gridCol w:w="2347"/>
            </w:tblGrid>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 w:hRule="exact"/>
              </w:trPr>
              <w:tc>
                <w:tcPr>
                  <w:tcW w:w="4071" w:type="dxa"/>
                  <w:gridSpan w:val="2"/>
                  <w:tcBorders>
                    <w:top w:val="nil"/>
                    <w:left w:val="nil"/>
                    <w:bottom w:val="nil"/>
                    <w:right w:val="nil"/>
                  </w:tcBorders>
                </w:tcPr>
                <w:p>
                  <w:pPr>
                    <w:pStyle w:val="50"/>
                    <w:framePr w:w="0" w:hRule="auto" w:hSpace="0" w:wrap="auto" w:vAnchor="margin" w:hAnchor="text" w:xAlign="left" w:yAlign="inline"/>
                    <w:rPr>
                      <w:rFonts w:eastAsia="楷体_GB2312" w:cs="Calibri"/>
                      <w:sz w:val="21"/>
                      <w:szCs w:val="21"/>
                    </w:rPr>
                  </w:pPr>
                  <w:r>
                    <w:rPr>
                      <w:rFonts w:eastAsia="楷体_GB2312" w:cs="Calibri"/>
                      <w:color w:val="FFFFFF" w:themeColor="background1"/>
                      <w:sz w:val="21"/>
                      <w:szCs w:val="21"/>
                      <w14:textFill>
                        <w14:solidFill>
                          <w14:schemeClr w14:val="bg1"/>
                        </w14:solidFill>
                      </w14:textFill>
                    </w:rPr>
                    <w:t>[Table_Info]</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84" w:hRule="exact"/>
              </w:trPr>
              <w:tc>
                <w:tcPr>
                  <w:tcW w:w="4071" w:type="dxa"/>
                  <w:gridSpan w:val="2"/>
                  <w:tcBorders>
                    <w:top w:val="nil"/>
                  </w:tcBorders>
                  <w:shd w:val="clear" w:color="auto" w:fill="23558C"/>
                  <w:tcMar>
                    <w:left w:w="0" w:type="dxa"/>
                  </w:tcMar>
                </w:tcPr>
                <w:p>
                  <w:pPr>
                    <w:pStyle w:val="49"/>
                    <w:framePr w:w="0" w:hRule="auto" w:hSpace="0" w:wrap="auto" w:vAnchor="margin" w:hAnchor="text" w:xAlign="left" w:yAlign="inline"/>
                    <w:ind w:right="85" w:firstLine="85"/>
                    <w:jc w:val="center"/>
                    <w:rPr>
                      <w:rFonts w:eastAsia="楷体_GB2312" w:cs="Calibri"/>
                      <w:i/>
                      <w:sz w:val="22"/>
                      <w:szCs w:val="22"/>
                    </w:rPr>
                  </w:pPr>
                  <w:r>
                    <w:rPr>
                      <w:rFonts w:hint="eastAsia" w:eastAsia="楷体_GB2312" w:cs="Calibri"/>
                      <w:i/>
                      <w:color w:val="FFFFFF" w:themeColor="background1"/>
                      <w:sz w:val="22"/>
                      <w:szCs w:val="22"/>
                      <w14:textFill>
                        <w14:solidFill>
                          <w14:schemeClr w14:val="bg1"/>
                        </w14:solidFill>
                      </w14:textFill>
                    </w:rPr>
                    <w:t>评级调整</w:t>
                  </w:r>
                  <w:r>
                    <w:rPr>
                      <w:rFonts w:eastAsia="楷体_GB2312" w:cs="Calibri"/>
                      <w:i/>
                      <w:color w:val="FFFFFF" w:themeColor="background1"/>
                      <w:sz w:val="22"/>
                      <w:szCs w:val="22"/>
                      <w14:textFill>
                        <w14:solidFill>
                          <w14:schemeClr w14:val="bg1"/>
                        </w14:solidFill>
                      </w14:textFill>
                    </w:rPr>
                    <w:t>Rating adjustment</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70" w:hRule="exact"/>
              </w:trPr>
              <w:tc>
                <w:tcPr>
                  <w:tcW w:w="4071" w:type="dxa"/>
                  <w:gridSpan w:val="2"/>
                  <w:tcMar>
                    <w:left w:w="0" w:type="dxa"/>
                  </w:tcMar>
                </w:tcPr>
                <w:p>
                  <w:pPr>
                    <w:pStyle w:val="49"/>
                    <w:framePr w:w="0" w:hRule="auto" w:hSpace="0" w:wrap="auto" w:vAnchor="margin" w:hAnchor="text" w:xAlign="left" w:yAlign="inline"/>
                    <w:ind w:right="85" w:firstLine="85"/>
                    <w:rPr>
                      <w:rFonts w:eastAsia="楷体_GB2312" w:cs="Calibri"/>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评级</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rating }}</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现价</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current_price }}</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目标价</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target_price }}</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市值</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market_cap }}</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发行股票数目</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shares_in_issue }}</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1年股价最高最低值</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one_year_high }}-{{ one_year_low }}</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pPr>
                    <w:pStyle w:val="50"/>
                    <w:framePr w:w="0" w:hRule="auto" w:hSpace="0" w:wrap="auto" w:vAnchor="margin" w:hAnchor="text" w:xAlign="left" w:yAlign="inline"/>
                    <w:ind w:left="85"/>
                    <w:rPr>
                      <w:rFonts w:eastAsia="楷体_GB2312" w:cs="Calibri"/>
                      <w:i/>
                      <w:iCs/>
                    </w:rPr>
                  </w:pPr>
                  <w:r>
                    <w:rPr>
                      <w:rFonts w:hint="eastAsia" w:eastAsia="楷体_GB2312" w:cs="Calibri"/>
                      <w:i/>
                      <w:iCs/>
                    </w:rPr>
                    <w:t>注：现价{{ current_price }}为{{ current_price_date }}收盘价</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pPr>
                    <w:pStyle w:val="50"/>
                    <w:framePr w:w="0" w:hRule="auto" w:hSpace="0" w:wrap="auto" w:vAnchor="margin" w:hAnchor="text" w:xAlign="left" w:yAlign="inline"/>
                    <w:ind w:left="85"/>
                    <w:rPr>
                      <w:rFonts w:eastAsia="楷体_GB2312" w:cs="Calibri"/>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pPr>
                    <w:jc w:val="center"/>
                    <w:rPr>
                      <w:rFonts w:eastAsia="楷体_GB2312" w:cs="Calibri"/>
                    </w:rPr>
                  </w:pPr>
                  <w:r>
                    <w:rPr>
                      <w:rFonts w:eastAsia="楷体_GB2312" w:cs="等线"/>
                    </w:rPr>
                    <w:drawing>
                      <wp:inline distT="0" distB="0" distL="0" distR="0">
                        <wp:extent cx="2286000" cy="1016000"/>
                        <wp:effectExtent l="0" t="0" r="0" b="0"/>
                        <wp:docPr id="2" name="Drawing 2" descr="/data/deploy/attachments/htgj/temp/202512/1765635024827_RRjq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descr="/data/deploy/attachments/htgj/temp/202512/1765635024827_RRjqS.png"/>
                                <pic:cNvPicPr>
                                  <a:picLocks noChangeAspect="1"/>
                                </pic:cNvPicPr>
                              </pic:nvPicPr>
                              <pic:blipFill>
                                <a:blip r:embed="rId18"/>
                                <a:stretch>
                                  <a:fillRect/>
                                </a:stretch>
                              </pic:blipFill>
                              <pic:spPr>
                                <a:xfrm>
                                  <a:off x="0" y="0"/>
                                  <a:ext cx="2286000" cy="1016000"/>
                                </a:xfrm>
                                <a:prstGeom prst="rect">
                                  <a:avLst/>
                                </a:prstGeom>
                              </pic:spPr>
                            </pic:pic>
                          </a:graphicData>
                        </a:graphic>
                      </wp:inline>
                    </w:drawing>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pPr>
                    <w:jc w:val="center"/>
                    <w:rPr>
                      <w:rFonts w:eastAsia="楷体_GB2312" w:cs="Calibri"/>
                    </w:rPr>
                  </w:pPr>
                  <w:r>
                    <w:rPr>
                      <w:rFonts w:eastAsia="楷体_GB2312" w:cs="等线"/>
                    </w:rPr>
                    <w:drawing>
                      <wp:inline distT="0" distB="0" distL="0" distR="0">
                        <wp:extent cx="2286000" cy="624840"/>
                        <wp:effectExtent l="0" t="0" r="0" b="3810"/>
                        <wp:docPr id="3" name="Drawing 3" descr="/data/deploy/attachments/htgj/temp/202512/1765635025256_VSNo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3" descr="/data/deploy/attachments/htgj/temp/202512/1765635025256_VSNoQ.png"/>
                                <pic:cNvPicPr>
                                  <a:picLocks noChangeAspect="1"/>
                                </pic:cNvPicPr>
                              </pic:nvPicPr>
                              <pic:blipFill>
                                <a:blip r:embed="rId19"/>
                                <a:stretch>
                                  <a:fillRect/>
                                </a:stretch>
                              </pic:blipFill>
                              <pic:spPr>
                                <a:xfrm>
                                  <a:off x="0" y="0"/>
                                  <a:ext cx="2286000" cy="624840"/>
                                </a:xfrm>
                                <a:prstGeom prst="rect">
                                  <a:avLst/>
                                </a:prstGeom>
                              </pic:spPr>
                            </pic:pic>
                          </a:graphicData>
                        </a:graphic>
                      </wp:inline>
                    </w:drawing>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80" w:hRule="exact"/>
              </w:trPr>
              <w:tc>
                <w:tcPr>
                  <w:tcW w:w="4071" w:type="dxa"/>
                  <w:gridSpan w:val="2"/>
                </w:tcPr>
                <w:p>
                  <w:pPr>
                    <w:pStyle w:val="51"/>
                    <w:framePr w:wrap="auto" w:vAnchor="margin" w:hAnchor="text" w:yAlign="inline"/>
                    <w:ind w:right="85" w:firstLine="85"/>
                    <w:rPr>
                      <w:rFonts w:eastAsia="楷体_GB2312" w:cs="Calibri"/>
                      <w:i/>
                      <w:iCs/>
                    </w:rPr>
                  </w:pPr>
                  <w:r>
                    <w:rPr>
                      <w:rFonts w:eastAsia="楷体_GB2312" w:cs="Calibri"/>
                      <w:i/>
                      <w:iCs/>
                    </w:rPr>
                    <w:t>资料来源： {{ source }}</w:t>
                  </w:r>
                  <w:r>
                    <w:rPr>
                      <w:rFonts w:hint="eastAsia" w:eastAsia="楷体_GB2312" w:cs="Calibri"/>
                      <w:i/>
                      <w:iCs/>
                    </w:rPr>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27" w:hRule="exact"/>
              </w:trPr>
              <w:tc>
                <w:tcPr>
                  <w:tcW w:w="4071" w:type="dxa"/>
                  <w:gridSpan w:val="2"/>
                  <w:tcMar>
                    <w:top w:w="0" w:type="dxa"/>
                    <w:left w:w="0" w:type="dxa"/>
                  </w:tcMar>
                </w:tcPr>
                <w:p>
                  <w:pPr>
                    <w:pStyle w:val="50"/>
                    <w:framePr w:w="0" w:hRule="auto" w:hSpace="0" w:wrap="auto" w:vAnchor="margin" w:hAnchor="text" w:xAlign="left" w:yAlign="inline"/>
                    <w:ind w:right="85" w:firstLine="85"/>
                    <w:rPr>
                      <w:rFonts w:eastAsia="楷体_GB2312" w:cs="Calibri"/>
                    </w:rPr>
                  </w:pPr>
                </w:p>
              </w:tc>
            </w:tr>
          </w:tbl>
          <w:p>
            <w:pPr>
              <w:tabs>
                <w:tab w:val="left" w:pos="2845"/>
              </w:tabs>
              <w:rPr>
                <w:rFonts w:cs="等线" w:eastAsiaTheme="minorEastAsia"/>
              </w:rPr>
            </w:pPr>
          </w:p>
        </w:tc>
        <w:tc>
          <w:tcPr>
            <w:tcW w:w="6480" w:type="dxa"/>
            <w:gridSpan w:val="4"/>
          </w:tcPr>
          <w:p>
            <w:pPr>
              <w:pStyle w:val="56"/>
              <w:jc w:val="both"/>
              <w:rPr>
                <w:rFonts w:hint="eastAsia" w:ascii="楷体" w:hAnsi="楷体" w:eastAsia="楷体" w:cs="Calibri"/>
                <w:lang w:eastAsia="zh-CN"/>
              </w:rPr>
            </w:pPr>
            <w:r>
              <w:rPr>
                <w:rFonts w:hint="eastAsia" w:eastAsia="楷体" w:asciiTheme="minorHAnsi" w:hAnsiTheme="minorHAnsi" w:cstheme="minorHAnsi"/>
                <w:b/>
                <w:snapToGrid w:val="0"/>
                <w:color w:val="23558C"/>
                <w:lang w:eastAsia="zh-CN"/>
              </w:rPr>
              <w:t>{{ company }}是私人航空业的先驱和全球领导者。自1984年成立以来，{{ company }}彻底革新了个人航空领域，在全球范围内累计交付了超过10,000架SR2X系列飞机和超过600架Vision Jet。截至2024年底，该公司在私人航空领域占据主导地位，市场份额高达23.2%。在财务表现方面，西锐展现出强劲的营收增长能力，从2020年的5.87亿美元大幅增长至2024年的11.97亿美元；净利润同期从2020年的3600万美元飙升至2024年的1.21亿美元，净利润复合年均增长率（CAGR）高达32.3%。净利率也从2020年的6.2%提高到2024年的10.1%。</w:t>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p>
          <w:p>
            <w:pPr>
              <w:pStyle w:val="56"/>
              <w:jc w:val="both"/>
              <w:rPr>
                <w:rFonts w:hint="eastAsia" w:ascii="楷体" w:hAnsi="楷体" w:eastAsia="楷体" w:cs="Calibri"/>
                <w:lang w:eastAsia="zh-CN"/>
              </w:rPr>
            </w:pPr>
            <w:r>
              <w:rPr>
                <w:rFonts w:hint="eastAsia" w:ascii="楷体" w:hAnsi="楷体" w:eastAsia="楷体" w:cs="Calibri"/>
                <w:b/>
                <w:bCs/>
                <w:color w:val="23558C"/>
                <w:lang w:eastAsia="zh-CN"/>
              </w:rPr>
              <w:t>消费者导向场景下私人飞机需求稳健增长。</w:t>
            </w:r>
            <w:r>
              <w:rPr>
                <w:rFonts w:hint="eastAsia" w:ascii="楷体" w:hAnsi="楷体" w:eastAsia="楷体" w:cs="Calibri"/>
                <w:lang w:eastAsia="zh-CN"/>
              </w:rPr>
              <w:t>通用航空涵盖除军事和定期商业航班之外的所有航空活动，包括私人飞行和专业航空。全球私人飞机市场在交付量和价值方面均实现了稳健增长，平均销售价格也呈现上升趋势。全球私人飞机交付量的持续增长，一方面得益于高净值人群（</w:t>
            </w:r>
            <w:r>
              <w:rPr>
                <w:rFonts w:ascii="楷体" w:hAnsi="楷体" w:eastAsia="楷体" w:cs="Calibri"/>
                <w:lang w:eastAsia="zh-CN"/>
              </w:rPr>
              <w:t>HNWIs</w:t>
            </w:r>
            <w:r>
              <w:rPr>
                <w:rFonts w:hint="eastAsia" w:ascii="楷体" w:hAnsi="楷体" w:eastAsia="楷体" w:cs="Calibri"/>
                <w:lang w:eastAsia="zh-CN"/>
              </w:rPr>
              <w:t>）和飞行学员数量的扩张，另一方面也受到持续基础设施建设的推动。该行业的集中度相当高，西锐尤其在活塞式飞机领域占据领先地位。其两大主要机型系列的市场份额均呈现上升趋势。.</w:t>
            </w:r>
          </w:p>
          <w:p>
            <w:pPr>
              <w:pStyle w:val="56"/>
              <w:jc w:val="both"/>
              <w:rPr>
                <w:rFonts w:hint="eastAsia" w:ascii="楷体" w:hAnsi="楷体" w:eastAsia="楷体" w:cs="Calibri"/>
                <w:lang w:eastAsia="zh-CN"/>
              </w:rPr>
            </w:pPr>
            <w:r>
              <w:rPr>
                <w:rFonts w:hint="eastAsia" w:ascii="楷体" w:hAnsi="楷体" w:eastAsia="楷体" w:cs="Calibri"/>
                <w:b/>
                <w:bCs/>
                <w:color w:val="23558C"/>
                <w:lang w:eastAsia="zh-CN"/>
              </w:rPr>
              <w:t>西锐凭借行业领先的安全性能和全面“产品</w:t>
            </w:r>
            <w:r>
              <w:rPr>
                <w:rFonts w:ascii="楷体" w:hAnsi="楷体" w:eastAsia="楷体" w:cs="Calibri"/>
                <w:b/>
                <w:bCs/>
                <w:color w:val="23558C"/>
                <w:lang w:eastAsia="zh-CN"/>
              </w:rPr>
              <w:t>+</w:t>
            </w:r>
            <w:r>
              <w:rPr>
                <w:rFonts w:hint="eastAsia" w:ascii="楷体" w:hAnsi="楷体" w:eastAsia="楷体" w:cs="Calibri"/>
                <w:b/>
                <w:bCs/>
                <w:color w:val="23558C"/>
                <w:lang w:eastAsia="zh-CN"/>
              </w:rPr>
              <w:t>服务”生态系统实现差异化。</w:t>
            </w:r>
            <w:r>
              <w:rPr>
                <w:rFonts w:hint="eastAsia" w:ascii="楷体" w:hAnsi="楷体" w:eastAsia="楷体" w:cs="Calibri"/>
                <w:lang w:eastAsia="zh-CN"/>
              </w:rPr>
              <w:t xml:space="preserve"> 西锐的产品线，从</w:t>
            </w:r>
            <w:r>
              <w:rPr>
                <w:rFonts w:ascii="楷体" w:hAnsi="楷体" w:eastAsia="楷体" w:cs="Calibri"/>
                <w:lang w:eastAsia="zh-CN"/>
              </w:rPr>
              <w:t>SR2X</w:t>
            </w:r>
            <w:r>
              <w:rPr>
                <w:rFonts w:hint="eastAsia" w:ascii="楷体" w:hAnsi="楷体" w:eastAsia="楷体" w:cs="Calibri"/>
                <w:lang w:eastAsia="zh-CN"/>
              </w:rPr>
              <w:t>系列到</w:t>
            </w:r>
            <w:r>
              <w:rPr>
                <w:rFonts w:ascii="楷体" w:hAnsi="楷体" w:eastAsia="楷体" w:cs="Calibri"/>
                <w:lang w:eastAsia="zh-CN"/>
              </w:rPr>
              <w:t>Vision Jet</w:t>
            </w:r>
            <w:r>
              <w:rPr>
                <w:rFonts w:hint="eastAsia" w:ascii="楷体" w:hAnsi="楷体" w:eastAsia="楷体" w:cs="Calibri"/>
                <w:lang w:eastAsia="zh-CN"/>
              </w:rPr>
              <w:t>，满足了多样化的市场需求，其中</w:t>
            </w:r>
            <w:r>
              <w:rPr>
                <w:rFonts w:ascii="楷体" w:hAnsi="楷体" w:eastAsia="楷体" w:cs="Calibri"/>
                <w:lang w:eastAsia="zh-CN"/>
              </w:rPr>
              <w:t>SR</w:t>
            </w:r>
            <w:r>
              <w:rPr>
                <w:rFonts w:hint="eastAsia" w:ascii="楷体" w:hAnsi="楷体" w:eastAsia="楷体" w:cs="Calibri"/>
                <w:lang w:eastAsia="zh-CN"/>
              </w:rPr>
              <w:t>系列定位于高端活塞式飞机市场，而</w:t>
            </w:r>
            <w:r>
              <w:rPr>
                <w:rFonts w:ascii="楷体" w:hAnsi="楷体" w:eastAsia="楷体" w:cs="Calibri"/>
                <w:lang w:eastAsia="zh-CN"/>
              </w:rPr>
              <w:t>Vision Jet</w:t>
            </w:r>
            <w:r>
              <w:rPr>
                <w:rFonts w:hint="eastAsia" w:ascii="楷体" w:hAnsi="楷体" w:eastAsia="楷体" w:cs="Calibri"/>
                <w:lang w:eastAsia="zh-CN"/>
              </w:rPr>
              <w:t>则作为涡轮式飞机类别中的高性价比选择。公司的竞争优势源于其开创性的安全功能，包括挽救生命的“整机降落伞系统（</w:t>
            </w:r>
            <w:r>
              <w:rPr>
                <w:rFonts w:ascii="楷体" w:hAnsi="楷体" w:eastAsia="楷体" w:cs="Calibri"/>
                <w:lang w:eastAsia="zh-CN"/>
              </w:rPr>
              <w:t>CAPS</w:t>
            </w:r>
            <w:r>
              <w:rPr>
                <w:rFonts w:hint="eastAsia" w:ascii="楷体" w:hAnsi="楷体" w:eastAsia="楷体" w:cs="Calibri"/>
                <w:lang w:eastAsia="zh-CN"/>
              </w:rPr>
              <w:t>）”和革命性的“安全返航紧急自动着陆系统（</w:t>
            </w:r>
            <w:r>
              <w:rPr>
                <w:rFonts w:ascii="楷体" w:hAnsi="楷体" w:eastAsia="楷体" w:cs="Calibri"/>
                <w:lang w:eastAsia="zh-CN"/>
              </w:rPr>
              <w:t>Safe Return Emergency Autoland</w:t>
            </w:r>
            <w:r>
              <w:rPr>
                <w:rFonts w:hint="eastAsia" w:ascii="楷体" w:hAnsi="楷体" w:eastAsia="楷体" w:cs="Calibri"/>
                <w:lang w:eastAsia="zh-CN"/>
              </w:rPr>
              <w:t>）”。关键在于，西锐已超越传统制造业务，发展成为提供全面“产品</w:t>
            </w:r>
            <w:r>
              <w:rPr>
                <w:rFonts w:ascii="楷体" w:hAnsi="楷体" w:eastAsia="楷体" w:cs="Calibri"/>
                <w:lang w:eastAsia="zh-CN"/>
              </w:rPr>
              <w:t>+</w:t>
            </w:r>
            <w:r>
              <w:rPr>
                <w:rFonts w:hint="eastAsia" w:ascii="楷体" w:hAnsi="楷体" w:eastAsia="楷体" w:cs="Calibri"/>
                <w:lang w:eastAsia="zh-CN"/>
              </w:rPr>
              <w:t>服务”生态系统的企业，涵盖飞行培训、飞机管理和融资等服务。这种高客户留存模式创造了经常性收入并增强了品牌忠诚度，同时带来了高复购率和强大的定价权。</w:t>
            </w:r>
            <w:r>
              <w:rPr>
                <w:rFonts w:ascii="楷体" w:hAnsi="楷体" w:eastAsia="楷体" w:cs="Calibri"/>
                <w:lang w:eastAsia="zh-CN"/>
              </w:rPr>
              <w:t xml:space="preserve"> </w:t>
            </w:r>
          </w:p>
          <w:p>
            <w:pPr>
              <w:pStyle w:val="56"/>
              <w:jc w:val="both"/>
              <w:rPr>
                <w:rFonts w:hint="eastAsia" w:ascii="楷体" w:hAnsi="楷体" w:eastAsia="楷体" w:cs="Calibri"/>
                <w:b/>
                <w:bCs/>
                <w:color w:val="23558C"/>
                <w:lang w:eastAsia="zh-CN"/>
              </w:rPr>
            </w:pPr>
            <w:r>
              <w:rPr>
                <w:rFonts w:hint="eastAsia" w:ascii="楷体" w:hAnsi="楷体" w:eastAsia="楷体" w:cs="Calibri"/>
                <w:b/>
                <w:bCs/>
                <w:color w:val="23558C"/>
                <w:lang w:eastAsia="zh-CN"/>
              </w:rPr>
              <w:t>估值与建议</w:t>
            </w:r>
          </w:p>
          <w:p>
            <w:pPr>
              <w:pStyle w:val="44"/>
              <w:jc w:val="both"/>
              <w:rPr>
                <w:rFonts w:hint="eastAsia" w:ascii="楷体" w:hAnsi="楷体" w:eastAsia="楷体" w:cs="Calibri"/>
                <w:snapToGrid/>
                <w:szCs w:val="20"/>
                <w:lang w:eastAsia="zh-CN"/>
              </w:rPr>
            </w:pPr>
            <w:r>
              <w:rPr>
                <w:rFonts w:ascii="楷体" w:hAnsi="楷体" w:eastAsia="楷体" w:cs="Calibri"/>
                <w:snapToGrid/>
                <w:szCs w:val="20"/>
                <w:lang w:eastAsia="zh-CN"/>
              </w:rPr>
              <w:t>我们预计{{ company }}在2025年至2027年期间的收入将分别达到14.26/16.46/19.28亿美元，净利润分别为1.62/1.99/2.42亿美元。基于贴现现金流（DCF）估值模型，我们首次覆盖并给予“优于大市”评级，目标价为11.12美元（对应港币{{ target_price }}元）。</w:t>
            </w:r>
            <w:r>
              <w:rPr>
                <w:rFonts w:hint="eastAsia" w:ascii="楷体" w:hAnsi="楷体" w:eastAsia="楷体" w:cs="Calibri"/>
                <w:snapToGrid/>
                <w:szCs w:val="20"/>
                <w:lang w:eastAsia="zh-CN"/>
              </w:rPr>
            </w:r>
            <w:r>
              <w:rPr>
                <w:rFonts w:ascii="楷体" w:hAnsi="楷体" w:eastAsia="楷体" w:cs="Calibri"/>
                <w:snapToGrid/>
                <w:szCs w:val="20"/>
                <w:lang w:eastAsia="zh-CN"/>
              </w:rPr>
            </w:r>
            <w:r>
              <w:rPr>
                <w:rFonts w:hint="eastAsia" w:ascii="楷体" w:hAnsi="楷体" w:eastAsia="楷体" w:cs="Calibri"/>
                <w:snapToGrid/>
                <w:szCs w:val="20"/>
                <w:lang w:eastAsia="zh-CN"/>
              </w:rPr>
            </w:r>
            <w:r>
              <w:rPr>
                <w:rFonts w:ascii="楷体" w:hAnsi="楷体" w:eastAsia="楷体" w:cs="Calibri"/>
                <w:snapToGrid/>
                <w:szCs w:val="20"/>
                <w:lang w:eastAsia="zh-CN"/>
              </w:rPr>
            </w:r>
            <w:r>
              <w:rPr>
                <w:rFonts w:hint="eastAsia" w:ascii="楷体" w:hAnsi="楷体" w:eastAsia="楷体" w:cs="Calibri"/>
                <w:snapToGrid/>
                <w:szCs w:val="20"/>
                <w:lang w:eastAsia="zh-CN"/>
              </w:rPr>
            </w:r>
            <w:r>
              <w:rPr>
                <w:rFonts w:ascii="楷体" w:hAnsi="楷体" w:eastAsia="楷体" w:cs="Calibri"/>
                <w:snapToGrid/>
                <w:szCs w:val="20"/>
                <w:lang w:eastAsia="zh-CN"/>
              </w:rPr>
            </w:r>
            <w:r>
              <w:rPr>
                <w:rFonts w:hint="eastAsia" w:ascii="楷体" w:hAnsi="楷体" w:eastAsia="楷体" w:cs="Calibri"/>
                <w:snapToGrid/>
                <w:szCs w:val="20"/>
                <w:lang w:eastAsia="zh-CN"/>
              </w:rPr>
            </w:r>
            <w:r>
              <w:rPr>
                <w:rFonts w:ascii="楷体" w:hAnsi="楷体" w:eastAsia="楷体" w:cs="Calibri"/>
                <w:snapToGrid/>
                <w:szCs w:val="20"/>
                <w:lang w:eastAsia="zh-CN"/>
              </w:rPr>
            </w:r>
            <w:r>
              <w:rPr>
                <w:rFonts w:hint="eastAsia" w:ascii="楷体" w:hAnsi="楷体" w:eastAsia="楷体" w:cs="Calibri"/>
                <w:snapToGrid/>
                <w:szCs w:val="20"/>
                <w:lang w:eastAsia="zh-CN"/>
              </w:rPr>
            </w:r>
            <w:r>
              <w:rPr>
                <w:rFonts w:ascii="楷体" w:hAnsi="楷体" w:eastAsia="楷体" w:cs="Calibri"/>
                <w:snapToGrid/>
                <w:szCs w:val="20"/>
                <w:lang w:eastAsia="zh-CN"/>
              </w:rPr>
            </w:r>
            <w:r>
              <w:rPr>
                <w:rFonts w:hint="eastAsia" w:ascii="楷体" w:hAnsi="楷体" w:eastAsia="楷体" w:cs="Calibri"/>
                <w:snapToGrid/>
                <w:szCs w:val="20"/>
                <w:lang w:eastAsia="zh-CN"/>
              </w:rPr>
            </w:r>
          </w:p>
          <w:p>
            <w:pPr>
              <w:pStyle w:val="56"/>
              <w:jc w:val="both"/>
              <w:rPr>
                <w:rFonts w:hint="eastAsia" w:ascii="楷体" w:hAnsi="楷体" w:eastAsia="楷体" w:cs="Calibri"/>
                <w:b/>
                <w:bCs/>
                <w:color w:val="23558C"/>
                <w:lang w:eastAsia="zh-CN"/>
              </w:rPr>
            </w:pPr>
            <w:r>
              <w:rPr>
                <w:rFonts w:hint="eastAsia" w:ascii="楷体" w:hAnsi="楷体" w:eastAsia="楷体" w:cs="Calibri"/>
                <w:b/>
                <w:bCs/>
                <w:color w:val="23558C"/>
                <w:lang w:eastAsia="zh-CN"/>
              </w:rPr>
              <w:t>风险提示</w:t>
            </w:r>
          </w:p>
          <w:p>
            <w:pPr>
              <w:pStyle w:val="55"/>
              <w:jc w:val="both"/>
              <w:rPr>
                <w:rFonts w:hint="default" w:ascii="楷体" w:hAnsi="楷体" w:eastAsia="楷体" w:cs="Calibri"/>
                <w:snapToGrid/>
                <w:sz w:val="20"/>
                <w:szCs w:val="20"/>
                <w:lang w:val="en-IE" w:eastAsia="zh-CN"/>
              </w:rPr>
            </w:pPr>
            <w:r>
              <w:rPr>
                <w:rFonts w:ascii="楷体" w:hAnsi="楷体" w:eastAsia="楷体" w:cs="Calibri"/>
                <w:snapToGrid/>
                <w:sz w:val="20"/>
                <w:szCs w:val="20"/>
              </w:rPr>
              <w:t>原材料价格波动；供应链中断；市场竞争加剧；客户需求变化；政策变化.</w:t>
            </w:r>
          </w:p>
          <w:p>
            <w:pPr>
              <w:pStyle w:val="56"/>
              <w:jc w:val="both"/>
              <w:rPr>
                <w:rFonts w:hint="eastAsia" w:ascii="楷体" w:hAnsi="楷体" w:eastAsia="楷体" w:cs="Calibri"/>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12" w:hRule="atLeast"/>
        </w:trPr>
        <w:tc/>
      </w:tr>
    </w:tbl>
    <w:p>
      <w:pPr>
        <w:rPr>
          <w:rFonts w:eastAsiaTheme="minorEastAsia"/>
        </w:rPr>
        <w:sectPr>
          <w:headerReference r:id="rId5" w:type="first"/>
          <w:footerReference r:id="rId8" w:type="first"/>
          <w:headerReference r:id="rId3" w:type="default"/>
          <w:footerReference r:id="rId6" w:type="default"/>
          <w:headerReference r:id="rId4" w:type="even"/>
          <w:footerReference r:id="rId7" w:type="even"/>
          <w:type w:val="continuous"/>
          <w:pgSz w:w="11910" w:h="16840"/>
          <w:pgMar w:top="567" w:right="567" w:bottom="1021" w:left="567" w:header="567" w:footer="918" w:gutter="0"/>
          <w:cols w:space="425" w:num="1"/>
          <w:docGrid w:linePitch="299" w:charSpace="0"/>
        </w:sectPr>
      </w:pPr>
      <w:r>
        <w:t>{{ abstract }}</w:t>
      </w:r>
    </w:p>
    <w:sdt>
      <w:sdtPr>
        <w:rPr>
          <w:rFonts w:hint="eastAsia" w:ascii="楷体" w:hAnsi="楷体" w:eastAsia="楷体" w:cs="楷体"/>
          <w:b/>
          <w:snapToGrid w:val="0"/>
          <w:color w:val="auto"/>
          <w:sz w:val="22"/>
          <w:szCs w:val="22"/>
          <w:lang w:val="zh-CN" w:eastAsia="ja-JP"/>
        </w:rPr>
        <w:id w:val="393165253"/>
        <w:docPartObj>
          <w:docPartGallery w:val="Table of Contents"/>
          <w:docPartUnique/>
        </w:docPartObj>
      </w:sdtPr>
      <w:sdtEndPr>
        <w:rPr>
          <w:rFonts w:hint="eastAsia" w:ascii="Calibri" w:hAnsi="Calibri" w:eastAsia="MS Mincho" w:cs="Calibri"/>
          <w:b/>
          <w:bCs/>
          <w:snapToGrid w:val="0"/>
          <w:color w:val="auto"/>
          <w:sz w:val="16"/>
          <w:szCs w:val="16"/>
          <w:lang w:val="zh-CN" w:eastAsia="ja-JP"/>
        </w:rPr>
      </w:sdtEndPr>
      <w:sdtContent>
        <w:p>
          <w:pPr>
            <w:pStyle w:val="73"/>
            <w:rPr>
              <w:rFonts w:hint="eastAsia" w:ascii="楷体" w:hAnsi="楷体" w:eastAsia="楷体" w:cs="楷体"/>
              <w:b/>
              <w:color w:val="auto"/>
              <w:sz w:val="22"/>
              <w:szCs w:val="22"/>
            </w:rPr>
          </w:pPr>
          <w:r>
            <w:rPr>
              <w:rFonts w:hint="eastAsia" w:ascii="楷体" w:hAnsi="楷体" w:eastAsia="楷体" w:cs="楷体"/>
              <w:b/>
              <w:snapToGrid w:val="0"/>
              <w:color w:val="auto"/>
              <w:sz w:val="22"/>
              <w:szCs w:val="22"/>
            </w:rPr>
            <w:t>目录</w:t>
          </w:r>
        </w:p>
        <w:p>
          <w:pPr>
            <w:pStyle w:val="14"/>
            <w:tabs>
              <w:tab w:val="right" w:leader="dot" w:pos="7733"/>
            </w:tabs>
            <w:rPr>
              <w:rFonts w:hint="eastAsia" w:cstheme="minorBidi"/>
              <w:kern w:val="2"/>
              <w:szCs w:val="24"/>
              <w14:ligatures w14:val="standardContextual"/>
            </w:rPr>
          </w:pPr>
          <w:r>
            <w:rPr>
              <w:rFonts w:ascii="Calibri" w:hAnsi="Calibri" w:cs="Calibri"/>
            </w:rPr>
            <w:fldChar w:fldCharType="begin"/>
          </w:r>
          <w:r>
            <w:rPr>
              <w:rFonts w:ascii="Calibri" w:hAnsi="Calibri" w:cs="Calibri"/>
            </w:rPr>
            <w:instrText xml:space="preserve"> TOC \o "1-3" \h \z \u </w:instrText>
          </w:r>
          <w:r>
            <w:rPr>
              <w:rFonts w:ascii="Calibri" w:hAnsi="Calibri" w:cs="Calibri"/>
            </w:rPr>
            <w:fldChar w:fldCharType="separate"/>
          </w:r>
          <w:r>
            <w:fldChar w:fldCharType="begin"/>
          </w:r>
          <w:r>
            <w:instrText xml:space="preserve"> HYPERLINK \l "_Toc219028014" </w:instrText>
          </w:r>
          <w:r>
            <w:fldChar w:fldCharType="separate"/>
          </w:r>
          <w:r>
            <w:rPr>
              <w:rStyle w:val="23"/>
              <w:rFonts w:hint="eastAsia" w:ascii="楷体" w:hAnsi="楷体" w:eastAsia="楷体" w:cs="楷体"/>
              <w:b/>
              <w:bCs/>
            </w:rPr>
            <w:t>1 西锐飞机：拥有四十余年历史的全球私人航空领导者</w:t>
          </w:r>
          <w:r>
            <w:rPr>
              <w:rFonts w:hint="eastAsia"/>
            </w:rPr>
            <w:tab/>
          </w:r>
          <w:r>
            <w:rPr>
              <w:rFonts w:hint="eastAsia"/>
            </w:rPr>
            <w:fldChar w:fldCharType="begin"/>
          </w:r>
          <w:r>
            <w:rPr>
              <w:rFonts w:hint="eastAsia"/>
            </w:rPr>
            <w:instrText xml:space="preserve"> </w:instrText>
          </w:r>
          <w:r>
            <w:instrText xml:space="preserve">PAGEREF _Toc219028014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"_Toc219028015" </w:instrText>
          </w:r>
          <w:r>
            <w:fldChar w:fldCharType="separate"/>
          </w:r>
          <w:r>
            <w:rPr>
              <w:rStyle w:val="23"/>
              <w:rFonts w:hint="eastAsia" w:ascii="楷体" w:hAnsi="楷体" w:eastAsia="楷体" w:cs="楷体"/>
            </w:rPr>
            <w:t>1.1 公司概况</w:t>
          </w:r>
          <w:r>
            <w:rPr>
              <w:rFonts w:hint="eastAsia"/>
            </w:rPr>
            <w:tab/>
          </w:r>
          <w:r>
            <w:rPr>
              <w:rFonts w:hint="eastAsia"/>
            </w:rPr>
            <w:fldChar w:fldCharType="begin"/>
          </w:r>
          <w:r>
            <w:rPr>
              <w:rFonts w:hint="eastAsia"/>
            </w:rPr>
            <w:instrText xml:space="preserve"> </w:instrText>
          </w:r>
          <w:r>
            <w:instrText xml:space="preserve">PAGEREF _Toc219028015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"_Toc219028016" </w:instrText>
          </w:r>
          <w:r>
            <w:fldChar w:fldCharType="separate"/>
          </w:r>
          <w:r>
            <w:rPr>
              <w:rStyle w:val="23"/>
              <w:rFonts w:hint="eastAsia" w:ascii="楷体" w:hAnsi="楷体" w:eastAsia="楷体" w:cs="楷体"/>
            </w:rPr>
            <w:t>1.2 股权结构与管理层情况</w:t>
          </w:r>
          <w:r>
            <w:rPr>
              <w:rFonts w:hint="eastAsia"/>
            </w:rPr>
            <w:tab/>
          </w:r>
          <w:r>
            <w:rPr>
              <w:rFonts w:hint="eastAsia"/>
            </w:rPr>
            <w:fldChar w:fldCharType="begin"/>
          </w:r>
          <w:r>
            <w:rPr>
              <w:rFonts w:hint="eastAsia"/>
            </w:rPr>
            <w:instrText xml:space="preserve"> </w:instrText>
          </w:r>
          <w:r>
            <w:instrText xml:space="preserve">PAGEREF _Toc219028016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"_Toc219028017" </w:instrText>
          </w:r>
          <w:r>
            <w:fldChar w:fldCharType="separate"/>
          </w:r>
          <w:r>
            <w:rPr>
              <w:rStyle w:val="23"/>
              <w:rFonts w:hint="eastAsia" w:ascii="楷体" w:hAnsi="楷体" w:eastAsia="楷体" w:cs="楷体"/>
            </w:rPr>
            <w:t>1.3 主营产品</w:t>
          </w:r>
          <w:r>
            <w:rPr>
              <w:rFonts w:hint="eastAsia"/>
            </w:rPr>
            <w:tab/>
          </w:r>
          <w:r>
            <w:rPr>
              <w:rFonts w:hint="eastAsia"/>
            </w:rPr>
            <w:fldChar w:fldCharType="begin"/>
          </w:r>
          <w:r>
            <w:rPr>
              <w:rFonts w:hint="eastAsia"/>
            </w:rPr>
            <w:instrText xml:space="preserve"> </w:instrText>
          </w:r>
          <w:r>
            <w:instrText xml:space="preserve">PAGEREF _Toc219028017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"_Toc219028018" </w:instrText>
          </w:r>
          <w:r>
            <w:fldChar w:fldCharType="separate"/>
          </w:r>
          <w:r>
            <w:rPr>
              <w:rStyle w:val="23"/>
              <w:rFonts w:hint="eastAsia" w:ascii="楷体" w:hAnsi="楷体" w:eastAsia="楷体" w:cs="楷体"/>
            </w:rPr>
            <w:t>1.4 财务表现</w:t>
          </w:r>
          <w:r>
            <w:rPr>
              <w:rFonts w:hint="eastAsia"/>
            </w:rPr>
            <w:tab/>
          </w:r>
          <w:r>
            <w:rPr>
              <w:rFonts w:hint="eastAsia"/>
            </w:rPr>
            <w:fldChar w:fldCharType="begin"/>
          </w:r>
          <w:r>
            <w:rPr>
              <w:rFonts w:hint="eastAsia"/>
            </w:rPr>
            <w:instrText xml:space="preserve"> </w:instrText>
          </w:r>
          <w:r>
            <w:instrText xml:space="preserve">PAGEREF _Toc219028018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pPr>
            <w:pStyle w:val="14"/>
            <w:tabs>
              <w:tab w:val="right" w:leader="dot" w:pos="7733"/>
            </w:tabs>
            <w:rPr>
              <w:rFonts w:hint="eastAsia" w:cstheme="minorBidi"/>
              <w:kern w:val="2"/>
              <w:szCs w:val="24"/>
              <w14:ligatures w14:val="standardContextual"/>
            </w:rPr>
          </w:pPr>
          <w:r>
            <w:fldChar w:fldCharType="begin"/>
          </w:r>
          <w:r>
            <w:instrText xml:space="preserve"> HYPERLINK \l "_Toc219028019" </w:instrText>
          </w:r>
          <w:r>
            <w:fldChar w:fldCharType="separate"/>
          </w:r>
          <w:r>
            <w:rPr>
              <w:rStyle w:val="23"/>
              <w:rFonts w:hint="eastAsia" w:ascii="楷体" w:hAnsi="楷体" w:eastAsia="楷体" w:cs="楷体"/>
            </w:rPr>
            <w:t>2 私人航空需求稳健增长，消费型应用场景持续拓展</w:t>
          </w:r>
          <w:r>
            <w:rPr>
              <w:rFonts w:hint="eastAsia"/>
            </w:rPr>
            <w:tab/>
          </w:r>
          <w:r>
            <w:rPr>
              <w:rFonts w:hint="eastAsia"/>
            </w:rPr>
            <w:fldChar w:fldCharType="begin"/>
          </w:r>
          <w:r>
            <w:rPr>
              <w:rFonts w:hint="eastAsia"/>
            </w:rPr>
            <w:instrText xml:space="preserve"> </w:instrText>
          </w:r>
          <w:r>
            <w:instrText xml:space="preserve">PAGEREF _Toc219028019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"_Toc219028020" </w:instrText>
          </w:r>
          <w:r>
            <w:fldChar w:fldCharType="separate"/>
          </w:r>
          <w:r>
            <w:rPr>
              <w:rStyle w:val="23"/>
              <w:rFonts w:hint="eastAsia" w:ascii="楷体" w:hAnsi="楷体" w:eastAsia="楷体" w:cs="楷体"/>
            </w:rPr>
            <w:t>2.1 通用航空行业概览</w:t>
          </w:r>
          <w:r>
            <w:rPr>
              <w:rFonts w:hint="eastAsia"/>
            </w:rPr>
            <w:tab/>
          </w:r>
          <w:r>
            <w:rPr>
              <w:rFonts w:hint="eastAsia"/>
            </w:rPr>
            <w:fldChar w:fldCharType="begin"/>
          </w:r>
          <w:r>
            <w:rPr>
              <w:rFonts w:hint="eastAsia"/>
            </w:rPr>
            <w:instrText xml:space="preserve"> </w:instrText>
          </w:r>
          <w:r>
            <w:instrText xml:space="preserve">PAGEREF _Toc219028020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"_Toc219028021" </w:instrText>
          </w:r>
          <w:r>
            <w:fldChar w:fldCharType="separate"/>
          </w:r>
          <w:r>
            <w:rPr>
              <w:rStyle w:val="23"/>
              <w:rFonts w:hint="eastAsia" w:ascii="楷体" w:hAnsi="楷体" w:eastAsia="楷体" w:cs="楷体"/>
            </w:rPr>
            <w:t>2.2 全球私人飞机市场：交付稳步增长，行业集中度较高</w:t>
          </w:r>
          <w:r>
            <w:rPr>
              <w:rFonts w:hint="eastAsia"/>
            </w:rPr>
            <w:tab/>
          </w:r>
          <w:r>
            <w:rPr>
              <w:rFonts w:hint="eastAsia"/>
            </w:rPr>
            <w:fldChar w:fldCharType="begin"/>
          </w:r>
          <w:r>
            <w:rPr>
              <w:rFonts w:hint="eastAsia"/>
            </w:rPr>
            <w:instrText xml:space="preserve"> </w:instrText>
          </w:r>
          <w:r>
            <w:instrText xml:space="preserve">PAGEREF _Toc219028021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pPr>
            <w:pStyle w:val="14"/>
            <w:tabs>
              <w:tab w:val="right" w:leader="dot" w:pos="7733"/>
            </w:tabs>
            <w:rPr>
              <w:rFonts w:hint="eastAsia" w:cstheme="minorBidi"/>
              <w:kern w:val="2"/>
              <w:szCs w:val="24"/>
              <w14:ligatures w14:val="standardContextual"/>
            </w:rPr>
          </w:pPr>
          <w:r>
            <w:fldChar w:fldCharType="begin"/>
          </w:r>
          <w:r>
            <w:instrText xml:space="preserve"> HYPERLINK \l "_Toc219028022" </w:instrText>
          </w:r>
          <w:r>
            <w:fldChar w:fldCharType="separate"/>
          </w:r>
          <w:r>
            <w:rPr>
              <w:rStyle w:val="23"/>
              <w:rFonts w:hint="eastAsia" w:ascii="楷体" w:hAnsi="楷体" w:eastAsia="楷体" w:cs="楷体"/>
              <w:b/>
              <w:bCs/>
            </w:rPr>
            <w:t>3 高安全性产品与成熟服务生态构筑强大品牌护城河</w:t>
          </w:r>
          <w:r>
            <w:rPr>
              <w:rFonts w:hint="eastAsia"/>
            </w:rPr>
            <w:tab/>
          </w:r>
          <w:r>
            <w:rPr>
              <w:rFonts w:hint="eastAsia"/>
            </w:rPr>
            <w:fldChar w:fldCharType="begin"/>
          </w:r>
          <w:r>
            <w:rPr>
              <w:rFonts w:hint="eastAsia"/>
            </w:rPr>
            <w:instrText xml:space="preserve"> </w:instrText>
          </w:r>
          <w:r>
            <w:instrText xml:space="preserve">PAGEREF _Toc219028022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"_Toc219028023" </w:instrText>
          </w:r>
          <w:r>
            <w:fldChar w:fldCharType="separate"/>
          </w:r>
          <w:r>
            <w:rPr>
              <w:rStyle w:val="23"/>
              <w:rFonts w:hint="eastAsia" w:ascii="楷体" w:hAnsi="楷体" w:eastAsia="楷体" w:cs="楷体"/>
            </w:rPr>
            <w:t>3.1 产品矩阵覆盖全谱系需求，高安全性有效解决行业核心痛点</w:t>
          </w:r>
          <w:r>
            <w:rPr>
              <w:rFonts w:hint="eastAsia"/>
            </w:rPr>
            <w:tab/>
          </w:r>
          <w:r>
            <w:rPr>
              <w:rFonts w:hint="eastAsia"/>
            </w:rPr>
            <w:fldChar w:fldCharType="begin"/>
          </w:r>
          <w:r>
            <w:rPr>
              <w:rFonts w:hint="eastAsia"/>
            </w:rPr>
            <w:instrText xml:space="preserve"> </w:instrText>
          </w:r>
          <w:r>
            <w:instrText xml:space="preserve">PAGEREF _Toc219028023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"_Toc219028024" </w:instrText>
          </w:r>
          <w:r>
            <w:fldChar w:fldCharType="separate"/>
          </w:r>
          <w:r>
            <w:rPr>
              <w:rStyle w:val="23"/>
              <w:rFonts w:hint="eastAsia" w:ascii="楷体" w:hAnsi="楷体" w:eastAsia="楷体" w:cs="楷体"/>
            </w:rPr>
            <w:t>3.2 完整制造与服务生态体系，构建难以复制的竞争优势</w:t>
          </w:r>
          <w:r>
            <w:rPr>
              <w:rFonts w:hint="eastAsia"/>
            </w:rPr>
            <w:tab/>
          </w:r>
          <w:r>
            <w:rPr>
              <w:rFonts w:hint="eastAsia"/>
            </w:rPr>
            <w:fldChar w:fldCharType="begin"/>
          </w:r>
          <w:r>
            <w:rPr>
              <w:rFonts w:hint="eastAsia"/>
            </w:rPr>
            <w:instrText xml:space="preserve"> </w:instrText>
          </w:r>
          <w:r>
            <w:instrText xml:space="preserve">PAGEREF _Toc219028024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"_Toc219028025" </w:instrText>
          </w:r>
          <w:r>
            <w:fldChar w:fldCharType="separate"/>
          </w:r>
          <w:r>
            <w:rPr>
              <w:rStyle w:val="23"/>
              <w:rFonts w:hint="eastAsia" w:ascii="楷体" w:hAnsi="楷体" w:eastAsia="楷体" w:cs="楷体"/>
            </w:rPr>
            <w:t>3.3 高复购率与定价能力彰显品牌价值</w:t>
          </w:r>
          <w:r>
            <w:rPr>
              <w:rFonts w:hint="eastAsia"/>
            </w:rPr>
            <w:tab/>
          </w:r>
          <w:r>
            <w:rPr>
              <w:rFonts w:hint="eastAsia"/>
            </w:rPr>
            <w:fldChar w:fldCharType="begin"/>
          </w:r>
          <w:r>
            <w:rPr>
              <w:rFonts w:hint="eastAsia"/>
            </w:rPr>
            <w:instrText xml:space="preserve"> </w:instrText>
          </w:r>
          <w:r>
            <w:instrText xml:space="preserve">PAGEREF _Toc219028025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pPr>
            <w:pStyle w:val="14"/>
            <w:tabs>
              <w:tab w:val="right" w:leader="dot" w:pos="7733"/>
            </w:tabs>
            <w:rPr>
              <w:rFonts w:hint="eastAsia" w:cstheme="minorBidi"/>
              <w:kern w:val="2"/>
              <w:szCs w:val="24"/>
              <w14:ligatures w14:val="standardContextual"/>
            </w:rPr>
          </w:pPr>
          <w:r>
            <w:fldChar w:fldCharType="begin"/>
          </w:r>
          <w:r>
            <w:instrText xml:space="preserve"> HYPERLINK \l "_Toc219028026" </w:instrText>
          </w:r>
          <w:r>
            <w:fldChar w:fldCharType="separate"/>
          </w:r>
          <w:r>
            <w:rPr>
              <w:rStyle w:val="23"/>
              <w:rFonts w:hint="eastAsia" w:ascii="楷体" w:hAnsi="楷体" w:eastAsia="楷体" w:cs="楷体"/>
              <w:b/>
              <w:bCs/>
            </w:rPr>
            <w:t>4. 未来展望：增长具备韧性，发展路径清晰</w:t>
          </w:r>
          <w:r>
            <w:rPr>
              <w:rFonts w:hint="eastAsia"/>
            </w:rPr>
            <w:tab/>
          </w:r>
          <w:r>
            <w:rPr>
              <w:rFonts w:hint="eastAsia"/>
            </w:rPr>
            <w:fldChar w:fldCharType="begin"/>
          </w:r>
          <w:r>
            <w:rPr>
              <w:rFonts w:hint="eastAsia"/>
            </w:rPr>
            <w:instrText xml:space="preserve"> </w:instrText>
          </w:r>
          <w:r>
            <w:instrText xml:space="preserve">PAGEREF _Toc219028026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pPr>
            <w:pStyle w:val="14"/>
            <w:tabs>
              <w:tab w:val="right" w:leader="dot" w:pos="7733"/>
            </w:tabs>
            <w:rPr>
              <w:rFonts w:hint="eastAsia" w:cstheme="minorBidi"/>
              <w:kern w:val="2"/>
              <w:szCs w:val="24"/>
              <w14:ligatures w14:val="standardContextual"/>
            </w:rPr>
          </w:pPr>
          <w:r>
            <w:fldChar w:fldCharType="begin"/>
          </w:r>
          <w:r>
            <w:instrText xml:space="preserve"> HYPERLINK \l "_Toc219028027" </w:instrText>
          </w:r>
          <w:r>
            <w:fldChar w:fldCharType="separate"/>
          </w:r>
          <w:r>
            <w:rPr>
              <w:rStyle w:val="23"/>
              <w:rFonts w:hint="eastAsia" w:ascii="楷体" w:hAnsi="楷体" w:eastAsia="楷体" w:cs="楷体"/>
              <w:b/>
              <w:bCs/>
            </w:rPr>
            <w:t>5.估值与投资建议</w:t>
          </w:r>
          <w:r>
            <w:rPr>
              <w:rFonts w:hint="eastAsia"/>
            </w:rPr>
            <w:tab/>
          </w:r>
          <w:r>
            <w:rPr>
              <w:rFonts w:hint="eastAsia"/>
            </w:rPr>
            <w:fldChar w:fldCharType="begin"/>
          </w:r>
          <w:r>
            <w:rPr>
              <w:rFonts w:hint="eastAsia"/>
            </w:rPr>
            <w:instrText xml:space="preserve"> </w:instrText>
          </w:r>
          <w:r>
            <w:instrText xml:space="preserve">PAGEREF _Toc219028027 \h</w:instrText>
          </w:r>
          <w:r>
            <w:rPr>
              <w:rFonts w:hint="eastAsia"/>
            </w:rPr>
            <w:instrText xml:space="preserve"> </w:instrText>
          </w:r>
          <w:r>
            <w:rPr>
              <w:rFonts w:hint="eastAsia"/>
            </w:rPr>
            <w:fldChar w:fldCharType="separate"/>
          </w:r>
          <w:r>
            <w:rPr>
              <w:rFonts w:hint="eastAsia"/>
            </w:rPr>
            <w:t>22</w:t>
          </w:r>
          <w:r>
            <w:rPr>
              <w:rFonts w:hint="eastAsia"/>
            </w:rPr>
            <w:fldChar w:fldCharType="end"/>
          </w:r>
          <w:r>
            <w:rPr>
              <w:rFonts w:hint="eastAsia"/>
            </w:rPr>
            <w:fldChar w:fldCharType="end"/>
          </w:r>
        </w:p>
        <w:p>
          <w:pPr>
            <w:pStyle w:val="14"/>
            <w:tabs>
              <w:tab w:val="right" w:leader="dot" w:pos="7733"/>
            </w:tabs>
            <w:rPr>
              <w:rFonts w:hint="eastAsia" w:cstheme="minorBidi"/>
              <w:kern w:val="2"/>
              <w:szCs w:val="24"/>
              <w14:ligatures w14:val="standardContextual"/>
            </w:rPr>
          </w:pPr>
          <w:r>
            <w:fldChar w:fldCharType="begin"/>
          </w:r>
          <w:r>
            <w:instrText xml:space="preserve"> HYPERLINK \l "_Toc219028028" </w:instrText>
          </w:r>
          <w:r>
            <w:fldChar w:fldCharType="separate"/>
          </w:r>
          <w:r>
            <w:rPr>
              <w:rStyle w:val="23"/>
              <w:rFonts w:hint="eastAsia" w:ascii="楷体" w:hAnsi="楷体" w:eastAsia="楷体" w:cs="楷体"/>
              <w:b/>
              <w:bCs/>
            </w:rPr>
            <w:t>6. 风险</w:t>
          </w:r>
          <w:r>
            <w:rPr>
              <w:rFonts w:hint="eastAsia"/>
            </w:rPr>
            <w:tab/>
          </w:r>
          <w:r>
            <w:rPr>
              <w:rFonts w:hint="eastAsia"/>
            </w:rPr>
            <w:fldChar w:fldCharType="begin"/>
          </w:r>
          <w:r>
            <w:rPr>
              <w:rFonts w:hint="eastAsia"/>
            </w:rPr>
            <w:instrText xml:space="preserve"> </w:instrText>
          </w:r>
          <w:r>
            <w:instrText xml:space="preserve">PAGEREF _Toc219028028 \h</w:instrText>
          </w:r>
          <w:r>
            <w:rPr>
              <w:rFonts w:hint="eastAsia"/>
            </w:rPr>
            <w:instrText xml:space="preserve"> </w:instrText>
          </w:r>
          <w:r>
            <w:rPr>
              <w:rFonts w:hint="eastAsia"/>
            </w:rPr>
            <w:fldChar w:fldCharType="separate"/>
          </w:r>
          <w:r>
            <w:rPr>
              <w:rFonts w:hint="eastAsia"/>
            </w:rPr>
            <w:t>24</w:t>
          </w:r>
          <w:r>
            <w:rPr>
              <w:rFonts w:hint="eastAsia"/>
            </w:rPr>
            <w:fldChar w:fldCharType="end"/>
          </w:r>
          <w:r>
            <w:rPr>
              <w:rFonts w:hint="eastAsia"/>
            </w:rPr>
            <w:fldChar w:fldCharType="end"/>
          </w:r>
        </w:p>
        <w:p>
          <w:pPr>
            <w:rPr>
              <w:rFonts w:cs="Calibri"/>
            </w:rPr>
          </w:pPr>
          <w:r>
            <w:rPr>
              <w:rFonts w:cs="Calibri"/>
              <w:bCs/>
              <w:lang w:val="zh-CN"/>
            </w:rPr>
            <w:fldChar w:fldCharType="end"/>
          </w:r>
        </w:p>
      </w:sdtContent>
    </w:sdt>
    <w:bookmarkEnd w:id="22"/>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楷体"/>
                <w:sz w:val="22"/>
                <w:szCs w:val="22"/>
              </w:rPr>
            </w:pPr>
            <w:r>
              <w:rPr>
                <w:rFonts w:hint="eastAsia" w:ascii="楷体" w:hAnsi="楷体" w:eastAsia="楷体" w:cs="楷体"/>
                <w:b/>
                <w:bCs/>
                <w:sz w:val="20"/>
                <w:szCs w:val="20"/>
              </w:rPr>
              <w:t>表：{{ company }}发展里程碑</w:t>
            </w:r>
          </w:p>
        </w:tc>
      </w:tr>
      <w:tr>
        <w:tblPrEx>
          <w:tblCellMar>
            <w:top w:w="0" w:type="dxa"/>
            <w:left w:w="108" w:type="dxa"/>
            <w:bottom w:w="0" w:type="dxa"/>
            <w:right w:w="108" w:type="dxa"/>
          </w:tblCellMar>
        </w:tblPrEx>
        <w:trPr>
          <w:trHeight w:val="708" w:hRule="atLeast"/>
        </w:trPr>
        <w:tc>
          <w:tcPr>
            <w:tcW w:w="7466" w:type="dxa"/>
            <w:tcBorders>
              <w:top w:val="single" w:color="auto" w:sz="4" w:space="0"/>
              <w:bottom w:val="single" w:color="auto" w:sz="4" w:space="0"/>
            </w:tcBorders>
            <w:vAlign w:val="center"/>
          </w:tcPr>
          <w:tbl>
            <w:tblPr>
              <w:tblStyle w:val="19"/>
              <w:tblW w:w="7120" w:type="dxa"/>
              <w:tblInd w:w="0" w:type="dxa"/>
              <w:tblLayout w:type="fixed"/>
              <w:tblCellMar>
                <w:top w:w="0" w:type="dxa"/>
                <w:left w:w="108" w:type="dxa"/>
                <w:bottom w:w="0" w:type="dxa"/>
                <w:right w:w="108" w:type="dxa"/>
              </w:tblCellMar>
            </w:tblPr>
            <w:tblGrid>
              <w:gridCol w:w="1312"/>
              <w:gridCol w:w="5808"/>
            </w:tblGrid>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shd w:val="clear" w:color="auto" w:fill="23558C"/>
                  <w:noWrap/>
                  <w:vAlign w:val="center"/>
                </w:tcPr>
                <w:p>
                  <w:pPr>
                    <w:rPr>
                      <w:rFonts w:hint="eastAsia" w:ascii="楷体" w:hAnsi="楷体" w:eastAsia="楷体" w:cs="楷体"/>
                      <w:b/>
                      <w:bCs/>
                      <w:snapToGrid/>
                      <w:color w:val="FFFFFF" w:themeColor="background1"/>
                      <w:sz w:val="22"/>
                      <w:szCs w:val="22"/>
                      <w14:textFill>
                        <w14:solidFill>
                          <w14:schemeClr w14:val="bg1"/>
                        </w14:solidFill>
                      </w14:textFill>
                    </w:rPr>
                  </w:pPr>
                  <w:r>
                    <w:rPr>
                      <w:rFonts w:hint="eastAsia" w:ascii="楷体" w:hAnsi="楷体" w:eastAsia="楷体" w:cs="楷体"/>
                      <w:b/>
                      <w:bCs/>
                      <w:snapToGrid/>
                      <w:color w:val="FFFFFF" w:themeColor="background1"/>
                      <w:sz w:val="22"/>
                      <w:szCs w:val="22"/>
                      <w14:textFill>
                        <w14:solidFill>
                          <w14:schemeClr w14:val="bg1"/>
                        </w14:solidFill>
                      </w14:textFill>
                    </w:rPr>
                    <w:t>年份</w:t>
                  </w:r>
                </w:p>
              </w:tc>
              <w:tc>
                <w:tcPr>
                  <w:tcW w:w="5808" w:type="dxa"/>
                  <w:tcBorders>
                    <w:top w:val="nil"/>
                    <w:left w:val="nil"/>
                    <w:bottom w:val="single" w:color="auto" w:sz="4" w:space="0"/>
                    <w:right w:val="single" w:color="auto" w:sz="4" w:space="0"/>
                  </w:tcBorders>
                  <w:shd w:val="clear" w:color="auto" w:fill="23558C"/>
                  <w:noWrap/>
                  <w:vAlign w:val="center"/>
                </w:tcPr>
                <w:p>
                  <w:pPr>
                    <w:rPr>
                      <w:rFonts w:hint="eastAsia" w:ascii="楷体" w:hAnsi="楷体" w:eastAsia="楷体" w:cs="楷体"/>
                      <w:snapToGrid/>
                      <w:color w:val="FFFFFF" w:themeColor="background1"/>
                      <w:sz w:val="22"/>
                      <w:szCs w:val="22"/>
                      <w14:textFill>
                        <w14:solidFill>
                          <w14:schemeClr w14:val="bg1"/>
                        </w14:solidFill>
                      </w14:textFill>
                    </w:rPr>
                  </w:pPr>
                  <w:r>
                    <w:rPr>
                      <w:rFonts w:hint="eastAsia" w:ascii="楷体" w:hAnsi="楷体" w:eastAsia="楷体" w:cs="楷体"/>
                      <w:snapToGrid/>
                      <w:color w:val="FFFFFF" w:themeColor="background1"/>
                      <w:sz w:val="22"/>
                      <w:szCs w:val="22"/>
                      <w14:textFill>
                        <w14:solidFill>
                          <w14:schemeClr w14:val="bg1"/>
                        </w14:solidFill>
                      </w14:textFill>
                    </w:rPr>
                    <w:t>　</w:t>
                  </w:r>
                  <w:r>
                    <w:rPr>
                      <w:rFonts w:hint="eastAsia" w:ascii="楷体" w:hAnsi="楷体" w:eastAsia="楷体" w:cs="楷体"/>
                      <w:b/>
                      <w:bCs/>
                      <w:snapToGrid/>
                      <w:color w:val="FFFFFF" w:themeColor="background1"/>
                      <w:sz w:val="22"/>
                      <w:szCs w:val="22"/>
                      <w14:textFill>
                        <w14:solidFill>
                          <w14:schemeClr w14:val="bg1"/>
                        </w14:solidFill>
                      </w14:textFill>
                    </w:rPr>
                    <w:t>重大事件</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1984</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西锐设计公司成立</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1988</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VK-30原型机成功首飞</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1999</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首架SR20飞机交付</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2001</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首架SR22飞机交付</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2004-2006</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推出SR2X第二代机型；SR22TN首次交付</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2007-2010</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推出SR2X第三代机型；SR22T首次交付</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2013</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推出SR2X第五代机型</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2016</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Vision Jet首次交付</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2017</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Vision Jet获FAA生产许可证；SR2X第六代发布</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2019</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开曼群岛注册；Vision Jet第二代发布</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shd w:val="clear" w:color="auto" w:fill="A5C9EB" w:themeFill="text2" w:themeFillTint="40"/>
                  <w:noWrap/>
                  <w:vAlign w:val="center"/>
                </w:tcPr>
                <w:p>
                  <w:pPr>
                    <w:rPr>
                      <w:rFonts w:hint="eastAsia" w:ascii="楷体" w:hAnsi="楷体" w:eastAsia="楷体" w:cs="楷体"/>
                      <w:b/>
                      <w:bCs/>
                      <w:snapToGrid/>
                      <w:color w:val="000000"/>
                      <w:sz w:val="21"/>
                      <w:szCs w:val="21"/>
                    </w:rPr>
                  </w:pPr>
                  <w:r>
                    <w:rPr>
                      <w:rFonts w:hint="eastAsia" w:ascii="楷体" w:hAnsi="楷体" w:eastAsia="楷体" w:cs="楷体"/>
                      <w:b/>
                      <w:bCs/>
                      <w:snapToGrid/>
                      <w:color w:val="000000"/>
                      <w:sz w:val="21"/>
                      <w:szCs w:val="21"/>
                    </w:rPr>
                    <w:t>2024</w:t>
                  </w:r>
                </w:p>
              </w:tc>
              <w:tc>
                <w:tcPr>
                  <w:tcW w:w="5808" w:type="dxa"/>
                  <w:tcBorders>
                    <w:top w:val="nil"/>
                    <w:left w:val="nil"/>
                    <w:bottom w:val="single" w:color="auto" w:sz="4" w:space="0"/>
                    <w:right w:val="single" w:color="auto" w:sz="4" w:space="0"/>
                  </w:tcBorders>
                  <w:shd w:val="clear" w:color="auto" w:fill="A5C9EB" w:themeFill="text2" w:themeFillTint="40"/>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在香港联合交易所上市</w:t>
                  </w:r>
                </w:p>
              </w:tc>
            </w:tr>
          </w:tbl>
          <w:p>
            <w:pPr>
              <w:spacing w:before="48" w:beforeLines="20" w:after="48" w:afterLines="20"/>
              <w:jc w:val="center"/>
              <w:textAlignment w:val="center"/>
              <w:rPr>
                <w:rFonts w:hint="eastAsia" w:ascii="楷体" w:hAnsi="楷体" w:eastAsia="楷体" w:cs="楷体"/>
                <w:b/>
                <w:bCs/>
                <w:sz w:val="22"/>
                <w:szCs w:val="22"/>
              </w:rPr>
            </w:pP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楷体"/>
                <w:sz w:val="22"/>
                <w:szCs w:val="22"/>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cs="Calibri"/>
                <w:sz w:val="20"/>
                <w:szCs w:val="20"/>
              </w:rPr>
            </w:pPr>
            <w:bookmarkStart w:id="3" w:name="_Hlk216641008"/>
            <w:r>
              <w:rPr>
                <w:rFonts w:hint="eastAsia" w:ascii="楷体" w:hAnsi="楷体" w:eastAsia="楷体" w:cs="楷体"/>
                <w:b/>
                <w:bCs/>
                <w:kern w:val="2"/>
                <w:sz w:val="20"/>
                <w:szCs w:val="20"/>
              </w:rPr>
              <w:t>图:西锐公司的股权结构</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03750" cy="2258060"/>
                  <wp:effectExtent l="0" t="0" r="6350" b="8890"/>
                  <wp:docPr id="1142215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15427" name="图片 1"/>
                          <pic:cNvPicPr>
                            <a:picLocks noChangeAspect="1"/>
                          </pic:cNvPicPr>
                        </pic:nvPicPr>
                        <pic:blipFill>
                          <a:blip r:embed="rId20"/>
                          <a:stretch>
                            <a:fillRect/>
                          </a:stretch>
                        </pic:blipFill>
                        <pic:spPr>
                          <a:xfrm>
                            <a:off x="0" y="0"/>
                            <a:ext cx="4603750" cy="2258060"/>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bookmarkEnd w:id="3"/>
    </w:tbl>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楷体"/>
                <w:sz w:val="20"/>
                <w:szCs w:val="20"/>
              </w:rPr>
            </w:pPr>
            <w:r>
              <w:rPr>
                <w:rFonts w:hint="eastAsia" w:ascii="楷体" w:hAnsi="楷体" w:eastAsia="楷体" w:cs="Calibri"/>
                <w:b/>
                <w:sz w:val="20"/>
                <w:szCs w:val="20"/>
              </w:rPr>
              <w:t>表：集团高级管理人员</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86935" cy="1374140"/>
                  <wp:effectExtent l="0" t="0" r="0" b="0"/>
                  <wp:docPr id="612519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19686" name="图片 1"/>
                          <pic:cNvPicPr>
                            <a:picLocks noChangeAspect="1"/>
                          </pic:cNvPicPr>
                        </pic:nvPicPr>
                        <pic:blipFill>
                          <a:blip r:embed="rId21"/>
                          <a:stretch>
                            <a:fillRect/>
                          </a:stretch>
                        </pic:blipFill>
                        <pic:spPr>
                          <a:xfrm>
                            <a:off x="0" y="0"/>
                            <a:ext cx="4692368" cy="1375996"/>
                          </a:xfrm>
                          <a:prstGeom prst="rect">
                            <a:avLst/>
                          </a:prstGeom>
                        </pic:spPr>
                      </pic:pic>
                    </a:graphicData>
                  </a:graphic>
                </wp:inline>
              </w:drawing>
            </w:r>
          </w:p>
        </w:tc>
      </w:tr>
      <w:tr>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pPr>
              <w:pStyle w:val="74"/>
              <w:keepNext/>
              <w:numPr>
                <w:ilvl w:val="0"/>
                <w:numId w:val="0"/>
              </w:numPr>
              <w:rPr>
                <w:rFonts w:hint="eastAsia" w:ascii="楷体" w:hAnsi="楷体" w:eastAsia="楷体"/>
              </w:rPr>
            </w:pPr>
            <w:r>
              <w:rPr>
                <w:rFonts w:hint="eastAsia" w:ascii="楷体" w:hAnsi="楷体" w:eastAsia="楷体" w:cs="Calibri"/>
                <w:bCs w:val="0"/>
                <w:snapToGrid w:val="0"/>
                <w:sz w:val="20"/>
                <w:szCs w:val="20"/>
              </w:rPr>
              <w:t>图：{{ company }}主要产品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pPr>
              <w:pStyle w:val="75"/>
              <w:keepNext/>
              <w:jc w:val="center"/>
              <w:rPr>
                <w:rFonts w:hint="eastAsia" w:ascii="等线" w:hAnsi="等线"/>
              </w:rPr>
            </w:pPr>
            <w:r>
              <w:rPr>
                <w:rFonts w:ascii="等线" w:hAnsi="等线"/>
              </w:rPr>
              <w:drawing>
                <wp:inline distT="0" distB="0" distL="0" distR="0">
                  <wp:extent cx="6343650" cy="4146550"/>
                  <wp:effectExtent l="0" t="0" r="0" b="6350"/>
                  <wp:docPr id="10201377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37787" name="图片 3"/>
                          <pic:cNvPicPr>
                            <a:picLocks noChangeAspect="1"/>
                          </pic:cNvPicPr>
                        </pic:nvPicPr>
                        <pic:blipFill>
                          <a:blip r:embed="rId22"/>
                          <a:stretch>
                            <a:fillRect/>
                          </a:stretch>
                        </pic:blipFill>
                        <pic:spPr>
                          <a:xfrm>
                            <a:off x="0" y="0"/>
                            <a:ext cx="6343650" cy="4146550"/>
                          </a:xfrm>
                          <a:prstGeom prst="rect">
                            <a:avLst/>
                          </a:prstGeom>
                          <a:noFill/>
                          <a:ln w="9525">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pPr>
              <w:pStyle w:val="76"/>
              <w:rPr>
                <w:rFonts w:hint="eastAsia" w:ascii="等线" w:hAnsi="等线"/>
              </w:rPr>
            </w:pPr>
            <w:r>
              <w:rPr>
                <w:rFonts w:hint="eastAsia" w:ascii="楷体" w:hAnsi="楷体" w:eastAsia="楷体" w:cs="楷体"/>
                <w:b/>
                <w:bCs/>
                <w:sz w:val="20"/>
                <w:szCs w:val="20"/>
              </w:rPr>
              <w:t>资料来源：</w:t>
            </w:r>
            <w:r>
              <w:rPr>
                <w:rFonts w:hint="eastAsia" w:ascii="楷体" w:hAnsi="楷体" w:eastAsia="楷体" w:cs="楷体"/>
                <w:sz w:val="20"/>
                <w:szCs w:val="20"/>
              </w:rPr>
              <w:t>公司公告、HFI</w:t>
            </w:r>
          </w:p>
        </w:tc>
      </w:tr>
    </w:tbl>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 company }}营收及增长率（单位：百万美元）</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drawing>
                <wp:inline distT="0" distB="0" distL="114300" distR="114300">
                  <wp:extent cx="3844925" cy="2260600"/>
                  <wp:effectExtent l="0" t="0" r="0" b="0"/>
                  <wp:docPr id="11"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bookmarkEnd w:id="6"/>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 company }}业务板块收入及增长率（百万美元）</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sz w:val="20"/>
                <w:szCs w:val="20"/>
              </w:rPr>
              <w:drawing>
                <wp:inline distT="0" distB="0" distL="0" distR="0">
                  <wp:extent cx="4035425" cy="2677795"/>
                  <wp:effectExtent l="0" t="0" r="3175" b="0"/>
                  <wp:docPr id="31056651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 company }}业务板块收入（百万美元）</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 company }}销量细分</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101340" cy="1818005"/>
                  <wp:effectExtent l="0" t="0" r="3810" b="0"/>
                  <wp:docPr id="100780888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rPr>
                <w:snapToGrid/>
              </w:rPr>
              <w:drawing>
                <wp:inline distT="0" distB="0" distL="0" distR="0">
                  <wp:extent cx="3132455" cy="1870710"/>
                  <wp:effectExtent l="0" t="0" r="0" b="0"/>
                  <wp:docPr id="189480897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图：2021-2023年{{ company }}售后服务收入明细</w:t>
            </w:r>
            <w:r>
              <w:rPr>
                <w:rFonts w:ascii="楷体" w:hAnsi="楷体" w:eastAsia="楷体" w:cs="Calibri"/>
                <w:b/>
                <w:sz w:val="20"/>
                <w:szCs w:val="20"/>
              </w:rPr>
            </w:r>
            <w:r>
              <w:rPr>
                <w:rFonts w:hint="eastAsia" w:ascii="楷体" w:hAnsi="楷体" w:eastAsia="楷体" w:cs="Calibri"/>
                <w:b/>
                <w:sz w:val="20"/>
                <w:szCs w:val="20"/>
              </w:rPr>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211955" cy="2541905"/>
                  <wp:effectExtent l="0" t="0" r="0" b="0"/>
                  <wp:docPr id="131272795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highlight w:val="yellow"/>
              </w:rPr>
            </w:pPr>
            <w:r>
              <w:rPr>
                <w:rFonts w:hint="eastAsia" w:ascii="楷体" w:hAnsi="楷体" w:eastAsia="楷体" w:cs="Calibri"/>
                <w:b/>
                <w:sz w:val="20"/>
                <w:szCs w:val="20"/>
              </w:rPr>
              <w:t>图：{{ company }}公司净利润/毛利润及增长率（单位：百万美元）</w:t>
            </w:r>
          </w:p>
        </w:tc>
        <w:tc>
          <w:tcPr>
            <w:tcW w:w="241" w:type="dxa"/>
            <w:tcMar>
              <w:left w:w="0" w:type="dxa"/>
              <w:right w:w="28" w:type="dxa"/>
            </w:tcMar>
          </w:tcPr>
          <w:p>
            <w:pPr>
              <w:spacing w:before="48" w:beforeLines="20" w:after="48" w:afterLines="20"/>
              <w:jc w:val="both"/>
              <w:rPr>
                <w:rFonts w:hint="eastAsia" w:ascii="楷体" w:hAnsi="楷体" w:eastAsia="楷体" w:cs="Calibri"/>
                <w:sz w:val="20"/>
                <w:szCs w:val="20"/>
                <w:highlight w:val="yellow"/>
              </w:rPr>
            </w:pPr>
          </w:p>
        </w:tc>
        <w:tc>
          <w:tcPr>
            <w:tcW w:w="5149" w:type="dxa"/>
            <w:tcBorders>
              <w:bottom w:val="single" w:color="auto" w:sz="4" w:space="0"/>
            </w:tcBorders>
            <w:tcMar>
              <w:left w:w="0" w:type="dxa"/>
              <w:right w:w="28" w:type="dxa"/>
            </w:tcMar>
          </w:tcPr>
          <w:p>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 company }}公司净利润率/毛利率</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98165" cy="2058670"/>
                  <wp:effectExtent l="0" t="0" r="0" b="0"/>
                  <wp:docPr id="13" name="图表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drawing>
                <wp:inline distT="0" distB="0" distL="114300" distR="114300">
                  <wp:extent cx="3128645" cy="2232025"/>
                  <wp:effectExtent l="0" t="0" r="0" b="0"/>
                  <wp:docPr id="15" name="图表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 company }}费用比率</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drawing>
                <wp:inline distT="0" distB="0" distL="114300" distR="114300">
                  <wp:extent cx="4294505" cy="2292985"/>
                  <wp:effectExtent l="0" t="0" r="0" b="0"/>
                  <wp:docPr id="24" name="图表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bookmarkEnd w:id="7"/>
    <w:p>
      <w:pPr>
        <w:pStyle w:val="2"/>
        <w:spacing w:before="240" w:beforeLines="100" w:after="240" w:afterLines="100"/>
        <w:jc w:val="both"/>
        <w:rPr>
          <w:rFonts w:hint="eastAsia" w:ascii="楷体" w:hAnsi="楷体" w:eastAsia="楷体" w:cs="楷体"/>
          <w:color w:val="23558C"/>
          <w:sz w:val="28"/>
          <w:szCs w:val="28"/>
        </w:rPr>
        <w:sectPr>
          <w:headerReference r:id="rId12" w:type="first"/>
          <w:headerReference r:id="rId11" w:type="default"/>
          <w:footerReference r:id="rId13" w:type="default"/>
          <w:pgSz w:w="11910" w:h="16840"/>
          <w:pgMar w:top="567" w:right="567" w:bottom="1021" w:left="3600" w:header="567" w:footer="919" w:gutter="0"/>
          <w:cols w:space="425" w:num="1"/>
          <w:titlePg/>
          <w:docGrid w:linePitch="299" w:charSpace="0"/>
        </w:sectPr>
      </w:pPr>
      <w:r>
        <w:t>{{ body }}</w:t>
      </w:r>
    </w:p>
    <w:tbl>
      <w:tblPr>
        <w:tblStyle w:val="20"/>
        <w:tblW w:w="10773" w:type="dxa"/>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077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tbl>
            <w:tblPr>
              <w:tblStyle w:val="20"/>
              <w:tblW w:w="10773"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077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0773" w:type="dxa"/>
                  <w:tcBorders>
                    <w:top w:val="nil"/>
                    <w:bottom w:val="single" w:color="C0C0C0" w:sz="4" w:space="0"/>
                  </w:tcBorders>
                </w:tcPr>
                <w:p>
                  <w:pPr>
                    <w:pStyle w:val="71"/>
                    <w:spacing w:after="60"/>
                    <w:rPr>
                      <w:rFonts w:eastAsia="楷体_GB2312" w:cs="Calibri"/>
                      <w:b/>
                      <w:bCs/>
                      <w:w w:val="70"/>
                      <w:sz w:val="22"/>
                      <w:szCs w:val="22"/>
                    </w:rPr>
                  </w:pPr>
                  <w:r>
                    <w:rPr>
                      <w:rFonts w:eastAsia="楷体_GB2312" w:cs="Calibri"/>
                      <w:b/>
                      <w:bCs/>
                      <w:color w:val="FFFFFF" w:themeColor="background1"/>
                      <w:w w:val="70"/>
                      <w:sz w:val="22"/>
                      <w:szCs w:val="22"/>
                      <w14:textFill>
                        <w14:solidFill>
                          <w14:schemeClr w14:val="bg1"/>
                        </w14:solidFill>
                      </w14:textFill>
                    </w:rPr>
                    <w:t xml:space="preserve"> [Table_disclaimer]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24" w:space="0"/>
                  </w:tcBorders>
                </w:tcPr>
                <w:p>
                  <w:pPr>
                    <w:pStyle w:val="71"/>
                    <w:spacing w:after="60"/>
                    <w:rPr>
                      <w:rFonts w:eastAsia="楷体_GB2312" w:cs="Calibri"/>
                      <w:b/>
                      <w:bCs/>
                      <w:w w:val="70"/>
                      <w:sz w:val="22"/>
                      <w:szCs w:val="22"/>
                      <w:lang w:eastAsia="zh-CN"/>
                    </w:rPr>
                  </w:pPr>
                  <w:r>
                    <w:rPr>
                      <w:rFonts w:eastAsia="楷体_GB2312" w:cs="Calibri"/>
                      <w:b/>
                      <w:bCs/>
                      <w:w w:val="70"/>
                      <w:sz w:val="22"/>
                      <w:szCs w:val="22"/>
                    </w:rPr>
                    <w:t>附录APPENDIX</w:t>
                  </w:r>
                </w:p>
                <w:p>
                  <w:pPr>
                    <w:pStyle w:val="71"/>
                    <w:rPr>
                      <w:rFonts w:eastAsia="楷体_GB2312" w:cs="Calibri"/>
                      <w:b/>
                      <w:w w:val="70"/>
                      <w:sz w:val="20"/>
                      <w:szCs w:val="20"/>
                    </w:rPr>
                  </w:pPr>
                  <w:r>
                    <w:rPr>
                      <w:rFonts w:eastAsia="楷体_GB2312" w:cs="Calibri"/>
                      <w:b/>
                      <w:w w:val="70"/>
                      <w:sz w:val="20"/>
                      <w:szCs w:val="20"/>
                    </w:rPr>
                    <w:t>重要信息披露</w:t>
                  </w:r>
                </w:p>
                <w:p>
                  <w:pPr>
                    <w:pStyle w:val="71"/>
                    <w:rPr>
                      <w:rFonts w:eastAsia="楷体_GB2312" w:cs="Calibri"/>
                      <w:w w:val="70"/>
                      <w:sz w:val="20"/>
                      <w:szCs w:val="20"/>
                      <w:lang w:eastAsia="zh-CN"/>
                    </w:rPr>
                  </w:pPr>
                  <w:r>
                    <w:rPr>
                      <w:rFonts w:eastAsia="楷体_GB2312" w:cs="Calibri"/>
                      <w:w w:val="70"/>
                      <w:sz w:val="20"/>
                      <w:szCs w:val="20"/>
                    </w:rPr>
                    <w:t>本研究报告由</w:t>
                  </w:r>
                  <w:r>
                    <w:rPr>
                      <w:rFonts w:hint="eastAsia" w:eastAsia="楷体_GB2312" w:cs="Calibri"/>
                      <w:w w:val="70"/>
                      <w:sz w:val="20"/>
                      <w:szCs w:val="20"/>
                      <w:lang w:eastAsia="zh-CN"/>
                    </w:rPr>
                    <w:t>华福</w:t>
                  </w:r>
                  <w:r>
                    <w:rPr>
                      <w:rFonts w:eastAsia="楷体_GB2312" w:cs="Calibri"/>
                      <w:w w:val="70"/>
                      <w:sz w:val="20"/>
                      <w:szCs w:val="20"/>
                    </w:rPr>
                    <w:t>国际</w:t>
                  </w:r>
                  <w:r>
                    <w:rPr>
                      <w:rFonts w:hint="eastAsia" w:eastAsia="楷体_GB2312" w:cs="Calibri"/>
                      <w:w w:val="70"/>
                      <w:sz w:val="20"/>
                      <w:szCs w:val="20"/>
                      <w:lang w:eastAsia="zh-CN"/>
                    </w:rPr>
                    <w:t>（香港）金融控股有限公司（下称华福国际）</w:t>
                  </w:r>
                  <w:r>
                    <w:rPr>
                      <w:rFonts w:eastAsia="楷体_GB2312" w:cs="Calibri"/>
                      <w:w w:val="70"/>
                      <w:sz w:val="20"/>
                      <w:szCs w:val="20"/>
                    </w:rPr>
                    <w:t>分销</w:t>
                  </w:r>
                  <w:r>
                    <w:rPr>
                      <w:rFonts w:hint="eastAsia" w:eastAsia="楷体_GB2312" w:cs="Calibri"/>
                      <w:w w:val="70"/>
                      <w:sz w:val="20"/>
                      <w:szCs w:val="20"/>
                      <w:lang w:eastAsia="zh-CN"/>
                    </w:rPr>
                    <w:t>，</w:t>
                  </w:r>
                  <w:r>
                    <w:rPr>
                      <w:rFonts w:eastAsia="楷体_GB2312" w:cs="Calibri"/>
                      <w:w w:val="70"/>
                      <w:sz w:val="20"/>
                      <w:szCs w:val="20"/>
                    </w:rPr>
                    <w:t>在其许可的司法管辖区内从事证券活动。</w:t>
                  </w:r>
                </w:p>
                <w:p>
                  <w:pPr>
                    <w:pStyle w:val="71"/>
                    <w:rPr>
                      <w:rFonts w:eastAsia="楷体_GB2312" w:cs="Calibri"/>
                      <w:b/>
                      <w:bCs/>
                      <w:w w:val="70"/>
                      <w:sz w:val="20"/>
                      <w:szCs w:val="20"/>
                    </w:rPr>
                  </w:pPr>
                  <w:r>
                    <w:rPr>
                      <w:rFonts w:eastAsia="楷体_GB2312" w:cs="Calibri"/>
                      <w:b/>
                      <w:bCs/>
                      <w:w w:val="70"/>
                      <w:sz w:val="20"/>
                      <w:szCs w:val="20"/>
                    </w:rPr>
                    <w:t>IMPORTANT DISCLOSURES</w:t>
                  </w:r>
                </w:p>
                <w:p>
                  <w:pPr>
                    <w:pStyle w:val="71"/>
                    <w:spacing w:after="60"/>
                    <w:rPr>
                      <w:rFonts w:eastAsia="楷体_GB2312" w:cs="Calibri"/>
                      <w:lang w:eastAsia="zh-CN"/>
                    </w:rPr>
                  </w:pPr>
                  <w:r>
                    <w:rPr>
                      <w:rFonts w:eastAsia="楷体_GB2312" w:cs="Calibri"/>
                      <w:w w:val="70"/>
                      <w:sz w:val="20"/>
                      <w:szCs w:val="20"/>
                    </w:rPr>
                    <w:t xml:space="preserve">This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(HK) Financial Holdings Limited (referred as HuaFu International below)</w:t>
                  </w:r>
                  <w:r>
                    <w:rPr>
                      <w:rFonts w:eastAsia="楷体_GB2312" w:cs="Calibri"/>
                      <w:w w:val="70"/>
                      <w:sz w:val="20"/>
                      <w:szCs w:val="20"/>
                    </w:rPr>
                    <w:t xml:space="preserve">, </w:t>
                  </w:r>
                  <w:r>
                    <w:rPr>
                      <w:rFonts w:hint="eastAsia" w:eastAsia="楷体_GB2312" w:cs="Calibri"/>
                      <w:w w:val="70"/>
                      <w:sz w:val="20"/>
                      <w:szCs w:val="20"/>
                      <w:lang w:eastAsia="zh-CN"/>
                    </w:rPr>
                    <w:t>which</w:t>
                  </w:r>
                  <w:r>
                    <w:rPr>
                      <w:rFonts w:eastAsia="楷体_GB2312" w:cs="Calibri"/>
                      <w:w w:val="70"/>
                      <w:sz w:val="20"/>
                      <w:szCs w:val="20"/>
                    </w:rPr>
                    <w:t xml:space="preserve"> </w:t>
                  </w:r>
                  <w:r>
                    <w:rPr>
                      <w:rFonts w:hint="eastAsia" w:eastAsia="楷体_GB2312" w:cs="Calibri"/>
                      <w:w w:val="70"/>
                      <w:sz w:val="20"/>
                      <w:szCs w:val="20"/>
                      <w:lang w:eastAsia="zh-CN"/>
                    </w:rPr>
                    <w:t xml:space="preserve">is </w:t>
                  </w:r>
                  <w:r>
                    <w:rPr>
                      <w:rFonts w:eastAsia="楷体_GB2312" w:cs="Calibri"/>
                      <w:w w:val="70"/>
                      <w:sz w:val="20"/>
                      <w:szCs w:val="20"/>
                    </w:rPr>
                    <w:t>authorized to engage in securities activities in its respective jurisdiction.</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24" w:space="0"/>
                  </w:tcBorders>
                </w:tcPr>
                <w:p>
                  <w:pPr>
                    <w:pStyle w:val="71"/>
                    <w:spacing w:after="48" w:afterLines="20"/>
                    <w:rPr>
                      <w:rFonts w:eastAsia="楷体_GB2312" w:cs="Calibri"/>
                      <w:w w:val="70"/>
                      <w:sz w:val="20"/>
                      <w:szCs w:val="20"/>
                    </w:rPr>
                  </w:pPr>
                  <w:r>
                    <w:rPr>
                      <w:rFonts w:eastAsia="楷体_GB2312" w:cs="Calibri"/>
                      <w:b/>
                      <w:w w:val="70"/>
                      <w:sz w:val="20"/>
                      <w:szCs w:val="20"/>
                    </w:rPr>
                    <w:t>分析师认证Analyst Certification</w:t>
                  </w:r>
                  <w:r>
                    <w:rPr>
                      <w:rFonts w:eastAsia="楷体_GB2312" w:cs="Calibri"/>
                      <w:w w:val="70"/>
                      <w:sz w:val="20"/>
                      <w:szCs w:val="20"/>
                    </w:rPr>
                    <w: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bottom w:val="single" w:color="C0C0C0" w:sz="24" w:space="0"/>
                  </w:tcBorders>
                </w:tcPr>
                <w:p>
                  <w:pPr>
                    <w:rPr>
                      <w:rFonts w:eastAsia="楷体_GB2312" w:cs="Calibri"/>
                      <w:w w:val="70"/>
                      <w:sz w:val="20"/>
                      <w:szCs w:val="20"/>
                    </w:rPr>
                  </w:pPr>
                  <w:r>
                    <w:rPr>
                      <w:rFonts w:hint="eastAsia" w:eastAsia="楷体_GB2312" w:cs="Calibri"/>
                      <w:w w:val="70"/>
                      <w:sz w:val="20"/>
                      <w:szCs w:val="20"/>
                    </w:rPr>
                    <w:t>我， {{ source }}x，在此保证（i）本研究报告中的意见准确反映了我们对本研究中提及的任何或所有目标公司或上市公司的个人观点，并且（ii）我的报酬中没有任何部分与本研究报告中表达的具体建议或观点直接或间接相关；及就此报告中所讨论目标公司的证券，我们（包括我们的家属）在其中均不持有任何财务利益。I, {{ source }}x,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r>
                    <w:rPr>
                      <w:rFonts w:eastAsia="楷体_GB2312" w:cs="Calibri"/>
                      <w:w w:val="70"/>
                      <w:sz w:val="20"/>
                      <w:szCs w:val="20"/>
                    </w:rPr>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24" w:space="0"/>
                    <w:bottom w:val="nil"/>
                  </w:tcBorders>
                </w:tcPr>
                <w:p>
                  <w:pPr>
                    <w:pStyle w:val="71"/>
                    <w:spacing w:after="48" w:afterLines="20"/>
                    <w:rPr>
                      <w:rFonts w:eastAsia="楷体_GB2312" w:cs="Calibri"/>
                      <w:b/>
                      <w:bCs/>
                      <w:w w:val="70"/>
                      <w:sz w:val="20"/>
                      <w:szCs w:val="20"/>
                    </w:rPr>
                  </w:pPr>
                  <w:r>
                    <w:rPr>
                      <w:rFonts w:eastAsia="楷体_GB2312" w:cs="Calibri"/>
                      <w:b/>
                      <w:bCs/>
                      <w:w w:val="70"/>
                      <w:sz w:val="20"/>
                      <w:szCs w:val="20"/>
                    </w:rPr>
                    <w:t>利益冲突披露Conflict of Interest Disclosures</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nil"/>
                    <w:bottom w:val="single" w:color="C0C0C0" w:sz="4" w:space="0"/>
                  </w:tcBorders>
                </w:tcPr>
                <w:p>
                  <w:pPr>
                    <w:pStyle w:val="71"/>
                    <w:rPr>
                      <w:rFonts w:eastAsia="楷体_GB2312" w:cs="Calibri"/>
                      <w:w w:val="70"/>
                      <w:sz w:val="20"/>
                      <w:szCs w:val="20"/>
                    </w:rPr>
                  </w:pPr>
                  <w:r>
                    <w:rPr>
                      <w:rFonts w:hint="eastAsia" w:eastAsia="楷体_GB2312" w:cs="Calibri"/>
                      <w:w w:val="70"/>
                      <w:sz w:val="20"/>
                      <w:szCs w:val="20"/>
                      <w:lang w:eastAsia="zh-CN"/>
                    </w:rPr>
                    <w:t>华福</w:t>
                  </w:r>
                  <w:r>
                    <w:rPr>
                      <w:rFonts w:eastAsia="楷体_GB2312" w:cs="Calibri"/>
                      <w:w w:val="70"/>
                      <w:sz w:val="20"/>
                      <w:szCs w:val="20"/>
                    </w:rPr>
                    <w:t>国际及其某些关联公司可从事投资银行业务和/或对本研究中的特定股票或公司进行做市或持有自营头寸。就本研究报告而言，如需了解</w:t>
                  </w:r>
                  <w:r>
                    <w:rPr>
                      <w:rFonts w:hint="eastAsia" w:eastAsia="楷体_GB2312" w:cs="Calibri"/>
                      <w:w w:val="70"/>
                      <w:sz w:val="20"/>
                      <w:szCs w:val="20"/>
                    </w:rPr>
                    <w:t>其中提到的某一公司</w:t>
                  </w:r>
                  <w:r>
                    <w:rPr>
                      <w:rFonts w:eastAsia="楷体_GB2312" w:cs="Calibri"/>
                      <w:w w:val="70"/>
                      <w:sz w:val="20"/>
                      <w:szCs w:val="20"/>
                    </w:rPr>
                    <w:t>信息，</w:t>
                  </w:r>
                  <w:r>
                    <w:fldChar w:fldCharType="begin"/>
                  </w:r>
                  <w:r>
                    <w:instrText xml:space="preserve"> HYPERLINK "mailto:请发邮件至ERD-Disclosure@htisec.com" </w:instrText>
                  </w:r>
                  <w:r>
                    <w:fldChar w:fldCharType="separate"/>
                  </w:r>
                  <w:r>
                    <w:rPr>
                      <w:rStyle w:val="23"/>
                      <w:rFonts w:eastAsia="楷体_GB2312" w:cs="Calibri"/>
                      <w:color w:val="000000" w:themeColor="text1"/>
                      <w:w w:val="70"/>
                      <w:sz w:val="20"/>
                      <w:szCs w:val="20"/>
                      <w14:textFill>
                        <w14:solidFill>
                          <w14:schemeClr w14:val="tx1"/>
                        </w14:solidFill>
                      </w14:textFill>
                    </w:rPr>
                    <w:t>请发邮件至</w:t>
                  </w:r>
                  <w:r>
                    <w:rPr>
                      <w:rStyle w:val="23"/>
                      <w:rFonts w:hint="eastAsia" w:eastAsia="楷体_GB2312" w:cs="Calibri"/>
                      <w:color w:val="000000" w:themeColor="text1"/>
                      <w:w w:val="70"/>
                      <w:sz w:val="20"/>
                      <w:szCs w:val="20"/>
                      <w14:textFill>
                        <w14:solidFill>
                          <w14:schemeClr w14:val="tx1"/>
                        </w14:solidFill>
                      </w14:textFill>
                    </w:rPr>
                    <w:t>lcd</w:t>
                  </w:r>
                  <w:r>
                    <w:rPr>
                      <w:rStyle w:val="23"/>
                      <w:rFonts w:eastAsia="楷体_GB2312" w:cs="Calibri"/>
                      <w:color w:val="000000" w:themeColor="text1"/>
                      <w:w w:val="70"/>
                      <w:sz w:val="20"/>
                      <w:szCs w:val="20"/>
                      <w14:textFill>
                        <w14:solidFill>
                          <w14:schemeClr w14:val="tx1"/>
                        </w14:solidFill>
                      </w14:textFill>
                    </w:rPr>
                    <w:t>@</w:t>
                  </w:r>
                  <w:r>
                    <w:rPr>
                      <w:rStyle w:val="23"/>
                      <w:rFonts w:hint="eastAsia" w:eastAsia="楷体_GB2312" w:cs="Calibri"/>
                      <w:color w:val="000000" w:themeColor="text1"/>
                      <w:w w:val="70"/>
                      <w:sz w:val="20"/>
                      <w:szCs w:val="20"/>
                      <w14:textFill>
                        <w14:solidFill>
                          <w14:schemeClr w14:val="tx1"/>
                        </w14:solidFill>
                      </w14:textFill>
                    </w:rPr>
                    <w:t>hfisec</w:t>
                  </w:r>
                  <w:r>
                    <w:rPr>
                      <w:rStyle w:val="23"/>
                      <w:rFonts w:eastAsia="楷体_GB2312" w:cs="Calibri"/>
                      <w:color w:val="000000" w:themeColor="text1"/>
                      <w:w w:val="70"/>
                      <w:sz w:val="20"/>
                      <w:szCs w:val="20"/>
                      <w14:textFill>
                        <w14:solidFill>
                          <w14:schemeClr w14:val="tx1"/>
                        </w14:solidFill>
                      </w14:textFill>
                    </w:rPr>
                    <w:t>.com</w:t>
                  </w:r>
                  <w:r>
                    <w:rPr>
                      <w:rStyle w:val="23"/>
                      <w:rFonts w:eastAsia="楷体_GB2312" w:cs="Calibri"/>
                      <w:color w:val="000000" w:themeColor="text1"/>
                      <w:w w:val="70"/>
                      <w:sz w:val="20"/>
                      <w:szCs w:val="20"/>
                      <w14:textFill>
                        <w14:solidFill>
                          <w14:schemeClr w14:val="tx1"/>
                        </w14:solidFill>
                      </w14:textFill>
                    </w:rPr>
                    <w:fldChar w:fldCharType="end"/>
                  </w:r>
                  <w:r>
                    <w:rPr>
                      <w:rFonts w:hint="eastAsia" w:eastAsia="宋体" w:cs="等线"/>
                      <w:u w:val="single"/>
                    </w:rPr>
                    <w:t>.hk</w:t>
                  </w:r>
                  <w:r>
                    <w:rPr>
                      <w:rFonts w:eastAsia="楷体_GB2312" w:cs="Calibri"/>
                      <w:w w:val="70"/>
                      <w:sz w:val="20"/>
                      <w:szCs w:val="20"/>
                    </w:rPr>
                    <w:t>）</w:t>
                  </w:r>
                </w:p>
                <w:p>
                  <w:pPr>
                    <w:pStyle w:val="71"/>
                    <w:rPr>
                      <w:rFonts w:eastAsia="楷体_GB2312" w:cs="Calibri"/>
                      <w:b/>
                      <w:bCs/>
                      <w:w w:val="70"/>
                      <w:sz w:val="20"/>
                      <w:szCs w:val="20"/>
                      <w:lang w:eastAsia="zh-CN"/>
                    </w:rPr>
                  </w:pPr>
                  <w:r>
                    <w:rPr>
                      <w:rFonts w:hint="eastAsia" w:eastAsia="楷体_GB2312" w:cs="Calibri"/>
                      <w:w w:val="70"/>
                      <w:sz w:val="20"/>
                      <w:szCs w:val="20"/>
                      <w:lang w:eastAsia="zh-CN"/>
                    </w:rPr>
                    <w:t>HuaFu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14:textFill>
                        <w14:solidFill>
                          <w14:schemeClr w14:val="tx1"/>
                        </w14:solidFill>
                      </w14:textFill>
                    </w:rPr>
                    <w:t xml:space="preserve">please send an email to </w:t>
                  </w:r>
                  <w:r>
                    <w:rPr>
                      <w:rFonts w:hint="eastAsia" w:eastAsia="楷体_GB2312" w:cs="Calibri"/>
                      <w:color w:val="000000" w:themeColor="text1"/>
                      <w:w w:val="70"/>
                      <w:sz w:val="20"/>
                      <w:szCs w:val="20"/>
                      <w:lang w:eastAsia="zh-CN"/>
                      <w14:textFill>
                        <w14:solidFill>
                          <w14:schemeClr w14:val="tx1"/>
                        </w14:solidFill>
                      </w14:textFill>
                    </w:rPr>
                    <w:t>lcd</w:t>
                  </w:r>
                  <w:r>
                    <w:rPr>
                      <w:rFonts w:eastAsia="楷体_GB2312" w:cs="Calibri"/>
                      <w:color w:val="000000" w:themeColor="text1"/>
                      <w:w w:val="70"/>
                      <w:sz w:val="20"/>
                      <w:szCs w:val="20"/>
                      <w14:textFill>
                        <w14:solidFill>
                          <w14:schemeClr w14:val="tx1"/>
                        </w14:solidFill>
                      </w14:textFill>
                    </w:rPr>
                    <w:t>@</w:t>
                  </w:r>
                  <w:r>
                    <w:rPr>
                      <w:rFonts w:hint="eastAsia" w:eastAsia="楷体_GB2312" w:cs="Calibri"/>
                      <w:color w:val="000000" w:themeColor="text1"/>
                      <w:w w:val="70"/>
                      <w:sz w:val="20"/>
                      <w:szCs w:val="20"/>
                      <w:lang w:eastAsia="zh-CN"/>
                      <w14:textFill>
                        <w14:solidFill>
                          <w14:schemeClr w14:val="tx1"/>
                        </w14:solidFill>
                      </w14:textFill>
                    </w:rPr>
                    <w:t>hfisec</w:t>
                  </w:r>
                  <w:r>
                    <w:rPr>
                      <w:rFonts w:eastAsia="楷体_GB2312" w:cs="Calibri"/>
                      <w:color w:val="000000" w:themeColor="text1"/>
                      <w:w w:val="70"/>
                      <w:sz w:val="20"/>
                      <w:szCs w:val="20"/>
                      <w14:textFill>
                        <w14:solidFill>
                          <w14:schemeClr w14:val="tx1"/>
                        </w14:solidFill>
                      </w14:textFill>
                    </w:rPr>
                    <w:t>.com</w:t>
                  </w:r>
                  <w:r>
                    <w:rPr>
                      <w:rFonts w:hint="eastAsia" w:eastAsia="楷体_GB2312" w:cs="Calibri"/>
                      <w:color w:val="000000" w:themeColor="text1"/>
                      <w:w w:val="70"/>
                      <w:sz w:val="20"/>
                      <w:szCs w:val="20"/>
                      <w:lang w:eastAsia="zh-CN"/>
                      <w14:textFill>
                        <w14:solidFill>
                          <w14:schemeClr w14:val="tx1"/>
                        </w14:solidFill>
                      </w14:textFill>
                    </w:rPr>
                    <w:t>.hk</w:t>
                  </w:r>
                  <w:r>
                    <w:rPr>
                      <w:rFonts w:eastAsia="楷体_GB2312" w:cs="Calibri"/>
                      <w:color w:val="000000" w:themeColor="text1"/>
                      <w:w w:val="70"/>
                      <w:sz w:val="20"/>
                      <w:szCs w:val="20"/>
                      <w14:textFill>
                        <w14:solidFill>
                          <w14:schemeClr w14:val="tx1"/>
                        </w14:solidFill>
                      </w14:textFill>
                    </w:rPr>
                    <w:t xml:space="preserve"> if </w:t>
                  </w:r>
                  <w:r>
                    <w:rPr>
                      <w:rFonts w:hint="eastAsia" w:eastAsia="楷体_GB2312" w:cs="Calibri"/>
                      <w:color w:val="000000" w:themeColor="text1"/>
                      <w:w w:val="70"/>
                      <w:sz w:val="20"/>
                      <w:szCs w:val="20"/>
                      <w:lang w:eastAsia="zh-CN"/>
                      <w14:textFill>
                        <w14:solidFill>
                          <w14:schemeClr w14:val="tx1"/>
                        </w14:solidFill>
                      </w14:textFill>
                    </w:rPr>
                    <w:t>the</w:t>
                  </w:r>
                  <w:r>
                    <w:rPr>
                      <w:rFonts w:eastAsia="楷体_GB2312" w:cs="Calibri"/>
                      <w:color w:val="000000" w:themeColor="text1"/>
                      <w:w w:val="70"/>
                      <w:sz w:val="20"/>
                      <w:szCs w:val="20"/>
                      <w14:textFill>
                        <w14:solidFill>
                          <w14:schemeClr w14:val="tx1"/>
                        </w14:solidFill>
                      </w14:textFill>
                    </w:rPr>
                    <w:t xml:space="preserve"> information </w:t>
                  </w:r>
                  <w:r>
                    <w:rPr>
                      <w:rFonts w:hint="eastAsia"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eastAsia="楷体_GB2312" w:cs="Calibri"/>
                      <w:color w:val="000000" w:themeColor="text1"/>
                      <w:w w:val="70"/>
                      <w:sz w:val="20"/>
                      <w:szCs w:val="20"/>
                      <w14:textFill>
                        <w14:solidFill>
                          <w14:schemeClr w14:val="tx1"/>
                        </w14:solidFill>
                      </w14:textFill>
                    </w:rPr>
                    <w:t>is needed).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rPr>
                      <w:rFonts w:eastAsia="楷体_GB2312" w:cs="Calibri"/>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5096" w:hRule="atLeast"/>
              </w:trPr>
              <w:tc>
                <w:tcPr>
                  <w:tcW w:w="10773" w:type="dxa"/>
                  <w:tcBorders>
                    <w:top w:val="single" w:color="C0C0C0" w:sz="4" w:space="0"/>
                  </w:tcBorders>
                </w:tcPr>
                <w:p>
                  <w:pPr>
                    <w:pStyle w:val="71"/>
                    <w:rPr>
                      <w:rFonts w:eastAsia="楷体_GB2312" w:cs="Calibri"/>
                      <w:b/>
                      <w:w w:val="70"/>
                      <w:sz w:val="20"/>
                      <w:szCs w:val="20"/>
                    </w:rPr>
                  </w:pPr>
                  <w:r>
                    <w:rPr>
                      <w:rFonts w:eastAsia="楷体_GB2312" w:cs="Calibri"/>
                      <w:b/>
                      <w:w w:val="70"/>
                      <w:sz w:val="20"/>
                      <w:szCs w:val="20"/>
                    </w:rPr>
                    <w:t>评级定义</w:t>
                  </w:r>
                  <w:r>
                    <w:rPr>
                      <w:rFonts w:eastAsia="楷体_GB2312" w:cs="Calibri"/>
                      <w:b/>
                      <w:w w:val="70"/>
                      <w:sz w:val="20"/>
                      <w:szCs w:val="20"/>
                      <w:lang w:eastAsia="zh-CN"/>
                    </w:rPr>
                    <w:t>（从2020年7月1日开始执行）</w:t>
                  </w:r>
                  <w:r>
                    <w:rPr>
                      <w:rFonts w:eastAsia="楷体_GB2312" w:cs="Calibri"/>
                      <w:b/>
                      <w:w w:val="70"/>
                      <w:sz w:val="20"/>
                      <w:szCs w:val="20"/>
                    </w:rPr>
                    <w:t>：</w:t>
                  </w:r>
                </w:p>
                <w:p>
                  <w:pPr>
                    <w:pStyle w:val="71"/>
                    <w:rPr>
                      <w:rFonts w:eastAsia="楷体_GB2312" w:cs="Calibri"/>
                      <w:w w:val="70"/>
                      <w:sz w:val="20"/>
                      <w:szCs w:val="20"/>
                    </w:rPr>
                  </w:pPr>
                  <w:r>
                    <w:rPr>
                      <w:rFonts w:hint="eastAsia" w:eastAsia="楷体_GB2312" w:cs="Calibri"/>
                      <w:w w:val="70"/>
                      <w:sz w:val="20"/>
                      <w:szCs w:val="20"/>
                      <w:lang w:eastAsia="zh-CN"/>
                    </w:rPr>
                    <w:t>华福</w:t>
                  </w:r>
                  <w:r>
                    <w:rPr>
                      <w:rFonts w:eastAsia="楷体_GB2312" w:cs="Calibri"/>
                      <w:w w:val="70"/>
                      <w:sz w:val="20"/>
                      <w:szCs w:val="20"/>
                    </w:rPr>
                    <w:t>国际采用相对评级系统</w:t>
                  </w:r>
                  <w:r>
                    <w:rPr>
                      <w:rFonts w:eastAsia="楷体_GB2312" w:cs="Calibri"/>
                      <w:w w:val="70"/>
                      <w:sz w:val="20"/>
                      <w:szCs w:val="20"/>
                      <w:lang w:eastAsia="zh-CN"/>
                    </w:rPr>
                    <w:t>来为投资者推荐我们覆盖的公司</w:t>
                  </w:r>
                  <w:r>
                    <w:rPr>
                      <w:rFonts w:eastAsia="楷体_GB2312" w:cs="Calibri"/>
                      <w:w w:val="70"/>
                      <w:sz w:val="20"/>
                      <w:szCs w:val="20"/>
                    </w:rPr>
                    <w:t>：</w:t>
                  </w:r>
                  <w:r>
                    <w:rPr>
                      <w:rFonts w:eastAsia="楷体_GB2312" w:cs="Calibri"/>
                      <w:w w:val="70"/>
                      <w:sz w:val="20"/>
                      <w:szCs w:val="20"/>
                      <w:lang w:eastAsia="zh-CN"/>
                    </w:rPr>
                    <w:t>优于大市</w:t>
                  </w:r>
                  <w:r>
                    <w:rPr>
                      <w:rFonts w:eastAsia="楷体_GB2312" w:cs="Calibri"/>
                      <w:w w:val="70"/>
                      <w:sz w:val="20"/>
                      <w:szCs w:val="20"/>
                    </w:rPr>
                    <w:t>、中性</w:t>
                  </w:r>
                  <w:r>
                    <w:rPr>
                      <w:rFonts w:eastAsia="楷体_GB2312" w:cs="Calibri"/>
                      <w:w w:val="70"/>
                      <w:sz w:val="20"/>
                      <w:szCs w:val="20"/>
                      <w:lang w:eastAsia="zh-CN"/>
                    </w:rPr>
                    <w:t>或弱于大市</w:t>
                  </w:r>
                  <w:r>
                    <w:rPr>
                      <w:rFonts w:eastAsia="楷体_GB2312" w:cs="Calibri"/>
                      <w:w w:val="70"/>
                      <w:sz w:val="20"/>
                      <w:szCs w:val="20"/>
                    </w:rPr>
                    <w:t>。</w:t>
                  </w:r>
                  <w:r>
                    <w:rPr>
                      <w:rFonts w:eastAsia="楷体_GB2312" w:cs="Calibri"/>
                      <w:w w:val="70"/>
                      <w:sz w:val="20"/>
                      <w:szCs w:val="20"/>
                      <w:lang w:eastAsia="zh-CN"/>
                    </w:rPr>
                    <w:t>投资者应仔细阅读</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的评级定义。并且</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发布分析师观点的完整信息，投资者应仔细阅读全文而非仅看评级。在任何情况下，分析师的评级和研究都不能作为投资建议。投资者的买卖股票的决策应基于各自情况（比如投资者的现有持仓）以及其他因素。</w:t>
                  </w:r>
                </w:p>
                <w:p>
                  <w:pPr>
                    <w:pStyle w:val="71"/>
                    <w:rPr>
                      <w:rFonts w:eastAsia="楷体_GB2312" w:cs="Calibri"/>
                      <w:b/>
                      <w:w w:val="70"/>
                      <w:sz w:val="20"/>
                      <w:szCs w:val="20"/>
                      <w:lang w:eastAsia="zh-CN"/>
                    </w:rPr>
                  </w:pPr>
                  <w:r>
                    <w:rPr>
                      <w:rFonts w:eastAsia="楷体_GB2312" w:cs="Calibri"/>
                      <w:b/>
                      <w:w w:val="70"/>
                      <w:sz w:val="20"/>
                      <w:szCs w:val="20"/>
                      <w:lang w:eastAsia="zh-CN"/>
                    </w:rPr>
                    <w:t>分析师股票评级</w:t>
                  </w:r>
                </w:p>
                <w:p>
                  <w:pPr>
                    <w:pStyle w:val="71"/>
                    <w:rPr>
                      <w:rFonts w:eastAsia="楷体_GB2312" w:cs="Calibri"/>
                      <w:w w:val="70"/>
                      <w:sz w:val="20"/>
                      <w:szCs w:val="20"/>
                      <w:lang w:eastAsia="zh-CN"/>
                    </w:rPr>
                  </w:pPr>
                  <w:r>
                    <w:rPr>
                      <w:rFonts w:eastAsia="楷体_GB2312" w:cs="Calibri"/>
                      <w:b/>
                      <w:w w:val="70"/>
                      <w:sz w:val="20"/>
                      <w:szCs w:val="20"/>
                    </w:rPr>
                    <w:t>优于大市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预期相对基准指数涨幅在10%以上，基准定义如下</w:t>
                  </w:r>
                </w:p>
                <w:p>
                  <w:pPr>
                    <w:pStyle w:val="71"/>
                    <w:rPr>
                      <w:rFonts w:eastAsia="楷体_GB2312" w:cs="Calibri"/>
                      <w:w w:val="70"/>
                      <w:sz w:val="20"/>
                      <w:szCs w:val="20"/>
                      <w:lang w:eastAsia="zh-CN"/>
                    </w:rPr>
                  </w:pPr>
                  <w:r>
                    <w:rPr>
                      <w:rFonts w:eastAsia="楷体_GB2312" w:cs="Calibri"/>
                      <w:b/>
                      <w:w w:val="70"/>
                      <w:sz w:val="20"/>
                      <w:szCs w:val="20"/>
                    </w:rPr>
                    <w:t>中性</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预期相对基准指数变化不大，基准定义如下</w:t>
                  </w:r>
                </w:p>
                <w:p>
                  <w:pPr>
                    <w:pStyle w:val="71"/>
                    <w:rPr>
                      <w:rFonts w:eastAsia="楷体_GB2312" w:cs="Calibri"/>
                      <w:w w:val="70"/>
                      <w:sz w:val="20"/>
                      <w:szCs w:val="20"/>
                    </w:rPr>
                  </w:pPr>
                  <w:r>
                    <w:rPr>
                      <w:rFonts w:eastAsia="楷体_GB2312" w:cs="Calibri"/>
                      <w:b/>
                      <w:w w:val="70"/>
                      <w:sz w:val="20"/>
                      <w:szCs w:val="20"/>
                      <w:lang w:eastAsia="zh-CN"/>
                    </w:rPr>
                    <w:t>弱于大市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预期相对基准指数跌幅在10%以上，基准定义如下</w:t>
                  </w:r>
                </w:p>
                <w:p>
                  <w:pPr>
                    <w:pStyle w:val="71"/>
                    <w:rPr>
                      <w:rFonts w:eastAsia="楷体_GB2312" w:cs="Calibri"/>
                      <w:w w:val="70"/>
                      <w:sz w:val="20"/>
                      <w:szCs w:val="20"/>
                      <w:lang w:eastAsia="zh-CN"/>
                    </w:rPr>
                  </w:pPr>
                  <w:r>
                    <w:rPr>
                      <w:rFonts w:eastAsia="楷体_GB2312" w:cs="Calibri"/>
                      <w:w w:val="70"/>
                      <w:sz w:val="20"/>
                      <w:szCs w:val="20"/>
                      <w:lang w:eastAsia="zh-CN"/>
                    </w:rPr>
                    <w:t xml:space="preserve">各地股票基准指数：日本 </w:t>
                  </w:r>
                  <w:r>
                    <w:rPr>
                      <w:rFonts w:eastAsia="微软雅黑" w:cs="Calibri"/>
                      <w:w w:val="70"/>
                      <w:sz w:val="20"/>
                      <w:szCs w:val="20"/>
                      <w:lang w:eastAsia="zh-CN"/>
                    </w:rPr>
                    <w:t>–</w:t>
                  </w:r>
                  <w:r>
                    <w:rPr>
                      <w:rFonts w:eastAsia="楷体_GB2312" w:cs="Calibri"/>
                      <w:w w:val="70"/>
                      <w:sz w:val="20"/>
                      <w:szCs w:val="20"/>
                      <w:lang w:eastAsia="zh-CN"/>
                    </w:rPr>
                    <w:t xml:space="preserve"> TOPIX, 韩国 </w:t>
                  </w:r>
                  <w:r>
                    <w:rPr>
                      <w:rFonts w:eastAsia="微软雅黑" w:cs="Calibri"/>
                      <w:w w:val="70"/>
                      <w:sz w:val="20"/>
                      <w:szCs w:val="20"/>
                      <w:lang w:eastAsia="zh-CN"/>
                    </w:rPr>
                    <w:t>–</w:t>
                  </w:r>
                  <w:r>
                    <w:rPr>
                      <w:rFonts w:eastAsia="楷体_GB2312" w:cs="Calibri"/>
                      <w:w w:val="70"/>
                      <w:sz w:val="20"/>
                      <w:szCs w:val="20"/>
                      <w:lang w:eastAsia="zh-CN"/>
                    </w:rPr>
                    <w:t xml:space="preserve"> KOSPI, 台湾 </w:t>
                  </w:r>
                  <w:r>
                    <w:rPr>
                      <w:rFonts w:eastAsia="微软雅黑" w:cs="Calibri"/>
                      <w:w w:val="70"/>
                      <w:sz w:val="20"/>
                      <w:szCs w:val="20"/>
                      <w:lang w:eastAsia="zh-CN"/>
                    </w:rPr>
                    <w:t>–</w:t>
                  </w:r>
                  <w:r>
                    <w:rPr>
                      <w:rFonts w:eastAsia="楷体_GB2312" w:cs="Calibri"/>
                      <w:w w:val="70"/>
                      <w:sz w:val="20"/>
                      <w:szCs w:val="20"/>
                      <w:lang w:eastAsia="zh-CN"/>
                    </w:rPr>
                    <w:t xml:space="preserve"> TAIEX, 印度 </w:t>
                  </w:r>
                  <w:r>
                    <w:rPr>
                      <w:rFonts w:eastAsia="微软雅黑" w:cs="Calibri"/>
                      <w:w w:val="70"/>
                      <w:sz w:val="20"/>
                      <w:szCs w:val="20"/>
                      <w:lang w:eastAsia="zh-CN"/>
                    </w:rPr>
                    <w:t>–</w:t>
                  </w:r>
                  <w:r>
                    <w:rPr>
                      <w:rFonts w:eastAsia="楷体_GB2312" w:cs="Calibri"/>
                      <w:w w:val="70"/>
                      <w:sz w:val="20"/>
                      <w:szCs w:val="20"/>
                      <w:lang w:eastAsia="zh-CN"/>
                    </w:rPr>
                    <w:t xml:space="preserve"> Nifty100, 美国 </w:t>
                  </w:r>
                  <w:r>
                    <w:rPr>
                      <w:rFonts w:eastAsia="微软雅黑" w:cs="Calibri"/>
                      <w:w w:val="70"/>
                      <w:sz w:val="20"/>
                      <w:szCs w:val="20"/>
                      <w:lang w:eastAsia="zh-CN"/>
                    </w:rPr>
                    <w:t>–</w:t>
                  </w:r>
                  <w:r>
                    <w:rPr>
                      <w:rFonts w:eastAsia="楷体_GB2312" w:cs="Calibri"/>
                      <w:w w:val="70"/>
                      <w:sz w:val="20"/>
                      <w:szCs w:val="20"/>
                      <w:lang w:eastAsia="zh-CN"/>
                    </w:rPr>
                    <w:t xml:space="preserve"> SP500; 其他所有中国概念股 </w:t>
                  </w:r>
                  <w:r>
                    <w:rPr>
                      <w:rFonts w:eastAsia="微软雅黑" w:cs="Calibri"/>
                      <w:w w:val="70"/>
                      <w:sz w:val="20"/>
                      <w:szCs w:val="20"/>
                      <w:lang w:eastAsia="zh-CN"/>
                    </w:rPr>
                    <w:t>–</w:t>
                  </w:r>
                  <w:r>
                    <w:rPr>
                      <w:rFonts w:eastAsia="楷体_GB2312" w:cs="Calibri"/>
                      <w:w w:val="70"/>
                      <w:sz w:val="20"/>
                      <w:szCs w:val="20"/>
                      <w:lang w:eastAsia="zh-CN"/>
                    </w:rPr>
                    <w:t xml:space="preserve"> MSCI China.</w:t>
                  </w:r>
                </w:p>
                <w:p>
                  <w:pPr>
                    <w:pStyle w:val="71"/>
                    <w:rPr>
                      <w:rFonts w:eastAsia="楷体_GB2312" w:cs="Calibri"/>
                      <w:w w:val="79"/>
                      <w:sz w:val="20"/>
                      <w:szCs w:val="20"/>
                    </w:rPr>
                  </w:pPr>
                  <w:r>
                    <w:rPr>
                      <w:rFonts w:eastAsia="楷体_GB2312" w:cs="Calibri"/>
                      <w:b/>
                      <w:w w:val="79"/>
                      <w:sz w:val="20"/>
                      <w:szCs w:val="20"/>
                    </w:rPr>
                    <w:t xml:space="preserve">Ratings Definitions (from 1 Jul 2020): </w:t>
                  </w:r>
                </w:p>
                <w:p>
                  <w:pPr>
                    <w:pStyle w:val="71"/>
                    <w:rPr>
                      <w:rFonts w:eastAsia="楷体_GB2312" w:cs="Calibri"/>
                      <w:w w:val="79"/>
                      <w:sz w:val="20"/>
                      <w:szCs w:val="20"/>
                    </w:rPr>
                  </w:pPr>
                  <w:r>
                    <w:rPr>
                      <w:rFonts w:hint="eastAsia" w:eastAsia="楷体_GB2312" w:cs="Calibri"/>
                      <w:w w:val="79"/>
                      <w:sz w:val="20"/>
                      <w:szCs w:val="20"/>
                      <w:lang w:eastAsia="zh-CN"/>
                    </w:rPr>
                    <w:t>HuaFu</w:t>
                  </w:r>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r>
                    <w:rPr>
                      <w:rFonts w:hint="eastAsia" w:eastAsia="楷体_GB2312" w:cs="Calibri"/>
                      <w:w w:val="79"/>
                      <w:sz w:val="20"/>
                      <w:szCs w:val="20"/>
                      <w:lang w:eastAsia="zh-CN"/>
                    </w:rPr>
                    <w:t>HuaFu</w:t>
                  </w:r>
                  <w:r>
                    <w:rPr>
                      <w:rFonts w:eastAsia="楷体_GB2312" w:cs="Calibri"/>
                      <w:w w:val="79"/>
                      <w:sz w:val="20"/>
                      <w:szCs w:val="20"/>
                    </w:rPr>
                    <w:t xml:space="preserve"> International Research. In addition, since </w:t>
                  </w:r>
                  <w:r>
                    <w:rPr>
                      <w:rFonts w:hint="eastAsia" w:eastAsia="楷体_GB2312" w:cs="Calibri"/>
                      <w:w w:val="79"/>
                      <w:sz w:val="20"/>
                      <w:szCs w:val="20"/>
                      <w:lang w:eastAsia="zh-CN"/>
                    </w:rPr>
                    <w:t>HuaFu</w:t>
                  </w:r>
                  <w:r>
                    <w:rPr>
                      <w:rFonts w:eastAsia="楷体_GB2312" w:cs="Calibri"/>
                      <w:w w:val="79"/>
                      <w:sz w:val="20"/>
                      <w:szCs w:val="20"/>
                    </w:rPr>
                    <w:t xml:space="preserve"> International Research contains more complete information concerning the analyst's views, investors should carefully read </w:t>
                  </w:r>
                  <w:r>
                    <w:rPr>
                      <w:rFonts w:hint="eastAsia" w:eastAsia="楷体_GB2312" w:cs="Calibri"/>
                      <w:w w:val="79"/>
                      <w:sz w:val="20"/>
                      <w:szCs w:val="20"/>
                      <w:lang w:eastAsia="zh-CN"/>
                    </w:rPr>
                    <w:t xml:space="preserve">HuaFu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pPr>
                    <w:pStyle w:val="71"/>
                    <w:rPr>
                      <w:rFonts w:eastAsia="楷体_GB2312" w:cs="Calibri"/>
                      <w:b/>
                      <w:w w:val="79"/>
                      <w:sz w:val="20"/>
                      <w:szCs w:val="20"/>
                    </w:rPr>
                  </w:pPr>
                  <w:r>
                    <w:rPr>
                      <w:rFonts w:eastAsia="楷体_GB2312" w:cs="Calibri"/>
                      <w:b/>
                      <w:w w:val="79"/>
                      <w:sz w:val="20"/>
                      <w:szCs w:val="20"/>
                    </w:rPr>
                    <w:t>Analyst Stock Ratings</w:t>
                  </w:r>
                </w:p>
                <w:p>
                  <w:pPr>
                    <w:pStyle w:val="71"/>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xml:space="preserve">, as indicated below. </w:t>
                  </w:r>
                </w:p>
                <w:p>
                  <w:pPr>
                    <w:pStyle w:val="71"/>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as indicated below.</w:t>
                  </w:r>
                </w:p>
                <w:p>
                  <w:pPr>
                    <w:pStyle w:val="71"/>
                    <w:rPr>
                      <w:rFonts w:eastAsia="楷体_GB2312" w:cs="Calibri"/>
                      <w:b/>
                      <w:w w:val="79"/>
                      <w:sz w:val="20"/>
                      <w:szCs w:val="20"/>
                    </w:rPr>
                  </w:pPr>
                  <w:r>
                    <w:rPr>
                      <w:rFonts w:eastAsia="楷体_GB2312" w:cs="Calibri"/>
                      <w:b/>
                      <w:w w:val="79"/>
                      <w:sz w:val="20"/>
                      <w:szCs w:val="20"/>
                    </w:rPr>
                    <w:t xml:space="preserve">Benchmarks for each stock’s listed region are as follows: Japan </w:t>
                  </w:r>
                  <w:r>
                    <w:rPr>
                      <w:rFonts w:eastAsia="微软雅黑" w:cs="Calibri"/>
                      <w:b/>
                      <w:w w:val="79"/>
                      <w:sz w:val="20"/>
                      <w:szCs w:val="20"/>
                    </w:rPr>
                    <w:t>–</w:t>
                  </w:r>
                  <w:r>
                    <w:rPr>
                      <w:rFonts w:eastAsia="楷体_GB2312" w:cs="Calibri"/>
                      <w:b/>
                      <w:w w:val="79"/>
                      <w:sz w:val="20"/>
                      <w:szCs w:val="20"/>
                    </w:rPr>
                    <w:t xml:space="preserve"> TOPIX, Korea </w:t>
                  </w:r>
                  <w:r>
                    <w:rPr>
                      <w:rFonts w:eastAsia="微软雅黑" w:cs="Calibri"/>
                      <w:b/>
                      <w:w w:val="79"/>
                      <w:sz w:val="20"/>
                      <w:szCs w:val="20"/>
                    </w:rPr>
                    <w:t>–</w:t>
                  </w:r>
                  <w:r>
                    <w:rPr>
                      <w:rFonts w:eastAsia="楷体_GB2312" w:cs="Calibri"/>
                      <w:b/>
                      <w:w w:val="79"/>
                      <w:sz w:val="20"/>
                      <w:szCs w:val="20"/>
                    </w:rPr>
                    <w:t xml:space="preserve"> KOSPI, Taiwan </w:t>
                  </w:r>
                  <w:r>
                    <w:rPr>
                      <w:rFonts w:eastAsia="微软雅黑" w:cs="Calibri"/>
                      <w:b/>
                      <w:w w:val="79"/>
                      <w:sz w:val="20"/>
                      <w:szCs w:val="20"/>
                    </w:rPr>
                    <w:t>–</w:t>
                  </w:r>
                  <w:r>
                    <w:rPr>
                      <w:rFonts w:eastAsia="楷体_GB2312" w:cs="Calibri"/>
                      <w:b/>
                      <w:w w:val="79"/>
                      <w:sz w:val="20"/>
                      <w:szCs w:val="20"/>
                    </w:rPr>
                    <w:t xml:space="preserve"> TAIEX, India </w:t>
                  </w:r>
                  <w:r>
                    <w:rPr>
                      <w:rFonts w:eastAsia="微软雅黑" w:cs="Calibri"/>
                      <w:b/>
                      <w:w w:val="79"/>
                      <w:sz w:val="20"/>
                      <w:szCs w:val="20"/>
                    </w:rPr>
                    <w:t>–</w:t>
                  </w:r>
                  <w:r>
                    <w:rPr>
                      <w:rFonts w:eastAsia="楷体_GB2312" w:cs="Calibri"/>
                      <w:b/>
                      <w:w w:val="79"/>
                      <w:sz w:val="20"/>
                      <w:szCs w:val="20"/>
                    </w:rPr>
                    <w:t xml:space="preserve"> Nifty100, US </w:t>
                  </w:r>
                  <w:r>
                    <w:rPr>
                      <w:rFonts w:eastAsia="微软雅黑" w:cs="Calibri"/>
                      <w:b/>
                      <w:w w:val="79"/>
                      <w:sz w:val="20"/>
                      <w:szCs w:val="20"/>
                    </w:rPr>
                    <w:t>–</w:t>
                  </w:r>
                  <w:r>
                    <w:rPr>
                      <w:rFonts w:eastAsia="楷体_GB2312" w:cs="Calibri"/>
                      <w:b/>
                      <w:w w:val="79"/>
                      <w:sz w:val="20"/>
                      <w:szCs w:val="20"/>
                    </w:rPr>
                    <w:t xml:space="preserve"> SP500; for all other China-concept stocks </w:t>
                  </w:r>
                  <w:r>
                    <w:rPr>
                      <w:rFonts w:eastAsia="微软雅黑" w:cs="Calibri"/>
                      <w:b/>
                      <w:w w:val="79"/>
                      <w:sz w:val="20"/>
                      <w:szCs w:val="20"/>
                    </w:rPr>
                    <w:t>–</w:t>
                  </w:r>
                  <w:r>
                    <w:rPr>
                      <w:rFonts w:eastAsia="楷体_GB2312" w:cs="Calibri"/>
                      <w:b/>
                      <w:w w:val="79"/>
                      <w:sz w:val="20"/>
                      <w:szCs w:val="20"/>
                    </w:rPr>
                    <w:t xml:space="preserve"> MSCI China.</w:t>
                  </w:r>
                </w:p>
                <w:p>
                  <w:pPr>
                    <w:pStyle w:val="71"/>
                    <w:rPr>
                      <w:rFonts w:eastAsia="楷体_GB2312" w:cs="Calibri"/>
                      <w:w w:val="70"/>
                      <w:sz w:val="20"/>
                      <w:szCs w:val="20"/>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w w:val="70"/>
                      <w:sz w:val="20"/>
                      <w:szCs w:val="20"/>
                    </w:rPr>
                  </w:pPr>
                  <w:r>
                    <w:rPr>
                      <w:rFonts w:hint="eastAsia" w:eastAsia="楷体_GB2312" w:cs="Calibri"/>
                      <w:b/>
                      <w:w w:val="70"/>
                      <w:sz w:val="20"/>
                      <w:szCs w:val="20"/>
                      <w:lang w:eastAsia="zh-CN"/>
                    </w:rPr>
                    <w:t>华福</w:t>
                  </w:r>
                  <w:r>
                    <w:rPr>
                      <w:rFonts w:eastAsia="楷体_GB2312" w:cs="Calibri"/>
                      <w:b/>
                      <w:w w:val="70"/>
                      <w:sz w:val="20"/>
                      <w:szCs w:val="20"/>
                    </w:rPr>
                    <w:t>国际非评级研究：</w:t>
                  </w:r>
                  <w:r>
                    <w:rPr>
                      <w:rFonts w:hint="eastAsia" w:eastAsia="楷体_GB2312" w:cs="Calibri"/>
                      <w:bCs/>
                      <w:w w:val="70"/>
                      <w:sz w:val="20"/>
                      <w:szCs w:val="20"/>
                      <w:lang w:eastAsia="zh-CN"/>
                    </w:rPr>
                    <w:t>华福</w:t>
                  </w:r>
                  <w:r>
                    <w:rPr>
                      <w:rFonts w:eastAsia="楷体_GB2312" w:cs="Calibri"/>
                      <w:w w:val="70"/>
                      <w:sz w:val="20"/>
                      <w:szCs w:val="20"/>
                    </w:rPr>
                    <w:t>国际发布</w:t>
                  </w:r>
                  <w:r>
                    <w:rPr>
                      <w:rFonts w:eastAsia="楷体_GB2312" w:cs="Calibri"/>
                      <w:w w:val="70"/>
                      <w:sz w:val="20"/>
                      <w:szCs w:val="20"/>
                      <w:lang w:eastAsia="zh-CN"/>
                    </w:rPr>
                    <w:t>计</w:t>
                  </w:r>
                  <w:r>
                    <w:rPr>
                      <w:rFonts w:eastAsia="楷体_GB2312" w:cs="Calibri"/>
                      <w:w w:val="70"/>
                      <w:sz w:val="20"/>
                      <w:szCs w:val="20"/>
                    </w:rPr>
                    <w:t>量、筛选或短篇报告，并在报告中根据估值和其他指标对股票进行排名，或者基于可能的估值倍数提出建议价格。这种排名或建议价格并非为了进行股票评级、提出目标价格或进行基本面估值，而仅供参考使用。</w:t>
                  </w:r>
                </w:p>
                <w:p>
                  <w:pPr>
                    <w:pStyle w:val="71"/>
                    <w:rPr>
                      <w:rFonts w:eastAsia="楷体_GB2312" w:cs="Calibri"/>
                      <w:w w:val="70"/>
                      <w:sz w:val="20"/>
                      <w:szCs w:val="20"/>
                      <w:lang w:eastAsia="zh-CN"/>
                    </w:rPr>
                  </w:pPr>
                  <w:r>
                    <w:rPr>
                      <w:rFonts w:hint="eastAsia" w:eastAsia="楷体_GB2312" w:cs="Calibri"/>
                      <w:b/>
                      <w:w w:val="70"/>
                      <w:sz w:val="20"/>
                      <w:szCs w:val="20"/>
                      <w:lang w:eastAsia="zh-CN"/>
                    </w:rPr>
                    <w:t>HuaFu</w:t>
                  </w:r>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w w:val="70"/>
                      <w:sz w:val="20"/>
                      <w:szCs w:val="20"/>
                      <w:lang w:eastAsia="zh-CN"/>
                    </w:rPr>
                  </w:pPr>
                  <w:r>
                    <w:rPr>
                      <w:rFonts w:hint="eastAsia" w:eastAsia="楷体_GB2312" w:cs="Calibri"/>
                      <w:b/>
                      <w:w w:val="70"/>
                      <w:sz w:val="20"/>
                      <w:szCs w:val="20"/>
                      <w:lang w:eastAsia="zh-CN"/>
                    </w:rPr>
                    <w:t>华福</w:t>
                  </w:r>
                  <w:r>
                    <w:rPr>
                      <w:rFonts w:eastAsia="楷体_GB2312" w:cs="Calibri"/>
                      <w:b/>
                      <w:w w:val="70"/>
                      <w:sz w:val="20"/>
                      <w:szCs w:val="20"/>
                    </w:rPr>
                    <w:t>国际</w:t>
                  </w:r>
                  <w:r>
                    <w:rPr>
                      <w:rFonts w:eastAsia="楷体_GB2312" w:cs="Calibri"/>
                      <w:b/>
                      <w:w w:val="70"/>
                      <w:sz w:val="20"/>
                      <w:szCs w:val="20"/>
                      <w:lang w:eastAsia="zh-CN"/>
                    </w:rPr>
                    <w:t>A股覆盖</w:t>
                  </w:r>
                  <w:r>
                    <w:rPr>
                      <w:rFonts w:eastAsia="楷体_GB2312" w:cs="Calibri"/>
                      <w:b/>
                      <w:w w:val="70"/>
                      <w:sz w:val="20"/>
                      <w:szCs w:val="20"/>
                    </w:rPr>
                    <w:t>：</w:t>
                  </w:r>
                  <w:r>
                    <w:rPr>
                      <w:rFonts w:hint="eastAsia" w:eastAsia="楷体_GB2312" w:cs="Calibri"/>
                      <w:bCs/>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可能会就中国A股进行覆盖及评级。</w:t>
                  </w:r>
                  <w:r>
                    <w:rPr>
                      <w:rFonts w:hint="eastAsia" w:eastAsia="楷体_GB2312" w:cs="Calibri"/>
                      <w:w w:val="70"/>
                      <w:sz w:val="20"/>
                      <w:szCs w:val="20"/>
                      <w:lang w:eastAsia="zh-CN"/>
                    </w:rPr>
                    <w:t>华福</w:t>
                  </w:r>
                  <w:r>
                    <w:rPr>
                      <w:rFonts w:eastAsia="楷体_GB2312" w:cs="Calibri"/>
                      <w:w w:val="70"/>
                      <w:sz w:val="20"/>
                      <w:szCs w:val="20"/>
                      <w:lang w:eastAsia="zh-CN"/>
                    </w:rPr>
                    <w:t>证券，</w:t>
                  </w:r>
                  <w:r>
                    <w:rPr>
                      <w:rFonts w:hint="eastAsia" w:eastAsia="楷体_GB2312" w:cs="Calibri"/>
                      <w:w w:val="70"/>
                      <w:sz w:val="20"/>
                      <w:szCs w:val="20"/>
                      <w:lang w:eastAsia="zh-CN"/>
                    </w:rPr>
                    <w:t>华福</w:t>
                  </w:r>
                  <w:r>
                    <w:rPr>
                      <w:rFonts w:eastAsia="楷体_GB2312" w:cs="Calibri"/>
                      <w:w w:val="70"/>
                      <w:sz w:val="20"/>
                      <w:szCs w:val="20"/>
                      <w:lang w:eastAsia="zh-CN"/>
                    </w:rPr>
                    <w:t>国际于</w:t>
                  </w:r>
                  <w:r>
                    <w:rPr>
                      <w:rFonts w:hint="eastAsia" w:eastAsia="楷体_GB2312" w:cs="Calibri"/>
                      <w:w w:val="70"/>
                      <w:sz w:val="20"/>
                      <w:szCs w:val="20"/>
                      <w:lang w:eastAsia="zh-CN"/>
                    </w:rPr>
                    <w:t>福州</w:t>
                  </w:r>
                  <w:r>
                    <w:rPr>
                      <w:rFonts w:eastAsia="楷体_GB2312" w:cs="Calibri"/>
                      <w:w w:val="70"/>
                      <w:sz w:val="20"/>
                      <w:szCs w:val="20"/>
                      <w:lang w:eastAsia="zh-CN"/>
                    </w:rPr>
                    <w:t>的母公司，也会于中国发布中国A股的研究报告。但是，</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使用与</w:t>
                  </w:r>
                  <w:r>
                    <w:rPr>
                      <w:rFonts w:hint="eastAsia" w:eastAsia="楷体_GB2312" w:cs="Calibri"/>
                      <w:w w:val="70"/>
                      <w:sz w:val="20"/>
                      <w:szCs w:val="20"/>
                      <w:lang w:eastAsia="zh-CN"/>
                    </w:rPr>
                    <w:t>华福</w:t>
                  </w:r>
                  <w:r>
                    <w:rPr>
                      <w:rFonts w:eastAsia="楷体_GB2312" w:cs="Calibri"/>
                      <w:w w:val="70"/>
                      <w:sz w:val="20"/>
                      <w:szCs w:val="20"/>
                      <w:lang w:eastAsia="zh-CN"/>
                    </w:rPr>
                    <w:t>证券不同的评级系统，</w:t>
                  </w:r>
                  <w:r>
                    <w:rPr>
                      <w:rFonts w:hint="eastAsia" w:eastAsia="楷体_GB2312" w:cs="Calibri"/>
                      <w:w w:val="70"/>
                      <w:sz w:val="20"/>
                      <w:szCs w:val="20"/>
                      <w:lang w:eastAsia="zh-CN"/>
                    </w:rPr>
                    <w:t>且可能有完全独立的不同研究覆盖团队，</w:t>
                  </w:r>
                  <w:r>
                    <w:rPr>
                      <w:rFonts w:eastAsia="楷体_GB2312" w:cs="Calibri"/>
                      <w:w w:val="70"/>
                      <w:sz w:val="20"/>
                      <w:szCs w:val="20"/>
                      <w:lang w:eastAsia="zh-CN"/>
                    </w:rPr>
                    <w:t>所以</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与</w:t>
                  </w:r>
                  <w:r>
                    <w:rPr>
                      <w:rFonts w:hint="eastAsia" w:eastAsia="楷体_GB2312" w:cs="Calibri"/>
                      <w:w w:val="70"/>
                      <w:sz w:val="20"/>
                      <w:szCs w:val="20"/>
                      <w:lang w:eastAsia="zh-CN"/>
                    </w:rPr>
                    <w:t>华福</w:t>
                  </w:r>
                  <w:r>
                    <w:rPr>
                      <w:rFonts w:eastAsia="楷体_GB2312" w:cs="Calibri"/>
                      <w:w w:val="70"/>
                      <w:sz w:val="20"/>
                      <w:szCs w:val="20"/>
                      <w:lang w:eastAsia="zh-CN"/>
                    </w:rPr>
                    <w:t>证券的中国A股评级</w:t>
                  </w:r>
                  <w:r>
                    <w:rPr>
                      <w:rFonts w:hint="eastAsia" w:eastAsia="楷体_GB2312" w:cs="Calibri"/>
                      <w:w w:val="70"/>
                      <w:sz w:val="20"/>
                      <w:szCs w:val="20"/>
                      <w:lang w:eastAsia="zh-CN"/>
                    </w:rPr>
                    <w:t>、目标价乃至分析逻辑</w:t>
                  </w:r>
                  <w:r>
                    <w:rPr>
                      <w:rFonts w:eastAsia="楷体_GB2312" w:cs="Calibri"/>
                      <w:w w:val="70"/>
                      <w:sz w:val="20"/>
                      <w:szCs w:val="20"/>
                      <w:lang w:eastAsia="zh-CN"/>
                    </w:rPr>
                    <w:t>可能有所不同。</w:t>
                  </w:r>
                </w:p>
                <w:p>
                  <w:pPr>
                    <w:pStyle w:val="71"/>
                    <w:rPr>
                      <w:rFonts w:eastAsia="楷体_GB2312" w:cs="Calibri"/>
                      <w:w w:val="70"/>
                      <w:sz w:val="20"/>
                      <w:szCs w:val="20"/>
                    </w:rPr>
                  </w:pPr>
                  <w:r>
                    <w:rPr>
                      <w:rFonts w:hint="eastAsia" w:eastAsia="楷体_GB2312" w:cs="Calibri"/>
                      <w:b/>
                      <w:w w:val="70"/>
                      <w:sz w:val="20"/>
                      <w:szCs w:val="20"/>
                      <w:lang w:eastAsia="zh-CN"/>
                    </w:rPr>
                    <w:t>HuaFu</w:t>
                  </w:r>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may cover and rate A-Shares . </w:t>
                  </w:r>
                  <w:r>
                    <w:rPr>
                      <w:rFonts w:hint="eastAsia" w:eastAsia="楷体_GB2312" w:cs="Calibri"/>
                      <w:w w:val="70"/>
                      <w:sz w:val="20"/>
                      <w:szCs w:val="20"/>
                      <w:lang w:eastAsia="zh-CN"/>
                    </w:rPr>
                    <w:t>HuaFu</w:t>
                  </w:r>
                  <w:r>
                    <w:rPr>
                      <w:rFonts w:eastAsia="楷体_GB2312" w:cs="Calibri"/>
                      <w:w w:val="70"/>
                      <w:sz w:val="20"/>
                      <w:szCs w:val="20"/>
                    </w:rPr>
                    <w:t xml:space="preserve"> Securities, the ultimate parent company of </w:t>
                  </w:r>
                  <w:r>
                    <w:rPr>
                      <w:rFonts w:hint="eastAsia" w:eastAsia="楷体_GB2312" w:cs="Calibri"/>
                      <w:w w:val="70"/>
                      <w:sz w:val="20"/>
                      <w:szCs w:val="20"/>
                      <w:lang w:eastAsia="zh-CN"/>
                    </w:rPr>
                    <w:t>HuaFu International</w:t>
                  </w:r>
                  <w:r>
                    <w:rPr>
                      <w:rFonts w:eastAsia="楷体_GB2312" w:cs="Calibri"/>
                      <w:w w:val="70"/>
                      <w:sz w:val="20"/>
                      <w:szCs w:val="20"/>
                    </w:rPr>
                    <w:t xml:space="preserve"> based in </w:t>
                  </w:r>
                  <w:r>
                    <w:rPr>
                      <w:rFonts w:hint="eastAsia" w:eastAsia="楷体_GB2312" w:cs="Calibri"/>
                      <w:w w:val="70"/>
                      <w:sz w:val="20"/>
                      <w:szCs w:val="20"/>
                      <w:lang w:eastAsia="zh-CN"/>
                    </w:rPr>
                    <w:t>FuZhou</w:t>
                  </w:r>
                  <w:r>
                    <w:rPr>
                      <w:rFonts w:eastAsia="楷体_GB2312" w:cs="Calibri"/>
                      <w:w w:val="70"/>
                      <w:sz w:val="20"/>
                      <w:szCs w:val="20"/>
                    </w:rPr>
                    <w:t>, covers and publishes research on these same A-Shares for distribution in mainland China. However, the rating system employed by H</w:t>
                  </w:r>
                  <w:r>
                    <w:rPr>
                      <w:rFonts w:hint="eastAsia" w:eastAsia="楷体_GB2312" w:cs="Calibri"/>
                      <w:w w:val="70"/>
                      <w:sz w:val="20"/>
                      <w:szCs w:val="20"/>
                      <w:lang w:eastAsia="zh-CN"/>
                    </w:rPr>
                    <w:t>uaFu International</w:t>
                  </w:r>
                  <w:r>
                    <w:rPr>
                      <w:rFonts w:eastAsia="楷体_GB2312" w:cs="Calibri"/>
                      <w:w w:val="70"/>
                      <w:sz w:val="20"/>
                      <w:szCs w:val="20"/>
                    </w:rPr>
                    <w:t xml:space="preserve"> differs from that used by </w:t>
                  </w:r>
                  <w:r>
                    <w:rPr>
                      <w:rFonts w:hint="eastAsia" w:eastAsia="楷体_GB2312" w:cs="Calibri"/>
                      <w:w w:val="70"/>
                      <w:sz w:val="20"/>
                      <w:szCs w:val="20"/>
                      <w:lang w:eastAsia="zh-CN"/>
                    </w:rPr>
                    <w:t>HuaFu Securites</w:t>
                  </w:r>
                  <w:r>
                    <w:rPr>
                      <w:rFonts w:eastAsia="楷体_GB2312" w:cs="Calibri"/>
                      <w:w w:val="70"/>
                      <w:sz w:val="20"/>
                      <w:szCs w:val="20"/>
                    </w:rPr>
                    <w:t xml:space="preserve"> and </w:t>
                  </w:r>
                  <w:r>
                    <w:rPr>
                      <w:rFonts w:hint="eastAsia" w:eastAsia="楷体_GB2312" w:cs="Calibri"/>
                      <w:w w:val="70"/>
                      <w:sz w:val="20"/>
                      <w:szCs w:val="20"/>
                      <w:lang w:eastAsia="zh-CN"/>
                    </w:rPr>
                    <w:t xml:space="preserve">even the teams covering the same A-share stocks might be totally independently different, </w:t>
                  </w:r>
                  <w:r>
                    <w:rPr>
                      <w:rFonts w:eastAsia="楷体_GB2312" w:cs="Calibri"/>
                      <w:w w:val="70"/>
                      <w:sz w:val="20"/>
                      <w:szCs w:val="20"/>
                    </w:rPr>
                    <w:t xml:space="preserve">as a result there may be a difference in </w:t>
                  </w:r>
                  <w:r>
                    <w:rPr>
                      <w:rFonts w:hint="eastAsia" w:eastAsia="楷体_GB2312" w:cs="Calibri"/>
                      <w:w w:val="70"/>
                      <w:sz w:val="20"/>
                      <w:szCs w:val="20"/>
                      <w:lang w:eastAsia="zh-CN"/>
                    </w:rPr>
                    <w:t>their coverage</w:t>
                  </w:r>
                  <w:r>
                    <w:rPr>
                      <w:rFonts w:eastAsia="楷体_GB2312" w:cs="Calibri"/>
                      <w:w w:val="70"/>
                      <w:sz w:val="20"/>
                      <w:szCs w:val="20"/>
                    </w:rPr>
                    <w:t xml:space="preserve"> ratings</w:t>
                  </w:r>
                  <w:r>
                    <w:rPr>
                      <w:rFonts w:hint="eastAsia" w:eastAsia="楷体_GB2312" w:cs="Calibri"/>
                      <w:w w:val="70"/>
                      <w:sz w:val="20"/>
                      <w:szCs w:val="20"/>
                      <w:lang w:eastAsia="zh-CN"/>
                    </w:rPr>
                    <w:t>, target prices</w:t>
                  </w:r>
                  <w:r>
                    <w:rPr>
                      <w:rFonts w:eastAsia="楷体_GB2312" w:cs="Calibri"/>
                      <w:w w:val="70"/>
                      <w:sz w:val="20"/>
                      <w:szCs w:val="20"/>
                    </w:rPr>
                    <w:t xml:space="preserve"> </w:t>
                  </w:r>
                  <w:r>
                    <w:rPr>
                      <w:rFonts w:hint="eastAsia" w:eastAsia="楷体_GB2312" w:cs="Calibri"/>
                      <w:w w:val="70"/>
                      <w:sz w:val="20"/>
                      <w:szCs w:val="20"/>
                      <w:lang w:eastAsia="zh-CN"/>
                    </w:rPr>
                    <w:t xml:space="preserve">and research logics </w:t>
                  </w:r>
                  <w:r>
                    <w:rPr>
                      <w:rFonts w:eastAsia="楷体_GB2312" w:cs="Calibri"/>
                      <w:w w:val="70"/>
                      <w:sz w:val="20"/>
                      <w:szCs w:val="20"/>
                    </w:rPr>
                    <w:t>for the same A-share stocks.</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rPr>
                      <w:rFonts w:eastAsia="楷体_GB2312" w:cs="Calibri"/>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b/>
                      <w:w w:val="70"/>
                      <w:sz w:val="20"/>
                      <w:szCs w:val="20"/>
                    </w:rPr>
                  </w:pPr>
                  <w:r>
                    <w:rPr>
                      <w:rFonts w:eastAsia="楷体_GB2312" w:cs="Calibri"/>
                      <w:b/>
                      <w:w w:val="70"/>
                      <w:sz w:val="20"/>
                      <w:szCs w:val="20"/>
                    </w:rPr>
                    <w:t>重要免责声明：</w:t>
                  </w:r>
                </w:p>
                <w:p>
                  <w:pPr>
                    <w:pStyle w:val="71"/>
                    <w:spacing w:after="60"/>
                    <w:rPr>
                      <w:rFonts w:eastAsia="楷体_GB2312" w:cs="Calibri"/>
                      <w:w w:val="70"/>
                      <w:sz w:val="20"/>
                      <w:szCs w:val="20"/>
                    </w:rPr>
                  </w:pPr>
                  <w:r>
                    <w:rPr>
                      <w:rFonts w:eastAsia="楷体_GB2312" w:cs="Calibri"/>
                      <w:w w:val="70"/>
                      <w:sz w:val="20"/>
                      <w:szCs w:val="20"/>
                    </w:rPr>
                    <w:t>本报告由</w:t>
                  </w:r>
                  <w:r>
                    <w:rPr>
                      <w:rFonts w:hint="eastAsia" w:eastAsia="楷体_GB2312" w:cs="Calibri"/>
                      <w:w w:val="70"/>
                      <w:sz w:val="20"/>
                      <w:szCs w:val="20"/>
                      <w:lang w:eastAsia="zh-CN"/>
                    </w:rPr>
                    <w:t>华福</w:t>
                  </w:r>
                  <w:r>
                    <w:rPr>
                      <w:rFonts w:eastAsia="楷体_GB2312" w:cs="Calibri"/>
                      <w:w w:val="70"/>
                      <w:sz w:val="20"/>
                      <w:szCs w:val="20"/>
                    </w:rPr>
                    <w:t>国际发行，该公司</w:t>
                  </w:r>
                  <w:r>
                    <w:rPr>
                      <w:rFonts w:eastAsia="楷体_GB2312" w:cs="Calibri"/>
                      <w:w w:val="70"/>
                      <w:sz w:val="20"/>
                      <w:szCs w:val="20"/>
                      <w:lang w:eastAsia="zh-CN"/>
                    </w:rPr>
                    <w:t>是根据</w:t>
                  </w:r>
                  <w:r>
                    <w:rPr>
                      <w:rFonts w:eastAsia="楷体_GB2312" w:cs="Calibri"/>
                      <w:w w:val="70"/>
                      <w:sz w:val="20"/>
                      <w:szCs w:val="20"/>
                    </w:rPr>
                    <w:t>香港证券及期货条例（第</w:t>
                  </w:r>
                  <w:r>
                    <w:rPr>
                      <w:rFonts w:eastAsia="楷体_GB2312" w:cs="Calibri"/>
                      <w:w w:val="70"/>
                      <w:sz w:val="20"/>
                      <w:szCs w:val="20"/>
                      <w:lang w:eastAsia="zh-CN"/>
                    </w:rPr>
                    <w:t>571</w:t>
                  </w:r>
                  <w:r>
                    <w:rPr>
                      <w:rFonts w:eastAsia="楷体_GB2312" w:cs="Calibri"/>
                      <w:w w:val="70"/>
                      <w:sz w:val="20"/>
                      <w:szCs w:val="20"/>
                    </w:rPr>
                    <w:t>章）</w:t>
                  </w:r>
                  <w:r>
                    <w:rPr>
                      <w:rFonts w:eastAsia="楷体_GB2312" w:cs="Calibri"/>
                      <w:w w:val="70"/>
                      <w:sz w:val="20"/>
                      <w:szCs w:val="20"/>
                      <w:lang w:eastAsia="zh-CN"/>
                    </w:rPr>
                    <w:t>持有</w:t>
                  </w:r>
                  <w:r>
                    <w:rPr>
                      <w:rFonts w:eastAsia="楷体_GB2312" w:cs="Calibri"/>
                      <w:w w:val="70"/>
                      <w:sz w:val="20"/>
                      <w:szCs w:val="20"/>
                    </w:rPr>
                    <w:t>第</w:t>
                  </w:r>
                  <w:r>
                    <w:rPr>
                      <w:rFonts w:eastAsia="楷体_GB2312" w:cs="Calibri"/>
                      <w:w w:val="70"/>
                      <w:sz w:val="20"/>
                      <w:szCs w:val="20"/>
                      <w:lang w:eastAsia="zh-CN"/>
                    </w:rPr>
                    <w:t>4</w:t>
                  </w:r>
                  <w:r>
                    <w:rPr>
                      <w:rFonts w:eastAsia="楷体_GB2312" w:cs="Calibri"/>
                      <w:w w:val="70"/>
                      <w:sz w:val="20"/>
                      <w:szCs w:val="20"/>
                    </w:rPr>
                    <w:t>类受规管活动（就证券提供意见）的持牌法团。</w:t>
                  </w:r>
                </w:p>
                <w:p>
                  <w:pPr>
                    <w:pStyle w:val="71"/>
                    <w:spacing w:after="60"/>
                    <w:rPr>
                      <w:rFonts w:eastAsia="楷体_GB2312" w:cs="Calibri"/>
                      <w:w w:val="70"/>
                      <w:sz w:val="20"/>
                      <w:szCs w:val="20"/>
                    </w:rPr>
                  </w:pPr>
                  <w:r>
                    <w:rPr>
                      <w:rFonts w:eastAsia="楷体_GB2312" w:cs="Calibri"/>
                      <w:w w:val="70"/>
                      <w:sz w:val="20"/>
                      <w:szCs w:val="20"/>
                    </w:rPr>
                    <w:t>本文件所载信息和观点已被编译或源自可靠来源，但</w:t>
                  </w:r>
                  <w:r>
                    <w:rPr>
                      <w:rFonts w:hint="eastAsia" w:eastAsia="楷体_GB2312" w:cs="Calibri"/>
                      <w:w w:val="70"/>
                      <w:sz w:val="20"/>
                      <w:szCs w:val="20"/>
                      <w:lang w:eastAsia="zh-CN"/>
                    </w:rPr>
                    <w:t>华福国际</w:t>
                  </w:r>
                  <w:r>
                    <w:rPr>
                      <w:rFonts w:eastAsia="楷体_GB2312" w:cs="Calibri"/>
                      <w:w w:val="70"/>
                      <w:sz w:val="20"/>
                      <w:szCs w:val="20"/>
                    </w:rPr>
                    <w:t>或任何其他属于</w:t>
                  </w:r>
                  <w:r>
                    <w:rPr>
                      <w:rFonts w:hint="eastAsia" w:eastAsia="楷体_GB2312" w:cs="Calibri"/>
                      <w:w w:val="70"/>
                      <w:sz w:val="20"/>
                      <w:szCs w:val="20"/>
                      <w:lang w:eastAsia="zh-CN"/>
                    </w:rPr>
                    <w:t>华福</w:t>
                  </w:r>
                  <w:r>
                    <w:rPr>
                      <w:rFonts w:eastAsia="楷体_GB2312" w:cs="Calibri"/>
                      <w:w w:val="70"/>
                      <w:sz w:val="20"/>
                      <w:szCs w:val="20"/>
                    </w:rPr>
                    <w:t>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w:t>
                  </w:r>
                  <w:r>
                    <w:rPr>
                      <w:rFonts w:eastAsia="楷体_GB2312" w:cs="Calibri"/>
                      <w:w w:val="70"/>
                      <w:sz w:val="20"/>
                      <w:szCs w:val="20"/>
                      <w:lang w:eastAsia="zh-CN"/>
                    </w:rPr>
                    <w:t>/</w:t>
                  </w:r>
                  <w:r>
                    <w:rPr>
                      <w:rFonts w:eastAsia="楷体_GB2312" w:cs="Calibri"/>
                      <w:w w:val="70"/>
                      <w:sz w:val="20"/>
                      <w:szCs w:val="20"/>
                    </w:rPr>
                    <w:t>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w:t>
                  </w:r>
                  <w:r>
                    <w:rPr>
                      <w:rFonts w:hint="eastAsia" w:eastAsia="楷体_GB2312" w:cs="Calibri"/>
                      <w:w w:val="70"/>
                      <w:sz w:val="20"/>
                      <w:szCs w:val="20"/>
                      <w:lang w:eastAsia="zh-CN"/>
                    </w:rPr>
                    <w:t>华福国际</w:t>
                  </w:r>
                  <w:r>
                    <w:rPr>
                      <w:rFonts w:eastAsia="楷体_GB2312" w:cs="Calibri"/>
                      <w:w w:val="70"/>
                      <w:sz w:val="20"/>
                      <w:szCs w:val="20"/>
                    </w:rPr>
                    <w:t xml:space="preserve">及其董事、雇员或代理人对此均不承担任何责任。 </w:t>
                  </w:r>
                </w:p>
                <w:p>
                  <w:pPr>
                    <w:pStyle w:val="71"/>
                    <w:spacing w:after="60"/>
                    <w:rPr>
                      <w:rFonts w:eastAsia="楷体_GB2312" w:cs="Calibri"/>
                      <w:w w:val="70"/>
                      <w:sz w:val="20"/>
                      <w:szCs w:val="20"/>
                    </w:rPr>
                  </w:pPr>
                  <w:r>
                    <w:rPr>
                      <w:rFonts w:eastAsia="楷体_GB2312" w:cs="Calibri"/>
                      <w:w w:val="70"/>
                      <w:sz w:val="20"/>
                      <w:szCs w:val="20"/>
                    </w:rPr>
                    <w:t>除对本文内容承担责任的分析师除外，</w:t>
                  </w:r>
                  <w:r>
                    <w:rPr>
                      <w:rFonts w:hint="eastAsia" w:eastAsia="楷体_GB2312" w:cs="Calibri"/>
                      <w:w w:val="70"/>
                      <w:sz w:val="20"/>
                      <w:szCs w:val="20"/>
                      <w:lang w:eastAsia="zh-CN"/>
                    </w:rPr>
                    <w:t>华福国际</w:t>
                  </w:r>
                  <w:r>
                    <w:rPr>
                      <w:rFonts w:eastAsia="楷体_GB2312" w:cs="Calibri"/>
                      <w:w w:val="70"/>
                      <w:sz w:val="20"/>
                      <w:szCs w:val="20"/>
                    </w:rPr>
                    <w:t>及我们的关联公司、高级管理人员、董事和雇员，均可不时作为</w:t>
                  </w:r>
                  <w:r>
                    <w:rPr>
                      <w:rFonts w:eastAsia="楷体_GB2312" w:cs="Calibri"/>
                      <w:w w:val="70"/>
                      <w:sz w:val="20"/>
                      <w:szCs w:val="20"/>
                      <w:lang w:eastAsia="zh-CN"/>
                    </w:rPr>
                    <w:t>主事人</w:t>
                  </w:r>
                  <w:r>
                    <w:rPr>
                      <w:rFonts w:eastAsia="楷体_GB2312" w:cs="Calibri"/>
                      <w:w w:val="70"/>
                      <w:sz w:val="20"/>
                      <w:szCs w:val="20"/>
                    </w:rPr>
                    <w:t>就本文件所述的任何证券或衍生品持有长仓或短仓以及进行买卖。</w:t>
                  </w:r>
                  <w:r>
                    <w:rPr>
                      <w:rFonts w:hint="eastAsia" w:eastAsia="楷体_GB2312" w:cs="Calibri"/>
                      <w:w w:val="70"/>
                      <w:sz w:val="20"/>
                      <w:szCs w:val="20"/>
                      <w:lang w:eastAsia="zh-CN"/>
                    </w:rPr>
                    <w:t>华福国际</w:t>
                  </w:r>
                  <w:r>
                    <w:rPr>
                      <w:rFonts w:eastAsia="楷体_GB2312" w:cs="Calibri"/>
                      <w:w w:val="70"/>
                      <w:sz w:val="20"/>
                      <w:szCs w:val="20"/>
                    </w:rPr>
                    <w:t>的销售员、交易员和其他专业人士均可向</w:t>
                  </w:r>
                  <w:r>
                    <w:rPr>
                      <w:rFonts w:hint="eastAsia" w:eastAsia="楷体_GB2312" w:cs="Calibri"/>
                      <w:w w:val="70"/>
                      <w:sz w:val="20"/>
                      <w:szCs w:val="20"/>
                      <w:lang w:eastAsia="zh-CN"/>
                    </w:rPr>
                    <w:t>华福国际</w:t>
                  </w:r>
                  <w:r>
                    <w:rPr>
                      <w:rFonts w:eastAsia="楷体_GB2312" w:cs="Calibri"/>
                      <w:w w:val="70"/>
                      <w:sz w:val="20"/>
                      <w:szCs w:val="20"/>
                    </w:rPr>
                    <w:t>的相关客户和公司提供与本文件所述意见相反的口头或书面市场评论意见或交易策略</w:t>
                  </w:r>
                  <w:r>
                    <w:rPr>
                      <w:rFonts w:hint="eastAsia" w:eastAsia="楷体_GB2312" w:cs="Calibri"/>
                      <w:w w:val="70"/>
                      <w:sz w:val="20"/>
                      <w:szCs w:val="20"/>
                      <w:lang w:eastAsia="zh-CN"/>
                    </w:rPr>
                    <w:t>。华福国际</w:t>
                  </w:r>
                  <w:r>
                    <w:rPr>
                      <w:rFonts w:eastAsia="楷体_GB2312" w:cs="Calibri"/>
                      <w:w w:val="70"/>
                      <w:sz w:val="20"/>
                      <w:szCs w:val="20"/>
                    </w:rPr>
                    <w:t>可做出与本文件所述建议或意见不一致的投资决策。但</w:t>
                  </w:r>
                  <w:r>
                    <w:rPr>
                      <w:rFonts w:hint="eastAsia" w:eastAsia="楷体_GB2312" w:cs="Calibri"/>
                      <w:w w:val="70"/>
                      <w:sz w:val="20"/>
                      <w:szCs w:val="20"/>
                      <w:lang w:eastAsia="zh-CN"/>
                    </w:rPr>
                    <w:t>华福国际</w:t>
                  </w:r>
                  <w:r>
                    <w:rPr>
                      <w:rFonts w:eastAsia="楷体_GB2312" w:cs="Calibri"/>
                      <w:w w:val="70"/>
                      <w:sz w:val="20"/>
                      <w:szCs w:val="20"/>
                    </w:rPr>
                    <w:t>没有义务来确保本文件的收件人了解到该等交易</w:t>
                  </w:r>
                  <w:r>
                    <w:rPr>
                      <w:rFonts w:eastAsia="楷体_GB2312" w:cs="Calibri"/>
                      <w:w w:val="70"/>
                      <w:sz w:val="20"/>
                      <w:szCs w:val="20"/>
                      <w:lang w:eastAsia="zh-CN"/>
                    </w:rPr>
                    <w:t>决定、</w:t>
                  </w:r>
                  <w:r>
                    <w:rPr>
                      <w:rFonts w:eastAsia="楷体_GB2312" w:cs="Calibri"/>
                      <w:w w:val="70"/>
                      <w:sz w:val="20"/>
                      <w:szCs w:val="20"/>
                    </w:rPr>
                    <w:t>思路或建议。</w:t>
                  </w:r>
                </w:p>
                <w:p>
                  <w:pPr>
                    <w:pStyle w:val="71"/>
                    <w:spacing w:after="60"/>
                    <w:rPr>
                      <w:rFonts w:eastAsia="楷体_GB2312" w:cs="Calibri"/>
                      <w:snapToGrid/>
                      <w:w w:val="70"/>
                      <w:sz w:val="20"/>
                      <w:szCs w:val="20"/>
                    </w:rPr>
                  </w:pPr>
                  <w:r>
                    <w:rPr>
                      <w:rFonts w:eastAsia="楷体_GB2312" w:cs="Calibri"/>
                      <w:snapToGrid/>
                      <w:w w:val="70"/>
                      <w:sz w:val="20"/>
                      <w:szCs w:val="20"/>
                    </w:rPr>
                    <w:t>请访问</w:t>
                  </w:r>
                  <w:r>
                    <w:rPr>
                      <w:rFonts w:hint="eastAsia"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网站</w:t>
                  </w:r>
                  <w:r>
                    <w:rPr>
                      <w:rFonts w:eastAsia="楷体_GB2312" w:cs="Calibri"/>
                      <w:snapToGrid/>
                      <w:w w:val="70"/>
                      <w:sz w:val="20"/>
                      <w:szCs w:val="20"/>
                      <w:lang w:eastAsia="zh-CN"/>
                    </w:rPr>
                    <w:t xml:space="preserve"> </w:t>
                  </w:r>
                  <w:r>
                    <w:fldChar w:fldCharType="begin"/>
                  </w:r>
                  <w:r>
                    <w:instrText xml:space="preserve"> HYPERLINK "http://www.equities.htisec.com" </w:instrText>
                  </w:r>
                  <w:r>
                    <w:fldChar w:fldCharType="separate"/>
                  </w:r>
                  <w:r>
                    <w:rPr>
                      <w:rFonts w:eastAsia="楷体_GB2312" w:cs="Calibri"/>
                      <w:snapToGrid/>
                      <w:color w:val="0000FF"/>
                      <w:w w:val="70"/>
                      <w:sz w:val="20"/>
                      <w:szCs w:val="20"/>
                      <w:u w:val="single"/>
                      <w:lang w:eastAsia="zh-CN"/>
                    </w:rPr>
                    <w:t>www.</w:t>
                  </w:r>
                  <w:r>
                    <w:rPr>
                      <w:rFonts w:hint="eastAsia" w:eastAsia="楷体_GB2312" w:cs="Calibri"/>
                      <w:snapToGrid/>
                      <w:color w:val="0000FF"/>
                      <w:w w:val="70"/>
                      <w:sz w:val="20"/>
                      <w:szCs w:val="20"/>
                      <w:u w:val="single"/>
                      <w:lang w:eastAsia="zh-CN"/>
                    </w:rPr>
                    <w:t>hfisec.</w:t>
                  </w:r>
                  <w:r>
                    <w:rPr>
                      <w:rFonts w:eastAsia="楷体_GB2312" w:cs="Calibri"/>
                      <w:snapToGrid/>
                      <w:color w:val="0000FF"/>
                      <w:w w:val="70"/>
                      <w:sz w:val="20"/>
                      <w:szCs w:val="20"/>
                      <w:u w:val="single"/>
                      <w:lang w:eastAsia="zh-CN"/>
                    </w:rPr>
                    <w:t>com</w:t>
                  </w:r>
                  <w:r>
                    <w:rPr>
                      <w:rFonts w:eastAsia="楷体_GB2312" w:cs="Calibri"/>
                      <w:snapToGrid/>
                      <w:color w:val="0000FF"/>
                      <w:w w:val="70"/>
                      <w:sz w:val="20"/>
                      <w:szCs w:val="20"/>
                      <w:u w:val="single"/>
                      <w:lang w:eastAsia="zh-CN"/>
                    </w:rPr>
                    <w:fldChar w:fldCharType="end"/>
                  </w:r>
                  <w:r>
                    <w:rPr>
                      <w:rFonts w:hint="eastAsia" w:eastAsia="楷体_GB2312" w:cs="Calibri"/>
                      <w:snapToGrid/>
                      <w:color w:val="0000FF"/>
                      <w:w w:val="70"/>
                      <w:sz w:val="20"/>
                      <w:szCs w:val="20"/>
                      <w:u w:val="single"/>
                      <w:lang w:eastAsia="zh-CN"/>
                    </w:rPr>
                    <w:t>.hk</w:t>
                  </w:r>
                  <w:r>
                    <w:rPr>
                      <w:rFonts w:eastAsia="楷体_GB2312" w:cs="Calibri"/>
                      <w:snapToGrid/>
                      <w:w w:val="70"/>
                      <w:sz w:val="20"/>
                      <w:szCs w:val="20"/>
                      <w:lang w:eastAsia="zh-CN"/>
                    </w:rPr>
                    <w:t xml:space="preserve"> </w:t>
                  </w:r>
                  <w:r>
                    <w:rPr>
                      <w:rFonts w:eastAsia="楷体_GB2312" w:cs="Calibri"/>
                      <w:snapToGrid/>
                      <w:w w:val="70"/>
                      <w:sz w:val="20"/>
                      <w:szCs w:val="20"/>
                    </w:rPr>
                    <w:t>，查阅更多有关</w:t>
                  </w:r>
                  <w:r>
                    <w:rPr>
                      <w:rFonts w:hint="eastAsia"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为预防和避免利益冲突设立的组织和行政安排的内容信息。</w:t>
                  </w:r>
                </w:p>
                <w:p>
                  <w:pPr>
                    <w:pStyle w:val="71"/>
                    <w:spacing w:after="40"/>
                    <w:rPr>
                      <w:rFonts w:eastAsia="楷体_GB2312" w:cs="Calibri"/>
                      <w:b/>
                      <w:bCs/>
                      <w:w w:val="70"/>
                      <w:sz w:val="20"/>
                      <w:szCs w:val="20"/>
                    </w:rPr>
                  </w:pPr>
                  <w:r>
                    <w:rPr>
                      <w:rFonts w:eastAsia="楷体_GB2312" w:cs="Calibri"/>
                      <w:b/>
                      <w:bCs/>
                      <w:w w:val="70"/>
                      <w:sz w:val="20"/>
                      <w:szCs w:val="20"/>
                    </w:rPr>
                    <w:t>IMPORTANT DISCLAIMER</w:t>
                  </w:r>
                </w:p>
                <w:p>
                  <w:pPr>
                    <w:pStyle w:val="71"/>
                    <w:spacing w:after="40"/>
                    <w:rPr>
                      <w:rFonts w:eastAsia="楷体_GB2312" w:cs="Calibri"/>
                      <w:w w:val="70"/>
                      <w:sz w:val="20"/>
                      <w:szCs w:val="20"/>
                    </w:rPr>
                  </w:pPr>
                  <w:r>
                    <w:rPr>
                      <w:rFonts w:eastAsia="楷体_GB2312" w:cs="Calibri"/>
                      <w:w w:val="70"/>
                      <w:sz w:val="20"/>
                      <w:szCs w:val="20"/>
                    </w:rPr>
                    <w:t xml:space="preserve">The research report is issued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pPr>
                    <w:pStyle w:val="71"/>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hint="eastAsia" w:eastAsia="楷体_GB2312" w:cs="Calibri"/>
                      <w:w w:val="70"/>
                      <w:sz w:val="20"/>
                      <w:szCs w:val="20"/>
                      <w:lang w:eastAsia="zh-CN"/>
                    </w:rPr>
                    <w:t>HuaFu International</w:t>
                  </w:r>
                  <w:r>
                    <w:rPr>
                      <w:rFonts w:eastAsia="楷体_GB2312" w:cs="Calibri"/>
                      <w:w w:val="70"/>
                      <w:sz w:val="20"/>
                      <w:szCs w:val="20"/>
                    </w:rPr>
                    <w:t xml:space="preserve"> or any other </w:t>
                  </w:r>
                  <w:r>
                    <w:rPr>
                      <w:rFonts w:hint="eastAsia" w:eastAsia="楷体_GB2312" w:cs="Calibri"/>
                      <w:w w:val="70"/>
                      <w:sz w:val="20"/>
                      <w:szCs w:val="20"/>
                      <w:lang w:eastAsia="zh-CN"/>
                    </w:rPr>
                    <w:t xml:space="preserve">related </w:t>
                  </w:r>
                  <w:r>
                    <w:rPr>
                      <w:rFonts w:eastAsia="楷体_GB2312" w:cs="Calibri"/>
                      <w:w w:val="70"/>
                      <w:sz w:val="20"/>
                      <w:szCs w:val="20"/>
                    </w:rPr>
                    <w:t>members</w:t>
                  </w:r>
                  <w:r>
                    <w:rPr>
                      <w:rFonts w:hint="eastAsia" w:eastAsia="楷体_GB2312" w:cs="Calibri"/>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hint="eastAsia" w:eastAsia="楷体_GB2312" w:cs="Calibri"/>
                      <w:w w:val="70"/>
                      <w:sz w:val="20"/>
                      <w:szCs w:val="20"/>
                      <w:lang w:eastAsia="zh-CN"/>
                    </w:rPr>
                    <w:t>HuaFu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pPr>
                    <w:pStyle w:val="71"/>
                    <w:spacing w:after="40"/>
                    <w:rPr>
                      <w:rFonts w:eastAsia="楷体_GB2312" w:cs="Calibri"/>
                      <w:w w:val="70"/>
                      <w:sz w:val="20"/>
                      <w:szCs w:val="20"/>
                    </w:rPr>
                  </w:pPr>
                  <w:r>
                    <w:rPr>
                      <w:rFonts w:hint="eastAsia" w:eastAsia="楷体_GB2312" w:cs="Calibri"/>
                      <w:w w:val="70"/>
                      <w:sz w:val="20"/>
                      <w:szCs w:val="20"/>
                      <w:lang w:eastAsia="zh-CN"/>
                    </w:rPr>
                    <w:t>HuaFu International</w:t>
                  </w:r>
                  <w:r>
                    <w:rPr>
                      <w:rFonts w:eastAsia="楷体_GB2312" w:cs="Calibri"/>
                      <w:w w:val="70"/>
                      <w:sz w:val="20"/>
                      <w:szCs w:val="20"/>
                    </w:rPr>
                    <w:t xml:space="preserve"> and </w:t>
                  </w:r>
                  <w:r>
                    <w:rPr>
                      <w:rFonts w:hint="eastAsia" w:eastAsia="楷体_GB2312" w:cs="Calibri"/>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hint="eastAsia" w:eastAsia="楷体_GB2312" w:cs="Calibri"/>
                      <w:w w:val="70"/>
                      <w:sz w:val="20"/>
                      <w:szCs w:val="20"/>
                      <w:lang w:eastAsia="zh-CN"/>
                    </w:rPr>
                    <w:t xml:space="preserve">HuaFu International </w:t>
                  </w:r>
                  <w:r>
                    <w:rPr>
                      <w:rFonts w:eastAsia="楷体_GB2312" w:cs="Calibri"/>
                      <w:w w:val="70"/>
                      <w:sz w:val="20"/>
                      <w:szCs w:val="20"/>
                    </w:rPr>
                    <w:t xml:space="preserve">may provide oral or written market commentary or trading strategies to the relevant clients and the companies within </w:t>
                  </w:r>
                  <w:r>
                    <w:rPr>
                      <w:rFonts w:hint="eastAsia" w:eastAsia="楷体_GB2312" w:cs="Calibri"/>
                      <w:w w:val="70"/>
                      <w:sz w:val="20"/>
                      <w:szCs w:val="20"/>
                      <w:lang w:eastAsia="zh-CN"/>
                    </w:rPr>
                    <w:t>HuaFu International</w:t>
                  </w:r>
                  <w:r>
                    <w:rPr>
                      <w:rFonts w:eastAsia="楷体_GB2312" w:cs="Calibri"/>
                      <w:w w:val="70"/>
                      <w:sz w:val="20"/>
                      <w:szCs w:val="20"/>
                    </w:rPr>
                    <w:t xml:space="preserve"> that reflect opinions that are contrary to the opinions expressed in this research report. </w:t>
                  </w:r>
                  <w:r>
                    <w:rPr>
                      <w:rFonts w:hint="eastAsia" w:eastAsia="楷体_GB2312" w:cs="Calibri"/>
                      <w:w w:val="70"/>
                      <w:sz w:val="20"/>
                      <w:szCs w:val="20"/>
                      <w:lang w:eastAsia="zh-CN"/>
                    </w:rPr>
                    <w:t>HuaFu Internatioal</w:t>
                  </w:r>
                  <w:r>
                    <w:rPr>
                      <w:rFonts w:eastAsia="楷体_GB2312" w:cs="Calibri"/>
                      <w:w w:val="70"/>
                      <w:sz w:val="20"/>
                      <w:szCs w:val="20"/>
                    </w:rPr>
                    <w:t xml:space="preserve"> may make investment decisions that are inconsistent with the recommendations or views expressed in this research report. </w:t>
                  </w:r>
                  <w:r>
                    <w:rPr>
                      <w:rFonts w:hint="eastAsia" w:eastAsia="楷体_GB2312" w:cs="Calibri"/>
                      <w:w w:val="70"/>
                      <w:sz w:val="20"/>
                      <w:szCs w:val="20"/>
                      <w:lang w:eastAsia="zh-CN"/>
                    </w:rPr>
                    <w:t xml:space="preserve">HuaFu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pPr>
                    <w:pStyle w:val="71"/>
                    <w:spacing w:after="40"/>
                    <w:rPr>
                      <w:rFonts w:eastAsia="楷体_GB2312" w:cs="Calibri"/>
                      <w:bCs/>
                      <w:w w:val="70"/>
                      <w:sz w:val="20"/>
                      <w:szCs w:val="20"/>
                    </w:rPr>
                  </w:pPr>
                  <w:r>
                    <w:rPr>
                      <w:rFonts w:eastAsia="楷体_GB2312" w:cs="Calibri"/>
                      <w:bCs/>
                      <w:w w:val="70"/>
                      <w:sz w:val="20"/>
                      <w:szCs w:val="20"/>
                    </w:rPr>
                    <w:t xml:space="preserve">Please refer to XXX’s website </w:t>
                  </w:r>
                  <w:r>
                    <w:fldChar w:fldCharType="begin"/>
                  </w:r>
                  <w:r>
                    <w:instrText xml:space="preserve"> HYPERLINK "http://www.equities.htisec.com" </w:instrText>
                  </w:r>
                  <w:r>
                    <w:fldChar w:fldCharType="separate"/>
                  </w:r>
                  <w:r>
                    <w:rPr>
                      <w:rStyle w:val="23"/>
                      <w:rFonts w:eastAsia="楷体_GB2312" w:cs="Calibri"/>
                      <w:w w:val="70"/>
                      <w:sz w:val="20"/>
                      <w:szCs w:val="20"/>
                    </w:rPr>
                    <w:t>www.</w:t>
                  </w:r>
                  <w:r>
                    <w:rPr>
                      <w:rStyle w:val="23"/>
                      <w:rFonts w:hint="eastAsia" w:eastAsia="楷体_GB2312" w:cs="Calibri"/>
                      <w:w w:val="70"/>
                      <w:sz w:val="20"/>
                      <w:szCs w:val="20"/>
                      <w:lang w:eastAsia="zh-CN"/>
                    </w:rPr>
                    <w:t>hfisec</w:t>
                  </w:r>
                  <w:r>
                    <w:rPr>
                      <w:rStyle w:val="23"/>
                      <w:rFonts w:eastAsia="楷体_GB2312" w:cs="Calibri"/>
                      <w:w w:val="70"/>
                      <w:sz w:val="20"/>
                      <w:szCs w:val="20"/>
                    </w:rPr>
                    <w:t>.com</w:t>
                  </w:r>
                  <w:r>
                    <w:rPr>
                      <w:rStyle w:val="23"/>
                      <w:rFonts w:eastAsia="楷体_GB2312" w:cs="Calibri"/>
                      <w:w w:val="70"/>
                      <w:sz w:val="20"/>
                      <w:szCs w:val="20"/>
                    </w:rPr>
                    <w:fldChar w:fldCharType="end"/>
                  </w:r>
                  <w:r>
                    <w:rPr>
                      <w:rStyle w:val="23"/>
                      <w:rFonts w:hint="eastAsia" w:eastAsia="楷体_GB2312" w:cs="Calibri"/>
                      <w:w w:val="70"/>
                      <w:sz w:val="20"/>
                      <w:szCs w:val="20"/>
                      <w:lang w:eastAsia="zh-CN"/>
                    </w:rPr>
                    <w:t>.hk</w:t>
                  </w:r>
                  <w:r>
                    <w:rPr>
                      <w:rFonts w:eastAsia="楷体_GB2312" w:cs="Calibri"/>
                      <w:w w:val="70"/>
                      <w:sz w:val="20"/>
                      <w:szCs w:val="20"/>
                    </w:rPr>
                    <w:t xml:space="preserve"> </w:t>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 xml:space="preserve">s </w:t>
                  </w:r>
                  <w:r>
                    <w:rPr>
                      <w:rFonts w:eastAsia="楷体_GB2312" w:cs="Calibri"/>
                      <w:bCs/>
                      <w:w w:val="70"/>
                      <w:sz w:val="20"/>
                      <w:szCs w:val="20"/>
                    </w:rPr>
                    <w:t>organizational and administrative arrangements set up for the prevention and avoidance of conflicts of interest with respect to Research.</w:t>
                  </w:r>
                </w:p>
                <w:p>
                  <w:pPr>
                    <w:pStyle w:val="71"/>
                    <w:spacing w:after="60"/>
                    <w:rPr>
                      <w:rFonts w:eastAsia="楷体_GB2312" w:cs="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b/>
                      <w:snapToGrid/>
                      <w:w w:val="70"/>
                      <w:sz w:val="20"/>
                      <w:szCs w:val="20"/>
                    </w:rPr>
                  </w:pPr>
                  <w:r>
                    <w:rPr>
                      <w:rFonts w:eastAsia="楷体_GB2312" w:cs="Calibri"/>
                      <w:b/>
                      <w:snapToGrid/>
                      <w:w w:val="70"/>
                      <w:sz w:val="20"/>
                      <w:szCs w:val="20"/>
                    </w:rPr>
                    <w:t>分发和地区通知：</w:t>
                  </w:r>
                </w:p>
                <w:p>
                  <w:pPr>
                    <w:pStyle w:val="71"/>
                    <w:spacing w:after="60"/>
                    <w:rPr>
                      <w:rFonts w:eastAsia="楷体_GB2312" w:cs="Calibri"/>
                      <w:snapToGrid/>
                      <w:w w:val="70"/>
                      <w:sz w:val="20"/>
                      <w:szCs w:val="20"/>
                    </w:rPr>
                  </w:pPr>
                  <w:r>
                    <w:rPr>
                      <w:rFonts w:eastAsia="楷体_GB2312" w:cs="Calibri"/>
                      <w:snapToGrid/>
                      <w:w w:val="70"/>
                      <w:sz w:val="20"/>
                      <w:szCs w:val="20"/>
                    </w:rPr>
                    <w:t>除非下文另有规定，否则任何希望讨论本报告或者就本项研究中讨论的任何证券进行任何交易的收件人均应联系其所在国家或地区的</w:t>
                  </w:r>
                  <w:r>
                    <w:rPr>
                      <w:rFonts w:hint="eastAsia" w:eastAsia="楷体_GB2312" w:cs="Calibri"/>
                      <w:snapToGrid/>
                      <w:w w:val="70"/>
                      <w:sz w:val="20"/>
                      <w:szCs w:val="20"/>
                      <w:lang w:eastAsia="zh-CN"/>
                    </w:rPr>
                    <w:t>华福</w:t>
                  </w:r>
                  <w:r>
                    <w:rPr>
                      <w:rFonts w:eastAsia="楷体_GB2312" w:cs="Calibri"/>
                      <w:snapToGrid/>
                      <w:w w:val="70"/>
                      <w:sz w:val="20"/>
                      <w:szCs w:val="20"/>
                    </w:rPr>
                    <w:t xml:space="preserve">国际销售人员。  </w:t>
                  </w:r>
                </w:p>
                <w:p>
                  <w:pPr>
                    <w:pStyle w:val="71"/>
                    <w:spacing w:after="60"/>
                    <w:rPr>
                      <w:rFonts w:eastAsia="楷体_GB2312" w:cs="Calibri"/>
                      <w:snapToGrid/>
                      <w:w w:val="70"/>
                      <w:sz w:val="20"/>
                      <w:szCs w:val="20"/>
                    </w:rPr>
                  </w:pPr>
                  <w:r>
                    <w:rPr>
                      <w:rFonts w:eastAsia="楷体_GB2312" w:cs="Calibri"/>
                      <w:b/>
                      <w:snapToGrid/>
                      <w:w w:val="70"/>
                      <w:sz w:val="20"/>
                      <w:szCs w:val="20"/>
                    </w:rPr>
                    <w:t>香港投资者的通知事项：</w:t>
                  </w:r>
                  <w:r>
                    <w:rPr>
                      <w:rFonts w:hint="eastAsia" w:eastAsia="楷体_GB2312" w:cs="Calibri"/>
                      <w:bCs/>
                      <w:snapToGrid/>
                      <w:w w:val="70"/>
                      <w:sz w:val="20"/>
                      <w:szCs w:val="20"/>
                      <w:lang w:eastAsia="zh-CN"/>
                    </w:rPr>
                    <w:t>华福</w:t>
                  </w:r>
                  <w:r>
                    <w:rPr>
                      <w:rFonts w:eastAsia="楷体_GB2312" w:cs="Calibri"/>
                      <w:snapToGrid/>
                      <w:w w:val="70"/>
                      <w:sz w:val="20"/>
                      <w:szCs w:val="20"/>
                    </w:rPr>
                    <w:t>国际负责分发该研究报告，</w:t>
                  </w:r>
                  <w:r>
                    <w:rPr>
                      <w:rFonts w:hint="eastAsia" w:eastAsia="楷体_GB2312" w:cs="Calibri"/>
                      <w:snapToGrid/>
                      <w:w w:val="70"/>
                      <w:sz w:val="20"/>
                      <w:szCs w:val="20"/>
                      <w:lang w:eastAsia="zh-CN"/>
                    </w:rPr>
                    <w:t>华福国际</w:t>
                  </w:r>
                  <w:r>
                    <w:rPr>
                      <w:rFonts w:eastAsia="楷体_GB2312" w:cs="Calibri"/>
                      <w:snapToGrid/>
                      <w:w w:val="70"/>
                      <w:sz w:val="20"/>
                      <w:szCs w:val="20"/>
                      <w:lang w:eastAsia="zh-CN"/>
                    </w:rPr>
                    <w:t>是</w:t>
                  </w:r>
                  <w:r>
                    <w:rPr>
                      <w:rFonts w:eastAsia="楷体_GB2312" w:cs="Calibri"/>
                      <w:snapToGrid/>
                      <w:w w:val="70"/>
                      <w:sz w:val="20"/>
                      <w:szCs w:val="20"/>
                    </w:rPr>
                    <w:t>在香港有权实施第</w:t>
                  </w:r>
                  <w:r>
                    <w:rPr>
                      <w:rFonts w:eastAsia="楷体_GB2312" w:cs="Calibri"/>
                      <w:snapToGrid/>
                      <w:w w:val="70"/>
                      <w:sz w:val="20"/>
                      <w:szCs w:val="20"/>
                      <w:lang w:eastAsia="zh-CN"/>
                    </w:rPr>
                    <w:t>1</w:t>
                  </w:r>
                  <w:r>
                    <w:rPr>
                      <w:rFonts w:eastAsia="楷体_GB2312" w:cs="Calibri"/>
                      <w:snapToGrid/>
                      <w:w w:val="70"/>
                      <w:sz w:val="20"/>
                      <w:szCs w:val="20"/>
                    </w:rPr>
                    <w:t>类受规管活动（从事证券交易）的持牌公司。该研究报告并不构成《证券及期货条例》</w:t>
                  </w:r>
                  <w:r>
                    <w:rPr>
                      <w:rFonts w:eastAsia="楷体_GB2312" w:cs="Calibri"/>
                      <w:w w:val="70"/>
                      <w:sz w:val="20"/>
                      <w:szCs w:val="20"/>
                    </w:rPr>
                    <w:t>（</w:t>
                  </w:r>
                  <w:r>
                    <w:rPr>
                      <w:rFonts w:eastAsia="楷体_GB2312" w:cs="Calibri"/>
                      <w:snapToGrid/>
                      <w:w w:val="70"/>
                      <w:sz w:val="20"/>
                      <w:szCs w:val="20"/>
                    </w:rPr>
                    <w:t>香港法例第</w:t>
                  </w:r>
                  <w:r>
                    <w:rPr>
                      <w:rFonts w:eastAsia="楷体_GB2312" w:cs="Calibri"/>
                      <w:snapToGrid/>
                      <w:w w:val="70"/>
                      <w:sz w:val="20"/>
                      <w:szCs w:val="20"/>
                      <w:lang w:eastAsia="zh-CN"/>
                    </w:rPr>
                    <w:t>571</w:t>
                  </w:r>
                  <w:r>
                    <w:rPr>
                      <w:rFonts w:eastAsia="楷体_GB2312" w:cs="Calibri"/>
                      <w:snapToGrid/>
                      <w:w w:val="70"/>
                      <w:sz w:val="20"/>
                      <w:szCs w:val="20"/>
                    </w:rPr>
                    <w:t>章</w:t>
                  </w:r>
                  <w:r>
                    <w:rPr>
                      <w:rFonts w:eastAsia="楷体_GB2312" w:cs="Calibri"/>
                      <w:w w:val="70"/>
                      <w:sz w:val="20"/>
                      <w:szCs w:val="20"/>
                    </w:rPr>
                    <w:t>）（</w:t>
                  </w:r>
                  <w:r>
                    <w:rPr>
                      <w:rFonts w:eastAsia="楷体_GB2312" w:cs="Calibri"/>
                      <w:snapToGrid/>
                      <w:w w:val="70"/>
                      <w:sz w:val="20"/>
                      <w:szCs w:val="20"/>
                    </w:rPr>
                    <w:t>以下简称“</w:t>
                  </w:r>
                  <w:r>
                    <w:rPr>
                      <w:rFonts w:eastAsia="楷体_GB2312" w:cs="Calibri"/>
                      <w:snapToGrid/>
                      <w:w w:val="70"/>
                      <w:sz w:val="20"/>
                      <w:szCs w:val="20"/>
                      <w:lang w:eastAsia="zh-CN"/>
                    </w:rPr>
                    <w:t>SFO”</w:t>
                  </w:r>
                  <w:r>
                    <w:rPr>
                      <w:rFonts w:eastAsia="楷体_GB2312" w:cs="Calibri"/>
                      <w:w w:val="70"/>
                      <w:sz w:val="20"/>
                      <w:szCs w:val="20"/>
                    </w:rPr>
                    <w:t>）</w:t>
                  </w:r>
                  <w:r>
                    <w:rPr>
                      <w:rFonts w:eastAsia="楷体_GB2312" w:cs="Calibri"/>
                      <w:snapToGrid/>
                      <w:w w:val="70"/>
                      <w:sz w:val="20"/>
                      <w:szCs w:val="20"/>
                    </w:rPr>
                    <w:t>所界定的要约邀请，证券要约或公众要约。本研究报告仅提供给</w:t>
                  </w:r>
                  <w:r>
                    <w:rPr>
                      <w:rFonts w:eastAsia="楷体_GB2312" w:cs="Calibri"/>
                      <w:snapToGrid/>
                      <w:w w:val="70"/>
                      <w:sz w:val="20"/>
                      <w:szCs w:val="20"/>
                      <w:lang w:eastAsia="zh-CN"/>
                    </w:rPr>
                    <w:t>SFO</w:t>
                  </w:r>
                  <w:r>
                    <w:rPr>
                      <w:rFonts w:eastAsia="楷体_GB2312" w:cs="Calibri"/>
                      <w:snapToGrid/>
                      <w:w w:val="70"/>
                      <w:sz w:val="20"/>
                      <w:szCs w:val="20"/>
                    </w:rPr>
                    <w:t>所界定的“专业投资者”。本研究报告未经过证券及期货事务监察委员会的审查。您不应仅根据本研究报告中所载的信息做出投资决定。本研究报告的收件人就研究报告中产生或与之相关的任何事宜请联系</w:t>
                  </w:r>
                  <w:r>
                    <w:rPr>
                      <w:rFonts w:hint="eastAsia" w:eastAsia="楷体_GB2312" w:cs="Calibri"/>
                      <w:snapToGrid/>
                      <w:w w:val="70"/>
                      <w:sz w:val="20"/>
                      <w:szCs w:val="20"/>
                      <w:lang w:eastAsia="zh-CN"/>
                    </w:rPr>
                    <w:t>华福国际</w:t>
                  </w:r>
                  <w:r>
                    <w:rPr>
                      <w:rFonts w:eastAsia="楷体_GB2312" w:cs="Calibri"/>
                      <w:snapToGrid/>
                      <w:w w:val="70"/>
                      <w:sz w:val="20"/>
                      <w:szCs w:val="20"/>
                    </w:rPr>
                    <w:t>销售人员。</w:t>
                  </w:r>
                </w:p>
                <w:p>
                  <w:pPr>
                    <w:pStyle w:val="71"/>
                    <w:spacing w:after="40"/>
                    <w:rPr>
                      <w:rFonts w:eastAsia="楷体_GB2312" w:cs="Calibri"/>
                      <w:b/>
                      <w:bCs/>
                      <w:w w:val="70"/>
                      <w:sz w:val="20"/>
                      <w:szCs w:val="20"/>
                    </w:rPr>
                  </w:pPr>
                  <w:r>
                    <w:rPr>
                      <w:rFonts w:eastAsia="楷体_GB2312" w:cs="Calibri"/>
                      <w:b/>
                      <w:bCs/>
                      <w:w w:val="70"/>
                      <w:sz w:val="20"/>
                      <w:szCs w:val="20"/>
                    </w:rPr>
                    <w:t>DISTRIBUTION AND REGIONAL NOTICES</w:t>
                  </w:r>
                </w:p>
                <w:p>
                  <w:pPr>
                    <w:pStyle w:val="71"/>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r>
                    <w:rPr>
                      <w:rFonts w:hint="eastAsia" w:eastAsia="楷体_GB2312" w:cs="Calibri"/>
                      <w:w w:val="70"/>
                      <w:sz w:val="20"/>
                      <w:szCs w:val="20"/>
                      <w:lang w:eastAsia="zh-CN"/>
                    </w:rPr>
                    <w:t>HuaFu International</w:t>
                  </w:r>
                  <w:r>
                    <w:rPr>
                      <w:rFonts w:eastAsia="楷体_GB2312" w:cs="Calibri"/>
                      <w:w w:val="70"/>
                      <w:sz w:val="20"/>
                      <w:szCs w:val="20"/>
                    </w:rPr>
                    <w:t xml:space="preserve">’s research should contact the </w:t>
                  </w:r>
                  <w:r>
                    <w:rPr>
                      <w:rFonts w:hint="eastAsia" w:eastAsia="楷体_GB2312" w:cs="Calibri"/>
                      <w:w w:val="70"/>
                      <w:sz w:val="20"/>
                      <w:szCs w:val="20"/>
                      <w:lang w:eastAsia="zh-CN"/>
                    </w:rPr>
                    <w:t xml:space="preserve">HuaFu </w:t>
                  </w:r>
                  <w:r>
                    <w:rPr>
                      <w:rFonts w:eastAsia="楷体_GB2312" w:cs="Calibri"/>
                      <w:w w:val="70"/>
                      <w:sz w:val="20"/>
                      <w:szCs w:val="20"/>
                    </w:rPr>
                    <w:t xml:space="preserve">International salesperson in their own country or region.  </w:t>
                  </w:r>
                </w:p>
                <w:p>
                  <w:pPr>
                    <w:pStyle w:val="71"/>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hint="eastAsia" w:eastAsia="楷体_GB2312" w:cs="Calibri"/>
                      <w:w w:val="70"/>
                      <w:sz w:val="20"/>
                      <w:szCs w:val="20"/>
                      <w:lang w:eastAsia="zh-CN"/>
                    </w:rPr>
                    <w:t>HuaFu International</w:t>
                  </w:r>
                  <w:r>
                    <w:rPr>
                      <w:rFonts w:eastAsia="楷体_GB2312" w:cs="Calibri"/>
                      <w:w w:val="70"/>
                      <w:sz w:val="20"/>
                      <w:szCs w:val="20"/>
                    </w:rPr>
                    <w:t xml:space="preserve"> salespersons in respect of any matters arising from, or in connection with, the research report.</w:t>
                  </w:r>
                </w:p>
                <w:p>
                  <w:pPr>
                    <w:pStyle w:val="71"/>
                    <w:spacing w:after="60"/>
                    <w:rPr>
                      <w:rFonts w:eastAsia="楷体_GB2312" w:cs="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w w:val="70"/>
                      <w:sz w:val="20"/>
                      <w:szCs w:val="20"/>
                    </w:rPr>
                  </w:pPr>
                  <w:r>
                    <w:rPr>
                      <w:rFonts w:eastAsia="楷体_GB2312" w:cs="Calibri"/>
                      <w:b/>
                      <w:w w:val="70"/>
                      <w:sz w:val="20"/>
                      <w:szCs w:val="20"/>
                    </w:rPr>
                    <w:t>中华人民共和国的通知事项：</w:t>
                  </w:r>
                  <w:r>
                    <w:rPr>
                      <w:rFonts w:eastAsia="楷体_GB2312" w:cs="Calibri"/>
                      <w:w w:val="70"/>
                      <w:sz w:val="20"/>
                      <w:szCs w:val="20"/>
                    </w:rPr>
                    <w:t>在中华人民共和国</w:t>
                  </w:r>
                  <w:r>
                    <w:rPr>
                      <w:rFonts w:eastAsia="楷体_GB2312" w:cs="Calibri"/>
                      <w:snapToGrid/>
                      <w:w w:val="70"/>
                      <w:sz w:val="20"/>
                      <w:szCs w:val="20"/>
                    </w:rPr>
                    <w:t>（</w:t>
                  </w:r>
                  <w:r>
                    <w:rPr>
                      <w:rFonts w:eastAsia="楷体_GB2312" w:cs="Calibri"/>
                      <w:w w:val="70"/>
                      <w:sz w:val="20"/>
                      <w:szCs w:val="20"/>
                    </w:rPr>
                    <w:t>下称“中国”，就本报告目的而言，不包括香港特别行政区、澳门特别行政区和台湾）只有根据适用的中国法律法规而收到该材料的人员方可使用该材料。并且根据相关法律法规，该材料中的信息并不构成“在中国从事生产、经营活动”。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pPr>
                    <w:pStyle w:val="71"/>
                    <w:spacing w:after="60"/>
                    <w:rPr>
                      <w:rFonts w:eastAsia="楷体_GB2312" w:cs="Calibri"/>
                      <w:w w:val="70"/>
                      <w:sz w:val="20"/>
                      <w:szCs w:val="20"/>
                    </w:rPr>
                  </w:pPr>
                  <w:r>
                    <w:rPr>
                      <w:rFonts w:eastAsia="楷体_GB2312" w:cs="Calibri"/>
                      <w:w w:val="70"/>
                      <w:sz w:val="20"/>
                      <w:szCs w:val="20"/>
                    </w:rPr>
                    <w:t>本项研究仅供收件人使用，未经</w:t>
                  </w:r>
                  <w:r>
                    <w:rPr>
                      <w:rFonts w:hint="eastAsia" w:eastAsia="楷体_GB2312" w:cs="Calibri"/>
                      <w:w w:val="70"/>
                      <w:sz w:val="20"/>
                      <w:szCs w:val="20"/>
                      <w:lang w:eastAsia="zh-CN"/>
                    </w:rPr>
                    <w:t>华福</w:t>
                  </w:r>
                  <w:r>
                    <w:rPr>
                      <w:rFonts w:eastAsia="楷体_GB2312" w:cs="Calibri"/>
                      <w:w w:val="70"/>
                      <w:sz w:val="20"/>
                      <w:szCs w:val="20"/>
                    </w:rPr>
                    <w:t>国际的书面同意不得予以复制和再次分发。</w:t>
                  </w:r>
                </w:p>
                <w:p>
                  <w:pPr>
                    <w:pStyle w:val="71"/>
                    <w:rPr>
                      <w:rFonts w:eastAsia="楷体_GB2312" w:cs="Calibri"/>
                      <w:w w:val="70"/>
                      <w:sz w:val="20"/>
                      <w:szCs w:val="20"/>
                    </w:rPr>
                  </w:pPr>
                  <w:r>
                    <w:rPr>
                      <w:rFonts w:eastAsia="楷体_GB2312" w:cs="Calibri"/>
                      <w:w w:val="70"/>
                      <w:sz w:val="20"/>
                      <w:szCs w:val="20"/>
                    </w:rPr>
                    <w:t>版权所有：</w:t>
                  </w:r>
                  <w:r>
                    <w:rPr>
                      <w:rFonts w:hint="eastAsia" w:eastAsia="楷体_GB2312" w:cs="Calibri"/>
                      <w:w w:val="70"/>
                      <w:sz w:val="20"/>
                      <w:szCs w:val="20"/>
                      <w:lang w:eastAsia="zh-CN"/>
                    </w:rPr>
                    <w:t>华福</w:t>
                  </w:r>
                  <w:r>
                    <w:rPr>
                      <w:rFonts w:eastAsia="楷体_GB2312" w:cs="Calibri"/>
                      <w:w w:val="70"/>
                      <w:sz w:val="20"/>
                      <w:szCs w:val="20"/>
                    </w:rPr>
                    <w:t>国际</w:t>
                  </w:r>
                  <w:r>
                    <w:rPr>
                      <w:rFonts w:hint="eastAsia" w:eastAsia="楷体_GB2312" w:cs="Calibri"/>
                      <w:w w:val="70"/>
                      <w:sz w:val="20"/>
                      <w:szCs w:val="20"/>
                      <w:lang w:eastAsia="zh-CN"/>
                    </w:rPr>
                    <w:t>2025</w:t>
                  </w:r>
                  <w:r>
                    <w:rPr>
                      <w:rFonts w:eastAsia="楷体_GB2312" w:cs="Calibri"/>
                      <w:w w:val="70"/>
                      <w:sz w:val="20"/>
                      <w:szCs w:val="20"/>
                    </w:rPr>
                    <w:t>年。保留所有权利。</w:t>
                  </w:r>
                </w:p>
                <w:p>
                  <w:pPr>
                    <w:pStyle w:val="71"/>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pPr>
                    <w:pStyle w:val="71"/>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r>
                    <w:rPr>
                      <w:rFonts w:hint="eastAsia" w:eastAsia="楷体_GB2312" w:cs="Calibri"/>
                      <w:w w:val="70"/>
                      <w:sz w:val="20"/>
                      <w:szCs w:val="20"/>
                      <w:lang w:eastAsia="zh-CN"/>
                    </w:rPr>
                    <w:t>HuaFu International</w:t>
                  </w:r>
                  <w:r>
                    <w:rPr>
                      <w:rFonts w:eastAsia="楷体_GB2312" w:cs="Calibri"/>
                      <w:w w:val="70"/>
                      <w:sz w:val="20"/>
                      <w:szCs w:val="20"/>
                    </w:rPr>
                    <w:t>.</w:t>
                  </w:r>
                </w:p>
                <w:p>
                  <w:pPr>
                    <w:pStyle w:val="71"/>
                    <w:spacing w:after="60"/>
                    <w:rPr>
                      <w:rFonts w:eastAsia="楷体_GB2312" w:cs="Calibri"/>
                      <w:b/>
                      <w:w w:val="70"/>
                      <w:sz w:val="20"/>
                      <w:szCs w:val="20"/>
                    </w:rPr>
                  </w:pPr>
                  <w:r>
                    <w:rPr>
                      <w:rFonts w:eastAsia="楷体_GB2312" w:cs="Calibri"/>
                      <w:w w:val="70"/>
                      <w:sz w:val="20"/>
                      <w:szCs w:val="20"/>
                    </w:rPr>
                    <w:t xml:space="preserve">Copyright: </w:t>
                  </w:r>
                  <w:r>
                    <w:rPr>
                      <w:rFonts w:hint="eastAsia" w:eastAsia="楷体_GB2312" w:cs="Calibri"/>
                      <w:w w:val="70"/>
                      <w:sz w:val="20"/>
                      <w:szCs w:val="20"/>
                      <w:lang w:eastAsia="zh-CN"/>
                    </w:rPr>
                    <w:t>HuaFu</w:t>
                  </w:r>
                  <w:r>
                    <w:rPr>
                      <w:rFonts w:eastAsia="楷体_GB2312" w:cs="Calibri"/>
                      <w:w w:val="70"/>
                      <w:sz w:val="20"/>
                      <w:szCs w:val="20"/>
                    </w:rPr>
                    <w:t xml:space="preserve"> International </w:t>
                  </w:r>
                  <w:r>
                    <w:rPr>
                      <w:rFonts w:hint="eastAsia" w:eastAsia="楷体_GB2312" w:cs="Calibri"/>
                      <w:w w:val="70"/>
                      <w:sz w:val="20"/>
                      <w:szCs w:val="20"/>
                      <w:lang w:eastAsia="zh-CN"/>
                    </w:rPr>
                    <w:t>2025</w:t>
                  </w:r>
                  <w:r>
                    <w:rPr>
                      <w:rFonts w:eastAsia="楷体_GB2312" w:cs="Calibri"/>
                      <w:w w:val="70"/>
                      <w:sz w:val="20"/>
                      <w:szCs w:val="20"/>
                    </w:rPr>
                    <w:t>. All rights reserved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nil"/>
                  </w:tcBorders>
                </w:tcPr>
                <w:p>
                  <w:pPr>
                    <w:pStyle w:val="71"/>
                    <w:spacing w:after="60"/>
                    <w:rPr>
                      <w:rFonts w:eastAsia="楷体_GB2312" w:cs="Calibri"/>
                      <w:b/>
                      <w:w w:val="70"/>
                      <w:sz w:val="20"/>
                      <w:szCs w:val="20"/>
                      <w:lang w:eastAsia="zh-CN"/>
                    </w:rPr>
                  </w:pPr>
                </w:p>
              </w:tc>
            </w:tr>
          </w:tbl>
          <w:p>
            <w:pPr>
              <w:rPr>
                <w:rFonts w:eastAsia="楷体_GB2312" w:cs="Calibri"/>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27" w:hRule="atLeast"/>
        </w:trPr>
        <w:tc>
          <w:tcPr>
            <w:tcW w:w="10773" w:type="dxa"/>
          </w:tcPr>
          <w:p>
            <w:pPr>
              <w:pStyle w:val="71"/>
              <w:rPr>
                <w:rFonts w:eastAsia="楷体_GB2312" w:cs="等线"/>
                <w:b/>
                <w:w w:val="70"/>
                <w:sz w:val="20"/>
                <w:szCs w:val="20"/>
              </w:rPr>
            </w:pPr>
            <w:r>
              <w:rPr>
                <w:rFonts w:eastAsia="楷体_GB2312" w:cs="等线"/>
                <w:b/>
                <w:w w:val="70"/>
                <w:sz w:val="20"/>
                <w:szCs w:val="20"/>
              </w:rPr>
              <w:t>Recommendation Chart</w:t>
            </w:r>
          </w:p>
          <w:tbl>
            <w:tblPr>
              <w:tblStyle w:val="20"/>
              <w:tblW w:w="0" w:type="auto"/>
              <w:tblCaption w:val="[Table_RecommendationChar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077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8" w:hRule="exact"/>
              </w:trPr>
              <w:tc>
                <w:tcPr>
                  <w:tcW w:w="10773" w:type="dxa"/>
                </w:tcPr>
                <w:p>
                  <w:pPr>
                    <w:pStyle w:val="71"/>
                    <w:rPr>
                      <w:rFonts w:eastAsia="楷体_GB2312" w:cs="等线"/>
                      <w:b/>
                      <w:w w:val="70"/>
                      <w:sz w:val="20"/>
                      <w:szCs w:val="20"/>
                      <w:lang w:eastAsia="zh-CN"/>
                    </w:rPr>
                  </w:pPr>
                  <w:r>
                    <w:rPr>
                      <w:rFonts w:hint="eastAsia" w:eastAsia="楷体_GB2312" w:cs="等线"/>
                      <w:b/>
                      <w:w w:val="70"/>
                      <w:sz w:val="20"/>
                      <w:szCs w:val="20"/>
                      <w:lang w:eastAsia="zh-CN"/>
                    </w:rPr>
                    <w:t>[</w:t>
                  </w:r>
                  <w:r>
                    <w:rPr>
                      <w:rFonts w:eastAsia="楷体_GB2312" w:cs="等线"/>
                      <w:b/>
                      <w:w w:val="70"/>
                      <w:sz w:val="20"/>
                      <w:szCs w:val="20"/>
                      <w:lang w:eastAsia="zh-CN"/>
                    </w:rPr>
                    <w:t>Table_RecommendationChart]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p>
                  <w:pPr>
                    <w:pStyle w:val="71"/>
                    <w:rPr>
                      <w:rFonts w:eastAsia="楷体_GB2312" w:cs="等线"/>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p>
                  <w:pPr>
                    <w:pStyle w:val="71"/>
                    <w:rPr>
                      <w:rFonts w:eastAsia="楷体_GB2312" w:cs="等线"/>
                      <w:b/>
                      <w:w w:val="70"/>
                      <w:sz w:val="20"/>
                      <w:szCs w:val="20"/>
                    </w:rPr>
                  </w:pPr>
                  <w:r>
                    <w:rPr>
                      <w:rFonts w:eastAsia="楷体_GB2312" w:cs="等线"/>
                      <w:sz w:val="12"/>
                      <w:szCs w:val="12"/>
                    </w:rPr>
                    <w:t>Source: Company data Bloomberg, XXX estimates</w:t>
                  </w:r>
                </w:p>
              </w:tc>
            </w:tr>
          </w:tbl>
          <w:p>
            <w:pPr>
              <w:pStyle w:val="71"/>
              <w:rPr>
                <w:rFonts w:eastAsia="楷体_GB2312" w:cs="Calibri"/>
                <w:b/>
                <w:w w:val="70"/>
                <w:sz w:val="20"/>
                <w:szCs w:val="20"/>
                <w:lang w:eastAsia="zh-CN"/>
              </w:rPr>
            </w:pPr>
          </w:p>
          <w:p>
            <w:pPr>
              <w:pStyle w:val="55"/>
              <w:rPr>
                <w:rFonts w:eastAsia="楷体_GB2312" w:cs="Calibri"/>
              </w:rPr>
            </w:pPr>
          </w:p>
        </w:tc>
      </w:tr>
    </w:tbl>
    <w:p>
      <w:pPr>
        <w:rPr>
          <w:rFonts w:eastAsiaTheme="minorEastAsia"/>
        </w:rPr>
      </w:pPr>
    </w:p>
    <w:sectPr>
      <w:headerReference r:id="rId14" w:type="first"/>
      <w:footerReference r:id="rId16" w:type="first"/>
      <w:footerReference r:id="rId15" w:type="default"/>
      <w:pgSz w:w="11910" w:h="16840"/>
      <w:pgMar w:top="1021" w:right="567" w:bottom="1021" w:left="567" w:header="567" w:footer="919" w:gutter="0"/>
      <w:cols w:space="425" w:num="1"/>
      <w:titlePg/>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等线 Light">
    <w:panose1 w:val="02010600030101010101"/>
    <w:charset w:val="86"/>
    <w:family w:val="auto"/>
    <w:pitch w:val="default"/>
    <w:sig w:usb0="A00002BF" w:usb1="38CF7CFA" w:usb2="00000016" w:usb3="00000000" w:csb0="0004000F" w:csb1="00000000"/>
  </w:font>
  <w:font w:name="汉仪大黑简">
    <w:altName w:val="微软雅黑"/>
    <w:panose1 w:val="00000000000000000000"/>
    <w:charset w:val="86"/>
    <w:family w:val="modern"/>
    <w:pitch w:val="default"/>
    <w:sig w:usb0="00000000" w:usb1="00000000" w:usb2="00000012" w:usb3="00000000" w:csb0="00040000" w:csb1="00000000"/>
  </w:font>
  <w:font w:name="等线">
    <w:panose1 w:val="02010600030101010101"/>
    <w:charset w:val="86"/>
    <w:family w:val="auto"/>
    <w:pitch w:val="default"/>
    <w:sig w:usb0="A00002BF" w:usb1="38CF7CFA" w:usb2="00000016" w:usb3="00000000" w:csb0="0004000F" w:csb1="00000000"/>
  </w:font>
  <w:font w:name="PMingLiU">
    <w:altName w:val="PMingLiU-ExtB"/>
    <w:panose1 w:val="02020500000000000000"/>
    <w:charset w:val="88"/>
    <w:family w:val="roman"/>
    <w:pitch w:val="default"/>
    <w:sig w:usb0="00000000" w:usb1="00000000" w:usb2="00000016" w:usb3="00000000" w:csb0="0010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微软雅黑">
    <w:panose1 w:val="020B0503020204020204"/>
    <w:charset w:val="86"/>
    <w:family w:val="swiss"/>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posOffset>9861550</wp:posOffset>
              </wp:positionV>
              <wp:extent cx="7045325" cy="50165"/>
              <wp:effectExtent l="0" t="0" r="3175" b="6985"/>
              <wp:wrapTopAndBottom/>
              <wp:docPr id="21"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045325" cy="50165"/>
                      </a:xfrm>
                      <a:prstGeom prst="rect">
                        <a:avLst/>
                      </a:prstGeom>
                      <a:solidFill>
                        <a:srgbClr val="23558C"/>
                      </a:solidFill>
                      <a:ln>
                        <a:noFill/>
                      </a:ln>
                    </wps:spPr>
                    <wps:txbx>
                      <w:txbxContent>
                        <w:p>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top:776.5pt;height:3.95pt;width:554.75pt;mso-position-horizontal:center;mso-position-horizontal-relative:page;mso-position-vertical-relative:page;mso-wrap-distance-bottom:0pt;mso-wrap-distance-top:0pt;z-index:251659264;mso-width-relative:page;mso-height-relative:page;" fillcolor="#23558C" filled="t" stroked="f" coordsize="21600,21600" o:gfxdata="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Lp0sD&#10;2gAAAAsBAAAPAAAAAAAAAAEAIAAAACIAAABkcnMvZG93bnJldi54bWxQSwECFAAUAAAACACHTuJA&#10;BzIjSh8CAAA+BAAADgAAAAAAAAABACAAAAApAQAAZHJzL2Uyb0RvYy54bWxQSwUGAAAAAAYABgBZ&#10;AQAAugUAAAAA&#10;">
              <v:fill on="t" focussize="0,0"/>
              <v:stroke on="f"/>
              <v:imagedata o:title=""/>
              <o:lock v:ext="edit" aspectratio="f"/>
              <v:textbox>
                <w:txbxContent>
                  <w:p>
                    <w:pPr>
                      <w:ind w:left="-180"/>
                    </w:pPr>
                  </w:p>
                </w:txbxContent>
              </v:textbox>
              <w10:wrap type="topAndBottom"/>
            </v:shape>
          </w:pict>
        </mc:Fallback>
      </mc:AlternateContent>
    </w:r>
    <w:r>
      <mc:AlternateContent>
        <mc:Choice Requires="wps">
          <w:drawing>
            <wp:anchor distT="0" distB="0" distL="114300" distR="114300" simplePos="0" relativeHeight="251660288" behindDoc="0" locked="1" layoutInCell="1" allowOverlap="1">
              <wp:simplePos x="0" y="0"/>
              <wp:positionH relativeFrom="margin">
                <wp:align>right</wp:align>
              </wp:positionH>
              <wp:positionV relativeFrom="page">
                <wp:posOffset>9928860</wp:posOffset>
              </wp:positionV>
              <wp:extent cx="7105650" cy="716280"/>
              <wp:effectExtent l="0" t="0" r="0" b="762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105650" cy="716280"/>
                      </a:xfrm>
                      <a:prstGeom prst="rect">
                        <a:avLst/>
                      </a:prstGeom>
                      <a:noFill/>
                      <a:ln>
                        <a:noFill/>
                      </a:ln>
                    </wps:spPr>
                    <wps:txbx>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pPr>
                            <w:pStyle w:val="64"/>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top:781.8pt;height:56.4pt;width:559.5pt;mso-position-horizontal:right;mso-position-horizontal-relative:margin;mso-position-vertical-relative:page;z-index:251660288;mso-width-relative:page;mso-height-relative:page;" filled="f" stroked="f" coordsize="21600,21600" o:gfxdata="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UjN6A2QAAAAsBAAAPAAAAAAAAAAEAIAAAACIAAABkcnMvZG93&#10;bnJldi54bWxQSwECFAAUAAAACACHTuJAfqFzt/8BAAAHBAAADgAAAAAAAAABACAAAAAoAQAAZHJz&#10;L2Uyb0RvYy54bWxQSwUGAAAAAAYABgBZAQAAmQUAAAAA&#10;">
              <v:fill on="f" focussize="0,0"/>
              <v:stroke on="f"/>
              <v:imagedata o:title=""/>
              <o:lock v:ext="edit" aspectratio="f"/>
              <v:textbox inset="0mm,0mm,0mm,0mm">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pPr>
                      <w:pStyle w:val="64"/>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25 Mar 2026</w:t>
          </w:r>
          <w:r>
            <w:fldChar w:fldCharType="end"/>
          </w:r>
          <w:r>
            <w:tab/>
          </w:r>
          <w:r>
            <w:fldChar w:fldCharType="begin"/>
          </w:r>
          <w:r>
            <w:instrText xml:space="preserve"> PAGE </w:instrText>
          </w:r>
          <w:r>
            <w:fldChar w:fldCharType="separate"/>
          </w:r>
          <w:r>
            <w:t>2</w:t>
          </w:r>
          <w:r>
            <w:fldChar w:fldCharType="end"/>
          </w:r>
        </w:p>
      </w:tc>
    </w:tr>
  </w:tbl>
  <w:p>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25 Mar 2026</w:t>
          </w:r>
          <w:r>
            <w:fldChar w:fldCharType="end"/>
          </w:r>
          <w:r>
            <w:tab/>
          </w:r>
          <w:r>
            <w:fldChar w:fldCharType="begin"/>
          </w:r>
          <w:r>
            <w:instrText xml:space="preserve"> PAGE </w:instrText>
          </w:r>
          <w:r>
            <w:fldChar w:fldCharType="separate"/>
          </w:r>
          <w:r>
            <w:t>2</w:t>
          </w:r>
          <w:r>
            <w:fldChar w:fldCharType="end"/>
          </w:r>
        </w:p>
      </w:tc>
    </w:tr>
  </w:tbl>
  <w:p>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25 Mar 2026</w:t>
          </w:r>
          <w:r>
            <w:fldChar w:fldCharType="end"/>
          </w:r>
          <w:r>
            <w:tab/>
          </w:r>
          <w:r>
            <w:fldChar w:fldCharType="begin"/>
          </w:r>
          <w:r>
            <w:instrText xml:space="preserve"> PAGE </w:instrText>
          </w:r>
          <w:r>
            <w:fldChar w:fldCharType="separate"/>
          </w:r>
          <w:r>
            <w:t>2</w:t>
          </w:r>
          <w:r>
            <w:fldChar w:fldCharType="end"/>
          </w:r>
        </w:p>
      </w:tc>
    </w:tr>
  </w:tbl>
  <w:p>
    <w:pPr>
      <w:pStyle w:val="6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631" w:tblpY="15481"/>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4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437" w:type="dxa"/>
          <w:tcBorders>
            <w:top w:val="nil"/>
            <w:left w:val="nil"/>
            <w:bottom w:val="nil"/>
            <w:right w:val="nil"/>
          </w:tcBorders>
          <w:vAlign w:val="center"/>
        </w:tcPr>
        <w:p>
          <w:pPr>
            <w:pStyle w:val="68"/>
            <w:framePr w:wrap="auto" w:vAnchor="margin" w:hAnchor="text" w:xAlign="left" w:yAlign="inline"/>
          </w:pPr>
          <w:r>
            <w:tab/>
          </w:r>
          <w:r>
            <w:fldChar w:fldCharType="begin"/>
          </w:r>
          <w:r>
            <w:instrText xml:space="preserve"> PAGE </w:instrText>
          </w:r>
          <w:r>
            <w:fldChar w:fldCharType="separate"/>
          </w:r>
          <w:r>
            <w:t>11</w:t>
          </w:r>
          <w:r>
            <w:fldChar w:fldCharType="end"/>
          </w:r>
        </w:p>
      </w:tc>
    </w:tr>
  </w:tbl>
  <w:p>
    <w:pPr>
      <w:pStyle w:val="1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631" w:tblpY="15481"/>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4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437" w:type="dxa"/>
          <w:tcBorders>
            <w:top w:val="nil"/>
            <w:left w:val="nil"/>
            <w:bottom w:val="nil"/>
            <w:right w:val="nil"/>
          </w:tcBorders>
          <w:vAlign w:val="center"/>
        </w:tcPr>
        <w:p>
          <w:pPr>
            <w:pStyle w:val="68"/>
            <w:framePr w:wrap="auto" w:vAnchor="margin" w:hAnchor="text" w:xAlign="left" w:yAlign="inline"/>
          </w:pPr>
          <w:r>
            <w:tab/>
          </w:r>
          <w:r>
            <w:fldChar w:fldCharType="begin"/>
          </w:r>
          <w:r>
            <w:instrText xml:space="preserve"> PAGE </w:instrText>
          </w:r>
          <w:r>
            <w:fldChar w:fldCharType="separate"/>
          </w:r>
          <w:r>
            <w:t>11</w:t>
          </w:r>
          <w:r>
            <w:fldChar w:fldCharType="end"/>
          </w:r>
        </w:p>
      </w:tc>
    </w:tr>
  </w:tbl>
  <w:p>
    <w:pPr>
      <w:pStyle w:val="12"/>
      <w:rPr>
        <w:rFonts w:eastAsiaTheme="minor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68752352"/>
      <w:placeholder>
        <w:docPart w:val="0A7DF2113BC84988AC653F937B869E52"/>
      </w:placeholder>
      <w:temporary/>
      <w:showingPlcHdr/>
      <w15:appearance w15:val="hidden"/>
    </w:sdtPr>
    <w:sdtContent>
      <w:p>
        <w:pPr>
          <w:pStyle w:val="13"/>
        </w:pPr>
        <w:r>
          <w:rPr>
            <w:lang w:val="zh-CN"/>
          </w:rPr>
          <w:t>[在此处键入]</w:t>
        </w:r>
      </w:p>
    </w:sdtContent>
  </w:sdt>
  <w:p>
    <w:pPr>
      <w:pStyle w:val="13"/>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0" w:type="auto"/>
      <w:tblCaption w:val="[Table_header2]"/>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815"/>
      <w:gridCol w:w="3047"/>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7815" w:type="dxa"/>
          <w:tcBorders>
            <w:top w:val="nil"/>
            <w:bottom w:val="nil"/>
          </w:tcBorders>
          <w:vAlign w:val="center"/>
        </w:tcPr>
        <w:p>
          <w:pPr>
            <w:pStyle w:val="65"/>
            <w:rPr>
              <w:rFonts w:eastAsia="楷体_GB2312" w:cs="等线"/>
              <w:color w:val="FF0000"/>
              <w:sz w:val="24"/>
              <w:lang w:eastAsia="zh-CN"/>
            </w:rPr>
          </w:pPr>
          <w:r>
            <w:rPr>
              <w:rFonts w:eastAsia="楷体_GB2312" w:cs="等线"/>
              <w:color w:val="FFFFFF" w:themeColor="background1"/>
              <w:sz w:val="24"/>
              <w:lang w:eastAsia="zh-CN"/>
              <w14:textFill>
                <w14:solidFill>
                  <w14:schemeClr w14:val="bg1"/>
                </w14:solidFill>
              </w14:textFill>
            </w:rPr>
            <w:t>[Table_header2]</w:t>
          </w:r>
        </w:p>
      </w:tc>
      <w:tc>
        <w:tcPr>
          <w:tcW w:w="3047" w:type="dxa"/>
          <w:tcBorders>
            <w:top w:val="nil"/>
            <w:bottom w:val="nil"/>
          </w:tcBorders>
          <w:vAlign w:val="center"/>
        </w:tcPr>
        <w:p>
          <w:pPr>
            <w:pStyle w:val="65"/>
            <w:jc w:val="right"/>
            <w:rPr>
              <w:rStyle w:val="67"/>
              <w:rFonts w:eastAsia="楷体_GB2312" w:cs="等线"/>
              <w:color w:val="FF0000"/>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7815" w:type="dxa"/>
          <w:tcBorders>
            <w:top w:val="nil"/>
          </w:tcBorders>
          <w:vAlign w:val="center"/>
        </w:tcPr>
        <w:p>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3047" w:type="dxa"/>
          <w:tcBorders>
            <w:top w:val="nil"/>
          </w:tcBorders>
          <w:vAlign w:val="center"/>
        </w:tcPr>
        <w:p>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pPr>
            <w:pStyle w:val="65"/>
            <w:jc w:val="right"/>
            <w:rPr>
              <w:rStyle w:val="67"/>
              <w:rFonts w:eastAsia="楷体_GB2312" w:cs="等线"/>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pPr>
      <w:pStyle w:val="13"/>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09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pPr>
            <w:pStyle w:val="65"/>
            <w:jc w:val="right"/>
            <w:rPr>
              <w:rStyle w:val="67"/>
              <w:rFonts w:eastAsia="楷体_GB2312" w:cs="等线"/>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pPr>
      <w:pStyle w:val="1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pPr>
            <w:pStyle w:val="65"/>
            <w:jc w:val="right"/>
            <w:rPr>
              <w:rStyle w:val="67"/>
              <w:rFonts w:eastAsia="楷体_GB2312" w:cs="等线"/>
              <w:color w:val="23558C"/>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pPr>
      <w:pStyle w:val="13"/>
      <w:jc w:val="left"/>
      <w:rPr>
        <w:color w:val="23558C"/>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pPr>
            <w:pStyle w:val="65"/>
            <w:jc w:val="right"/>
            <w:rPr>
              <w:rStyle w:val="67"/>
              <w:rFonts w:eastAsia="楷体_GB2312" w:cs="等线"/>
              <w:color w:val="23558C"/>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pPr>
      <w:pStyle w:val="65"/>
      <w:rPr>
        <w:rFonts w:eastAsiaTheme="minorEastAsia"/>
        <w:color w:val="23558C"/>
        <w:lang w:eastAsia="zh-CN"/>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09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pPr>
            <w:pStyle w:val="65"/>
            <w:jc w:val="right"/>
            <w:rPr>
              <w:rStyle w:val="67"/>
              <w:rFonts w:eastAsia="楷体_GB2312" w:cs="等线"/>
              <w:color w:val="23558C"/>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pPr>
      <w:pStyle w:val="13"/>
      <w:jc w:val="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4CE7F8"/>
    <w:multiLevelType w:val="singleLevel"/>
    <w:tmpl w:val="984CE7F8"/>
    <w:lvl w:ilvl="0" w:tentative="0">
      <w:start w:val="1"/>
      <w:numFmt w:val="decimal"/>
      <w:lvlText w:val="%1)"/>
      <w:lvlJc w:val="left"/>
      <w:pPr>
        <w:tabs>
          <w:tab w:val="left" w:pos="312"/>
        </w:tabs>
      </w:pPr>
    </w:lvl>
  </w:abstractNum>
  <w:abstractNum w:abstractNumId="1">
    <w:nsid w:val="0C734EF2"/>
    <w:multiLevelType w:val="multilevel"/>
    <w:tmpl w:val="0C734EF2"/>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170D0AD2"/>
    <w:multiLevelType w:val="multilevel"/>
    <w:tmpl w:val="170D0AD2"/>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1A351FC1"/>
    <w:multiLevelType w:val="multilevel"/>
    <w:tmpl w:val="1A351FC1"/>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28630A4C"/>
    <w:multiLevelType w:val="multilevel"/>
    <w:tmpl w:val="28630A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A7C6594"/>
    <w:multiLevelType w:val="multilevel"/>
    <w:tmpl w:val="3A7C6594"/>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416F7145"/>
    <w:multiLevelType w:val="multilevel"/>
    <w:tmpl w:val="416F7145"/>
    <w:lvl w:ilvl="0" w:tentative="0">
      <w:start w:val="1"/>
      <w:numFmt w:val="decimal"/>
      <w:lvlText w:val="%1)"/>
      <w:lvlJc w:val="left"/>
      <w:pPr>
        <w:tabs>
          <w:tab w:val="left" w:pos="720"/>
        </w:tabs>
        <w:ind w:left="720" w:hanging="360"/>
      </w:pPr>
      <w:rPr>
        <w:rFonts w:ascii="Calibri" w:hAnsi="Calibri" w:eastAsia="楷体" w:cs="Calibri"/>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4EDF7737"/>
    <w:multiLevelType w:val="multilevel"/>
    <w:tmpl w:val="4EDF773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8">
    <w:nsid w:val="54CF43BB"/>
    <w:multiLevelType w:val="multilevel"/>
    <w:tmpl w:val="54CF43BB"/>
    <w:lvl w:ilvl="0" w:tentative="0">
      <w:start w:val="1"/>
      <w:numFmt w:val="decimal"/>
      <w:pStyle w:val="74"/>
      <w:suff w:val="nothing"/>
      <w:lvlText w:val="图表%1："/>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9">
    <w:nsid w:val="64573A64"/>
    <w:multiLevelType w:val="multilevel"/>
    <w:tmpl w:val="64573A64"/>
    <w:lvl w:ilvl="0" w:tentative="0">
      <w:start w:val="1"/>
      <w:numFmt w:val="decimalEnclosedCircle"/>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789549F9"/>
    <w:multiLevelType w:val="multilevel"/>
    <w:tmpl w:val="789549F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8"/>
  </w:num>
  <w:num w:numId="2">
    <w:abstractNumId w:val="4"/>
  </w:num>
  <w:num w:numId="3">
    <w:abstractNumId w:val="3"/>
  </w:num>
  <w:num w:numId="4">
    <w:abstractNumId w:val="1"/>
  </w:num>
  <w:num w:numId="5">
    <w:abstractNumId w:val="6"/>
  </w:num>
  <w:num w:numId="6">
    <w:abstractNumId w:val="0"/>
  </w:num>
  <w:num w:numId="7">
    <w:abstractNumId w:val="2"/>
  </w:num>
  <w:num w:numId="8">
    <w:abstractNumId w:val="10"/>
  </w:num>
  <w:num w:numId="9">
    <w:abstractNumId w:val="5"/>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HorizontalSpacing w:val="110"/>
  <w:drawingGridVerticalSpacing w:val="29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RlOWU1OWFiZTlkMDIxMDc5MTk1MDFjOTRlNGRkZTIifQ=="/>
  </w:docVars>
  <w:rsids>
    <w:rsidRoot w:val="00BD4463"/>
    <w:rsid w:val="00011DD2"/>
    <w:rsid w:val="00017725"/>
    <w:rsid w:val="000202AF"/>
    <w:rsid w:val="000251D0"/>
    <w:rsid w:val="00033511"/>
    <w:rsid w:val="00041BFB"/>
    <w:rsid w:val="00046898"/>
    <w:rsid w:val="00055D29"/>
    <w:rsid w:val="00056A90"/>
    <w:rsid w:val="00057C7D"/>
    <w:rsid w:val="000713E3"/>
    <w:rsid w:val="00075786"/>
    <w:rsid w:val="00076105"/>
    <w:rsid w:val="0007641A"/>
    <w:rsid w:val="00087D89"/>
    <w:rsid w:val="00090408"/>
    <w:rsid w:val="00096427"/>
    <w:rsid w:val="000B3AF7"/>
    <w:rsid w:val="000E09D6"/>
    <w:rsid w:val="000E270F"/>
    <w:rsid w:val="000E303E"/>
    <w:rsid w:val="000E7974"/>
    <w:rsid w:val="000F11D3"/>
    <w:rsid w:val="000F2731"/>
    <w:rsid w:val="000F6A83"/>
    <w:rsid w:val="00103FAD"/>
    <w:rsid w:val="00105FC9"/>
    <w:rsid w:val="00111C4A"/>
    <w:rsid w:val="00116CD7"/>
    <w:rsid w:val="001171A2"/>
    <w:rsid w:val="00133BA6"/>
    <w:rsid w:val="00135CCD"/>
    <w:rsid w:val="001422E2"/>
    <w:rsid w:val="00143D1B"/>
    <w:rsid w:val="00146323"/>
    <w:rsid w:val="00152394"/>
    <w:rsid w:val="0015395E"/>
    <w:rsid w:val="001616A4"/>
    <w:rsid w:val="00175D3C"/>
    <w:rsid w:val="00176D52"/>
    <w:rsid w:val="00182F72"/>
    <w:rsid w:val="00193C1B"/>
    <w:rsid w:val="00196F29"/>
    <w:rsid w:val="001A238D"/>
    <w:rsid w:val="001A4840"/>
    <w:rsid w:val="001B2407"/>
    <w:rsid w:val="001B2DAD"/>
    <w:rsid w:val="001C1AD7"/>
    <w:rsid w:val="001C5A54"/>
    <w:rsid w:val="001D1C26"/>
    <w:rsid w:val="001D7381"/>
    <w:rsid w:val="001E0203"/>
    <w:rsid w:val="001E6692"/>
    <w:rsid w:val="001E7C6C"/>
    <w:rsid w:val="001F2F73"/>
    <w:rsid w:val="001F71F6"/>
    <w:rsid w:val="002062F5"/>
    <w:rsid w:val="00225EBE"/>
    <w:rsid w:val="00226FA3"/>
    <w:rsid w:val="0023495B"/>
    <w:rsid w:val="00234E19"/>
    <w:rsid w:val="00257895"/>
    <w:rsid w:val="002603A5"/>
    <w:rsid w:val="00273CC8"/>
    <w:rsid w:val="002763D5"/>
    <w:rsid w:val="00276E0E"/>
    <w:rsid w:val="00277044"/>
    <w:rsid w:val="002862BE"/>
    <w:rsid w:val="00292DC5"/>
    <w:rsid w:val="00296498"/>
    <w:rsid w:val="002A0007"/>
    <w:rsid w:val="002A5C04"/>
    <w:rsid w:val="002B6266"/>
    <w:rsid w:val="002B7A93"/>
    <w:rsid w:val="002C6686"/>
    <w:rsid w:val="002D7AA3"/>
    <w:rsid w:val="002E0F1F"/>
    <w:rsid w:val="002E6121"/>
    <w:rsid w:val="002E6DA6"/>
    <w:rsid w:val="002E724D"/>
    <w:rsid w:val="00306BC2"/>
    <w:rsid w:val="00307B37"/>
    <w:rsid w:val="00313DBF"/>
    <w:rsid w:val="00341C85"/>
    <w:rsid w:val="00354093"/>
    <w:rsid w:val="0036718A"/>
    <w:rsid w:val="00371AB5"/>
    <w:rsid w:val="00373DD0"/>
    <w:rsid w:val="00380826"/>
    <w:rsid w:val="003825B2"/>
    <w:rsid w:val="00392148"/>
    <w:rsid w:val="003A13B4"/>
    <w:rsid w:val="003A6133"/>
    <w:rsid w:val="003C4674"/>
    <w:rsid w:val="003E19BA"/>
    <w:rsid w:val="003E37A6"/>
    <w:rsid w:val="003E4D04"/>
    <w:rsid w:val="003F10DE"/>
    <w:rsid w:val="003F2203"/>
    <w:rsid w:val="003F45FE"/>
    <w:rsid w:val="003F73CC"/>
    <w:rsid w:val="0040446F"/>
    <w:rsid w:val="004149AB"/>
    <w:rsid w:val="00420104"/>
    <w:rsid w:val="00421E56"/>
    <w:rsid w:val="0042509C"/>
    <w:rsid w:val="0043512D"/>
    <w:rsid w:val="00447124"/>
    <w:rsid w:val="00450C7D"/>
    <w:rsid w:val="00466F61"/>
    <w:rsid w:val="00481DEF"/>
    <w:rsid w:val="00481F4B"/>
    <w:rsid w:val="00487065"/>
    <w:rsid w:val="004963D6"/>
    <w:rsid w:val="004A7B5E"/>
    <w:rsid w:val="004B0492"/>
    <w:rsid w:val="004B450C"/>
    <w:rsid w:val="004C3B38"/>
    <w:rsid w:val="004C4941"/>
    <w:rsid w:val="004E0FD4"/>
    <w:rsid w:val="0050383B"/>
    <w:rsid w:val="00506F8F"/>
    <w:rsid w:val="005167E6"/>
    <w:rsid w:val="0051687F"/>
    <w:rsid w:val="00520126"/>
    <w:rsid w:val="005217E2"/>
    <w:rsid w:val="00532076"/>
    <w:rsid w:val="00532560"/>
    <w:rsid w:val="00533169"/>
    <w:rsid w:val="005411FC"/>
    <w:rsid w:val="00544DF8"/>
    <w:rsid w:val="005455A3"/>
    <w:rsid w:val="00575DC5"/>
    <w:rsid w:val="005844D5"/>
    <w:rsid w:val="005944BC"/>
    <w:rsid w:val="00595C62"/>
    <w:rsid w:val="005979D9"/>
    <w:rsid w:val="005A31CB"/>
    <w:rsid w:val="005A5975"/>
    <w:rsid w:val="005A6C73"/>
    <w:rsid w:val="005A7DD7"/>
    <w:rsid w:val="005B03D1"/>
    <w:rsid w:val="005B1078"/>
    <w:rsid w:val="005B7729"/>
    <w:rsid w:val="005C7598"/>
    <w:rsid w:val="005F114D"/>
    <w:rsid w:val="005F75F3"/>
    <w:rsid w:val="006112ED"/>
    <w:rsid w:val="006122AB"/>
    <w:rsid w:val="006206E5"/>
    <w:rsid w:val="0062713A"/>
    <w:rsid w:val="0064026B"/>
    <w:rsid w:val="006554E8"/>
    <w:rsid w:val="006615AD"/>
    <w:rsid w:val="006705E4"/>
    <w:rsid w:val="00681246"/>
    <w:rsid w:val="00690B0E"/>
    <w:rsid w:val="006A2E9C"/>
    <w:rsid w:val="006B3B5D"/>
    <w:rsid w:val="006C55B0"/>
    <w:rsid w:val="006D623B"/>
    <w:rsid w:val="006E0295"/>
    <w:rsid w:val="006E48C9"/>
    <w:rsid w:val="006E5D7D"/>
    <w:rsid w:val="006F15BC"/>
    <w:rsid w:val="00713E1F"/>
    <w:rsid w:val="007319B0"/>
    <w:rsid w:val="00731DBD"/>
    <w:rsid w:val="00743C01"/>
    <w:rsid w:val="007443F2"/>
    <w:rsid w:val="00747957"/>
    <w:rsid w:val="00750267"/>
    <w:rsid w:val="00757736"/>
    <w:rsid w:val="007629C2"/>
    <w:rsid w:val="00764E26"/>
    <w:rsid w:val="00765C37"/>
    <w:rsid w:val="00766EB1"/>
    <w:rsid w:val="007678A7"/>
    <w:rsid w:val="00772E4B"/>
    <w:rsid w:val="007731E9"/>
    <w:rsid w:val="007803D0"/>
    <w:rsid w:val="0078115F"/>
    <w:rsid w:val="00785D57"/>
    <w:rsid w:val="007951E2"/>
    <w:rsid w:val="007A0911"/>
    <w:rsid w:val="007B6EB9"/>
    <w:rsid w:val="007B7727"/>
    <w:rsid w:val="007C1C7B"/>
    <w:rsid w:val="007C609E"/>
    <w:rsid w:val="007D1EDD"/>
    <w:rsid w:val="007D76ED"/>
    <w:rsid w:val="007E42B5"/>
    <w:rsid w:val="007E6603"/>
    <w:rsid w:val="007F1FF3"/>
    <w:rsid w:val="007F6592"/>
    <w:rsid w:val="008130EE"/>
    <w:rsid w:val="008232F5"/>
    <w:rsid w:val="00836545"/>
    <w:rsid w:val="00836703"/>
    <w:rsid w:val="00862866"/>
    <w:rsid w:val="00863B10"/>
    <w:rsid w:val="00866767"/>
    <w:rsid w:val="0087252F"/>
    <w:rsid w:val="00873A8B"/>
    <w:rsid w:val="00874B76"/>
    <w:rsid w:val="008900E8"/>
    <w:rsid w:val="008930F9"/>
    <w:rsid w:val="008A4410"/>
    <w:rsid w:val="008A52B2"/>
    <w:rsid w:val="008B3D75"/>
    <w:rsid w:val="008C3A1E"/>
    <w:rsid w:val="008C596A"/>
    <w:rsid w:val="008D4573"/>
    <w:rsid w:val="008D5FF2"/>
    <w:rsid w:val="008E356D"/>
    <w:rsid w:val="008E5ED3"/>
    <w:rsid w:val="008F41FB"/>
    <w:rsid w:val="00902D71"/>
    <w:rsid w:val="009113CF"/>
    <w:rsid w:val="009218CD"/>
    <w:rsid w:val="0092222A"/>
    <w:rsid w:val="0092226A"/>
    <w:rsid w:val="0093282B"/>
    <w:rsid w:val="00933F9D"/>
    <w:rsid w:val="00942F89"/>
    <w:rsid w:val="00943DFB"/>
    <w:rsid w:val="00946E18"/>
    <w:rsid w:val="00963044"/>
    <w:rsid w:val="009738D2"/>
    <w:rsid w:val="00976834"/>
    <w:rsid w:val="00980A31"/>
    <w:rsid w:val="00983470"/>
    <w:rsid w:val="00984680"/>
    <w:rsid w:val="00984D92"/>
    <w:rsid w:val="00990E76"/>
    <w:rsid w:val="00995AF7"/>
    <w:rsid w:val="00996501"/>
    <w:rsid w:val="009B0F1B"/>
    <w:rsid w:val="009B2EA6"/>
    <w:rsid w:val="009B36AD"/>
    <w:rsid w:val="009C1252"/>
    <w:rsid w:val="009C4303"/>
    <w:rsid w:val="009C61E1"/>
    <w:rsid w:val="009D5877"/>
    <w:rsid w:val="009D5FF6"/>
    <w:rsid w:val="009D7B9C"/>
    <w:rsid w:val="00A00D3E"/>
    <w:rsid w:val="00A02AE7"/>
    <w:rsid w:val="00A21ACB"/>
    <w:rsid w:val="00A2219A"/>
    <w:rsid w:val="00A2270B"/>
    <w:rsid w:val="00A354E2"/>
    <w:rsid w:val="00A40B50"/>
    <w:rsid w:val="00A421B4"/>
    <w:rsid w:val="00A42977"/>
    <w:rsid w:val="00A43022"/>
    <w:rsid w:val="00A434D2"/>
    <w:rsid w:val="00A52387"/>
    <w:rsid w:val="00A5278A"/>
    <w:rsid w:val="00A53D1A"/>
    <w:rsid w:val="00A5610E"/>
    <w:rsid w:val="00A574E3"/>
    <w:rsid w:val="00A60166"/>
    <w:rsid w:val="00A770FF"/>
    <w:rsid w:val="00A91507"/>
    <w:rsid w:val="00A920D7"/>
    <w:rsid w:val="00A96B1A"/>
    <w:rsid w:val="00AA1370"/>
    <w:rsid w:val="00AC739C"/>
    <w:rsid w:val="00AD4928"/>
    <w:rsid w:val="00AF1F91"/>
    <w:rsid w:val="00AF469A"/>
    <w:rsid w:val="00AF4A2E"/>
    <w:rsid w:val="00AF57D5"/>
    <w:rsid w:val="00B0101E"/>
    <w:rsid w:val="00B128F4"/>
    <w:rsid w:val="00B22AE0"/>
    <w:rsid w:val="00B31669"/>
    <w:rsid w:val="00B3195C"/>
    <w:rsid w:val="00B419E6"/>
    <w:rsid w:val="00B44C5E"/>
    <w:rsid w:val="00B472E8"/>
    <w:rsid w:val="00B50C5F"/>
    <w:rsid w:val="00B65F90"/>
    <w:rsid w:val="00B70510"/>
    <w:rsid w:val="00B72101"/>
    <w:rsid w:val="00B9388A"/>
    <w:rsid w:val="00BA3635"/>
    <w:rsid w:val="00BC67AD"/>
    <w:rsid w:val="00BD0305"/>
    <w:rsid w:val="00BD4463"/>
    <w:rsid w:val="00BD577C"/>
    <w:rsid w:val="00BD5EDB"/>
    <w:rsid w:val="00BE48C2"/>
    <w:rsid w:val="00BE4E09"/>
    <w:rsid w:val="00BF4820"/>
    <w:rsid w:val="00BF4D2E"/>
    <w:rsid w:val="00C04961"/>
    <w:rsid w:val="00C05926"/>
    <w:rsid w:val="00C17F91"/>
    <w:rsid w:val="00C2387C"/>
    <w:rsid w:val="00C25570"/>
    <w:rsid w:val="00C26D9F"/>
    <w:rsid w:val="00C34AB2"/>
    <w:rsid w:val="00C41D35"/>
    <w:rsid w:val="00C46ABE"/>
    <w:rsid w:val="00C54927"/>
    <w:rsid w:val="00C55570"/>
    <w:rsid w:val="00C766BE"/>
    <w:rsid w:val="00C83D78"/>
    <w:rsid w:val="00C84BDC"/>
    <w:rsid w:val="00C869E3"/>
    <w:rsid w:val="00C90E44"/>
    <w:rsid w:val="00C9251F"/>
    <w:rsid w:val="00C94F8A"/>
    <w:rsid w:val="00C96DC8"/>
    <w:rsid w:val="00C9747C"/>
    <w:rsid w:val="00C9769A"/>
    <w:rsid w:val="00C9794E"/>
    <w:rsid w:val="00CB7BBA"/>
    <w:rsid w:val="00CC362C"/>
    <w:rsid w:val="00CD5316"/>
    <w:rsid w:val="00CD6F67"/>
    <w:rsid w:val="00CD775C"/>
    <w:rsid w:val="00CE76D0"/>
    <w:rsid w:val="00CF629D"/>
    <w:rsid w:val="00CF7F45"/>
    <w:rsid w:val="00D00C61"/>
    <w:rsid w:val="00D03998"/>
    <w:rsid w:val="00D10610"/>
    <w:rsid w:val="00D15E10"/>
    <w:rsid w:val="00D2081E"/>
    <w:rsid w:val="00D218B4"/>
    <w:rsid w:val="00D41443"/>
    <w:rsid w:val="00D44D5F"/>
    <w:rsid w:val="00D46485"/>
    <w:rsid w:val="00D65D41"/>
    <w:rsid w:val="00D71D83"/>
    <w:rsid w:val="00DC2CE3"/>
    <w:rsid w:val="00DC4310"/>
    <w:rsid w:val="00DC4499"/>
    <w:rsid w:val="00DC6D34"/>
    <w:rsid w:val="00DC7F41"/>
    <w:rsid w:val="00DD6441"/>
    <w:rsid w:val="00DE1243"/>
    <w:rsid w:val="00DE17BB"/>
    <w:rsid w:val="00DE57B9"/>
    <w:rsid w:val="00DE5FDC"/>
    <w:rsid w:val="00DE7929"/>
    <w:rsid w:val="00E00D40"/>
    <w:rsid w:val="00E02F2B"/>
    <w:rsid w:val="00E03CFB"/>
    <w:rsid w:val="00E074A6"/>
    <w:rsid w:val="00E14403"/>
    <w:rsid w:val="00E155EE"/>
    <w:rsid w:val="00E16574"/>
    <w:rsid w:val="00E26849"/>
    <w:rsid w:val="00E30ACA"/>
    <w:rsid w:val="00E31B78"/>
    <w:rsid w:val="00E44D9F"/>
    <w:rsid w:val="00E51DDF"/>
    <w:rsid w:val="00E55E17"/>
    <w:rsid w:val="00E62D2F"/>
    <w:rsid w:val="00E83AF0"/>
    <w:rsid w:val="00E95165"/>
    <w:rsid w:val="00EB0A31"/>
    <w:rsid w:val="00EE74A4"/>
    <w:rsid w:val="00EE7BE4"/>
    <w:rsid w:val="00EF1881"/>
    <w:rsid w:val="00F06E7F"/>
    <w:rsid w:val="00F1146A"/>
    <w:rsid w:val="00F16C6B"/>
    <w:rsid w:val="00F27DC9"/>
    <w:rsid w:val="00F45E4D"/>
    <w:rsid w:val="00F47F0F"/>
    <w:rsid w:val="00F50DB3"/>
    <w:rsid w:val="00F511C7"/>
    <w:rsid w:val="00F528B0"/>
    <w:rsid w:val="00F55590"/>
    <w:rsid w:val="00F80860"/>
    <w:rsid w:val="00F80B9B"/>
    <w:rsid w:val="00F83054"/>
    <w:rsid w:val="00F9066D"/>
    <w:rsid w:val="00F91BE1"/>
    <w:rsid w:val="00F92099"/>
    <w:rsid w:val="00F9632B"/>
    <w:rsid w:val="00FA5472"/>
    <w:rsid w:val="00FB1434"/>
    <w:rsid w:val="00FB60AC"/>
    <w:rsid w:val="00FC07BE"/>
    <w:rsid w:val="00FC0826"/>
    <w:rsid w:val="00FC6E8E"/>
    <w:rsid w:val="00FD18FF"/>
    <w:rsid w:val="00FD3BF1"/>
    <w:rsid w:val="00FD4517"/>
    <w:rsid w:val="00FF191C"/>
    <w:rsid w:val="01803809"/>
    <w:rsid w:val="033A0998"/>
    <w:rsid w:val="03502CFD"/>
    <w:rsid w:val="04656EB0"/>
    <w:rsid w:val="049802FF"/>
    <w:rsid w:val="04BF763E"/>
    <w:rsid w:val="061340E1"/>
    <w:rsid w:val="062A4F87"/>
    <w:rsid w:val="064A387B"/>
    <w:rsid w:val="074C2609"/>
    <w:rsid w:val="07E74E75"/>
    <w:rsid w:val="08182C56"/>
    <w:rsid w:val="083057A7"/>
    <w:rsid w:val="0990783C"/>
    <w:rsid w:val="0CED3B15"/>
    <w:rsid w:val="0D662AF9"/>
    <w:rsid w:val="0DB66863"/>
    <w:rsid w:val="0E2C5125"/>
    <w:rsid w:val="17BB6387"/>
    <w:rsid w:val="183550CA"/>
    <w:rsid w:val="185D5F59"/>
    <w:rsid w:val="189501D2"/>
    <w:rsid w:val="189961EA"/>
    <w:rsid w:val="1A060856"/>
    <w:rsid w:val="1C3862A2"/>
    <w:rsid w:val="1C5E5533"/>
    <w:rsid w:val="1DA664C1"/>
    <w:rsid w:val="1EBF0EDC"/>
    <w:rsid w:val="1EED11DB"/>
    <w:rsid w:val="1F433D04"/>
    <w:rsid w:val="1FE05983"/>
    <w:rsid w:val="218250DB"/>
    <w:rsid w:val="24EA7087"/>
    <w:rsid w:val="24F2272A"/>
    <w:rsid w:val="25BB2A60"/>
    <w:rsid w:val="2613738E"/>
    <w:rsid w:val="265D6995"/>
    <w:rsid w:val="2696426F"/>
    <w:rsid w:val="26D5436F"/>
    <w:rsid w:val="27DD7501"/>
    <w:rsid w:val="28680D51"/>
    <w:rsid w:val="286B32A9"/>
    <w:rsid w:val="28F37D06"/>
    <w:rsid w:val="296A5517"/>
    <w:rsid w:val="29984D05"/>
    <w:rsid w:val="29E131C2"/>
    <w:rsid w:val="2B2139A1"/>
    <w:rsid w:val="2B941207"/>
    <w:rsid w:val="2BD02324"/>
    <w:rsid w:val="2C4A3730"/>
    <w:rsid w:val="2C604F77"/>
    <w:rsid w:val="2E870FE2"/>
    <w:rsid w:val="2F3B040D"/>
    <w:rsid w:val="303B11BD"/>
    <w:rsid w:val="312E24DA"/>
    <w:rsid w:val="315F1A90"/>
    <w:rsid w:val="32136C77"/>
    <w:rsid w:val="32BA76E3"/>
    <w:rsid w:val="360F461D"/>
    <w:rsid w:val="36854A8D"/>
    <w:rsid w:val="36F01431"/>
    <w:rsid w:val="3899321B"/>
    <w:rsid w:val="3A7F4ED5"/>
    <w:rsid w:val="3D1E60DF"/>
    <w:rsid w:val="3DDA0A65"/>
    <w:rsid w:val="3F632CDC"/>
    <w:rsid w:val="3FAF0F8B"/>
    <w:rsid w:val="3FB70595"/>
    <w:rsid w:val="456C120C"/>
    <w:rsid w:val="459540B0"/>
    <w:rsid w:val="46C61DFB"/>
    <w:rsid w:val="47EC4551"/>
    <w:rsid w:val="47FF4A0A"/>
    <w:rsid w:val="494241ED"/>
    <w:rsid w:val="499C0C49"/>
    <w:rsid w:val="49D01C80"/>
    <w:rsid w:val="4A7F2511"/>
    <w:rsid w:val="4AEF6A83"/>
    <w:rsid w:val="4F210225"/>
    <w:rsid w:val="4FAE7AF5"/>
    <w:rsid w:val="50A23EEF"/>
    <w:rsid w:val="50D45F65"/>
    <w:rsid w:val="514F7346"/>
    <w:rsid w:val="531A6B64"/>
    <w:rsid w:val="535F1857"/>
    <w:rsid w:val="547B1ECB"/>
    <w:rsid w:val="54B96610"/>
    <w:rsid w:val="5573148D"/>
    <w:rsid w:val="56442422"/>
    <w:rsid w:val="56556BF5"/>
    <w:rsid w:val="56A67E9E"/>
    <w:rsid w:val="57CF589D"/>
    <w:rsid w:val="581172F3"/>
    <w:rsid w:val="58D6064E"/>
    <w:rsid w:val="58D83B72"/>
    <w:rsid w:val="5AD71711"/>
    <w:rsid w:val="5C3D386F"/>
    <w:rsid w:val="5C7052AE"/>
    <w:rsid w:val="5EA05A1B"/>
    <w:rsid w:val="5F5F631F"/>
    <w:rsid w:val="608B4D11"/>
    <w:rsid w:val="622B4180"/>
    <w:rsid w:val="626C33F2"/>
    <w:rsid w:val="62D665B5"/>
    <w:rsid w:val="63674468"/>
    <w:rsid w:val="677A0EB9"/>
    <w:rsid w:val="67EB3CE9"/>
    <w:rsid w:val="691E364C"/>
    <w:rsid w:val="6A86769D"/>
    <w:rsid w:val="6C7C0072"/>
    <w:rsid w:val="6CBD693E"/>
    <w:rsid w:val="6EDB7B1D"/>
    <w:rsid w:val="6F413CD0"/>
    <w:rsid w:val="708319D8"/>
    <w:rsid w:val="709E0D12"/>
    <w:rsid w:val="72EE509C"/>
    <w:rsid w:val="73057B87"/>
    <w:rsid w:val="74764121"/>
    <w:rsid w:val="74856478"/>
    <w:rsid w:val="76F16C4E"/>
    <w:rsid w:val="78891EEF"/>
    <w:rsid w:val="7920024A"/>
    <w:rsid w:val="7A150154"/>
    <w:rsid w:val="7B752599"/>
    <w:rsid w:val="7B9058AF"/>
    <w:rsid w:val="7C8F7B03"/>
    <w:rsid w:val="7D335CF6"/>
    <w:rsid w:val="7D782922"/>
    <w:rsid w:val="7DC27B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96"/>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rPr>
      <w:rFonts w:ascii="Calibri" w:hAnsi="Calibri" w:eastAsia="MS Mincho" w:cs="Times New Roman"/>
      <w:snapToGrid w:val="0"/>
      <w:sz w:val="16"/>
      <w:szCs w:val="16"/>
      <w:lang w:val="en-US" w:eastAsia="zh-CN" w:bidi="ar-SA"/>
    </w:rPr>
  </w:style>
  <w:style w:type="paragraph" w:styleId="2">
    <w:name w:val="heading 1"/>
    <w:basedOn w:val="1"/>
    <w:next w:val="1"/>
    <w:link w:val="24"/>
    <w:autoRedefine/>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5"/>
    <w:autoRedefine/>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6"/>
    <w:autoRedefine/>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7"/>
    <w:autoRedefine/>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8"/>
    <w:autoRedefine/>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9"/>
    <w:autoRedefine/>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0"/>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autoRedefine/>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autoRedefine/>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qFormat/>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11">
    <w:name w:val="Block Text"/>
    <w:basedOn w:val="1"/>
    <w:autoRedefine/>
    <w:qFormat/>
    <w:uiPriority w:val="0"/>
    <w:pPr>
      <w:widowControl w:val="0"/>
      <w:ind w:left="3261" w:leftChars="1553" w:right="55" w:rightChars="26" w:firstLine="1"/>
    </w:pPr>
    <w:rPr>
      <w:rFonts w:ascii="Times New Roman" w:hAnsi="Times New Roman" w:eastAsia="汉仪大黑简"/>
      <w:snapToGrid/>
      <w:color w:val="000000"/>
      <w:kern w:val="2"/>
      <w:sz w:val="18"/>
      <w:szCs w:val="24"/>
    </w:rPr>
  </w:style>
  <w:style w:type="paragraph" w:styleId="12">
    <w:name w:val="footer"/>
    <w:basedOn w:val="1"/>
    <w:link w:val="43"/>
    <w:unhideWhenUsed/>
    <w:qFormat/>
    <w:uiPriority w:val="99"/>
    <w:pPr>
      <w:tabs>
        <w:tab w:val="center" w:pos="4153"/>
        <w:tab w:val="right" w:pos="8306"/>
      </w:tabs>
      <w:snapToGrid w:val="0"/>
    </w:pPr>
    <w:rPr>
      <w:sz w:val="18"/>
      <w:szCs w:val="18"/>
    </w:rPr>
  </w:style>
  <w:style w:type="paragraph" w:styleId="13">
    <w:name w:val="header"/>
    <w:basedOn w:val="1"/>
    <w:link w:val="42"/>
    <w:unhideWhenUsed/>
    <w:qFormat/>
    <w:uiPriority w:val="99"/>
    <w:pPr>
      <w:tabs>
        <w:tab w:val="center" w:pos="4153"/>
        <w:tab w:val="right" w:pos="8306"/>
      </w:tabs>
      <w:snapToGrid w:val="0"/>
      <w:jc w:val="center"/>
    </w:pPr>
    <w:rPr>
      <w:sz w:val="18"/>
      <w:szCs w:val="18"/>
    </w:rPr>
  </w:style>
  <w:style w:type="paragraph" w:styleId="14">
    <w:name w:val="toc 1"/>
    <w:basedOn w:val="1"/>
    <w:next w:val="1"/>
    <w:unhideWhenUsed/>
    <w:qFormat/>
    <w:uiPriority w:val="39"/>
    <w:pPr>
      <w:spacing w:after="100" w:line="259" w:lineRule="auto"/>
    </w:pPr>
    <w:rPr>
      <w:rFonts w:asciiTheme="minorHAnsi" w:hAnsiTheme="minorHAnsi" w:eastAsiaTheme="minorEastAsia"/>
      <w:snapToGrid/>
      <w:sz w:val="22"/>
      <w:szCs w:val="22"/>
    </w:rPr>
  </w:style>
  <w:style w:type="paragraph" w:styleId="15">
    <w:name w:val="Subtitle"/>
    <w:basedOn w:val="1"/>
    <w:next w:val="1"/>
    <w:link w:val="34"/>
    <w:autoRedefine/>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oc 2"/>
    <w:basedOn w:val="1"/>
    <w:next w:val="1"/>
    <w:unhideWhenUsed/>
    <w:qFormat/>
    <w:uiPriority w:val="39"/>
    <w:pPr>
      <w:spacing w:after="100" w:line="259" w:lineRule="auto"/>
      <w:ind w:left="220"/>
    </w:pPr>
    <w:rPr>
      <w:rFonts w:asciiTheme="minorHAnsi" w:hAnsiTheme="minorHAnsi" w:eastAsiaTheme="minorEastAsia"/>
      <w:snapToGrid/>
      <w:sz w:val="22"/>
      <w:szCs w:val="22"/>
    </w:rPr>
  </w:style>
  <w:style w:type="paragraph" w:styleId="17">
    <w:name w:val="Normal (Web)"/>
    <w:basedOn w:val="1"/>
    <w:autoRedefine/>
    <w:semiHidden/>
    <w:unhideWhenUsed/>
    <w:qFormat/>
    <w:uiPriority w:val="99"/>
    <w:rPr>
      <w:rFonts w:ascii="Times New Roman" w:hAnsi="Times New Roman"/>
      <w:sz w:val="24"/>
      <w:szCs w:val="24"/>
    </w:rPr>
  </w:style>
  <w:style w:type="paragraph" w:styleId="18">
    <w:name w:val="Title"/>
    <w:basedOn w:val="1"/>
    <w:next w:val="1"/>
    <w:link w:val="33"/>
    <w:autoRedefine/>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0">
    <w:name w:val="Table Grid"/>
    <w:basedOn w:val="19"/>
    <w:autoRedefine/>
    <w:qFormat/>
    <w:uiPriority w:val="39"/>
    <w:rPr>
      <w:rFonts w:ascii="等线" w:hAnsi="等线" w:eastAsia="等线" w:cs="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autoRedefine/>
    <w:qFormat/>
    <w:uiPriority w:val="22"/>
    <w:rPr>
      <w:b/>
    </w:rPr>
  </w:style>
  <w:style w:type="character" w:styleId="23">
    <w:name w:val="Hyperlink"/>
    <w:basedOn w:val="21"/>
    <w:autoRedefine/>
    <w:qFormat/>
    <w:uiPriority w:val="99"/>
    <w:rPr>
      <w:color w:val="0000FF"/>
      <w:u w:val="single"/>
    </w:rPr>
  </w:style>
  <w:style w:type="character" w:customStyle="1" w:styleId="24">
    <w:name w:val="标题 1 字符"/>
    <w:basedOn w:val="21"/>
    <w:link w:val="2"/>
    <w:autoRedefine/>
    <w:qFormat/>
    <w:uiPriority w:val="9"/>
    <w:rPr>
      <w:rFonts w:asciiTheme="majorHAnsi" w:hAnsiTheme="majorHAnsi" w:eastAsiaTheme="majorEastAsia" w:cstheme="majorBidi"/>
      <w:color w:val="104862" w:themeColor="accent1" w:themeShade="BF"/>
      <w:sz w:val="48"/>
      <w:szCs w:val="48"/>
    </w:rPr>
  </w:style>
  <w:style w:type="character" w:customStyle="1" w:styleId="25">
    <w:name w:val="标题 2 字符"/>
    <w:basedOn w:val="21"/>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6">
    <w:name w:val="标题 3 字符"/>
    <w:basedOn w:val="21"/>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7">
    <w:name w:val="标题 4 字符"/>
    <w:basedOn w:val="21"/>
    <w:link w:val="5"/>
    <w:autoRedefine/>
    <w:semiHidden/>
    <w:qFormat/>
    <w:uiPriority w:val="9"/>
    <w:rPr>
      <w:rFonts w:cstheme="majorBidi"/>
      <w:color w:val="104862" w:themeColor="accent1" w:themeShade="BF"/>
      <w:sz w:val="28"/>
      <w:szCs w:val="28"/>
    </w:rPr>
  </w:style>
  <w:style w:type="character" w:customStyle="1" w:styleId="28">
    <w:name w:val="标题 5 字符"/>
    <w:basedOn w:val="21"/>
    <w:link w:val="6"/>
    <w:autoRedefine/>
    <w:semiHidden/>
    <w:qFormat/>
    <w:uiPriority w:val="9"/>
    <w:rPr>
      <w:rFonts w:cstheme="majorBidi"/>
      <w:color w:val="104862" w:themeColor="accent1" w:themeShade="BF"/>
      <w:sz w:val="24"/>
      <w:szCs w:val="24"/>
    </w:rPr>
  </w:style>
  <w:style w:type="character" w:customStyle="1" w:styleId="29">
    <w:name w:val="标题 6 字符"/>
    <w:basedOn w:val="21"/>
    <w:link w:val="7"/>
    <w:autoRedefine/>
    <w:semiHidden/>
    <w:qFormat/>
    <w:uiPriority w:val="9"/>
    <w:rPr>
      <w:rFonts w:cstheme="majorBidi"/>
      <w:b/>
      <w:bCs/>
      <w:color w:val="104862" w:themeColor="accent1" w:themeShade="BF"/>
    </w:rPr>
  </w:style>
  <w:style w:type="character" w:customStyle="1" w:styleId="30">
    <w:name w:val="标题 7 字符"/>
    <w:basedOn w:val="21"/>
    <w:link w:val="8"/>
    <w:autoRedefine/>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1"/>
    <w:link w:val="9"/>
    <w:autoRedefine/>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1"/>
    <w:link w:val="10"/>
    <w:autoRedefine/>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1"/>
    <w:link w:val="18"/>
    <w:autoRedefine/>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1"/>
    <w:link w:val="15"/>
    <w:autoRedefine/>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autoRedefine/>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1"/>
    <w:link w:val="35"/>
    <w:autoRedefine/>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autoRedefine/>
    <w:qFormat/>
    <w:uiPriority w:val="34"/>
    <w:pPr>
      <w:ind w:left="720"/>
      <w:contextualSpacing/>
    </w:pPr>
  </w:style>
  <w:style w:type="character" w:customStyle="1" w:styleId="38">
    <w:name w:val="明显强调1"/>
    <w:basedOn w:val="21"/>
    <w:autoRedefine/>
    <w:qFormat/>
    <w:uiPriority w:val="21"/>
    <w:rPr>
      <w:i/>
      <w:iCs/>
      <w:color w:val="104862" w:themeColor="accent1" w:themeShade="BF"/>
    </w:rPr>
  </w:style>
  <w:style w:type="paragraph" w:styleId="39">
    <w:name w:val="Intense Quote"/>
    <w:basedOn w:val="1"/>
    <w:next w:val="1"/>
    <w:link w:val="40"/>
    <w:autoRedefine/>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明显引用 字符"/>
    <w:basedOn w:val="21"/>
    <w:link w:val="39"/>
    <w:autoRedefine/>
    <w:qFormat/>
    <w:uiPriority w:val="30"/>
    <w:rPr>
      <w:i/>
      <w:iCs/>
      <w:color w:val="104862" w:themeColor="accent1" w:themeShade="BF"/>
    </w:rPr>
  </w:style>
  <w:style w:type="character" w:customStyle="1" w:styleId="41">
    <w:name w:val="明显参考1"/>
    <w:basedOn w:val="21"/>
    <w:autoRedefine/>
    <w:qFormat/>
    <w:uiPriority w:val="32"/>
    <w:rPr>
      <w:b/>
      <w:bCs/>
      <w:smallCaps/>
      <w:color w:val="104862" w:themeColor="accent1" w:themeShade="BF"/>
      <w:spacing w:val="5"/>
    </w:rPr>
  </w:style>
  <w:style w:type="character" w:customStyle="1" w:styleId="42">
    <w:name w:val="页眉 字符"/>
    <w:basedOn w:val="21"/>
    <w:link w:val="13"/>
    <w:autoRedefine/>
    <w:qFormat/>
    <w:uiPriority w:val="99"/>
    <w:rPr>
      <w:sz w:val="18"/>
      <w:szCs w:val="18"/>
    </w:rPr>
  </w:style>
  <w:style w:type="character" w:customStyle="1" w:styleId="43">
    <w:name w:val="页脚 字符"/>
    <w:basedOn w:val="21"/>
    <w:link w:val="12"/>
    <w:autoRedefine/>
    <w:qFormat/>
    <w:uiPriority w:val="99"/>
    <w:rPr>
      <w:sz w:val="18"/>
      <w:szCs w:val="18"/>
    </w:rPr>
  </w:style>
  <w:style w:type="paragraph" w:customStyle="1" w:styleId="44">
    <w:name w:val="EFABodyText"/>
    <w:link w:val="47"/>
    <w:autoRedefine/>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5">
    <w:name w:val="EFAFPFrameText_11.5pt_Right"/>
    <w:basedOn w:val="46"/>
    <w:link w:val="59"/>
    <w:autoRedefine/>
    <w:qFormat/>
    <w:uiPriority w:val="0"/>
    <w:pPr>
      <w:framePr w:wrap="around" w:xAlign="right" w:y="1"/>
      <w:jc w:val="right"/>
    </w:pPr>
    <w:rPr>
      <w:bCs/>
      <w:snapToGrid/>
      <w:szCs w:val="32"/>
    </w:rPr>
  </w:style>
  <w:style w:type="paragraph" w:customStyle="1" w:styleId="46">
    <w:name w:val="EFAFPFrameText_11.5pt"/>
    <w:link w:val="58"/>
    <w:autoRedefine/>
    <w:qFormat/>
    <w:uiPriority w:val="0"/>
    <w:pPr>
      <w:framePr w:wrap="around" w:vAnchor="margin" w:hAnchor="text" w:x="366" w:y="1071"/>
    </w:pPr>
    <w:rPr>
      <w:rFonts w:ascii="Calibri" w:hAnsi="Calibri" w:eastAsia="MS Mincho" w:cs="Times New Roman"/>
      <w:b/>
      <w:snapToGrid w:val="0"/>
      <w:color w:val="23558C"/>
      <w:sz w:val="24"/>
      <w:szCs w:val="16"/>
      <w:lang w:val="en-US" w:eastAsia="ja-JP" w:bidi="ar-SA"/>
    </w:rPr>
  </w:style>
  <w:style w:type="character" w:customStyle="1" w:styleId="47">
    <w:name w:val="EFABodyText Char"/>
    <w:basedOn w:val="21"/>
    <w:link w:val="44"/>
    <w:autoRedefine/>
    <w:qFormat/>
    <w:uiPriority w:val="0"/>
    <w:rPr>
      <w:rFonts w:ascii="Calibri" w:hAnsi="Calibri" w:eastAsia="MS Mincho" w:cs="Times New Roman"/>
      <w:snapToGrid w:val="0"/>
      <w:kern w:val="0"/>
      <w:sz w:val="20"/>
      <w:szCs w:val="16"/>
      <w:lang w:eastAsia="ja-JP"/>
    </w:rPr>
  </w:style>
  <w:style w:type="paragraph" w:customStyle="1" w:styleId="48">
    <w:name w:val="EFAFPColFrameText_Right"/>
    <w:basedOn w:val="1"/>
    <w:autoRedefine/>
    <w:qFormat/>
    <w:uiPriority w:val="0"/>
    <w:pPr>
      <w:framePr w:w="3045" w:h="12844" w:hRule="exact" w:hSpace="180" w:wrap="around" w:vAnchor="page" w:hAnchor="page" w:x="336" w:y="2721" w:anchorLock="1"/>
      <w:adjustRightInd w:val="0"/>
      <w:snapToGrid w:val="0"/>
      <w:jc w:val="right"/>
    </w:pPr>
    <w:rPr>
      <w:sz w:val="14"/>
      <w:szCs w:val="14"/>
    </w:rPr>
  </w:style>
  <w:style w:type="paragraph" w:customStyle="1" w:styleId="49">
    <w:name w:val="EFAFPColFrameHeading"/>
    <w:basedOn w:val="1"/>
    <w:autoRedefine/>
    <w:qFormat/>
    <w:uiPriority w:val="0"/>
    <w:pPr>
      <w:framePr w:w="3045" w:h="12844" w:hRule="exact" w:hSpace="180" w:wrap="around" w:vAnchor="page" w:hAnchor="page" w:x="336" w:y="2721" w:anchorLock="1"/>
      <w:adjustRightInd w:val="0"/>
      <w:snapToGrid w:val="0"/>
    </w:pPr>
    <w:rPr>
      <w:b/>
      <w:color w:val="23558C"/>
      <w:szCs w:val="14"/>
    </w:rPr>
  </w:style>
  <w:style w:type="paragraph" w:customStyle="1" w:styleId="50">
    <w:name w:val="EFAFPColFrameText_Left"/>
    <w:basedOn w:val="1"/>
    <w:link w:val="54"/>
    <w:autoRedefine/>
    <w:qFormat/>
    <w:uiPriority w:val="0"/>
    <w:pPr>
      <w:framePr w:w="3045" w:h="12844" w:hRule="exact" w:hSpace="180" w:wrap="around" w:vAnchor="page" w:hAnchor="page" w:x="336" w:y="2721" w:anchorLock="1"/>
      <w:adjustRightInd w:val="0"/>
      <w:snapToGrid w:val="0"/>
    </w:pPr>
    <w:rPr>
      <w:sz w:val="14"/>
      <w:szCs w:val="14"/>
    </w:rPr>
  </w:style>
  <w:style w:type="paragraph" w:customStyle="1" w:styleId="51">
    <w:name w:val="EFAFPColFrame_Source"/>
    <w:basedOn w:val="50"/>
    <w:autoRedefine/>
    <w:qFormat/>
    <w:uiPriority w:val="0"/>
    <w:pPr>
      <w:framePr w:wrap="around"/>
    </w:pPr>
    <w:rPr>
      <w:sz w:val="12"/>
      <w:szCs w:val="12"/>
    </w:rPr>
  </w:style>
  <w:style w:type="paragraph" w:customStyle="1" w:styleId="52">
    <w:name w:val="EFAFPColFrame_AnalystName"/>
    <w:basedOn w:val="50"/>
    <w:autoRedefine/>
    <w:qFormat/>
    <w:uiPriority w:val="0"/>
    <w:pPr>
      <w:framePr w:wrap="around"/>
    </w:pPr>
    <w:rPr>
      <w:b/>
      <w:sz w:val="16"/>
    </w:rPr>
  </w:style>
  <w:style w:type="paragraph" w:customStyle="1" w:styleId="53">
    <w:name w:val="EFAFPColFrameText_8pt"/>
    <w:basedOn w:val="50"/>
    <w:autoRedefine/>
    <w:qFormat/>
    <w:uiPriority w:val="0"/>
    <w:pPr>
      <w:framePr w:wrap="around"/>
    </w:pPr>
    <w:rPr>
      <w:sz w:val="16"/>
    </w:rPr>
  </w:style>
  <w:style w:type="character" w:customStyle="1" w:styleId="54">
    <w:name w:val="EFAFPColFrameText_Left Char"/>
    <w:basedOn w:val="21"/>
    <w:link w:val="50"/>
    <w:autoRedefine/>
    <w:qFormat/>
    <w:uiPriority w:val="0"/>
    <w:rPr>
      <w:rFonts w:ascii="Calibri" w:hAnsi="Calibri" w:eastAsia="MS Mincho" w:cs="Times New Roman"/>
      <w:snapToGrid w:val="0"/>
      <w:kern w:val="0"/>
      <w:sz w:val="14"/>
      <w:szCs w:val="14"/>
    </w:rPr>
  </w:style>
  <w:style w:type="paragraph" w:customStyle="1" w:styleId="55">
    <w:name w:val="EFAAnchor"/>
    <w:basedOn w:val="1"/>
    <w:autoRedefine/>
    <w:qFormat/>
    <w:uiPriority w:val="0"/>
    <w:pPr>
      <w:widowControl w:val="0"/>
      <w:adjustRightInd w:val="0"/>
      <w:snapToGrid w:val="0"/>
    </w:pPr>
    <w:rPr>
      <w:sz w:val="4"/>
    </w:rPr>
  </w:style>
  <w:style w:type="paragraph" w:customStyle="1" w:styleId="56">
    <w:name w:val="EFAFP_BodyText2"/>
    <w:link w:val="57"/>
    <w:autoRedefine/>
    <w:qFormat/>
    <w:uiPriority w:val="0"/>
    <w:pPr>
      <w:adjustRightInd w:val="0"/>
      <w:snapToGrid w:val="0"/>
      <w:spacing w:after="120"/>
    </w:pPr>
    <w:rPr>
      <w:rFonts w:ascii="Calibri" w:hAnsi="Calibri" w:eastAsia="Times New Roman" w:cs="PMingLiU"/>
      <w:lang w:val="en-US" w:eastAsia="ja-JP" w:bidi="ar-SA"/>
    </w:rPr>
  </w:style>
  <w:style w:type="character" w:customStyle="1" w:styleId="57">
    <w:name w:val="EFAFP_BodyText2 Char"/>
    <w:basedOn w:val="21"/>
    <w:link w:val="56"/>
    <w:autoRedefine/>
    <w:qFormat/>
    <w:uiPriority w:val="0"/>
    <w:rPr>
      <w:rFonts w:ascii="Calibri" w:hAnsi="Calibri" w:eastAsia="Times New Roman" w:cs="PMingLiU"/>
      <w:kern w:val="0"/>
      <w:sz w:val="20"/>
      <w:szCs w:val="20"/>
      <w:lang w:eastAsia="ja-JP"/>
    </w:rPr>
  </w:style>
  <w:style w:type="character" w:customStyle="1" w:styleId="58">
    <w:name w:val="EFAFPFrameText_11.5pt Char"/>
    <w:basedOn w:val="21"/>
    <w:link w:val="46"/>
    <w:autoRedefine/>
    <w:qFormat/>
    <w:uiPriority w:val="0"/>
    <w:rPr>
      <w:rFonts w:ascii="Calibri" w:hAnsi="Calibri" w:eastAsia="MS Mincho" w:cs="Times New Roman"/>
      <w:b/>
      <w:snapToGrid w:val="0"/>
      <w:color w:val="23558C"/>
      <w:kern w:val="0"/>
      <w:sz w:val="24"/>
      <w:szCs w:val="16"/>
      <w:lang w:eastAsia="ja-JP"/>
    </w:rPr>
  </w:style>
  <w:style w:type="character" w:customStyle="1" w:styleId="59">
    <w:name w:val="EFAFPFrameText_11.5pt_Right Char"/>
    <w:basedOn w:val="58"/>
    <w:link w:val="45"/>
    <w:autoRedefine/>
    <w:qFormat/>
    <w:uiPriority w:val="0"/>
    <w:rPr>
      <w:rFonts w:ascii="Calibri" w:hAnsi="Calibri" w:eastAsia="MS Mincho" w:cs="Times New Roman"/>
      <w:bCs/>
      <w:snapToGrid/>
      <w:color w:val="23558C"/>
      <w:kern w:val="0"/>
      <w:sz w:val="24"/>
      <w:szCs w:val="32"/>
      <w:lang w:eastAsia="ja-JP"/>
    </w:rPr>
  </w:style>
  <w:style w:type="paragraph" w:customStyle="1" w:styleId="60">
    <w:name w:val="EFAFPHdrInfo3"/>
    <w:link w:val="61"/>
    <w:autoRedefine/>
    <w:qFormat/>
    <w:uiPriority w:val="0"/>
    <w:rPr>
      <w:rFonts w:ascii="Calibri" w:hAnsi="Calibri" w:eastAsia="MS Mincho" w:cs="Times New Roman"/>
      <w:b/>
      <w:bCs/>
      <w:snapToGrid w:val="0"/>
      <w:color w:val="000000"/>
      <w:sz w:val="32"/>
      <w:lang w:val="en-US" w:eastAsia="ja-JP" w:bidi="ar-SA"/>
    </w:rPr>
  </w:style>
  <w:style w:type="character" w:customStyle="1" w:styleId="61">
    <w:name w:val="EFAFPHdrInfo3 Char"/>
    <w:basedOn w:val="21"/>
    <w:link w:val="60"/>
    <w:autoRedefine/>
    <w:qFormat/>
    <w:uiPriority w:val="0"/>
    <w:rPr>
      <w:rFonts w:ascii="Calibri" w:hAnsi="Calibri" w:eastAsia="MS Mincho" w:cs="Times New Roman"/>
      <w:b/>
      <w:bCs/>
      <w:snapToGrid w:val="0"/>
      <w:color w:val="000000"/>
      <w:kern w:val="0"/>
      <w:sz w:val="32"/>
      <w:szCs w:val="20"/>
      <w:lang w:eastAsia="ja-JP"/>
    </w:rPr>
  </w:style>
  <w:style w:type="paragraph" w:customStyle="1" w:styleId="62">
    <w:name w:val="EFAFPTitle6"/>
    <w:link w:val="63"/>
    <w:autoRedefine/>
    <w:qFormat/>
    <w:uiPriority w:val="0"/>
    <w:rPr>
      <w:rFonts w:ascii="Calibri" w:hAnsi="Calibri" w:eastAsia="MS Mincho" w:cs="Times New Roman"/>
      <w:b/>
      <w:bCs/>
      <w:snapToGrid w:val="0"/>
      <w:color w:val="FFFFFF"/>
      <w:sz w:val="32"/>
      <w:lang w:val="en-US" w:eastAsia="ja-JP" w:bidi="ar-SA"/>
    </w:rPr>
  </w:style>
  <w:style w:type="character" w:customStyle="1" w:styleId="63">
    <w:name w:val="EFAFPTitle6 Char"/>
    <w:basedOn w:val="21"/>
    <w:link w:val="62"/>
    <w:autoRedefine/>
    <w:qFormat/>
    <w:uiPriority w:val="0"/>
    <w:rPr>
      <w:rFonts w:ascii="Calibri" w:hAnsi="Calibri" w:eastAsia="MS Mincho" w:cs="Times New Roman"/>
      <w:b/>
      <w:bCs/>
      <w:snapToGrid w:val="0"/>
      <w:color w:val="FFFFFF"/>
      <w:kern w:val="0"/>
      <w:sz w:val="32"/>
      <w:szCs w:val="20"/>
      <w:lang w:eastAsia="ja-JP"/>
    </w:rPr>
  </w:style>
  <w:style w:type="paragraph" w:customStyle="1" w:styleId="64">
    <w:name w:val="EFAFPFooter"/>
    <w:basedOn w:val="1"/>
    <w:autoRedefine/>
    <w:qFormat/>
    <w:uiPriority w:val="0"/>
    <w:pPr>
      <w:widowControl w:val="0"/>
      <w:tabs>
        <w:tab w:val="right" w:pos="10679"/>
      </w:tabs>
      <w:autoSpaceDE w:val="0"/>
      <w:autoSpaceDN w:val="0"/>
      <w:adjustRightInd w:val="0"/>
      <w:snapToGrid w:val="0"/>
      <w:jc w:val="both"/>
    </w:pPr>
    <w:rPr>
      <w:rFonts w:eastAsia="宋体" w:cs="Arial"/>
      <w:b/>
    </w:rPr>
  </w:style>
  <w:style w:type="paragraph" w:customStyle="1" w:styleId="65">
    <w:name w:val="EFANormal"/>
    <w:link w:val="66"/>
    <w:autoRedefine/>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character" w:customStyle="1" w:styleId="66">
    <w:name w:val="EFANormal Char"/>
    <w:basedOn w:val="21"/>
    <w:link w:val="65"/>
    <w:autoRedefine/>
    <w:qFormat/>
    <w:uiPriority w:val="0"/>
    <w:rPr>
      <w:rFonts w:ascii="Calibri" w:hAnsi="Calibri" w:eastAsia="MS Mincho" w:cs="Times New Roman"/>
      <w:snapToGrid w:val="0"/>
      <w:kern w:val="0"/>
      <w:sz w:val="16"/>
      <w:szCs w:val="16"/>
      <w:lang w:eastAsia="ja-JP"/>
    </w:rPr>
  </w:style>
  <w:style w:type="character" w:customStyle="1" w:styleId="67">
    <w:name w:val="EFACharBold_and_AllCap"/>
    <w:autoRedefine/>
    <w:qFormat/>
    <w:uiPriority w:val="1"/>
    <w:rPr>
      <w:b/>
      <w:caps/>
    </w:rPr>
  </w:style>
  <w:style w:type="paragraph" w:customStyle="1" w:styleId="68">
    <w:name w:val="EFAPageFooter"/>
    <w:basedOn w:val="65"/>
    <w:autoRedefine/>
    <w:qFormat/>
    <w:uiPriority w:val="0"/>
    <w:pPr>
      <w:framePr w:wrap="around" w:vAnchor="page" w:hAnchor="page" w:x="347" w:y="15481"/>
      <w:tabs>
        <w:tab w:val="center" w:pos="5165"/>
      </w:tabs>
    </w:pPr>
    <w:rPr>
      <w:b/>
      <w:sz w:val="20"/>
      <w:szCs w:val="20"/>
    </w:rPr>
  </w:style>
  <w:style w:type="paragraph" w:customStyle="1" w:styleId="69">
    <w:name w:val="EFASideComment"/>
    <w:basedOn w:val="44"/>
    <w:autoRedefine/>
    <w:qFormat/>
    <w:uiPriority w:val="0"/>
    <w:pPr>
      <w:framePr w:w="2980" w:hSpace="180" w:wrap="around" w:vAnchor="text" w:hAnchor="text" w:x="-3250" w:y="160"/>
    </w:pPr>
  </w:style>
  <w:style w:type="table" w:customStyle="1" w:styleId="70">
    <w:name w:val="Common"/>
    <w:basedOn w:val="20"/>
    <w:autoRedefine/>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 w:type="paragraph" w:customStyle="1" w:styleId="71">
    <w:name w:val="EFADisclaimerText"/>
    <w:basedOn w:val="65"/>
    <w:link w:val="72"/>
    <w:autoRedefine/>
    <w:qFormat/>
    <w:uiPriority w:val="99"/>
    <w:pPr>
      <w:jc w:val="both"/>
    </w:pPr>
  </w:style>
  <w:style w:type="character" w:customStyle="1" w:styleId="72">
    <w:name w:val="EFADisclaimerText Char"/>
    <w:basedOn w:val="21"/>
    <w:link w:val="71"/>
    <w:autoRedefine/>
    <w:qFormat/>
    <w:locked/>
    <w:uiPriority w:val="99"/>
    <w:rPr>
      <w:rFonts w:ascii="Calibri" w:hAnsi="Calibri" w:eastAsia="MS Mincho" w:cs="Times New Roman"/>
      <w:snapToGrid w:val="0"/>
      <w:kern w:val="0"/>
      <w:sz w:val="16"/>
      <w:szCs w:val="16"/>
      <w:lang w:eastAsia="ja-JP"/>
    </w:rPr>
  </w:style>
  <w:style w:type="paragraph" w:customStyle="1" w:styleId="73">
    <w:name w:val="TOC 标题1"/>
    <w:basedOn w:val="2"/>
    <w:next w:val="1"/>
    <w:autoRedefine/>
    <w:unhideWhenUsed/>
    <w:qFormat/>
    <w:uiPriority w:val="39"/>
    <w:pPr>
      <w:spacing w:after="0" w:line="259" w:lineRule="auto"/>
      <w:outlineLvl w:val="9"/>
    </w:pPr>
    <w:rPr>
      <w:snapToGrid/>
      <w:sz w:val="32"/>
    </w:rPr>
  </w:style>
  <w:style w:type="paragraph" w:customStyle="1" w:styleId="74">
    <w:name w:val="【正文】图表标题"/>
    <w:basedOn w:val="75"/>
    <w:autoRedefine/>
    <w:qFormat/>
    <w:uiPriority w:val="6"/>
    <w:pPr>
      <w:numPr>
        <w:ilvl w:val="0"/>
        <w:numId w:val="1"/>
      </w:numPr>
      <w:jc w:val="left"/>
    </w:pPr>
    <w:rPr>
      <w:b/>
      <w:bCs/>
    </w:rPr>
  </w:style>
  <w:style w:type="paragraph" w:customStyle="1" w:styleId="75">
    <w:name w:val="【基础样式】"/>
    <w:autoRedefine/>
    <w:qFormat/>
    <w:uiPriority w:val="8"/>
    <w:pPr>
      <w:widowControl w:val="0"/>
      <w:adjustRightInd w:val="0"/>
      <w:snapToGrid w:val="0"/>
      <w:jc w:val="both"/>
    </w:pPr>
    <w:rPr>
      <w:rFonts w:ascii="Times New Roman" w:hAnsi="Times New Roman" w:eastAsia="楷体_GB2312" w:cstheme="minorBidi"/>
      <w:kern w:val="2"/>
      <w:sz w:val="21"/>
      <w:szCs w:val="21"/>
      <w:lang w:val="en-US" w:eastAsia="zh-CN" w:bidi="ar-SA"/>
      <w14:ligatures w14:val="standardContextual"/>
    </w:rPr>
  </w:style>
  <w:style w:type="paragraph" w:customStyle="1" w:styleId="76">
    <w:name w:val="【资料来源】"/>
    <w:basedOn w:val="75"/>
    <w:qFormat/>
    <w:uiPriority w:val="7"/>
    <w:rPr>
      <w:sz w:val="15"/>
      <w:szCs w:val="15"/>
    </w:rPr>
  </w:style>
  <w:style w:type="paragraph" w:customStyle="1" w:styleId="77">
    <w:name w:val="样式 标题 2 + 段前: 1 行 段后: 1 行"/>
    <w:basedOn w:val="3"/>
    <w:qFormat/>
    <w:uiPriority w:val="0"/>
    <w:pPr>
      <w:keepLines w:val="0"/>
      <w:spacing w:before="240" w:after="240"/>
    </w:pPr>
    <w:rPr>
      <w:rFonts w:ascii="宋体" w:hAnsi="宋体" w:eastAsia="宋体" w:cs="宋体"/>
      <w:b/>
      <w:bCs/>
      <w:snapToGrid/>
      <w:color w:val="auto"/>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3" Type="http://schemas.openxmlformats.org/officeDocument/2006/relationships/glossaryDocument" Target="glossary/document.xml"/><Relationship Id="rId72" Type="http://schemas.openxmlformats.org/officeDocument/2006/relationships/fontTable" Target="fontTable.xml"/><Relationship Id="rId71" Type="http://schemas.openxmlformats.org/officeDocument/2006/relationships/customXml" Target="../customXml/item2.xml"/><Relationship Id="rId70" Type="http://schemas.openxmlformats.org/officeDocument/2006/relationships/numbering" Target="numbering.xml"/><Relationship Id="rId7" Type="http://schemas.openxmlformats.org/officeDocument/2006/relationships/footer" Target="footer2.xml"/><Relationship Id="rId69" Type="http://schemas.openxmlformats.org/officeDocument/2006/relationships/customXml" Target="../customXml/item1.xml"/><Relationship Id="rId68" Type="http://schemas.openxmlformats.org/officeDocument/2006/relationships/image" Target="media/image29.emf"/><Relationship Id="rId67" Type="http://schemas.openxmlformats.org/officeDocument/2006/relationships/image" Target="media/image28.emf"/><Relationship Id="rId66" Type="http://schemas.openxmlformats.org/officeDocument/2006/relationships/image" Target="media/image27.emf"/><Relationship Id="rId65" Type="http://schemas.openxmlformats.org/officeDocument/2006/relationships/image" Target="media/image26.png"/><Relationship Id="rId63" Type="http://schemas.openxmlformats.org/officeDocument/2006/relationships/image" Target="media/image25.png"/><Relationship Id="rId62" Type="http://schemas.openxmlformats.org/officeDocument/2006/relationships/image" Target="media/image24.png"/><Relationship Id="rId6" Type="http://schemas.openxmlformats.org/officeDocument/2006/relationships/footer" Target="footer1.xml"/><Relationship Id="rId56" Type="http://schemas.openxmlformats.org/officeDocument/2006/relationships/image" Target="media/image23.png"/><Relationship Id="rId55" Type="http://schemas.openxmlformats.org/officeDocument/2006/relationships/image" Target="media/image22.png"/><Relationship Id="rId54" Type="http://schemas.openxmlformats.org/officeDocument/2006/relationships/image" Target="media/image21.png"/><Relationship Id="rId53" Type="http://schemas.openxmlformats.org/officeDocument/2006/relationships/image" Target="media/image20.png"/><Relationship Id="rId52" Type="http://schemas.openxmlformats.org/officeDocument/2006/relationships/image" Target="media/image19.png"/><Relationship Id="rId51" Type="http://schemas.openxmlformats.org/officeDocument/2006/relationships/image" Target="media/image18.png"/><Relationship Id="rId50" Type="http://schemas.openxmlformats.org/officeDocument/2006/relationships/image" Target="media/image17.emf"/><Relationship Id="rId5" Type="http://schemas.openxmlformats.org/officeDocument/2006/relationships/header" Target="header3.xml"/><Relationship Id="rId49" Type="http://schemas.openxmlformats.org/officeDocument/2006/relationships/image" Target="media/image16.emf"/><Relationship Id="rId48" Type="http://schemas.openxmlformats.org/officeDocument/2006/relationships/image" Target="media/image15.png"/><Relationship Id="rId47" Type="http://schemas.openxmlformats.org/officeDocument/2006/relationships/image" Target="media/image14.png"/><Relationship Id="rId46" Type="http://schemas.openxmlformats.org/officeDocument/2006/relationships/image" Target="media/image13.png"/><Relationship Id="rId45" Type="http://schemas.openxmlformats.org/officeDocument/2006/relationships/image" Target="media/image12.png"/><Relationship Id="rId44" Type="http://schemas.openxmlformats.org/officeDocument/2006/relationships/image" Target="media/image11.png"/><Relationship Id="rId41" Type="http://schemas.openxmlformats.org/officeDocument/2006/relationships/image" Target="media/image10.png"/><Relationship Id="rId40" Type="http://schemas.openxmlformats.org/officeDocument/2006/relationships/image" Target="media/image9.png"/><Relationship Id="rId4" Type="http://schemas.openxmlformats.org/officeDocument/2006/relationships/header" Target="header2.xml"/><Relationship Id="rId33" Type="http://schemas.openxmlformats.org/officeDocument/2006/relationships/image" Target="media/image8.png"/><Relationship Id="rId32" Type="http://schemas.openxmlformats.org/officeDocument/2006/relationships/image" Target="media/image7.png"/><Relationship Id="rId31" Type="http://schemas.openxmlformats.org/officeDocument/2006/relationships/image" Target="media/image6.emf"/><Relationship Id="rId3" Type="http://schemas.openxmlformats.org/officeDocument/2006/relationships/header" Target="header1.xml"/><Relationship Id="rId22" Type="http://schemas.openxmlformats.org/officeDocument/2006/relationships/image" Target="media/image5.emf"/><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8.xml"/><Relationship Id="rId13" Type="http://schemas.openxmlformats.org/officeDocument/2006/relationships/footer" Target="footer4.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0A7DF2113BC84988AC653F937B869E52"/>
        <w:style w:val=""/>
        <w:category>
          <w:name w:val="常规"/>
          <w:gallery w:val="placeholder"/>
        </w:category>
        <w:types>
          <w:type w:val="bbPlcHdr"/>
        </w:types>
        <w:behaviors>
          <w:behavior w:val="content"/>
        </w:behaviors>
        <w:description w:val=""/>
        <w:guid w:val="{CCC19E6C-F05C-44C1-B9B0-AB5549CC6D93}"/>
      </w:docPartPr>
      <w:docPartBody>
        <w:p>
          <w:pPr>
            <w:pStyle w:val="4"/>
            <w:rPr>
              <w:rFonts w:hint="eastAsia"/>
            </w:rPr>
          </w:pPr>
          <w:r>
            <w:rPr>
              <w:lang w:val="zh-CN"/>
            </w:rPr>
            <w:t>[在此处键入]</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2462"/>
    <w:rsid w:val="000202AF"/>
    <w:rsid w:val="00033511"/>
    <w:rsid w:val="00061815"/>
    <w:rsid w:val="00096427"/>
    <w:rsid w:val="000C513D"/>
    <w:rsid w:val="00176706"/>
    <w:rsid w:val="00176D52"/>
    <w:rsid w:val="00196F29"/>
    <w:rsid w:val="001A6A8F"/>
    <w:rsid w:val="001D5A22"/>
    <w:rsid w:val="001D7381"/>
    <w:rsid w:val="001E0203"/>
    <w:rsid w:val="00262310"/>
    <w:rsid w:val="002A0007"/>
    <w:rsid w:val="002B6266"/>
    <w:rsid w:val="002D795F"/>
    <w:rsid w:val="003108EF"/>
    <w:rsid w:val="00341C85"/>
    <w:rsid w:val="003E4F87"/>
    <w:rsid w:val="00414D3F"/>
    <w:rsid w:val="00433488"/>
    <w:rsid w:val="004653EA"/>
    <w:rsid w:val="004A77A0"/>
    <w:rsid w:val="00532462"/>
    <w:rsid w:val="00585FEA"/>
    <w:rsid w:val="005B3912"/>
    <w:rsid w:val="005C7598"/>
    <w:rsid w:val="006206E5"/>
    <w:rsid w:val="0062713A"/>
    <w:rsid w:val="006A0886"/>
    <w:rsid w:val="006A2C06"/>
    <w:rsid w:val="006B39BB"/>
    <w:rsid w:val="007064AC"/>
    <w:rsid w:val="00731DBD"/>
    <w:rsid w:val="00732BE6"/>
    <w:rsid w:val="00744DA6"/>
    <w:rsid w:val="00757BB2"/>
    <w:rsid w:val="007B330D"/>
    <w:rsid w:val="007C609E"/>
    <w:rsid w:val="008D5780"/>
    <w:rsid w:val="008F1387"/>
    <w:rsid w:val="00912C77"/>
    <w:rsid w:val="009255EC"/>
    <w:rsid w:val="00936C11"/>
    <w:rsid w:val="00955955"/>
    <w:rsid w:val="00976834"/>
    <w:rsid w:val="00996501"/>
    <w:rsid w:val="009D5877"/>
    <w:rsid w:val="00A354E2"/>
    <w:rsid w:val="00A4142A"/>
    <w:rsid w:val="00AC1224"/>
    <w:rsid w:val="00B542A3"/>
    <w:rsid w:val="00B61A81"/>
    <w:rsid w:val="00B70510"/>
    <w:rsid w:val="00BF7880"/>
    <w:rsid w:val="00C46ABE"/>
    <w:rsid w:val="00CE6729"/>
    <w:rsid w:val="00CE76D0"/>
    <w:rsid w:val="00CF7F45"/>
    <w:rsid w:val="00D12B3B"/>
    <w:rsid w:val="00D15E10"/>
    <w:rsid w:val="00D52466"/>
    <w:rsid w:val="00D715ED"/>
    <w:rsid w:val="00D81B9A"/>
    <w:rsid w:val="00D92F8D"/>
    <w:rsid w:val="00DB417A"/>
    <w:rsid w:val="00DD0428"/>
    <w:rsid w:val="00DD421F"/>
    <w:rsid w:val="00E9250A"/>
    <w:rsid w:val="00F1146A"/>
    <w:rsid w:val="00F613D7"/>
    <w:rsid w:val="00F80B9B"/>
    <w:rsid w:val="00FA5472"/>
    <w:rsid w:val="00FC5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iPriority="99" w:name="Normal Table"/>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0A7DF2113BC84988AC653F937B869E52"/>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9FD1BB-8468-4381-B344-02B2A34111CF}">
  <ds:schemaRefs/>
</ds:datastoreItem>
</file>

<file path=docProps/app.xml><?xml version="1.0" encoding="utf-8"?>
<Properties xmlns="http://schemas.openxmlformats.org/officeDocument/2006/extended-properties" xmlns:vt="http://schemas.openxmlformats.org/officeDocument/2006/docPropsVTypes">
  <Template>Normal</Template>
  <Pages>27</Pages>
  <Words>12234</Words>
  <Characters>20985</Characters>
  <Lines>649</Lines>
  <Paragraphs>374</Paragraphs>
  <TotalTime>4</TotalTime>
  <ScaleCrop>false</ScaleCrop>
  <LinksUpToDate>false</LinksUpToDate>
  <CharactersWithSpaces>22716</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2026-01-13T02:06:00Z</dcterms:created>
  <dc:creator>强 罗</dc:creator>
  <cp:lastModifiedBy>Etein.</cp:lastModifiedBy>
  <dcterms:modified xsi:type="dcterms:W3CDTF">2026-03-25T07:39:43Z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eyJoZGlkIjoiMzZjNzRlNjcyNmM5NGY1YjZmYzc5MzY0MjcyMDM4M2MiLCJ1c2VySWQiOiIzOTI4MzU2MjAifQ==</vt:lpwstr>
  </property>
  <property fmtid="{D5CDD505-2E9C-101B-9397-08002B2CF9AE}" pid="3" name="KSOProductBuildVer">
    <vt:lpwstr>2052-12.1.0.16250</vt:lpwstr>
  </property>
  <property fmtid="{D5CDD505-2E9C-101B-9397-08002B2CF9AE}" pid="4" name="ICV">
    <vt:lpwstr>5770013363A24D63A9998D7439416111_13</vt:lpwstr>
  </property>
</Properties>
</file>