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63"/>
        <w:gridCol w:w="4111"/>
        <w:gridCol w:w="2467"/>
        <w:gridCol w:w="1276"/>
        <w:gridCol w:w="2823"/>
        <w:gridCol w:w="63"/>
      </w:tblGrid>
      <w:tr w14:paraId="701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2DC83B64">
            <w:pPr>
              <w:pStyle w:val="118"/>
              <w:rPr>
                <w:rFonts w:hint="default" w:ascii="Calibri" w:hAnsi="Calibri" w:eastAsia="楷体_GB2312" w:cs="Calibri"/>
                <w:color w:val="FFFFFF" w:themeColor="background1"/>
                <w:sz w:val="21"/>
                <w:szCs w:val="21"/>
                <w:lang w:eastAsia="zh-CN"/>
                <w14:textFill>
                  <w14:solidFill>
                    <w14:schemeClr w14:val="bg1"/>
                  </w14:solidFill>
                </w14:textFill>
              </w:rPr>
            </w:pPr>
            <w:r>
              <w:rPr>
                <w:rFonts w:hint="default" w:ascii="Calibri" w:hAnsi="Calibri"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759B4696">
            <w:pPr>
              <w:pStyle w:val="23"/>
              <w:framePr w:wrap="auto" w:vAnchor="margin" w:hAnchor="text" w:xAlign="left" w:yAlign="inline"/>
              <w:rPr>
                <w:rFonts w:hint="default" w:ascii="Calibri" w:hAnsi="Calibri" w:cs="Calibri"/>
                <w:highlight w:val="yellow"/>
              </w:rPr>
            </w:pPr>
          </w:p>
        </w:tc>
        <w:tc>
          <w:tcPr>
            <w:tcW w:w="2823" w:type="dxa"/>
          </w:tcPr>
          <w:p w14:paraId="60EFF1D6">
            <w:pPr>
              <w:pStyle w:val="22"/>
              <w:framePr w:wrap="auto" w:vAnchor="margin" w:hAnchor="text" w:xAlign="left" w:yAlign="inline"/>
              <w:rPr>
                <w:rFonts w:hint="default" w:ascii="Calibri" w:hAnsi="Calibri" w:cs="Calibri"/>
                <w:highlight w:val="yellow"/>
              </w:rPr>
            </w:pPr>
          </w:p>
        </w:tc>
      </w:tr>
      <w:tr w14:paraId="1603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355D012A">
            <w:pPr>
              <w:pStyle w:val="23"/>
              <w:framePr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Research Report</w:t>
            </w:r>
          </w:p>
        </w:tc>
        <w:tc>
          <w:tcPr>
            <w:tcW w:w="4099" w:type="dxa"/>
            <w:gridSpan w:val="2"/>
          </w:tcPr>
          <w:p w14:paraId="4C0279B4">
            <w:pPr>
              <w:pStyle w:val="118"/>
              <w:rPr>
                <w:rFonts w:hint="default" w:ascii="Calibri" w:hAnsi="Calibri" w:eastAsia="楷体_GB2312" w:cs="Calibri"/>
                <w:sz w:val="16"/>
                <w:szCs w:val="16"/>
                <w:lang w:eastAsia="zh-CN"/>
              </w:rPr>
            </w:pPr>
          </w:p>
        </w:tc>
      </w:tr>
      <w:tr w14:paraId="71FA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2CB1D3C0">
            <w:pPr>
              <w:pStyle w:val="23"/>
              <w:framePr w:wrap="auto" w:vAnchor="margin" w:hAnchor="text" w:xAlign="left" w:yAlign="inline"/>
              <w:rPr>
                <w:rFonts w:hint="default" w:ascii="Calibri" w:hAnsi="Calibri" w:cs="Calibri"/>
                <w:b w:val="0"/>
                <w:sz w:val="20"/>
                <w:szCs w:val="20"/>
              </w:rPr>
            </w:pPr>
            <w:r>
              <w:rPr>
                <w:rFonts w:ascii="Calibri" w:eastAsia="楷体_GB2312"/>
                <w:b w:val="0"/>
                <w:i w:val="0"/>
                <w:color w:val="215E99"/>
                <w:sz w:val="16"/>
              </w:rPr>
              <w:t>9 Mar 2026</w:t>
            </w:r>
          </w:p>
        </w:tc>
        <w:tc>
          <w:tcPr>
            <w:tcW w:w="4099" w:type="dxa"/>
            <w:gridSpan w:val="2"/>
          </w:tcPr>
          <w:p w14:paraId="3D153761">
            <w:pPr>
              <w:pStyle w:val="118"/>
              <w:rPr>
                <w:rFonts w:hint="default" w:ascii="Calibri" w:hAnsi="Calibri" w:eastAsia="楷体_GB2312" w:cs="Calibri"/>
                <w:sz w:val="16"/>
                <w:szCs w:val="16"/>
                <w:lang w:eastAsia="zh-CN"/>
              </w:rPr>
            </w:pPr>
          </w:p>
        </w:tc>
      </w:tr>
      <w:tr w14:paraId="4BAE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2C797CA1">
            <w:pPr>
              <w:pStyle w:val="22"/>
              <w:framePr w:wrap="auto" w:vAnchor="margin" w:hAnchor="text" w:xAlign="left" w:yAlign="inline"/>
              <w:jc w:val="left"/>
              <w:rPr>
                <w:rFonts w:hint="default" w:ascii="Calibri" w:hAnsi="Calibri" w:eastAsia="楷体_GB2312" w:cs="Calibri"/>
                <w:sz w:val="40"/>
                <w:szCs w:val="40"/>
                <w:lang w:eastAsia="zh-CN"/>
              </w:rPr>
            </w:pPr>
          </w:p>
        </w:tc>
      </w:tr>
      <w:tr w14:paraId="4EFC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12F4A8D0">
            <w:pPr>
              <w:pStyle w:val="22"/>
              <w:framePr w:wrap="auto" w:vAnchor="margin" w:hAnchor="text" w:xAlign="left" w:yAlign="inline"/>
              <w:jc w:val="left"/>
              <w:rPr>
                <w:rFonts w:hint="default" w:ascii="Calibri" w:hAnsi="Calibri" w:eastAsia="楷体_GB2312" w:cs="Calibri"/>
                <w:sz w:val="40"/>
                <w:szCs w:val="40"/>
                <w:lang w:eastAsia="zh-CN"/>
              </w:rPr>
            </w:pPr>
            <w:r>
              <w:rPr>
                <w:rFonts w:ascii="Calibri" w:eastAsia="楷体_GB2312"/>
                <w:b/>
                <w:i w:val="0"/>
                <w:color w:val="215E99"/>
                <w:sz w:val="40"/>
              </w:rPr>
              <w:t>Eaton(ETN US)</w:t>
            </w:r>
          </w:p>
        </w:tc>
      </w:tr>
      <w:tr w14:paraId="6FCB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953" w:hRule="exact"/>
        </w:trPr>
        <w:tc>
          <w:tcPr>
            <w:tcW w:w="10740" w:type="dxa"/>
            <w:gridSpan w:val="5"/>
            <w:tcMar>
              <w:top w:w="60" w:type="dxa"/>
              <w:left w:w="119" w:type="dxa"/>
              <w:right w:w="0" w:type="dxa"/>
            </w:tcMar>
          </w:tcPr>
          <w:p w14:paraId="59D8DE0B">
            <w:pPr>
              <w:pStyle w:val="118"/>
              <w:rPr>
                <w:rFonts w:hint="default" w:ascii="Calibri" w:hAnsi="Calibri" w:eastAsia="楷体_GB2312" w:cs="Calibri"/>
                <w:b w:val="0"/>
                <w:color w:val="23558C"/>
                <w:sz w:val="44"/>
                <w:szCs w:val="44"/>
                <w:lang w:eastAsia="zh-CN"/>
              </w:rPr>
            </w:pPr>
            <w:r>
              <w:rPr>
                <w:rFonts w:ascii="Calibri" w:eastAsia="楷体_GB2312"/>
                <w:b w:val="0"/>
                <w:i w:val="0"/>
                <w:color w:val="215E99"/>
                <w:sz w:val="32"/>
              </w:rPr>
              <w:t>The world's premier power management company highly aligned with secular megatrends driving generational growth: Initiation</w:t>
            </w:r>
          </w:p>
        </w:tc>
      </w:tr>
      <w:tr w14:paraId="21E7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69" w:hRule="atLeast"/>
        </w:trPr>
        <w:tc>
          <w:tcPr>
            <w:tcW w:w="10740" w:type="dxa"/>
            <w:gridSpan w:val="5"/>
            <w:tcMar>
              <w:top w:w="60" w:type="dxa"/>
              <w:left w:w="119" w:type="dxa"/>
              <w:right w:w="0" w:type="dxa"/>
            </w:tcMar>
          </w:tcPr>
          <w:p w14:paraId="3BF43026">
            <w:pPr>
              <w:pStyle w:val="22"/>
              <w:framePr w:wrap="auto" w:vAnchor="margin" w:hAnchor="text" w:xAlign="left" w:yAlign="inline"/>
              <w:rPr>
                <w:rFonts w:hint="default" w:ascii="Calibri" w:hAnsi="Calibri" w:eastAsia="楷体_GB2312" w:cs="Calibri"/>
                <w:szCs w:val="24"/>
                <w:lang w:eastAsia="zh-CN"/>
              </w:rPr>
            </w:pPr>
          </w:p>
        </w:tc>
      </w:tr>
      <w:tr w14:paraId="1DB2E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58B11D03">
            <w:pPr>
              <w:pStyle w:val="22"/>
              <w:framePr w:wrap="auto" w:vAnchor="margin" w:hAnchor="text" w:xAlign="left" w:yAlign="inline"/>
              <w:rPr>
                <w:rFonts w:hint="default" w:ascii="Calibri" w:hAnsi="Calibri" w:eastAsia="楷体_GB2312" w:cs="Calibri"/>
              </w:rPr>
            </w:pPr>
          </w:p>
        </w:tc>
      </w:tr>
      <w:tr w14:paraId="2003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2"/>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AAAB56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59923FE9">
                  <w:pPr>
                    <w:adjustRightInd w:val="0"/>
                    <w:snapToGrid w:val="0"/>
                    <w:rPr>
                      <w:rFonts w:hint="default" w:ascii="Calibri" w:hAnsi="Calibri" w:eastAsia="宋体" w:cs="Calibri"/>
                      <w:sz w:val="21"/>
                      <w:szCs w:val="21"/>
                      <w:lang w:eastAsia="zh-CN"/>
                    </w:rPr>
                  </w:pPr>
                  <w:r>
                    <w:rPr>
                      <w:rFonts w:hint="default" w:ascii="Calibri" w:hAnsi="Calibri" w:eastAsia="宋体" w:cs="Calibri"/>
                      <w:color w:val="FFFFFF"/>
                      <w:sz w:val="21"/>
                      <w:szCs w:val="21"/>
                      <w:lang w:eastAsia="zh-CN"/>
                    </w:rPr>
                    <w:t>[Table_Info]</w:t>
                  </w:r>
                </w:p>
              </w:tc>
            </w:tr>
            <w:tr w14:paraId="042588E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1FEB9AA">
                  <w:pPr>
                    <w:adjustRightInd w:val="0"/>
                    <w:snapToGrid w:val="0"/>
                    <w:ind w:right="85" w:firstLine="85"/>
                    <w:jc w:val="center"/>
                    <w:rPr>
                      <w:rFonts w:hint="default" w:ascii="Calibri" w:hAnsi="Calibri" w:eastAsia="楷体_GB2312" w:cs="Calibri"/>
                      <w:b/>
                      <w:i/>
                      <w:color w:val="23558C"/>
                      <w:sz w:val="24"/>
                      <w:szCs w:val="14"/>
                      <w:lang w:eastAsia="zh-CN"/>
                    </w:rPr>
                  </w:pPr>
                  <w:r>
                    <w:rPr>
                      <w:rFonts w:ascii="Calibri" w:eastAsia="楷体_GB2312"/>
                      <w:b/>
                      <w:i/>
                      <w:color w:val="FFFFFF"/>
                      <w:sz w:val="22"/>
                    </w:rPr>
                    <w:t>Initiate with OUTPERFORM</w:t>
                  </w:r>
                </w:p>
              </w:tc>
            </w:tr>
            <w:tr w14:paraId="6D66699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2F01A6BD">
                  <w:pPr>
                    <w:adjustRightInd w:val="0"/>
                    <w:snapToGrid w:val="0"/>
                    <w:ind w:right="85" w:firstLine="85"/>
                    <w:rPr>
                      <w:rFonts w:hint="default" w:ascii="Calibri" w:hAnsi="Calibri" w:eastAsia="楷体_GB2312" w:cs="Calibri"/>
                      <w:b/>
                      <w:color w:val="23558C"/>
                      <w:szCs w:val="14"/>
                      <w:lang w:eastAsia="zh-CN"/>
                    </w:rPr>
                  </w:pPr>
                </w:p>
              </w:tc>
            </w:tr>
            <w:tr w14:paraId="1702D24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CECAF67">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Rating</w:t>
                  </w:r>
                </w:p>
              </w:tc>
              <w:tc>
                <w:tcPr>
                  <w:tcW w:w="2347" w:type="dxa"/>
                </w:tcPr>
                <w:p w14:paraId="6F11C015">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OUTPERFORM</w:t>
                  </w:r>
                </w:p>
              </w:tc>
            </w:tr>
            <w:tr w14:paraId="77182F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249AFF4">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Current Price</w:t>
                  </w:r>
                </w:p>
              </w:tc>
              <w:tc>
                <w:tcPr>
                  <w:tcW w:w="2347" w:type="dxa"/>
                </w:tcPr>
                <w:p w14:paraId="3FF00C64">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347.75</w:t>
                  </w:r>
                </w:p>
              </w:tc>
            </w:tr>
            <w:tr w14:paraId="7E2627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5E7B1B0">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Target Price</w:t>
                  </w:r>
                </w:p>
              </w:tc>
              <w:tc>
                <w:tcPr>
                  <w:tcW w:w="2347" w:type="dxa"/>
                </w:tcPr>
                <w:p w14:paraId="54989F5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391.17</w:t>
                  </w:r>
                </w:p>
              </w:tc>
            </w:tr>
            <w:tr w14:paraId="74DA692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8CAD621">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Market cap</w:t>
                  </w:r>
                </w:p>
              </w:tc>
              <w:tc>
                <w:tcPr>
                  <w:tcW w:w="2347" w:type="dxa"/>
                </w:tcPr>
                <w:p w14:paraId="38858209">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135.38bn</w:t>
                  </w:r>
                </w:p>
              </w:tc>
            </w:tr>
            <w:tr w14:paraId="52F9825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A0043B2">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Shares in issue</w:t>
                  </w:r>
                </w:p>
              </w:tc>
              <w:tc>
                <w:tcPr>
                  <w:tcW w:w="2347" w:type="dxa"/>
                </w:tcPr>
                <w:p w14:paraId="7731F7B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388.40mn</w:t>
                  </w:r>
                </w:p>
              </w:tc>
            </w:tr>
            <w:tr w14:paraId="0A4239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90A59D6">
                  <w:pPr>
                    <w:adjustRightInd w:val="0"/>
                    <w:snapToGrid w:val="0"/>
                    <w:ind w:right="85" w:firstLine="85"/>
                    <w:rPr>
                      <w:rFonts w:hint="default" w:ascii="Calibri" w:hAnsi="Calibri" w:eastAsia="楷体_GB2312" w:cs="Calibri"/>
                      <w:color w:val="23558C"/>
                      <w:szCs w:val="14"/>
                      <w:lang w:eastAsia="zh-CN"/>
                    </w:rPr>
                  </w:pPr>
                  <w:r>
                    <w:rPr>
                      <w:rFonts w:hint="default" w:ascii="Calibri" w:hAnsi="Calibri" w:eastAsia="楷体_GB2312" w:cs="Calibri"/>
                      <w:color w:val="23558C"/>
                      <w:szCs w:val="14"/>
                      <w:lang w:eastAsia="zh-CN"/>
                    </w:rPr>
                    <w:t>1 yr high - low</w:t>
                  </w:r>
                </w:p>
              </w:tc>
              <w:tc>
                <w:tcPr>
                  <w:tcW w:w="2347" w:type="dxa"/>
                </w:tcPr>
                <w:p w14:paraId="2D2547DA">
                  <w:pPr>
                    <w:adjustRightInd w:val="0"/>
                    <w:snapToGrid w:val="0"/>
                    <w:ind w:right="85" w:firstLine="85"/>
                    <w:jc w:val="right"/>
                    <w:rPr>
                      <w:rFonts w:hint="default" w:ascii="Calibri" w:hAnsi="Calibri" w:eastAsia="楷体_GB2312" w:cs="Calibri"/>
                      <w:sz w:val="14"/>
                      <w:szCs w:val="14"/>
                      <w:lang w:eastAsia="zh-CN"/>
                    </w:rPr>
                  </w:pPr>
                  <w:r>
                    <w:rPr>
                      <w:rFonts w:ascii="Calibri" w:eastAsia="楷体_GB2312"/>
                      <w:b w:val="0"/>
                      <w:i w:val="0"/>
                      <w:color w:val="215E99"/>
                      <w:sz w:val="16"/>
                    </w:rPr>
                    <w:t>396.09-244.95</w:t>
                  </w:r>
                </w:p>
              </w:tc>
            </w:tr>
            <w:tr w14:paraId="49154A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299B6242">
                  <w:pPr>
                    <w:adjustRightInd w:val="0"/>
                    <w:snapToGrid w:val="0"/>
                    <w:ind w:left="85"/>
                    <w:rPr>
                      <w:rFonts w:hint="default" w:ascii="Calibri" w:hAnsi="Calibri" w:eastAsia="宋体" w:cs="Calibri"/>
                      <w:i/>
                      <w:iCs/>
                      <w:sz w:val="14"/>
                      <w:szCs w:val="14"/>
                      <w:lang w:eastAsia="zh-CN"/>
                    </w:rPr>
                  </w:pPr>
                  <w:r>
                    <w:rPr>
                      <w:rFonts w:ascii="Calibri" w:eastAsia="楷体_GB2312"/>
                      <w:b w:val="0"/>
                      <w:i/>
                      <w:color w:val="000000"/>
                      <w:sz w:val="14"/>
                    </w:rPr>
                    <w:t>Note: Current Price 347.75 is the close price on 6 Mar 2026</w:t>
                  </w:r>
                </w:p>
              </w:tc>
            </w:tr>
            <w:tr w14:paraId="3D35C87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15D8E780">
                  <w:pPr>
                    <w:adjustRightInd w:val="0"/>
                    <w:snapToGrid w:val="0"/>
                    <w:ind w:left="85"/>
                    <w:rPr>
                      <w:rFonts w:hint="default" w:ascii="Calibri" w:hAnsi="Calibri" w:cs="Calibri"/>
                      <w:sz w:val="14"/>
                      <w:szCs w:val="14"/>
                      <w:lang w:eastAsia="zh-CN"/>
                    </w:rPr>
                  </w:pPr>
                </w:p>
              </w:tc>
            </w:tr>
            <w:tr w14:paraId="2D4B84D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50CB9622">
                  <w:pPr>
                    <w:jc w:val="center"/>
                    <w:rPr>
                      <w:rFonts w:hint="default" w:ascii="Calibri" w:hAnsi="Calibri" w:cs="Calibri"/>
                    </w:rPr>
                  </w:pPr>
                  <w:r>
                    <w:rPr>
                      <w:rFonts w:ascii="Calibri" w:eastAsia="楷体_GB2312"/>
                    </w:rPr>
                    <w:drawing>
                      <wp:inline distT="0" distB="0" distL="0" distR="0">
                        <wp:extent cx="2286000" cy="1016000"/>
                        <wp:effectExtent l="0" t="0" r="0" b="5080"/>
                        <wp:docPr id="32" name="Drawing 32" descr="/data/deploy/attachments/file/temp/202603/1773052237208_LYlZ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2" descr="/data/deploy/attachments/file/temp/202603/1773052237208_LYlZL.png"/>
                                <pic:cNvPicPr>
                                  <a:picLocks noChangeAspect="1"/>
                                </pic:cNvPicPr>
                              </pic:nvPicPr>
                              <pic:blipFill>
                                <a:blip r:embed="rId16"/>
                                <a:stretch>
                                  <a:fillRect/>
                                </a:stretch>
                              </pic:blipFill>
                              <pic:spPr>
                                <a:xfrm>
                                  <a:off x="0" y="0"/>
                                  <a:ext cx="2286000" cy="1016000"/>
                                </a:xfrm>
                                <a:prstGeom prst="rect">
                                  <a:avLst/>
                                </a:prstGeom>
                              </pic:spPr>
                            </pic:pic>
                          </a:graphicData>
                        </a:graphic>
                      </wp:inline>
                    </w:drawing>
                  </w:r>
                </w:p>
              </w:tc>
            </w:tr>
            <w:tr w14:paraId="255CFA2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53535C7">
                  <w:pPr>
                    <w:jc w:val="center"/>
                    <w:rPr>
                      <w:rFonts w:hint="default" w:ascii="Calibri" w:hAnsi="Calibri" w:cs="Calibri"/>
                    </w:rPr>
                  </w:pPr>
                  <w:r>
                    <w:rPr>
                      <w:rFonts w:ascii="Calibri" w:eastAsia="楷体_GB2312"/>
                    </w:rPr>
                    <w:drawing>
                      <wp:inline distT="0" distB="0" distL="0" distR="0">
                        <wp:extent cx="2286000" cy="660400"/>
                        <wp:effectExtent l="0" t="0" r="0" b="10160"/>
                        <wp:docPr id="33" name="Drawing 33" descr="/data/deploy/attachments/file/temp/202603/1773052237240_mxyv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3" descr="/data/deploy/attachments/file/temp/202603/1773052237240_mxyvU.png"/>
                                <pic:cNvPicPr>
                                  <a:picLocks noChangeAspect="1"/>
                                </pic:cNvPicPr>
                              </pic:nvPicPr>
                              <pic:blipFill>
                                <a:blip r:embed="rId17"/>
                                <a:stretch>
                                  <a:fillRect/>
                                </a:stretch>
                              </pic:blipFill>
                              <pic:spPr>
                                <a:xfrm>
                                  <a:off x="0" y="0"/>
                                  <a:ext cx="2286000" cy="660400"/>
                                </a:xfrm>
                                <a:prstGeom prst="rect">
                                  <a:avLst/>
                                </a:prstGeom>
                              </pic:spPr>
                            </pic:pic>
                          </a:graphicData>
                        </a:graphic>
                      </wp:inline>
                    </w:drawing>
                  </w:r>
                </w:p>
              </w:tc>
            </w:tr>
            <w:tr w14:paraId="5116CF8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7AF62C84">
                  <w:pPr>
                    <w:adjustRightInd w:val="0"/>
                    <w:snapToGrid w:val="0"/>
                    <w:ind w:right="85" w:firstLine="85"/>
                    <w:rPr>
                      <w:rFonts w:hint="default" w:ascii="Calibri" w:hAnsi="Calibri" w:cs="Calibri" w:eastAsiaTheme="minorEastAsia"/>
                      <w:i/>
                      <w:iCs/>
                      <w:sz w:val="12"/>
                      <w:szCs w:val="12"/>
                      <w:lang w:eastAsia="zh-CN"/>
                    </w:rPr>
                  </w:pPr>
                  <w:r>
                    <w:rPr>
                      <w:rFonts w:ascii="Calibri" w:eastAsia="楷体_GB2312"/>
                      <w:b w:val="0"/>
                      <w:i/>
                      <w:color w:val="000000"/>
                      <w:sz w:val="12"/>
                    </w:rPr>
                    <w:t>Source: HFI</w:t>
                  </w:r>
                </w:p>
              </w:tc>
            </w:tr>
            <w:tr w14:paraId="6B2FD78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7324F09E">
                  <w:pPr>
                    <w:adjustRightInd w:val="0"/>
                    <w:snapToGrid w:val="0"/>
                    <w:ind w:right="85" w:firstLine="85"/>
                    <w:rPr>
                      <w:rFonts w:hint="default" w:ascii="Calibri" w:hAnsi="Calibri" w:cs="Calibri"/>
                      <w:sz w:val="14"/>
                      <w:szCs w:val="14"/>
                      <w:lang w:eastAsia="zh-CN"/>
                    </w:rPr>
                  </w:pPr>
                </w:p>
              </w:tc>
            </w:tr>
            <w:tr w14:paraId="722FFBD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2"/>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66B7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6C593F">
                        <w:pPr>
                          <w:rPr>
                            <w:rFonts w:hint="default" w:ascii="Calibri" w:hAnsi="Calibri" w:cs="Calibri"/>
                            <w:color w:val="FFFFFF"/>
                          </w:rPr>
                        </w:pPr>
                        <w:r>
                          <w:rPr>
                            <w:rFonts w:hint="default" w:ascii="Calibri" w:hAnsi="Calibri" w:cs="Calibri"/>
                            <w:color w:val="FFFFFF"/>
                          </w:rPr>
                          <w:t>[Table_Profit]</w:t>
                        </w:r>
                      </w:p>
                    </w:tc>
                    <w:tc>
                      <w:tcPr>
                        <w:tcW w:w="795" w:type="dxa"/>
                        <w:vAlign w:val="center"/>
                      </w:tcPr>
                      <w:p w14:paraId="48A87B76">
                        <w:pPr>
                          <w:ind w:right="85" w:firstLine="85"/>
                          <w:jc w:val="right"/>
                          <w:rPr>
                            <w:rFonts w:hint="default" w:ascii="Calibri" w:hAnsi="Calibri" w:cs="Calibri"/>
                            <w:b/>
                            <w:bCs/>
                            <w:color w:val="000000"/>
                            <w:sz w:val="14"/>
                            <w:szCs w:val="14"/>
                          </w:rPr>
                        </w:pPr>
                      </w:p>
                    </w:tc>
                    <w:tc>
                      <w:tcPr>
                        <w:tcW w:w="879" w:type="dxa"/>
                        <w:gridSpan w:val="2"/>
                        <w:vAlign w:val="center"/>
                      </w:tcPr>
                      <w:p w14:paraId="029532D7">
                        <w:pPr>
                          <w:ind w:right="85" w:firstLine="85"/>
                          <w:jc w:val="right"/>
                          <w:rPr>
                            <w:rFonts w:hint="default" w:ascii="Calibri" w:hAnsi="Calibri" w:cs="Calibri"/>
                            <w:b/>
                            <w:bCs/>
                            <w:color w:val="000000"/>
                            <w:sz w:val="14"/>
                            <w:szCs w:val="14"/>
                          </w:rPr>
                        </w:pPr>
                      </w:p>
                    </w:tc>
                    <w:tc>
                      <w:tcPr>
                        <w:tcW w:w="870" w:type="dxa"/>
                        <w:gridSpan w:val="2"/>
                        <w:vAlign w:val="center"/>
                      </w:tcPr>
                      <w:p w14:paraId="30CC14D5">
                        <w:pPr>
                          <w:ind w:right="85" w:firstLine="85"/>
                          <w:jc w:val="right"/>
                          <w:rPr>
                            <w:rFonts w:hint="default" w:ascii="Calibri" w:hAnsi="Calibri" w:cs="Calibri"/>
                            <w:b/>
                            <w:bCs/>
                            <w:color w:val="000000"/>
                            <w:sz w:val="14"/>
                            <w:szCs w:val="14"/>
                          </w:rPr>
                        </w:pPr>
                      </w:p>
                    </w:tc>
                    <w:tc>
                      <w:tcPr>
                        <w:tcW w:w="869" w:type="dxa"/>
                        <w:gridSpan w:val="2"/>
                        <w:vAlign w:val="center"/>
                      </w:tcPr>
                      <w:p w14:paraId="20480819">
                        <w:pPr>
                          <w:ind w:right="85" w:firstLine="85"/>
                          <w:jc w:val="right"/>
                          <w:rPr>
                            <w:rFonts w:hint="default" w:ascii="Calibri" w:hAnsi="Calibri" w:cs="Calibri"/>
                            <w:b/>
                            <w:bCs/>
                            <w:color w:val="000000"/>
                            <w:sz w:val="14"/>
                            <w:szCs w:val="14"/>
                          </w:rPr>
                        </w:pPr>
                      </w:p>
                    </w:tc>
                  </w:tr>
                  <w:tr w14:paraId="02A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34C65C7">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04E97317">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0AF0ED22">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Dec-26E</w:t>
                        </w:r>
                      </w:p>
                    </w:tc>
                    <w:tc>
                      <w:tcPr>
                        <w:tcW w:w="853" w:type="dxa"/>
                        <w:gridSpan w:val="2"/>
                        <w:vAlign w:val="center"/>
                      </w:tcPr>
                      <w:p w14:paraId="57C5F888">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Dec-27E</w:t>
                        </w:r>
                      </w:p>
                    </w:tc>
                    <w:tc>
                      <w:tcPr>
                        <w:tcW w:w="854" w:type="dxa"/>
                        <w:vAlign w:val="center"/>
                      </w:tcPr>
                      <w:p w14:paraId="60DC68AC">
                        <w:pPr>
                          <w:adjustRightInd w:val="0"/>
                          <w:snapToGrid w:val="0"/>
                          <w:jc w:val="right"/>
                          <w:rPr>
                            <w:rFonts w:hint="default" w:ascii="Calibri" w:hAnsi="Calibri" w:eastAsia="楷体_GB2312" w:cs="Calibri"/>
                            <w:color w:val="23558C"/>
                            <w:sz w:val="14"/>
                            <w:szCs w:val="14"/>
                            <w:lang w:eastAsia="zh-CN"/>
                          </w:rPr>
                        </w:pPr>
                        <w:r>
                          <w:rPr>
                            <w:rFonts w:ascii="Calibri" w:eastAsia="楷体_GB2312"/>
                            <w:b w:val="0"/>
                            <w:i w:val="0"/>
                            <w:color w:val="215E99"/>
                            <w:sz w:val="14"/>
                          </w:rPr>
                          <w:t>Dec-2</w:t>
                        </w:r>
                        <w:r>
                          <w:rPr>
                            <w:rFonts w:hint="eastAsia" w:eastAsia="楷体_GB2312"/>
                            <w:b w:val="0"/>
                            <w:i w:val="0"/>
                            <w:color w:val="215E99"/>
                            <w:sz w:val="14"/>
                            <w:lang w:val="en-US" w:eastAsia="zh-CN"/>
                          </w:rPr>
                          <w:t>8</w:t>
                        </w:r>
                        <w:r>
                          <w:rPr>
                            <w:rFonts w:ascii="Calibri" w:eastAsia="楷体_GB2312"/>
                            <w:b w:val="0"/>
                            <w:i w:val="0"/>
                            <w:color w:val="215E99"/>
                            <w:sz w:val="14"/>
                          </w:rPr>
                          <w:t>E</w:t>
                        </w:r>
                      </w:p>
                    </w:tc>
                  </w:tr>
                  <w:tr w14:paraId="503A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5F2B912">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1BB2ADD4">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27,450</w:t>
                        </w:r>
                      </w:p>
                    </w:tc>
                    <w:tc>
                      <w:tcPr>
                        <w:tcW w:w="853" w:type="dxa"/>
                        <w:gridSpan w:val="2"/>
                        <w:vAlign w:val="center"/>
                      </w:tcPr>
                      <w:p w14:paraId="30C350AB">
                        <w:pPr>
                          <w:jc w:val="right"/>
                          <w:rPr>
                            <w:rFonts w:hint="default" w:ascii="Calibri" w:hAnsi="Calibri" w:eastAsia="楷体_GB2312" w:cs="Calibri"/>
                            <w:sz w:val="14"/>
                            <w:szCs w:val="14"/>
                          </w:rPr>
                        </w:pPr>
                        <w:r>
                          <w:rPr>
                            <w:rFonts w:ascii="Calibri" w:eastAsia="楷体_GB2312"/>
                            <w:b w:val="0"/>
                            <w:i w:val="0"/>
                            <w:color w:val="215E99"/>
                            <w:sz w:val="14"/>
                          </w:rPr>
                          <w:t>29,505</w:t>
                        </w:r>
                      </w:p>
                    </w:tc>
                    <w:tc>
                      <w:tcPr>
                        <w:tcW w:w="853" w:type="dxa"/>
                        <w:gridSpan w:val="2"/>
                        <w:vAlign w:val="center"/>
                      </w:tcPr>
                      <w:p w14:paraId="4FFA81DE">
                        <w:pPr>
                          <w:jc w:val="right"/>
                          <w:rPr>
                            <w:rFonts w:hint="default" w:ascii="Calibri" w:hAnsi="Calibri" w:eastAsia="楷体_GB2312" w:cs="Calibri"/>
                            <w:sz w:val="14"/>
                            <w:szCs w:val="14"/>
                          </w:rPr>
                        </w:pPr>
                        <w:r>
                          <w:rPr>
                            <w:rFonts w:ascii="Calibri" w:eastAsia="楷体_GB2312"/>
                            <w:b w:val="0"/>
                            <w:i w:val="0"/>
                            <w:color w:val="215E99"/>
                            <w:sz w:val="14"/>
                          </w:rPr>
                          <w:t>31,735</w:t>
                        </w:r>
                      </w:p>
                    </w:tc>
                    <w:tc>
                      <w:tcPr>
                        <w:tcW w:w="854" w:type="dxa"/>
                        <w:vAlign w:val="center"/>
                      </w:tcPr>
                      <w:p w14:paraId="58550201">
                        <w:pPr>
                          <w:jc w:val="right"/>
                          <w:rPr>
                            <w:rFonts w:hint="default" w:ascii="Calibri" w:hAnsi="Calibri" w:eastAsia="楷体_GB2312" w:cs="Calibri"/>
                            <w:sz w:val="14"/>
                            <w:szCs w:val="14"/>
                          </w:rPr>
                        </w:pPr>
                        <w:r>
                          <w:rPr>
                            <w:rFonts w:ascii="Calibri" w:eastAsia="楷体_GB2312"/>
                            <w:b w:val="0"/>
                            <w:i w:val="0"/>
                            <w:color w:val="215E99"/>
                            <w:sz w:val="14"/>
                          </w:rPr>
                          <w:t>34,159</w:t>
                        </w:r>
                      </w:p>
                    </w:tc>
                  </w:tr>
                  <w:tr w14:paraId="1BA4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B6A4781">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37460EAF">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10.34%</w:t>
                        </w:r>
                      </w:p>
                    </w:tc>
                    <w:tc>
                      <w:tcPr>
                        <w:tcW w:w="853" w:type="dxa"/>
                        <w:gridSpan w:val="2"/>
                        <w:vAlign w:val="center"/>
                      </w:tcPr>
                      <w:p w14:paraId="15AE1BEE">
                        <w:pPr>
                          <w:jc w:val="right"/>
                          <w:rPr>
                            <w:rFonts w:hint="default" w:ascii="Calibri" w:hAnsi="Calibri" w:eastAsia="楷体_GB2312" w:cs="Calibri"/>
                            <w:sz w:val="14"/>
                            <w:szCs w:val="14"/>
                          </w:rPr>
                        </w:pPr>
                        <w:r>
                          <w:rPr>
                            <w:rFonts w:ascii="Calibri" w:eastAsia="楷体_GB2312"/>
                            <w:b w:val="0"/>
                            <w:i w:val="0"/>
                            <w:color w:val="215E99"/>
                            <w:sz w:val="14"/>
                          </w:rPr>
                          <w:t>7.48%</w:t>
                        </w:r>
                      </w:p>
                    </w:tc>
                    <w:tc>
                      <w:tcPr>
                        <w:tcW w:w="853" w:type="dxa"/>
                        <w:gridSpan w:val="2"/>
                        <w:vAlign w:val="center"/>
                      </w:tcPr>
                      <w:p w14:paraId="53723075">
                        <w:pPr>
                          <w:jc w:val="right"/>
                          <w:rPr>
                            <w:rFonts w:hint="default" w:ascii="Calibri" w:hAnsi="Calibri" w:eastAsia="楷体_GB2312" w:cs="Calibri"/>
                            <w:sz w:val="14"/>
                            <w:szCs w:val="14"/>
                          </w:rPr>
                        </w:pPr>
                        <w:r>
                          <w:rPr>
                            <w:rFonts w:ascii="Calibri" w:eastAsia="楷体_GB2312"/>
                            <w:b w:val="0"/>
                            <w:i w:val="0"/>
                            <w:color w:val="215E99"/>
                            <w:sz w:val="14"/>
                          </w:rPr>
                          <w:t>7.56%</w:t>
                        </w:r>
                      </w:p>
                    </w:tc>
                    <w:tc>
                      <w:tcPr>
                        <w:tcW w:w="854" w:type="dxa"/>
                        <w:vAlign w:val="center"/>
                      </w:tcPr>
                      <w:p w14:paraId="5EB9DEC8">
                        <w:pPr>
                          <w:jc w:val="right"/>
                          <w:rPr>
                            <w:rFonts w:hint="default" w:ascii="Calibri" w:hAnsi="Calibri" w:eastAsia="楷体_GB2312" w:cs="Calibri"/>
                            <w:sz w:val="14"/>
                            <w:szCs w:val="14"/>
                          </w:rPr>
                        </w:pPr>
                        <w:r>
                          <w:rPr>
                            <w:rFonts w:ascii="Calibri" w:eastAsia="楷体_GB2312"/>
                            <w:b w:val="0"/>
                            <w:i w:val="0"/>
                            <w:color w:val="215E99"/>
                            <w:sz w:val="14"/>
                          </w:rPr>
                          <w:t>7.64%</w:t>
                        </w:r>
                      </w:p>
                    </w:tc>
                  </w:tr>
                  <w:tr w14:paraId="5588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F5655D2">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7E2718FA">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4,089</w:t>
                        </w:r>
                      </w:p>
                    </w:tc>
                    <w:tc>
                      <w:tcPr>
                        <w:tcW w:w="853" w:type="dxa"/>
                        <w:gridSpan w:val="2"/>
                        <w:vAlign w:val="center"/>
                      </w:tcPr>
                      <w:p w14:paraId="3CF617CC">
                        <w:pPr>
                          <w:jc w:val="right"/>
                          <w:rPr>
                            <w:rFonts w:hint="default" w:ascii="Calibri" w:hAnsi="Calibri" w:eastAsia="楷体_GB2312" w:cs="Calibri"/>
                            <w:sz w:val="14"/>
                            <w:szCs w:val="14"/>
                          </w:rPr>
                        </w:pPr>
                        <w:r>
                          <w:rPr>
                            <w:rFonts w:ascii="Calibri" w:eastAsia="楷体_GB2312"/>
                            <w:b w:val="0"/>
                            <w:i w:val="0"/>
                            <w:color w:val="215E99"/>
                            <w:sz w:val="14"/>
                          </w:rPr>
                          <w:t>4,724</w:t>
                        </w:r>
                      </w:p>
                    </w:tc>
                    <w:tc>
                      <w:tcPr>
                        <w:tcW w:w="853" w:type="dxa"/>
                        <w:gridSpan w:val="2"/>
                        <w:vAlign w:val="center"/>
                      </w:tcPr>
                      <w:p w14:paraId="47FBB304">
                        <w:pPr>
                          <w:jc w:val="right"/>
                          <w:rPr>
                            <w:rFonts w:hint="default" w:ascii="Calibri" w:hAnsi="Calibri" w:eastAsia="楷体_GB2312" w:cs="Calibri"/>
                            <w:sz w:val="14"/>
                            <w:szCs w:val="14"/>
                          </w:rPr>
                        </w:pPr>
                        <w:r>
                          <w:rPr>
                            <w:rFonts w:ascii="Calibri" w:eastAsia="楷体_GB2312"/>
                            <w:b w:val="0"/>
                            <w:i w:val="0"/>
                            <w:color w:val="215E99"/>
                            <w:sz w:val="14"/>
                          </w:rPr>
                          <w:t>5,116</w:t>
                        </w:r>
                      </w:p>
                    </w:tc>
                    <w:tc>
                      <w:tcPr>
                        <w:tcW w:w="854" w:type="dxa"/>
                        <w:vAlign w:val="center"/>
                      </w:tcPr>
                      <w:p w14:paraId="1E0F8C5A">
                        <w:pPr>
                          <w:jc w:val="right"/>
                          <w:rPr>
                            <w:rFonts w:hint="default" w:ascii="Calibri" w:hAnsi="Calibri" w:eastAsia="楷体_GB2312" w:cs="Calibri"/>
                            <w:sz w:val="14"/>
                            <w:szCs w:val="14"/>
                          </w:rPr>
                        </w:pPr>
                        <w:r>
                          <w:rPr>
                            <w:rFonts w:ascii="Calibri" w:eastAsia="楷体_GB2312"/>
                            <w:b w:val="0"/>
                            <w:i w:val="0"/>
                            <w:color w:val="215E99"/>
                            <w:sz w:val="14"/>
                          </w:rPr>
                          <w:t>5,544</w:t>
                        </w:r>
                      </w:p>
                    </w:tc>
                  </w:tr>
                  <w:tr w14:paraId="6A34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283A069">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6EADB7E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7.8%</w:t>
                        </w:r>
                      </w:p>
                    </w:tc>
                    <w:tc>
                      <w:tcPr>
                        <w:tcW w:w="853" w:type="dxa"/>
                        <w:gridSpan w:val="2"/>
                        <w:vAlign w:val="center"/>
                      </w:tcPr>
                      <w:p w14:paraId="197612DC">
                        <w:pPr>
                          <w:jc w:val="right"/>
                          <w:rPr>
                            <w:rFonts w:hint="default" w:ascii="Calibri" w:hAnsi="Calibri" w:eastAsia="楷体_GB2312" w:cs="Calibri"/>
                            <w:sz w:val="14"/>
                            <w:szCs w:val="14"/>
                          </w:rPr>
                        </w:pPr>
                        <w:r>
                          <w:rPr>
                            <w:rFonts w:ascii="Calibri" w:eastAsia="楷体_GB2312"/>
                            <w:b w:val="0"/>
                            <w:i w:val="0"/>
                            <w:color w:val="215E99"/>
                            <w:sz w:val="14"/>
                          </w:rPr>
                          <w:t>15.5%</w:t>
                        </w:r>
                      </w:p>
                    </w:tc>
                    <w:tc>
                      <w:tcPr>
                        <w:tcW w:w="853" w:type="dxa"/>
                        <w:gridSpan w:val="2"/>
                        <w:vAlign w:val="center"/>
                      </w:tcPr>
                      <w:p w14:paraId="61BE3CE4">
                        <w:pPr>
                          <w:jc w:val="right"/>
                          <w:rPr>
                            <w:rFonts w:hint="default" w:ascii="Calibri" w:hAnsi="Calibri" w:eastAsia="楷体_GB2312" w:cs="Calibri"/>
                            <w:sz w:val="14"/>
                            <w:szCs w:val="14"/>
                          </w:rPr>
                        </w:pPr>
                        <w:r>
                          <w:rPr>
                            <w:rFonts w:ascii="Calibri" w:eastAsia="楷体_GB2312"/>
                            <w:b w:val="0"/>
                            <w:i w:val="0"/>
                            <w:color w:val="215E99"/>
                            <w:sz w:val="14"/>
                          </w:rPr>
                          <w:t>8.3%</w:t>
                        </w:r>
                      </w:p>
                    </w:tc>
                    <w:tc>
                      <w:tcPr>
                        <w:tcW w:w="854" w:type="dxa"/>
                        <w:vAlign w:val="center"/>
                      </w:tcPr>
                      <w:p w14:paraId="5A32CECB">
                        <w:pPr>
                          <w:jc w:val="right"/>
                          <w:rPr>
                            <w:rFonts w:hint="default" w:ascii="Calibri" w:hAnsi="Calibri" w:eastAsia="楷体_GB2312" w:cs="Calibri"/>
                            <w:sz w:val="14"/>
                            <w:szCs w:val="14"/>
                          </w:rPr>
                        </w:pPr>
                        <w:r>
                          <w:rPr>
                            <w:rFonts w:ascii="Calibri" w:eastAsia="楷体_GB2312"/>
                            <w:b w:val="0"/>
                            <w:i w:val="0"/>
                            <w:color w:val="215E99"/>
                            <w:sz w:val="14"/>
                          </w:rPr>
                          <w:t>8.4%</w:t>
                        </w:r>
                      </w:p>
                    </w:tc>
                  </w:tr>
                  <w:tr w14:paraId="440A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D7D4ADE">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7AAE11D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10.33</w:t>
                        </w:r>
                      </w:p>
                    </w:tc>
                    <w:tc>
                      <w:tcPr>
                        <w:tcW w:w="853" w:type="dxa"/>
                        <w:gridSpan w:val="2"/>
                        <w:vAlign w:val="center"/>
                      </w:tcPr>
                      <w:p w14:paraId="02F06F28">
                        <w:pPr>
                          <w:jc w:val="right"/>
                          <w:rPr>
                            <w:rFonts w:hint="default" w:ascii="Calibri" w:hAnsi="Calibri" w:eastAsia="楷体_GB2312" w:cs="Calibri"/>
                            <w:sz w:val="14"/>
                            <w:szCs w:val="14"/>
                          </w:rPr>
                        </w:pPr>
                        <w:r>
                          <w:rPr>
                            <w:rFonts w:ascii="Calibri" w:eastAsia="楷体_GB2312"/>
                            <w:b w:val="0"/>
                            <w:i w:val="0"/>
                            <w:color w:val="215E99"/>
                            <w:sz w:val="14"/>
                          </w:rPr>
                          <w:t>11.93</w:t>
                        </w:r>
                      </w:p>
                    </w:tc>
                    <w:tc>
                      <w:tcPr>
                        <w:tcW w:w="853" w:type="dxa"/>
                        <w:gridSpan w:val="2"/>
                        <w:vAlign w:val="center"/>
                      </w:tcPr>
                      <w:p w14:paraId="5CE50E99">
                        <w:pPr>
                          <w:jc w:val="right"/>
                          <w:rPr>
                            <w:rFonts w:hint="default" w:ascii="Calibri" w:hAnsi="Calibri" w:eastAsia="楷体_GB2312" w:cs="Calibri"/>
                            <w:sz w:val="14"/>
                            <w:szCs w:val="14"/>
                          </w:rPr>
                        </w:pPr>
                        <w:r>
                          <w:rPr>
                            <w:rFonts w:ascii="Calibri" w:eastAsia="楷体_GB2312"/>
                            <w:b w:val="0"/>
                            <w:i w:val="0"/>
                            <w:color w:val="215E99"/>
                            <w:sz w:val="14"/>
                          </w:rPr>
                          <w:t>12.92</w:t>
                        </w:r>
                      </w:p>
                    </w:tc>
                    <w:tc>
                      <w:tcPr>
                        <w:tcW w:w="854" w:type="dxa"/>
                        <w:vAlign w:val="center"/>
                      </w:tcPr>
                      <w:p w14:paraId="5A6DDED9">
                        <w:pPr>
                          <w:jc w:val="right"/>
                          <w:rPr>
                            <w:rFonts w:hint="default" w:ascii="Calibri" w:hAnsi="Calibri" w:eastAsia="楷体_GB2312" w:cs="Calibri"/>
                            <w:sz w:val="14"/>
                            <w:szCs w:val="14"/>
                          </w:rPr>
                        </w:pPr>
                        <w:r>
                          <w:rPr>
                            <w:rFonts w:ascii="Calibri" w:eastAsia="楷体_GB2312"/>
                            <w:b w:val="0"/>
                            <w:i w:val="0"/>
                            <w:color w:val="215E99"/>
                            <w:sz w:val="14"/>
                          </w:rPr>
                          <w:t>14.00</w:t>
                        </w:r>
                      </w:p>
                    </w:tc>
                  </w:tr>
                  <w:tr w14:paraId="4F32F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4D076E3">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GPM</w:t>
                        </w:r>
                      </w:p>
                    </w:tc>
                    <w:tc>
                      <w:tcPr>
                        <w:tcW w:w="853" w:type="dxa"/>
                        <w:gridSpan w:val="2"/>
                        <w:vAlign w:val="center"/>
                      </w:tcPr>
                      <w:p w14:paraId="7C6DDEFE">
                        <w:pPr>
                          <w:adjustRightInd w:val="0"/>
                          <w:snapToGrid w:val="0"/>
                          <w:jc w:val="right"/>
                          <w:rPr>
                            <w:rFonts w:hint="default" w:ascii="Calibri" w:hAnsi="Calibri" w:eastAsia="楷体_GB2312" w:cs="Calibri"/>
                            <w:sz w:val="14"/>
                            <w:szCs w:val="14"/>
                            <w:lang w:eastAsia="zh-CN"/>
                          </w:rPr>
                        </w:pPr>
                        <w:r>
                          <w:rPr>
                            <w:rFonts w:ascii="Calibri" w:eastAsia="楷体_GB2312"/>
                            <w:b w:val="0"/>
                            <w:i w:val="0"/>
                            <w:color w:val="215E99"/>
                            <w:sz w:val="14"/>
                          </w:rPr>
                          <w:t>37.6%</w:t>
                        </w:r>
                      </w:p>
                    </w:tc>
                    <w:tc>
                      <w:tcPr>
                        <w:tcW w:w="853" w:type="dxa"/>
                        <w:gridSpan w:val="2"/>
                        <w:vAlign w:val="center"/>
                      </w:tcPr>
                      <w:p w14:paraId="1E10B248">
                        <w:pPr>
                          <w:jc w:val="right"/>
                          <w:rPr>
                            <w:rFonts w:hint="default" w:ascii="Calibri" w:hAnsi="Calibri" w:eastAsia="楷体_GB2312" w:cs="Calibri"/>
                            <w:sz w:val="14"/>
                            <w:szCs w:val="14"/>
                          </w:rPr>
                        </w:pPr>
                        <w:r>
                          <w:rPr>
                            <w:rFonts w:ascii="Calibri" w:eastAsia="楷体_GB2312"/>
                            <w:b w:val="0"/>
                            <w:i w:val="0"/>
                            <w:color w:val="215E99"/>
                            <w:sz w:val="14"/>
                          </w:rPr>
                          <w:t>37.7%</w:t>
                        </w:r>
                      </w:p>
                    </w:tc>
                    <w:tc>
                      <w:tcPr>
                        <w:tcW w:w="853" w:type="dxa"/>
                        <w:gridSpan w:val="2"/>
                        <w:vAlign w:val="center"/>
                      </w:tcPr>
                      <w:p w14:paraId="01943F50">
                        <w:pPr>
                          <w:jc w:val="right"/>
                          <w:rPr>
                            <w:rFonts w:hint="default" w:ascii="Calibri" w:hAnsi="Calibri" w:eastAsia="楷体_GB2312" w:cs="Calibri"/>
                            <w:sz w:val="14"/>
                            <w:szCs w:val="14"/>
                          </w:rPr>
                        </w:pPr>
                        <w:r>
                          <w:rPr>
                            <w:rFonts w:ascii="Calibri" w:eastAsia="楷体_GB2312"/>
                            <w:b w:val="0"/>
                            <w:i w:val="0"/>
                            <w:color w:val="215E99"/>
                            <w:sz w:val="14"/>
                          </w:rPr>
                          <w:t>37.8%</w:t>
                        </w:r>
                      </w:p>
                    </w:tc>
                    <w:tc>
                      <w:tcPr>
                        <w:tcW w:w="854" w:type="dxa"/>
                        <w:vAlign w:val="center"/>
                      </w:tcPr>
                      <w:p w14:paraId="2F4D9AA8">
                        <w:pPr>
                          <w:jc w:val="right"/>
                          <w:rPr>
                            <w:rFonts w:hint="default" w:ascii="Calibri" w:hAnsi="Calibri" w:eastAsia="楷体_GB2312" w:cs="Calibri"/>
                            <w:sz w:val="14"/>
                            <w:szCs w:val="14"/>
                          </w:rPr>
                        </w:pPr>
                        <w:r>
                          <w:rPr>
                            <w:rFonts w:ascii="Calibri" w:eastAsia="楷体_GB2312"/>
                            <w:b w:val="0"/>
                            <w:i w:val="0"/>
                            <w:color w:val="215E99"/>
                            <w:sz w:val="14"/>
                          </w:rPr>
                          <w:t>37.9%</w:t>
                        </w:r>
                      </w:p>
                    </w:tc>
                  </w:tr>
                  <w:tr w14:paraId="523F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1C19D56">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ROE</w:t>
                        </w:r>
                      </w:p>
                    </w:tc>
                    <w:tc>
                      <w:tcPr>
                        <w:tcW w:w="853" w:type="dxa"/>
                        <w:gridSpan w:val="2"/>
                        <w:vAlign w:val="center"/>
                      </w:tcPr>
                      <w:p w14:paraId="2BBDECAC">
                        <w:pPr>
                          <w:jc w:val="right"/>
                          <w:rPr>
                            <w:rFonts w:hint="default" w:ascii="Calibri" w:hAnsi="Calibri" w:eastAsia="楷体_GB2312" w:cs="Calibri"/>
                            <w:sz w:val="14"/>
                            <w:szCs w:val="14"/>
                          </w:rPr>
                        </w:pPr>
                        <w:r>
                          <w:rPr>
                            <w:rFonts w:ascii="Calibri" w:eastAsia="楷体_GB2312"/>
                            <w:b w:val="0"/>
                            <w:i w:val="0"/>
                            <w:color w:val="215E99"/>
                            <w:sz w:val="14"/>
                          </w:rPr>
                          <w:t>21.0%</w:t>
                        </w:r>
                      </w:p>
                    </w:tc>
                    <w:tc>
                      <w:tcPr>
                        <w:tcW w:w="853" w:type="dxa"/>
                        <w:gridSpan w:val="2"/>
                        <w:vAlign w:val="center"/>
                      </w:tcPr>
                      <w:p w14:paraId="302D42D9">
                        <w:pPr>
                          <w:jc w:val="right"/>
                          <w:rPr>
                            <w:rFonts w:hint="default" w:ascii="Calibri" w:hAnsi="Calibri" w:eastAsia="楷体_GB2312" w:cs="Calibri"/>
                            <w:sz w:val="14"/>
                            <w:szCs w:val="14"/>
                          </w:rPr>
                        </w:pPr>
                        <w:r>
                          <w:rPr>
                            <w:rFonts w:ascii="Calibri" w:eastAsia="楷体_GB2312"/>
                            <w:b w:val="0"/>
                            <w:i w:val="0"/>
                            <w:color w:val="215E99"/>
                            <w:sz w:val="14"/>
                          </w:rPr>
                          <w:t>22.5%</w:t>
                        </w:r>
                      </w:p>
                    </w:tc>
                    <w:tc>
                      <w:tcPr>
                        <w:tcW w:w="853" w:type="dxa"/>
                        <w:gridSpan w:val="2"/>
                        <w:vAlign w:val="center"/>
                      </w:tcPr>
                      <w:p w14:paraId="536A59CB">
                        <w:pPr>
                          <w:jc w:val="right"/>
                          <w:rPr>
                            <w:rFonts w:hint="default" w:ascii="Calibri" w:hAnsi="Calibri" w:eastAsia="楷体_GB2312" w:cs="Calibri"/>
                            <w:sz w:val="14"/>
                            <w:szCs w:val="14"/>
                          </w:rPr>
                        </w:pPr>
                        <w:r>
                          <w:rPr>
                            <w:rFonts w:ascii="Calibri" w:eastAsia="楷体_GB2312"/>
                            <w:b w:val="0"/>
                            <w:i w:val="0"/>
                            <w:color w:val="215E99"/>
                            <w:sz w:val="14"/>
                          </w:rPr>
                          <w:t>23.0%</w:t>
                        </w:r>
                      </w:p>
                    </w:tc>
                    <w:tc>
                      <w:tcPr>
                        <w:tcW w:w="854" w:type="dxa"/>
                        <w:vAlign w:val="center"/>
                      </w:tcPr>
                      <w:p w14:paraId="3203AE38">
                        <w:pPr>
                          <w:jc w:val="right"/>
                          <w:rPr>
                            <w:rFonts w:hint="default" w:ascii="Calibri" w:hAnsi="Calibri" w:eastAsia="楷体_GB2312" w:cs="Calibri"/>
                            <w:sz w:val="14"/>
                            <w:szCs w:val="14"/>
                          </w:rPr>
                        </w:pPr>
                        <w:r>
                          <w:rPr>
                            <w:rFonts w:ascii="Calibri" w:eastAsia="楷体_GB2312"/>
                            <w:b w:val="0"/>
                            <w:i w:val="0"/>
                            <w:color w:val="215E99"/>
                            <w:sz w:val="14"/>
                          </w:rPr>
                          <w:t>23.6%</w:t>
                        </w:r>
                      </w:p>
                    </w:tc>
                  </w:tr>
                  <w:tr w14:paraId="22418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C40A00">
                        <w:pPr>
                          <w:adjustRightInd w:val="0"/>
                          <w:snapToGrid w:val="0"/>
                          <w:rPr>
                            <w:rFonts w:hint="default" w:ascii="Calibri" w:hAnsi="Calibri" w:eastAsia="楷体_GB2312" w:cs="Calibri"/>
                            <w:color w:val="23558C"/>
                            <w:sz w:val="14"/>
                            <w:szCs w:val="14"/>
                            <w:lang w:eastAsia="zh-CN"/>
                          </w:rPr>
                        </w:pPr>
                        <w:r>
                          <w:rPr>
                            <w:rFonts w:ascii="Calibri" w:eastAsia="楷体_GB2312"/>
                            <w:b w:val="0"/>
                            <w:i w:val="0"/>
                            <w:color w:val="215E99"/>
                            <w:sz w:val="14"/>
                          </w:rPr>
                          <w:t>P/E</w:t>
                        </w:r>
                      </w:p>
                    </w:tc>
                    <w:tc>
                      <w:tcPr>
                        <w:tcW w:w="853" w:type="dxa"/>
                        <w:gridSpan w:val="2"/>
                        <w:vAlign w:val="center"/>
                      </w:tcPr>
                      <w:p w14:paraId="72C085A7">
                        <w:pPr>
                          <w:jc w:val="right"/>
                          <w:rPr>
                            <w:rFonts w:hint="default" w:ascii="Calibri" w:hAnsi="Calibri" w:eastAsia="楷体_GB2312" w:cs="Calibri"/>
                            <w:sz w:val="14"/>
                            <w:szCs w:val="14"/>
                          </w:rPr>
                        </w:pPr>
                        <w:r>
                          <w:rPr>
                            <w:rFonts w:ascii="Calibri" w:eastAsia="楷体_GB2312"/>
                            <w:b w:val="0"/>
                            <w:i w:val="0"/>
                            <w:color w:val="215E99"/>
                            <w:sz w:val="14"/>
                          </w:rPr>
                          <w:t>34</w:t>
                        </w:r>
                      </w:p>
                    </w:tc>
                    <w:tc>
                      <w:tcPr>
                        <w:tcW w:w="853" w:type="dxa"/>
                        <w:gridSpan w:val="2"/>
                        <w:vAlign w:val="center"/>
                      </w:tcPr>
                      <w:p w14:paraId="5ED447D6">
                        <w:pPr>
                          <w:jc w:val="right"/>
                          <w:rPr>
                            <w:rFonts w:hint="default" w:ascii="Calibri" w:hAnsi="Calibri" w:eastAsia="楷体_GB2312" w:cs="Calibri"/>
                            <w:sz w:val="14"/>
                            <w:szCs w:val="14"/>
                          </w:rPr>
                        </w:pPr>
                        <w:r>
                          <w:rPr>
                            <w:rFonts w:ascii="Calibri" w:eastAsia="楷体_GB2312"/>
                            <w:b w:val="0"/>
                            <w:i w:val="0"/>
                            <w:color w:val="215E99"/>
                            <w:sz w:val="14"/>
                          </w:rPr>
                          <w:t>29</w:t>
                        </w:r>
                      </w:p>
                    </w:tc>
                    <w:tc>
                      <w:tcPr>
                        <w:tcW w:w="853" w:type="dxa"/>
                        <w:gridSpan w:val="2"/>
                        <w:vAlign w:val="center"/>
                      </w:tcPr>
                      <w:p w14:paraId="10D4B370">
                        <w:pPr>
                          <w:jc w:val="right"/>
                          <w:rPr>
                            <w:rFonts w:hint="default" w:ascii="Calibri" w:hAnsi="Calibri" w:eastAsia="楷体_GB2312" w:cs="Calibri"/>
                            <w:sz w:val="14"/>
                            <w:szCs w:val="14"/>
                          </w:rPr>
                        </w:pPr>
                        <w:r>
                          <w:rPr>
                            <w:rFonts w:ascii="Calibri" w:eastAsia="楷体_GB2312"/>
                            <w:b w:val="0"/>
                            <w:i w:val="0"/>
                            <w:color w:val="215E99"/>
                            <w:sz w:val="14"/>
                          </w:rPr>
                          <w:t>27</w:t>
                        </w:r>
                      </w:p>
                    </w:tc>
                    <w:tc>
                      <w:tcPr>
                        <w:tcW w:w="854" w:type="dxa"/>
                        <w:vAlign w:val="center"/>
                      </w:tcPr>
                      <w:p w14:paraId="4AF4893B">
                        <w:pPr>
                          <w:jc w:val="right"/>
                          <w:rPr>
                            <w:rFonts w:hint="default" w:ascii="Calibri" w:hAnsi="Calibri" w:eastAsia="楷体_GB2312" w:cs="Calibri"/>
                            <w:sz w:val="14"/>
                            <w:szCs w:val="14"/>
                          </w:rPr>
                        </w:pPr>
                        <w:r>
                          <w:rPr>
                            <w:rFonts w:ascii="Calibri" w:eastAsia="楷体_GB2312"/>
                            <w:b w:val="0"/>
                            <w:i w:val="0"/>
                            <w:color w:val="215E99"/>
                            <w:sz w:val="14"/>
                          </w:rPr>
                          <w:t>25</w:t>
                        </w:r>
                      </w:p>
                    </w:tc>
                  </w:tr>
                </w:tbl>
                <w:p w14:paraId="47430BFE">
                  <w:pPr>
                    <w:ind w:right="85" w:firstLine="85"/>
                    <w:rPr>
                      <w:rFonts w:hint="default" w:ascii="Calibri" w:hAnsi="Calibri" w:cs="Calibri"/>
                    </w:rPr>
                  </w:pPr>
                </w:p>
              </w:tc>
            </w:tr>
            <w:tr w14:paraId="0AF3665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35DD6EE0">
                  <w:pPr>
                    <w:ind w:firstLine="85"/>
                    <w:rPr>
                      <w:rFonts w:hint="default" w:ascii="Calibri" w:hAnsi="Calibri" w:cs="Calibri"/>
                      <w:i/>
                      <w:iCs/>
                      <w:color w:val="000000"/>
                      <w:sz w:val="12"/>
                      <w:lang w:eastAsia="zh-CN"/>
                    </w:rPr>
                  </w:pPr>
                  <w:r>
                    <w:rPr>
                      <w:rFonts w:ascii="Calibri" w:eastAsia="楷体_GB2312"/>
                      <w:b w:val="0"/>
                      <w:i/>
                      <w:color w:val="000000"/>
                      <w:sz w:val="12"/>
                    </w:rPr>
                    <w:t>Source: Company data, HFI</w:t>
                  </w:r>
                </w:p>
              </w:tc>
            </w:tr>
          </w:tbl>
          <w:p w14:paraId="09733C68">
            <w:pPr>
              <w:pStyle w:val="22"/>
              <w:framePr w:wrap="auto" w:vAnchor="margin" w:hAnchor="text" w:xAlign="left" w:yAlign="inline"/>
              <w:jc w:val="left"/>
              <w:rPr>
                <w:rFonts w:hint="default" w:ascii="Calibri" w:hAnsi="Calibri" w:cs="Calibri"/>
              </w:rPr>
            </w:pPr>
          </w:p>
        </w:tc>
        <w:tc>
          <w:tcPr>
            <w:tcW w:w="6061" w:type="dxa"/>
            <w:gridSpan w:val="4"/>
            <w:tcMar>
              <w:left w:w="85" w:type="dxa"/>
            </w:tcMar>
          </w:tcPr>
          <w:p w14:paraId="2DE015F3">
            <w:pPr>
              <w:pStyle w:val="87"/>
              <w:jc w:val="both"/>
              <w:rPr>
                <w:rFonts w:hint="default" w:ascii="Calibri" w:hAnsi="Calibri" w:eastAsia="楷体_GB2312" w:cs="Calibri"/>
                <w:b/>
                <w:bCs/>
                <w:color w:val="23558C"/>
                <w:kern w:val="28"/>
                <w:lang w:eastAsia="zh-CN"/>
              </w:rPr>
            </w:pPr>
            <w:r>
              <w:rPr>
                <w:rFonts w:hint="default" w:ascii="Calibri" w:hAnsi="Calibri" w:eastAsia="楷体_GB2312" w:cs="Calibri"/>
                <w:b/>
                <w:bCs/>
                <w:color w:val="23558C"/>
                <w:kern w:val="28"/>
                <w:lang w:eastAsia="zh-CN"/>
              </w:rPr>
              <w:t>Eaton is now a leader in intelligent power management.</w:t>
            </w:r>
            <w:r>
              <w:rPr>
                <w:rFonts w:hint="default" w:ascii="Calibri" w:hAnsi="Calibri" w:eastAsia="楷体_GB2312" w:cs="Calibri"/>
                <w:lang w:eastAsia="zh-CN"/>
              </w:rPr>
              <w:t xml:space="preserve"> The company has successfully reinvented itself from a legacy industrial manufacturer into a premier global powerhouse positioned at the nexus of the world's most significant secular trends. As of early 2026, Eaton stands as a critical enabler of the energy transition, electrification, and the massive infrastructure build-out required by the artificial intelligence revolution. With 2025 revenue reaching a record $27.4 billion, the firm has evolved from a mere component supplier into the essential "arms dealer" for the modern grid and digital economy.</w:t>
            </w:r>
          </w:p>
          <w:p w14:paraId="08B6C4AD">
            <w:pPr>
              <w:pStyle w:val="87"/>
              <w:jc w:val="both"/>
              <w:rPr>
                <w:rFonts w:hint="default" w:ascii="Calibri" w:hAnsi="Calibri" w:eastAsia="楷体_GB2312" w:cs="Calibri"/>
                <w:b/>
                <w:bCs/>
                <w:color w:val="23558C"/>
                <w:kern w:val="28"/>
                <w:lang w:eastAsia="zh-CN"/>
              </w:rPr>
            </w:pPr>
            <w:r>
              <w:rPr>
                <w:rFonts w:hint="default" w:ascii="Calibri" w:hAnsi="Calibri" w:eastAsia="楷体_GB2312" w:cs="Calibri"/>
                <w:b/>
                <w:bCs/>
                <w:color w:val="23558C"/>
                <w:kern w:val="28"/>
                <w:lang w:eastAsia="zh-CN"/>
              </w:rPr>
              <w:t xml:space="preserve">AI demand is driving unprecedented growth in Eaton's Electrical Americas segment.  </w:t>
            </w:r>
            <w:r>
              <w:rPr>
                <w:rFonts w:hint="default" w:ascii="Calibri" w:hAnsi="Calibri" w:eastAsia="楷体_GB2312" w:cs="Calibri"/>
                <w:lang w:eastAsia="zh-CN"/>
              </w:rPr>
              <w:t>This segment serves as the primary growth engine, contributing nearly 50% of total revenue as it captures the explosion in hyperscale data center capacity. With North American data center vacancy rates hitting a record low of 1.4% in late 2025, Eaton’s integrated "Grid-to-Chip" solutions have become the gold standard for reliability. The company's unique ability to manage the entire power chain—from high-voltage substations to AI-specific rack architectures—provides a competitive moat that rivals find difficult to replicate.</w:t>
            </w:r>
          </w:p>
          <w:p w14:paraId="66A3D991">
            <w:pPr>
              <w:pStyle w:val="87"/>
              <w:jc w:val="both"/>
              <w:rPr>
                <w:rFonts w:hint="default" w:ascii="Calibri" w:hAnsi="Calibri" w:eastAsia="楷体_GB2312" w:cs="Calibri"/>
                <w:lang w:eastAsia="zh-CN"/>
              </w:rPr>
            </w:pPr>
            <w:r>
              <w:rPr>
                <w:rFonts w:hint="default" w:ascii="Calibri" w:hAnsi="Calibri" w:eastAsia="楷体_GB2312" w:cs="Calibri"/>
                <w:b/>
                <w:bCs/>
                <w:color w:val="23558C"/>
                <w:kern w:val="28"/>
                <w:lang w:eastAsia="zh-CN"/>
              </w:rPr>
              <w:t xml:space="preserve">Massive grid modernization and aerospace backlogs provide long-term revenue visibility. </w:t>
            </w:r>
            <w:r>
              <w:rPr>
                <w:rFonts w:hint="default" w:ascii="Calibri" w:hAnsi="Calibri" w:eastAsia="楷体_GB2312" w:cs="Calibri"/>
                <w:lang w:eastAsia="zh-CN"/>
              </w:rPr>
              <w:t>Chronic underinvestment has left 70% of the U.S. grid over 25 years old, necessitating over $1.1 trillion in growth expenditures through 2029. Simultaneously, the Aerospace "crown jewel" is benefiting from a 13-year commercial aircraft backlog and increased defense spending for aging military fleets. These converging tailwinds have pushed Eaton’s total historical backlog to a record $19.6 billion as of 2025, ensuring high visibility for future earnings conversion.</w:t>
            </w:r>
          </w:p>
          <w:p w14:paraId="10657D64">
            <w:pPr>
              <w:pStyle w:val="87"/>
              <w:jc w:val="both"/>
              <w:rPr>
                <w:rFonts w:hint="default" w:ascii="Calibri" w:hAnsi="Calibri" w:eastAsia="楷体_GB2312" w:cs="Calibri"/>
                <w:b/>
                <w:bCs/>
                <w:color w:val="A7242B"/>
                <w:kern w:val="28"/>
                <w:sz w:val="2"/>
                <w:szCs w:val="2"/>
                <w:lang w:eastAsia="zh-CN"/>
              </w:rPr>
            </w:pPr>
          </w:p>
          <w:p w14:paraId="2088276B">
            <w:pPr>
              <w:pStyle w:val="87"/>
              <w:jc w:val="both"/>
              <w:rPr>
                <w:rFonts w:hint="default" w:ascii="Calibri" w:hAnsi="Calibri" w:eastAsia="楷体_GB2312" w:cs="Calibri"/>
                <w:b/>
                <w:bCs/>
                <w:color w:val="23558C"/>
                <w:kern w:val="28"/>
                <w:sz w:val="22"/>
                <w:szCs w:val="22"/>
              </w:rPr>
            </w:pPr>
            <w:r>
              <w:rPr>
                <w:rFonts w:hint="default" w:ascii="Calibri" w:hAnsi="Calibri" w:eastAsia="楷体_GB2312" w:cs="Calibri"/>
                <w:b/>
                <w:bCs/>
                <w:color w:val="23558C"/>
                <w:kern w:val="28"/>
                <w:sz w:val="22"/>
                <w:szCs w:val="22"/>
              </w:rPr>
              <w:t>Valuation &amp; recommendation</w:t>
            </w:r>
          </w:p>
          <w:p w14:paraId="6254C54B">
            <w:pPr>
              <w:pStyle w:val="18"/>
              <w:jc w:val="both"/>
              <w:rPr>
                <w:rFonts w:hint="default" w:ascii="Calibri" w:hAnsi="Calibri" w:eastAsia="楷体_GB2312" w:cs="Calibri"/>
                <w:snapToGrid/>
                <w:szCs w:val="20"/>
                <w:lang w:eastAsia="zh-CN"/>
              </w:rPr>
            </w:pPr>
            <w:r>
              <w:rPr>
                <w:rFonts w:hint="default" w:ascii="Calibri" w:hAnsi="Calibri" w:eastAsia="楷体_GB2312" w:cs="Calibri"/>
                <w:snapToGrid/>
                <w:szCs w:val="20"/>
                <w:lang w:eastAsia="zh-CN"/>
              </w:rPr>
              <w:t xml:space="preserve">We estimate that revenue of Eaton from year 2026 to 2032 will be $29,505 /31,735/ 34,159/ 36,779/ 39,628/ 42,714/ 46,072 million, with the net profit of 4,724/ 5,116/ 5,544/ 6,008/ 6,157/ 6,645/ 7,177 million. Based on the DCF valuation model, our target price of Eaton is $ 391.17, and we initiate coverage on the stock with “Outperform”. </w:t>
            </w:r>
          </w:p>
          <w:p w14:paraId="7E39EA4B">
            <w:pPr>
              <w:pStyle w:val="18"/>
              <w:jc w:val="both"/>
              <w:rPr>
                <w:rFonts w:hint="default" w:ascii="Calibri" w:hAnsi="Calibri" w:eastAsia="楷体_GB2312" w:cs="Calibri"/>
                <w:snapToGrid/>
                <w:szCs w:val="20"/>
              </w:rPr>
            </w:pPr>
          </w:p>
          <w:p w14:paraId="6921BF29">
            <w:pPr>
              <w:pStyle w:val="87"/>
              <w:jc w:val="both"/>
              <w:rPr>
                <w:rFonts w:hint="default" w:ascii="Calibri" w:hAnsi="Calibri" w:eastAsia="楷体_GB2312" w:cs="Calibri"/>
                <w:b/>
                <w:bCs/>
                <w:color w:val="23558C"/>
                <w:kern w:val="28"/>
                <w:sz w:val="22"/>
                <w:szCs w:val="22"/>
                <w:lang w:eastAsia="zh-CN"/>
              </w:rPr>
            </w:pPr>
            <w:r>
              <w:rPr>
                <w:rFonts w:hint="default" w:ascii="Calibri" w:hAnsi="Calibri" w:eastAsia="楷体_GB2312" w:cs="Calibri"/>
                <w:b/>
                <w:bCs/>
                <w:color w:val="23558C"/>
                <w:kern w:val="28"/>
                <w:sz w:val="22"/>
                <w:szCs w:val="22"/>
                <w:lang w:eastAsia="zh-CN"/>
              </w:rPr>
              <w:t>Risks</w:t>
            </w:r>
          </w:p>
          <w:p w14:paraId="09F9B976">
            <w:pPr>
              <w:pStyle w:val="70"/>
              <w:jc w:val="both"/>
              <w:rPr>
                <w:rFonts w:hint="default" w:ascii="Calibri" w:hAnsi="Calibri" w:eastAsia="宋体" w:cs="Calibri"/>
                <w:sz w:val="20"/>
                <w:szCs w:val="20"/>
              </w:rPr>
            </w:pPr>
            <w:r>
              <w:rPr>
                <w:rFonts w:hint="default" w:ascii="Calibri" w:hAnsi="Calibri" w:eastAsia="楷体_GB2312" w:cs="Calibri"/>
                <w:sz w:val="20"/>
                <w:szCs w:val="20"/>
              </w:rPr>
              <w:t>Slowing growth and misexecution; Slowing demand activity in data center; Continued trade tensions and shifting U.S. tariff policies; Technological Obsolescence.</w:t>
            </w:r>
          </w:p>
          <w:p w14:paraId="2B4C0FB9">
            <w:pPr>
              <w:pStyle w:val="87"/>
              <w:jc w:val="both"/>
              <w:rPr>
                <w:rFonts w:hint="default" w:ascii="Calibri" w:hAnsi="Calibri" w:eastAsia="楷体_GB2312" w:cs="Calibri"/>
                <w:bCs/>
                <w:kern w:val="28"/>
                <w:lang w:eastAsia="zh-CN"/>
              </w:rPr>
            </w:pPr>
          </w:p>
        </w:tc>
      </w:tr>
      <w:tr w14:paraId="1B13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5CF768E5">
            <w:pPr>
              <w:pStyle w:val="87"/>
              <w:spacing w:after="0"/>
              <w:jc w:val="both"/>
              <w:rPr>
                <w:rFonts w:hint="default" w:ascii="Calibri" w:hAnsi="Calibri" w:eastAsia="楷体_GB2312" w:cs="Calibri"/>
                <w:bCs/>
                <w:kern w:val="28"/>
                <w:lang w:eastAsia="zh-CN"/>
              </w:rPr>
            </w:pPr>
          </w:p>
          <w:tbl>
            <w:tblPr>
              <w:tblStyle w:val="12"/>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304C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4420497">
                  <w:pPr>
                    <w:pStyle w:val="50"/>
                    <w:framePr w:wrap="auto" w:vAnchor="margin" w:hAnchor="text" w:yAlign="inline"/>
                    <w:rPr>
                      <w:rFonts w:hint="default" w:ascii="Calibri" w:hAnsi="Calibri" w:eastAsia="宋体" w:cs="Calibri"/>
                      <w:color w:val="FFFFFF" w:themeColor="background1"/>
                      <w14:textFill>
                        <w14:solidFill>
                          <w14:schemeClr w14:val="bg1"/>
                        </w14:solidFill>
                      </w14:textFill>
                    </w:rPr>
                  </w:pPr>
                  <w:r>
                    <w:rPr>
                      <w:rFonts w:hint="default" w:ascii="Calibri" w:hAnsi="Calibri" w:eastAsia="宋体" w:cs="Calibri"/>
                      <w:color w:val="FFFFFF" w:themeColor="background1"/>
                      <w14:textFill>
                        <w14:solidFill>
                          <w14:schemeClr w14:val="bg1"/>
                        </w14:solidFill>
                      </w14:textFill>
                    </w:rPr>
                    <w:t>[Table_Author]</w:t>
                  </w:r>
                </w:p>
              </w:tc>
              <w:tc>
                <w:tcPr>
                  <w:tcW w:w="2551" w:type="dxa"/>
                </w:tcPr>
                <w:p w14:paraId="53B70FF6">
                  <w:pPr>
                    <w:pStyle w:val="50"/>
                    <w:framePr w:wrap="auto" w:vAnchor="margin" w:hAnchor="text" w:yAlign="inline"/>
                    <w:rPr>
                      <w:rFonts w:hint="default" w:ascii="Calibri" w:hAnsi="Calibri" w:eastAsia="MS Gothic" w:cs="Calibri"/>
                      <w:color w:val="FFFFFF" w:themeColor="background1"/>
                      <w14:textFill>
                        <w14:solidFill>
                          <w14:schemeClr w14:val="bg1"/>
                        </w14:solidFill>
                      </w14:textFill>
                    </w:rPr>
                  </w:pPr>
                </w:p>
              </w:tc>
              <w:tc>
                <w:tcPr>
                  <w:tcW w:w="2693" w:type="dxa"/>
                </w:tcPr>
                <w:p w14:paraId="30EC3AEB">
                  <w:pPr>
                    <w:pStyle w:val="50"/>
                    <w:framePr w:wrap="auto" w:vAnchor="margin" w:hAnchor="text" w:yAlign="inline"/>
                    <w:rPr>
                      <w:rFonts w:hint="default" w:ascii="Calibri" w:hAnsi="Calibri" w:eastAsia="MS Gothic" w:cs="Calibri"/>
                      <w:color w:val="FFFFFF" w:themeColor="background1"/>
                      <w14:textFill>
                        <w14:solidFill>
                          <w14:schemeClr w14:val="bg1"/>
                        </w14:solidFill>
                      </w14:textFill>
                    </w:rPr>
                  </w:pPr>
                </w:p>
              </w:tc>
              <w:tc>
                <w:tcPr>
                  <w:tcW w:w="2694" w:type="dxa"/>
                </w:tcPr>
                <w:p w14:paraId="719D0815">
                  <w:pPr>
                    <w:pStyle w:val="50"/>
                    <w:framePr w:wrap="auto" w:vAnchor="margin" w:hAnchor="text" w:yAlign="inline"/>
                    <w:rPr>
                      <w:rFonts w:hint="default" w:ascii="Calibri" w:hAnsi="Calibri" w:eastAsia="MS Gothic" w:cs="Calibri"/>
                      <w:color w:val="FFFFFF" w:themeColor="background1"/>
                      <w14:textFill>
                        <w14:solidFill>
                          <w14:schemeClr w14:val="bg1"/>
                        </w14:solidFill>
                      </w14:textFill>
                    </w:rPr>
                  </w:pPr>
                </w:p>
              </w:tc>
            </w:tr>
            <w:tr w14:paraId="150A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0EC53D9">
                  <w:pPr>
                    <w:pStyle w:val="49"/>
                    <w:framePr w:wrap="auto" w:vAnchor="margin" w:hAnchor="text" w:yAlign="inline"/>
                    <w:rPr>
                      <w:rFonts w:hint="default" w:ascii="Calibri" w:hAnsi="Calibri" w:eastAsia="楷体_GB2312" w:cs="Calibri"/>
                    </w:rPr>
                  </w:pPr>
                  <w:r>
                    <w:rPr>
                      <w:rFonts w:ascii="Calibri" w:eastAsia="楷体_GB2312"/>
                      <w:b/>
                      <w:i w:val="0"/>
                      <w:color w:val="000000"/>
                      <w:sz w:val="16"/>
                    </w:rPr>
                    <w:t>Bin Yang, SFC:BSQ313</w:t>
                  </w:r>
                </w:p>
              </w:tc>
              <w:tc>
                <w:tcPr>
                  <w:tcW w:w="2551" w:type="dxa"/>
                </w:tcPr>
                <w:p w14:paraId="3559B241">
                  <w:pPr>
                    <w:pStyle w:val="49"/>
                    <w:framePr w:wrap="auto" w:vAnchor="margin" w:hAnchor="text" w:yAlign="inline"/>
                    <w:rPr>
                      <w:rFonts w:hint="default" w:ascii="Calibri" w:hAnsi="Calibri" w:eastAsia="楷体_GB2312" w:cs="Calibri"/>
                    </w:rPr>
                  </w:pPr>
                  <w:r>
                    <w:rPr>
                      <w:rFonts w:ascii="Calibri" w:eastAsia="楷体_GB2312"/>
                      <w:b/>
                      <w:i w:val="0"/>
                      <w:color w:val="000000"/>
                      <w:sz w:val="16"/>
                    </w:rPr>
                    <w:t>Yida Deng, SFC:BVF321</w:t>
                  </w:r>
                </w:p>
              </w:tc>
              <w:tc>
                <w:tcPr>
                  <w:tcW w:w="2693" w:type="dxa"/>
                </w:tcPr>
                <w:p w14:paraId="4D183C5B">
                  <w:pPr>
                    <w:pStyle w:val="49"/>
                    <w:framePr w:wrap="auto" w:vAnchor="margin" w:hAnchor="text" w:yAlign="inline"/>
                    <w:rPr>
                      <w:rFonts w:hint="default" w:ascii="Calibri" w:hAnsi="Calibri" w:eastAsia="楷体_GB2312" w:cs="Calibri"/>
                    </w:rPr>
                  </w:pPr>
                </w:p>
              </w:tc>
              <w:tc>
                <w:tcPr>
                  <w:tcW w:w="2694" w:type="dxa"/>
                </w:tcPr>
                <w:p w14:paraId="35D0599C">
                  <w:pPr>
                    <w:pStyle w:val="49"/>
                    <w:framePr w:wrap="auto" w:vAnchor="margin" w:hAnchor="text" w:yAlign="inline"/>
                    <w:rPr>
                      <w:rFonts w:hint="default" w:ascii="Calibri" w:hAnsi="Calibri" w:eastAsia="楷体_GB2312" w:cs="Calibri"/>
                    </w:rPr>
                  </w:pPr>
                </w:p>
              </w:tc>
            </w:tr>
            <w:tr w14:paraId="06F66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D1FD514">
                  <w:pPr>
                    <w:pStyle w:val="49"/>
                    <w:framePr w:wrap="auto" w:vAnchor="margin" w:hAnchor="text" w:yAlign="inline"/>
                    <w:rPr>
                      <w:rFonts w:hint="default" w:ascii="Calibri" w:hAnsi="Calibri" w:eastAsia="楷体_GB2312" w:cs="Calibri"/>
                      <w:b w:val="0"/>
                    </w:rPr>
                  </w:pPr>
                  <w:r>
                    <w:rPr>
                      <w:rFonts w:ascii="Calibri" w:eastAsia="楷体_GB2312"/>
                      <w:b w:val="0"/>
                      <w:i w:val="0"/>
                      <w:color w:val="000000"/>
                      <w:sz w:val="16"/>
                    </w:rPr>
                    <w:t>harryyang@hfisec.com.hk</w:t>
                  </w:r>
                </w:p>
              </w:tc>
              <w:tc>
                <w:tcPr>
                  <w:tcW w:w="2551" w:type="dxa"/>
                </w:tcPr>
                <w:p w14:paraId="593E354F">
                  <w:pPr>
                    <w:pStyle w:val="49"/>
                    <w:framePr w:wrap="auto" w:vAnchor="margin" w:hAnchor="text" w:yAlign="inline"/>
                    <w:rPr>
                      <w:rFonts w:hint="default" w:ascii="Calibri" w:hAnsi="Calibri" w:eastAsia="楷体_GB2312" w:cs="Calibri"/>
                      <w:b w:val="0"/>
                    </w:rPr>
                  </w:pPr>
                  <w:r>
                    <w:rPr>
                      <w:rFonts w:ascii="Calibri" w:eastAsia="楷体_GB2312"/>
                      <w:b w:val="0"/>
                      <w:i w:val="0"/>
                      <w:color w:val="000000"/>
                      <w:sz w:val="16"/>
                    </w:rPr>
                    <w:t>dengyida@hfisec.com.hk</w:t>
                  </w:r>
                </w:p>
              </w:tc>
              <w:tc>
                <w:tcPr>
                  <w:tcW w:w="2693" w:type="dxa"/>
                </w:tcPr>
                <w:p w14:paraId="428FF7C2">
                  <w:pPr>
                    <w:pStyle w:val="49"/>
                    <w:framePr w:wrap="auto" w:vAnchor="margin" w:hAnchor="text" w:yAlign="inline"/>
                    <w:rPr>
                      <w:rFonts w:hint="default" w:ascii="Calibri" w:hAnsi="Calibri" w:eastAsia="楷体_GB2312" w:cs="Calibri"/>
                      <w:b w:val="0"/>
                    </w:rPr>
                  </w:pPr>
                </w:p>
              </w:tc>
              <w:tc>
                <w:tcPr>
                  <w:tcW w:w="2694" w:type="dxa"/>
                </w:tcPr>
                <w:p w14:paraId="2820A213">
                  <w:pPr>
                    <w:pStyle w:val="49"/>
                    <w:framePr w:wrap="auto" w:vAnchor="margin" w:hAnchor="text" w:yAlign="inline"/>
                    <w:rPr>
                      <w:rFonts w:hint="default" w:ascii="Calibri" w:hAnsi="Calibri" w:eastAsia="楷体_GB2312" w:cs="Calibri"/>
                      <w:b w:val="0"/>
                    </w:rPr>
                  </w:pPr>
                </w:p>
              </w:tc>
            </w:tr>
            <w:tr w14:paraId="41707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2140D88">
                  <w:pPr>
                    <w:pStyle w:val="49"/>
                    <w:framePr w:wrap="auto" w:vAnchor="margin" w:hAnchor="text" w:yAlign="inline"/>
                    <w:rPr>
                      <w:rFonts w:hint="default" w:ascii="Calibri" w:hAnsi="Calibri" w:eastAsia="楷体_GB2312" w:cs="Calibri"/>
                      <w:b w:val="0"/>
                    </w:rPr>
                  </w:pPr>
                </w:p>
              </w:tc>
              <w:tc>
                <w:tcPr>
                  <w:tcW w:w="2551" w:type="dxa"/>
                </w:tcPr>
                <w:p w14:paraId="6657F884">
                  <w:pPr>
                    <w:pStyle w:val="49"/>
                    <w:framePr w:wrap="auto" w:vAnchor="margin" w:hAnchor="text" w:yAlign="inline"/>
                    <w:rPr>
                      <w:rFonts w:hint="default" w:ascii="Calibri" w:hAnsi="Calibri" w:eastAsia="楷体_GB2312" w:cs="Calibri"/>
                      <w:b w:val="0"/>
                    </w:rPr>
                  </w:pPr>
                </w:p>
              </w:tc>
              <w:tc>
                <w:tcPr>
                  <w:tcW w:w="2693" w:type="dxa"/>
                </w:tcPr>
                <w:p w14:paraId="57E5CD92">
                  <w:pPr>
                    <w:pStyle w:val="49"/>
                    <w:framePr w:wrap="auto" w:vAnchor="margin" w:hAnchor="text" w:yAlign="inline"/>
                    <w:rPr>
                      <w:rFonts w:hint="default" w:ascii="Calibri" w:hAnsi="Calibri" w:eastAsia="楷体_GB2312" w:cs="Calibri"/>
                      <w:b w:val="0"/>
                    </w:rPr>
                  </w:pPr>
                </w:p>
              </w:tc>
              <w:tc>
                <w:tcPr>
                  <w:tcW w:w="2694" w:type="dxa"/>
                </w:tcPr>
                <w:p w14:paraId="260C5047">
                  <w:pPr>
                    <w:pStyle w:val="49"/>
                    <w:framePr w:wrap="auto" w:vAnchor="margin" w:hAnchor="text" w:yAlign="inline"/>
                    <w:rPr>
                      <w:rFonts w:hint="default" w:ascii="Calibri" w:hAnsi="Calibri" w:eastAsia="楷体_GB2312" w:cs="Calibri"/>
                      <w:b w:val="0"/>
                    </w:rPr>
                  </w:pPr>
                </w:p>
              </w:tc>
            </w:tr>
            <w:tr w14:paraId="44C86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3D42A19">
                  <w:pPr>
                    <w:pStyle w:val="49"/>
                    <w:framePr w:wrap="auto" w:vAnchor="margin" w:hAnchor="text" w:yAlign="inline"/>
                    <w:rPr>
                      <w:rFonts w:hint="default" w:ascii="Calibri" w:hAnsi="Calibri" w:eastAsia="楷体_GB2312" w:cs="Calibri"/>
                      <w:b w:val="0"/>
                    </w:rPr>
                  </w:pPr>
                </w:p>
              </w:tc>
              <w:tc>
                <w:tcPr>
                  <w:tcW w:w="2551" w:type="dxa"/>
                </w:tcPr>
                <w:p w14:paraId="4D5FC3D8">
                  <w:pPr>
                    <w:pStyle w:val="49"/>
                    <w:framePr w:wrap="auto" w:vAnchor="margin" w:hAnchor="text" w:yAlign="inline"/>
                    <w:rPr>
                      <w:rFonts w:hint="default" w:ascii="Calibri" w:hAnsi="Calibri" w:eastAsia="楷体_GB2312" w:cs="Calibri"/>
                      <w:b w:val="0"/>
                    </w:rPr>
                  </w:pPr>
                </w:p>
              </w:tc>
              <w:tc>
                <w:tcPr>
                  <w:tcW w:w="2693" w:type="dxa"/>
                </w:tcPr>
                <w:p w14:paraId="6DE9093C">
                  <w:pPr>
                    <w:pStyle w:val="49"/>
                    <w:framePr w:wrap="auto" w:vAnchor="margin" w:hAnchor="text" w:yAlign="inline"/>
                    <w:rPr>
                      <w:rFonts w:hint="default" w:ascii="Calibri" w:hAnsi="Calibri" w:eastAsia="楷体_GB2312" w:cs="Calibri"/>
                      <w:b w:val="0"/>
                    </w:rPr>
                  </w:pPr>
                </w:p>
              </w:tc>
              <w:tc>
                <w:tcPr>
                  <w:tcW w:w="2694" w:type="dxa"/>
                </w:tcPr>
                <w:p w14:paraId="201445D9">
                  <w:pPr>
                    <w:pStyle w:val="49"/>
                    <w:framePr w:wrap="auto" w:vAnchor="margin" w:hAnchor="text" w:yAlign="inline"/>
                    <w:rPr>
                      <w:rFonts w:hint="default" w:ascii="Calibri" w:hAnsi="Calibri" w:eastAsia="楷体_GB2312" w:cs="Calibri"/>
                      <w:b w:val="0"/>
                    </w:rPr>
                  </w:pPr>
                </w:p>
              </w:tc>
            </w:tr>
          </w:tbl>
          <w:p w14:paraId="5387C816">
            <w:pPr>
              <w:pStyle w:val="87"/>
              <w:spacing w:after="0"/>
              <w:jc w:val="both"/>
              <w:rPr>
                <w:rFonts w:hint="default" w:ascii="Calibri" w:hAnsi="Calibri" w:eastAsia="楷体_GB2312" w:cs="Calibri"/>
                <w:bCs/>
                <w:kern w:val="28"/>
                <w:lang w:eastAsia="zh-CN"/>
              </w:rPr>
            </w:pPr>
          </w:p>
        </w:tc>
      </w:tr>
    </w:tbl>
    <w:p w14:paraId="7401B7E2">
      <w:pPr>
        <w:pStyle w:val="70"/>
        <w:rPr>
          <w:rFonts w:eastAsia="宋体"/>
        </w:rPr>
      </w:pPr>
    </w:p>
    <w:p w14:paraId="249CA393">
      <w:pPr>
        <w:ind w:right="320"/>
        <w:rPr>
          <w:rFonts w:eastAsia="宋体"/>
          <w:lang w:eastAsia="zh-CN"/>
        </w:rPr>
      </w:pPr>
    </w:p>
    <w:p w14:paraId="283C10FA">
      <w:pPr>
        <w:rPr>
          <w:lang w:eastAsia="zh-CN"/>
        </w:rPr>
      </w:pPr>
    </w:p>
    <w:p w14:paraId="236400BE">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4E7D3C29">
      <w:pPr>
        <w:pStyle w:val="70"/>
      </w:pPr>
    </w:p>
    <w:sdt>
      <w:sdtPr>
        <w:rPr>
          <w:rFonts w:eastAsia="宋体" w:cs="Calibri"/>
          <w:sz w:val="21"/>
        </w:rPr>
        <w:id w:val="147479176"/>
        <w15:color w:val="DBDBDB"/>
        <w:docPartObj>
          <w:docPartGallery w:val="Table of Contents"/>
          <w:docPartUnique/>
        </w:docPartObj>
      </w:sdtPr>
      <w:sdtEndPr>
        <w:rPr>
          <w:rFonts w:eastAsia="宋体" w:cs="Calibri"/>
          <w:sz w:val="21"/>
          <w:lang w:eastAsia="zh-CN"/>
        </w:rPr>
      </w:sdtEndPr>
      <w:sdtContent>
        <w:p w14:paraId="27C67B41">
          <w:pPr>
            <w:rPr>
              <w:rFonts w:eastAsia="宋体" w:cs="Calibri"/>
              <w:b/>
              <w:bCs/>
              <w:sz w:val="30"/>
              <w:szCs w:val="30"/>
              <w:lang w:eastAsia="zh-CN"/>
            </w:rPr>
          </w:pPr>
          <w:r>
            <w:rPr>
              <w:rFonts w:eastAsia="宋体" w:cs="Calibri"/>
              <w:b/>
              <w:bCs/>
              <w:sz w:val="30"/>
              <w:szCs w:val="30"/>
              <w:lang w:eastAsia="zh-CN"/>
            </w:rPr>
            <w:t>Contents</w:t>
          </w:r>
        </w:p>
        <w:p w14:paraId="04734449">
          <w:pPr>
            <w:rPr>
              <w:rFonts w:eastAsia="宋体" w:cs="Calibri"/>
              <w:b/>
              <w:bCs/>
              <w:sz w:val="30"/>
              <w:szCs w:val="30"/>
              <w:lang w:eastAsia="zh-CN"/>
            </w:rPr>
          </w:pPr>
        </w:p>
        <w:p w14:paraId="5EEE63B6">
          <w:pPr>
            <w:pStyle w:val="9"/>
            <w:tabs>
              <w:tab w:val="right" w:leader="dot" w:pos="7458"/>
            </w:tabs>
          </w:pPr>
          <w:r>
            <w:rPr>
              <w:rFonts w:ascii="Calibri" w:hAnsi="Calibri" w:eastAsia="宋体" w:cs="Calibri"/>
            </w:rPr>
            <w:fldChar w:fldCharType="begin"/>
          </w:r>
          <w:r>
            <w:rPr>
              <w:rFonts w:ascii="Calibri" w:hAnsi="Calibri" w:eastAsia="宋体" w:cs="Calibri"/>
            </w:rPr>
            <w:instrText xml:space="preserve">TOC \o "1-3" \h \u </w:instrText>
          </w:r>
          <w:r>
            <w:rPr>
              <w:rFonts w:ascii="Calibri" w:hAnsi="Calibri" w:eastAsia="宋体" w:cs="Calibri"/>
            </w:rPr>
            <w:fldChar w:fldCharType="separate"/>
          </w:r>
          <w:r>
            <w:rPr>
              <w:rFonts w:ascii="Calibri" w:hAnsi="Calibri" w:eastAsia="宋体" w:cs="Calibri"/>
            </w:rPr>
            <w:fldChar w:fldCharType="begin"/>
          </w:r>
          <w:r>
            <w:rPr>
              <w:rFonts w:ascii="Calibri" w:hAnsi="Calibri" w:eastAsia="宋体" w:cs="Calibri"/>
            </w:rPr>
            <w:instrText xml:space="preserve"> HYPERLINK \l _Toc18175 </w:instrText>
          </w:r>
          <w:r>
            <w:rPr>
              <w:rFonts w:ascii="Calibri" w:hAnsi="Calibri" w:eastAsia="宋体" w:cs="Calibri"/>
            </w:rPr>
            <w:fldChar w:fldCharType="separate"/>
          </w:r>
          <w:r>
            <w:rPr>
              <w:rFonts w:cs="Calibri" w:eastAsiaTheme="minorEastAsia"/>
              <w:bCs/>
              <w:szCs w:val="24"/>
              <w:lang w:eastAsia="zh-CN"/>
            </w:rPr>
            <w:t xml:space="preserve">1. </w:t>
          </w:r>
          <w:r>
            <w:rPr>
              <w:rFonts w:cs="Calibri" w:eastAsiaTheme="minorEastAsia"/>
              <w:bCs/>
              <w:szCs w:val="28"/>
              <w:lang w:eastAsia="zh-CN"/>
            </w:rPr>
            <w:t>Eaton</w:t>
          </w:r>
          <w:r>
            <w:rPr>
              <w:rFonts w:hint="eastAsia" w:eastAsia="宋体" w:cs="Calibri"/>
              <w:bCs/>
              <w:szCs w:val="28"/>
              <w:lang w:eastAsia="zh-CN"/>
            </w:rPr>
            <w:t>:</w:t>
          </w:r>
          <w:r>
            <w:rPr>
              <w:rFonts w:cs="Calibri" w:eastAsiaTheme="minorEastAsia"/>
              <w:bCs/>
              <w:szCs w:val="28"/>
              <w:lang w:eastAsia="zh-CN"/>
            </w:rPr>
            <w:t xml:space="preserve"> a global intelligent power management company</w:t>
          </w:r>
          <w:r>
            <w:tab/>
          </w:r>
          <w:r>
            <w:fldChar w:fldCharType="begin"/>
          </w:r>
          <w:r>
            <w:instrText xml:space="preserve"> PAGEREF _Toc18175 \h </w:instrText>
          </w:r>
          <w:r>
            <w:fldChar w:fldCharType="separate"/>
          </w:r>
          <w:r>
            <w:t>3</w:t>
          </w:r>
          <w:r>
            <w:fldChar w:fldCharType="end"/>
          </w:r>
          <w:r>
            <w:rPr>
              <w:rFonts w:ascii="Calibri" w:hAnsi="Calibri" w:eastAsia="宋体" w:cs="Calibri"/>
            </w:rPr>
            <w:fldChar w:fldCharType="end"/>
          </w:r>
        </w:p>
        <w:p w14:paraId="711BE17B">
          <w:pPr>
            <w:pStyle w:val="10"/>
            <w:tabs>
              <w:tab w:val="right" w:leader="dot" w:pos="7458"/>
            </w:tabs>
          </w:pPr>
          <w:r>
            <w:rPr>
              <w:rFonts w:eastAsia="宋体" w:cs="Calibri"/>
              <w:lang w:eastAsia="zh-CN"/>
            </w:rPr>
            <w:fldChar w:fldCharType="begin"/>
          </w:r>
          <w:r>
            <w:rPr>
              <w:rFonts w:eastAsia="宋体" w:cs="Calibri"/>
              <w:lang w:eastAsia="zh-CN"/>
            </w:rPr>
            <w:instrText xml:space="preserve"> HYPERLINK \l _Toc22398 </w:instrText>
          </w:r>
          <w:r>
            <w:rPr>
              <w:rFonts w:eastAsia="宋体" w:cs="Calibri"/>
              <w:lang w:eastAsia="zh-CN"/>
            </w:rPr>
            <w:fldChar w:fldCharType="separate"/>
          </w:r>
          <w:r>
            <w:rPr>
              <w:rFonts w:cs="Calibri" w:eastAsiaTheme="minorEastAsia"/>
              <w:bCs/>
              <w:szCs w:val="24"/>
              <w:lang w:eastAsia="zh-CN"/>
            </w:rPr>
            <w:t>1.1 Eaton’s transformation into a leader in intelligent power management positions it</w:t>
          </w:r>
          <w:r>
            <w:rPr>
              <w:rFonts w:hint="eastAsia" w:eastAsia="宋体" w:cs="Calibri"/>
              <w:bCs/>
              <w:szCs w:val="24"/>
              <w:lang w:eastAsia="zh-CN"/>
            </w:rPr>
            <w:t>self</w:t>
          </w:r>
          <w:r>
            <w:rPr>
              <w:rFonts w:cs="Calibri" w:eastAsiaTheme="minorEastAsia"/>
              <w:bCs/>
              <w:szCs w:val="24"/>
              <w:lang w:eastAsia="zh-CN"/>
            </w:rPr>
            <w:t xml:space="preserve"> as a key beneficiary of global energy transition and AI tailwinds.</w:t>
          </w:r>
          <w:r>
            <w:tab/>
          </w:r>
          <w:r>
            <w:fldChar w:fldCharType="begin"/>
          </w:r>
          <w:r>
            <w:instrText xml:space="preserve"> PAGEREF _Toc22398 \h </w:instrText>
          </w:r>
          <w:r>
            <w:fldChar w:fldCharType="separate"/>
          </w:r>
          <w:r>
            <w:t>3</w:t>
          </w:r>
          <w:r>
            <w:fldChar w:fldCharType="end"/>
          </w:r>
          <w:r>
            <w:rPr>
              <w:rFonts w:eastAsia="宋体" w:cs="Calibri"/>
              <w:lang w:eastAsia="zh-CN"/>
            </w:rPr>
            <w:fldChar w:fldCharType="end"/>
          </w:r>
        </w:p>
        <w:p w14:paraId="393E72DB">
          <w:pPr>
            <w:pStyle w:val="10"/>
            <w:tabs>
              <w:tab w:val="right" w:leader="dot" w:pos="7458"/>
            </w:tabs>
          </w:pPr>
          <w:r>
            <w:rPr>
              <w:rFonts w:eastAsia="宋体" w:cs="Calibri"/>
              <w:lang w:eastAsia="zh-CN"/>
            </w:rPr>
            <w:fldChar w:fldCharType="begin"/>
          </w:r>
          <w:r>
            <w:rPr>
              <w:rFonts w:eastAsia="宋体" w:cs="Calibri"/>
              <w:lang w:eastAsia="zh-CN"/>
            </w:rPr>
            <w:instrText xml:space="preserve"> HYPERLINK \l _Toc3382 </w:instrText>
          </w:r>
          <w:r>
            <w:rPr>
              <w:rFonts w:eastAsia="宋体" w:cs="Calibri"/>
              <w:lang w:eastAsia="zh-CN"/>
            </w:rPr>
            <w:fldChar w:fldCharType="separate"/>
          </w:r>
          <w:r>
            <w:rPr>
              <w:rFonts w:ascii="Calibri" w:hAnsi="Calibri" w:eastAsia="楷体_GB2312" w:cs="Calibri"/>
            </w:rPr>
            <w:t xml:space="preserve">1.2 </w:t>
          </w:r>
          <w:r>
            <w:rPr>
              <w:rFonts w:ascii="Calibri" w:hAnsi="Calibri" w:eastAsia="楷体" w:cs="Calibri"/>
            </w:rPr>
            <w:t>Financial performance highlights</w:t>
          </w:r>
          <w:r>
            <w:tab/>
          </w:r>
          <w:r>
            <w:fldChar w:fldCharType="begin"/>
          </w:r>
          <w:r>
            <w:instrText xml:space="preserve"> PAGEREF _Toc3382 \h </w:instrText>
          </w:r>
          <w:r>
            <w:fldChar w:fldCharType="separate"/>
          </w:r>
          <w:r>
            <w:t>11</w:t>
          </w:r>
          <w:r>
            <w:fldChar w:fldCharType="end"/>
          </w:r>
          <w:r>
            <w:rPr>
              <w:rFonts w:eastAsia="宋体" w:cs="Calibri"/>
              <w:lang w:eastAsia="zh-CN"/>
            </w:rPr>
            <w:fldChar w:fldCharType="end"/>
          </w:r>
        </w:p>
        <w:p w14:paraId="146B6A8D">
          <w:pPr>
            <w:pStyle w:val="9"/>
            <w:tabs>
              <w:tab w:val="right" w:leader="dot" w:pos="7458"/>
            </w:tabs>
          </w:pPr>
          <w:r>
            <w:rPr>
              <w:rFonts w:eastAsia="宋体" w:cs="Calibri"/>
              <w:lang w:eastAsia="zh-CN"/>
            </w:rPr>
            <w:fldChar w:fldCharType="begin"/>
          </w:r>
          <w:r>
            <w:rPr>
              <w:rFonts w:eastAsia="宋体" w:cs="Calibri"/>
              <w:lang w:eastAsia="zh-CN"/>
            </w:rPr>
            <w:instrText xml:space="preserve"> HYPERLINK \l _Toc14369 </w:instrText>
          </w:r>
          <w:r>
            <w:rPr>
              <w:rFonts w:eastAsia="宋体" w:cs="Calibri"/>
              <w:lang w:eastAsia="zh-CN"/>
            </w:rPr>
            <w:fldChar w:fldCharType="separate"/>
          </w:r>
          <w:r>
            <w:rPr>
              <w:rFonts w:eastAsia="楷体" w:cs="Calibri"/>
              <w:szCs w:val="28"/>
              <w:lang w:eastAsia="zh-CN"/>
            </w:rPr>
            <w:t>2</w:t>
          </w:r>
          <w:r>
            <w:rPr>
              <w:rFonts w:hint="eastAsia" w:eastAsia="楷体" w:cs="Calibri"/>
              <w:szCs w:val="28"/>
              <w:lang w:eastAsia="zh-CN"/>
            </w:rPr>
            <w:t>.</w:t>
          </w:r>
          <w:r>
            <w:rPr>
              <w:rFonts w:eastAsia="楷体" w:cs="Calibri"/>
              <w:szCs w:val="28"/>
              <w:lang w:eastAsia="zh-CN"/>
            </w:rPr>
            <w:t xml:space="preserve"> Riding on the megatrends of digitalization and electrification</w:t>
          </w:r>
          <w:r>
            <w:tab/>
          </w:r>
          <w:r>
            <w:fldChar w:fldCharType="begin"/>
          </w:r>
          <w:r>
            <w:instrText xml:space="preserve"> PAGEREF _Toc14369 \h </w:instrText>
          </w:r>
          <w:r>
            <w:fldChar w:fldCharType="separate"/>
          </w:r>
          <w:r>
            <w:t>13</w:t>
          </w:r>
          <w:r>
            <w:fldChar w:fldCharType="end"/>
          </w:r>
          <w:r>
            <w:rPr>
              <w:rFonts w:eastAsia="宋体" w:cs="Calibri"/>
              <w:lang w:eastAsia="zh-CN"/>
            </w:rPr>
            <w:fldChar w:fldCharType="end"/>
          </w:r>
        </w:p>
        <w:p w14:paraId="70DE251C">
          <w:pPr>
            <w:pStyle w:val="10"/>
            <w:tabs>
              <w:tab w:val="right" w:leader="dot" w:pos="7458"/>
            </w:tabs>
          </w:pPr>
          <w:r>
            <w:rPr>
              <w:rFonts w:eastAsia="宋体" w:cs="Calibri"/>
              <w:lang w:eastAsia="zh-CN"/>
            </w:rPr>
            <w:fldChar w:fldCharType="begin"/>
          </w:r>
          <w:r>
            <w:rPr>
              <w:rFonts w:eastAsia="宋体" w:cs="Calibri"/>
              <w:lang w:eastAsia="zh-CN"/>
            </w:rPr>
            <w:instrText xml:space="preserve"> HYPERLINK \l _Toc3609 </w:instrText>
          </w:r>
          <w:r>
            <w:rPr>
              <w:rFonts w:eastAsia="宋体" w:cs="Calibri"/>
              <w:lang w:eastAsia="zh-CN"/>
            </w:rPr>
            <w:fldChar w:fldCharType="separate"/>
          </w:r>
          <w:r>
            <w:rPr>
              <w:rFonts w:ascii="Calibri" w:hAnsi="Calibri" w:eastAsia="楷体_GB2312" w:cs="Calibri"/>
            </w:rPr>
            <w:t xml:space="preserve">2.1 </w:t>
          </w:r>
          <w:r>
            <w:rPr>
              <w:rFonts w:ascii="Calibri" w:hAnsi="Calibri" w:eastAsia="楷体" w:cs="Calibri"/>
            </w:rPr>
            <w:t>Powering up AI Data Centers: Insatiable demand for AI and cloud data center capacity accelerating growth in power management</w:t>
          </w:r>
          <w:r>
            <w:tab/>
          </w:r>
          <w:r>
            <w:fldChar w:fldCharType="begin"/>
          </w:r>
          <w:r>
            <w:instrText xml:space="preserve"> PAGEREF _Toc3609 \h </w:instrText>
          </w:r>
          <w:r>
            <w:fldChar w:fldCharType="separate"/>
          </w:r>
          <w:r>
            <w:t>13</w:t>
          </w:r>
          <w:r>
            <w:fldChar w:fldCharType="end"/>
          </w:r>
          <w:r>
            <w:rPr>
              <w:rFonts w:eastAsia="宋体" w:cs="Calibri"/>
              <w:lang w:eastAsia="zh-CN"/>
            </w:rPr>
            <w:fldChar w:fldCharType="end"/>
          </w:r>
        </w:p>
        <w:p w14:paraId="441A799C">
          <w:pPr>
            <w:pStyle w:val="10"/>
            <w:tabs>
              <w:tab w:val="right" w:leader="dot" w:pos="7458"/>
            </w:tabs>
          </w:pPr>
          <w:r>
            <w:rPr>
              <w:rFonts w:eastAsia="宋体" w:cs="Calibri"/>
              <w:lang w:eastAsia="zh-CN"/>
            </w:rPr>
            <w:fldChar w:fldCharType="begin"/>
          </w:r>
          <w:r>
            <w:rPr>
              <w:rFonts w:eastAsia="宋体" w:cs="Calibri"/>
              <w:lang w:eastAsia="zh-CN"/>
            </w:rPr>
            <w:instrText xml:space="preserve"> HYPERLINK \l _Toc5940 </w:instrText>
          </w:r>
          <w:r>
            <w:rPr>
              <w:rFonts w:eastAsia="宋体" w:cs="Calibri"/>
              <w:lang w:eastAsia="zh-CN"/>
            </w:rPr>
            <w:fldChar w:fldCharType="separate"/>
          </w:r>
          <w:r>
            <w:rPr>
              <w:rFonts w:hint="eastAsia" w:eastAsia="楷体" w:cs="Calibri"/>
              <w:snapToGrid/>
              <w:szCs w:val="20"/>
              <w:lang w:eastAsia="zh-CN"/>
            </w:rPr>
            <w:t>2.2 AIDC</w:t>
          </w:r>
          <w:r>
            <w:rPr>
              <w:rFonts w:eastAsia="楷体" w:cs="Calibri"/>
              <w:snapToGrid/>
              <w:szCs w:val="20"/>
              <w:lang w:eastAsia="zh-CN"/>
            </w:rPr>
            <w:t>Power grid upgrade and modernization: robust demand for electrical equipment when aging grid meets re-industrialization and more electricity generation.</w:t>
          </w:r>
          <w:r>
            <w:tab/>
          </w:r>
          <w:r>
            <w:fldChar w:fldCharType="begin"/>
          </w:r>
          <w:r>
            <w:instrText xml:space="preserve"> PAGEREF _Toc5940 \h </w:instrText>
          </w:r>
          <w:r>
            <w:fldChar w:fldCharType="separate"/>
          </w:r>
          <w:r>
            <w:t>16</w:t>
          </w:r>
          <w:r>
            <w:fldChar w:fldCharType="end"/>
          </w:r>
          <w:r>
            <w:rPr>
              <w:rFonts w:eastAsia="宋体" w:cs="Calibri"/>
              <w:lang w:eastAsia="zh-CN"/>
            </w:rPr>
            <w:fldChar w:fldCharType="end"/>
          </w:r>
        </w:p>
        <w:p w14:paraId="47E25AE7">
          <w:pPr>
            <w:pStyle w:val="10"/>
            <w:tabs>
              <w:tab w:val="right" w:leader="dot" w:pos="7458"/>
            </w:tabs>
          </w:pPr>
          <w:r>
            <w:rPr>
              <w:rFonts w:eastAsia="宋体" w:cs="Calibri"/>
              <w:lang w:eastAsia="zh-CN"/>
            </w:rPr>
            <w:fldChar w:fldCharType="begin"/>
          </w:r>
          <w:r>
            <w:rPr>
              <w:rFonts w:eastAsia="宋体" w:cs="Calibri"/>
              <w:lang w:eastAsia="zh-CN"/>
            </w:rPr>
            <w:instrText xml:space="preserve"> HYPERLINK \l _Toc27982 </w:instrText>
          </w:r>
          <w:r>
            <w:rPr>
              <w:rFonts w:eastAsia="宋体" w:cs="Calibri"/>
              <w:lang w:eastAsia="zh-CN"/>
            </w:rPr>
            <w:fldChar w:fldCharType="separate"/>
          </w:r>
          <w:r>
            <w:rPr>
              <w:rFonts w:ascii="Calibri" w:hAnsi="Calibri" w:eastAsia="楷体_GB2312" w:cs="Calibri"/>
            </w:rPr>
            <w:t>2.</w:t>
          </w:r>
          <w:r>
            <w:rPr>
              <w:rFonts w:hint="eastAsia" w:ascii="Calibri" w:hAnsi="Calibri" w:eastAsia="楷体_GB2312" w:cs="Calibri"/>
            </w:rPr>
            <w:t>3</w:t>
          </w:r>
          <w:r>
            <w:rPr>
              <w:rFonts w:ascii="Calibri" w:hAnsi="Calibri" w:eastAsia="楷体_GB2312" w:cs="Calibri"/>
            </w:rPr>
            <w:t xml:space="preserve"> Aerospace product upcycle: More defense spending with aging fleets and more commercial demand with record air travel.</w:t>
          </w:r>
          <w:r>
            <w:tab/>
          </w:r>
          <w:r>
            <w:fldChar w:fldCharType="begin"/>
          </w:r>
          <w:r>
            <w:instrText xml:space="preserve"> PAGEREF _Toc27982 \h </w:instrText>
          </w:r>
          <w:r>
            <w:fldChar w:fldCharType="separate"/>
          </w:r>
          <w:r>
            <w:t>19</w:t>
          </w:r>
          <w:r>
            <w:fldChar w:fldCharType="end"/>
          </w:r>
          <w:r>
            <w:rPr>
              <w:rFonts w:eastAsia="宋体" w:cs="Calibri"/>
              <w:lang w:eastAsia="zh-CN"/>
            </w:rPr>
            <w:fldChar w:fldCharType="end"/>
          </w:r>
        </w:p>
        <w:p w14:paraId="1E700939">
          <w:pPr>
            <w:pStyle w:val="9"/>
            <w:tabs>
              <w:tab w:val="right" w:leader="dot" w:pos="7458"/>
            </w:tabs>
          </w:pPr>
          <w:r>
            <w:rPr>
              <w:rFonts w:eastAsia="宋体" w:cs="Calibri"/>
              <w:lang w:eastAsia="zh-CN"/>
            </w:rPr>
            <w:fldChar w:fldCharType="begin"/>
          </w:r>
          <w:r>
            <w:rPr>
              <w:rFonts w:eastAsia="宋体" w:cs="Calibri"/>
              <w:lang w:eastAsia="zh-CN"/>
            </w:rPr>
            <w:instrText xml:space="preserve"> HYPERLINK \l _Toc8047 </w:instrText>
          </w:r>
          <w:r>
            <w:rPr>
              <w:rFonts w:eastAsia="宋体" w:cs="Calibri"/>
              <w:lang w:eastAsia="zh-CN"/>
            </w:rPr>
            <w:fldChar w:fldCharType="separate"/>
          </w:r>
          <w:r>
            <w:rPr>
              <w:rFonts w:eastAsia="楷体" w:cs="Calibri"/>
              <w:szCs w:val="28"/>
              <w:lang w:eastAsia="zh-CN"/>
            </w:rPr>
            <w:t>3</w:t>
          </w:r>
          <w:r>
            <w:rPr>
              <w:rFonts w:hint="eastAsia" w:eastAsia="楷体" w:cs="Calibri"/>
              <w:szCs w:val="28"/>
              <w:lang w:eastAsia="zh-CN"/>
            </w:rPr>
            <w:t>.</w:t>
          </w:r>
          <w:r>
            <w:rPr>
              <w:rFonts w:eastAsia="楷体" w:cs="Calibri"/>
              <w:szCs w:val="28"/>
              <w:lang w:eastAsia="zh-CN"/>
            </w:rPr>
            <w:t xml:space="preserve"> Eaton is Positioned to Drive Continued Profitable Growth and Value Creation Across Core Electrical and Aerospace Businesses</w:t>
          </w:r>
          <w:r>
            <w:tab/>
          </w:r>
          <w:r>
            <w:fldChar w:fldCharType="begin"/>
          </w:r>
          <w:r>
            <w:instrText xml:space="preserve"> PAGEREF _Toc8047 \h </w:instrText>
          </w:r>
          <w:r>
            <w:fldChar w:fldCharType="separate"/>
          </w:r>
          <w:r>
            <w:t>20</w:t>
          </w:r>
          <w:r>
            <w:fldChar w:fldCharType="end"/>
          </w:r>
          <w:r>
            <w:rPr>
              <w:rFonts w:eastAsia="宋体" w:cs="Calibri"/>
              <w:lang w:eastAsia="zh-CN"/>
            </w:rPr>
            <w:fldChar w:fldCharType="end"/>
          </w:r>
        </w:p>
        <w:p w14:paraId="01C2AFF2">
          <w:pPr>
            <w:pStyle w:val="9"/>
            <w:tabs>
              <w:tab w:val="right" w:leader="dot" w:pos="7458"/>
            </w:tabs>
          </w:pPr>
          <w:r>
            <w:rPr>
              <w:rFonts w:eastAsia="宋体" w:cs="Calibri"/>
              <w:lang w:eastAsia="zh-CN"/>
            </w:rPr>
            <w:fldChar w:fldCharType="begin"/>
          </w:r>
          <w:r>
            <w:rPr>
              <w:rFonts w:eastAsia="宋体" w:cs="Calibri"/>
              <w:lang w:eastAsia="zh-CN"/>
            </w:rPr>
            <w:instrText xml:space="preserve"> HYPERLINK \l _Toc4522 </w:instrText>
          </w:r>
          <w:r>
            <w:rPr>
              <w:rFonts w:eastAsia="宋体" w:cs="Calibri"/>
              <w:lang w:eastAsia="zh-CN"/>
            </w:rPr>
            <w:fldChar w:fldCharType="separate"/>
          </w:r>
          <w:r>
            <w:rPr>
              <w:rFonts w:eastAsia="楷体_GB2312" w:cs="Calibri"/>
              <w:bCs/>
              <w:lang w:eastAsia="zh-CN"/>
            </w:rPr>
            <w:t>4</w:t>
          </w:r>
          <w:r>
            <w:rPr>
              <w:rFonts w:eastAsia="楷体_GB2312" w:cs="Calibri"/>
              <w:bCs/>
            </w:rPr>
            <w:t>.</w:t>
          </w:r>
          <w:r>
            <w:rPr>
              <w:rFonts w:cs="Calibri"/>
              <w:bCs/>
            </w:rPr>
            <w:t xml:space="preserve"> </w:t>
          </w:r>
          <w:r>
            <w:rPr>
              <w:rFonts w:eastAsia="楷体" w:cs="Calibri"/>
              <w:szCs w:val="28"/>
              <w:lang w:eastAsia="zh-CN"/>
            </w:rPr>
            <w:t>Valuation</w:t>
          </w:r>
          <w:r>
            <w:rPr>
              <w:rFonts w:eastAsia="楷体" w:cs="Calibri"/>
              <w:bCs/>
              <w:lang w:eastAsia="zh-CN"/>
            </w:rPr>
            <w:t>&amp; recommendation</w:t>
          </w:r>
          <w:r>
            <w:tab/>
          </w:r>
          <w:r>
            <w:fldChar w:fldCharType="begin"/>
          </w:r>
          <w:r>
            <w:instrText xml:space="preserve"> PAGEREF _Toc4522 \h </w:instrText>
          </w:r>
          <w:r>
            <w:fldChar w:fldCharType="separate"/>
          </w:r>
          <w:r>
            <w:t>22</w:t>
          </w:r>
          <w:r>
            <w:fldChar w:fldCharType="end"/>
          </w:r>
          <w:r>
            <w:rPr>
              <w:rFonts w:eastAsia="宋体" w:cs="Calibri"/>
              <w:lang w:eastAsia="zh-CN"/>
            </w:rPr>
            <w:fldChar w:fldCharType="end"/>
          </w:r>
        </w:p>
        <w:p w14:paraId="06A0DD13">
          <w:pPr>
            <w:pStyle w:val="9"/>
            <w:tabs>
              <w:tab w:val="right" w:leader="dot" w:pos="7458"/>
            </w:tabs>
          </w:pPr>
          <w:r>
            <w:rPr>
              <w:rFonts w:eastAsia="宋体" w:cs="Calibri"/>
              <w:lang w:eastAsia="zh-CN"/>
            </w:rPr>
            <w:fldChar w:fldCharType="begin"/>
          </w:r>
          <w:r>
            <w:rPr>
              <w:rFonts w:eastAsia="宋体" w:cs="Calibri"/>
              <w:lang w:eastAsia="zh-CN"/>
            </w:rPr>
            <w:instrText xml:space="preserve"> HYPERLINK \l _Toc28497 </w:instrText>
          </w:r>
          <w:r>
            <w:rPr>
              <w:rFonts w:eastAsia="宋体" w:cs="Calibri"/>
              <w:lang w:eastAsia="zh-CN"/>
            </w:rPr>
            <w:fldChar w:fldCharType="separate"/>
          </w:r>
          <w:r>
            <w:rPr>
              <w:rFonts w:eastAsia="楷体_GB2312" w:cs="Calibri"/>
              <w:bCs/>
            </w:rPr>
            <w:t xml:space="preserve">5. </w:t>
          </w:r>
          <w:r>
            <w:rPr>
              <w:rFonts w:eastAsia="楷体" w:cs="Calibri"/>
              <w:szCs w:val="28"/>
              <w:lang w:eastAsia="zh-CN"/>
            </w:rPr>
            <w:t>Risks</w:t>
          </w:r>
          <w:r>
            <w:tab/>
          </w:r>
          <w:r>
            <w:fldChar w:fldCharType="begin"/>
          </w:r>
          <w:r>
            <w:instrText xml:space="preserve"> PAGEREF _Toc28497 \h </w:instrText>
          </w:r>
          <w:r>
            <w:fldChar w:fldCharType="separate"/>
          </w:r>
          <w:r>
            <w:t>24</w:t>
          </w:r>
          <w:r>
            <w:fldChar w:fldCharType="end"/>
          </w:r>
          <w:r>
            <w:rPr>
              <w:rFonts w:eastAsia="宋体" w:cs="Calibri"/>
              <w:lang w:eastAsia="zh-CN"/>
            </w:rPr>
            <w:fldChar w:fldCharType="end"/>
          </w:r>
        </w:p>
        <w:p w14:paraId="051EE43D">
          <w:pPr>
            <w:pStyle w:val="18"/>
            <w:rPr>
              <w:rFonts w:eastAsia="宋体" w:cs="Calibri"/>
              <w:lang w:eastAsia="zh-CN"/>
            </w:rPr>
          </w:pPr>
          <w:r>
            <w:rPr>
              <w:rFonts w:eastAsia="宋体" w:cs="Calibri"/>
              <w:lang w:eastAsia="zh-CN"/>
            </w:rPr>
            <w:fldChar w:fldCharType="end"/>
          </w:r>
        </w:p>
      </w:sdtContent>
    </w:sdt>
    <w:p w14:paraId="0D269EAD">
      <w:pPr>
        <w:pStyle w:val="18"/>
        <w:rPr>
          <w:rFonts w:eastAsia="宋体" w:cs="Calibri"/>
          <w:lang w:eastAsia="zh-CN"/>
        </w:rPr>
      </w:pPr>
    </w:p>
    <w:p w14:paraId="1DA21443">
      <w:pPr>
        <w:rPr>
          <w:rFonts w:cs="Calibri" w:eastAsiaTheme="minorEastAsia"/>
          <w:lang w:eastAsia="zh-CN"/>
        </w:rPr>
      </w:pPr>
      <w:r>
        <w:rPr>
          <w:rFonts w:cs="Calibri" w:eastAsiaTheme="minorEastAsia"/>
          <w:lang w:eastAsia="zh-CN"/>
        </w:rPr>
        <w:br w:type="page"/>
      </w:r>
    </w:p>
    <w:p w14:paraId="6DF017C4">
      <w:pPr>
        <w:numPr>
          <w:ilvl w:val="0"/>
          <w:numId w:val="8"/>
        </w:numPr>
        <w:jc w:val="both"/>
        <w:outlineLvl w:val="0"/>
        <w:rPr>
          <w:rFonts w:cs="Calibri" w:eastAsiaTheme="minorEastAsia"/>
          <w:b/>
          <w:bCs/>
          <w:color w:val="23558C"/>
          <w:sz w:val="24"/>
          <w:szCs w:val="24"/>
          <w:lang w:eastAsia="zh-CN"/>
        </w:rPr>
      </w:pPr>
      <w:bookmarkStart w:id="0" w:name="_Toc18175"/>
      <w:r>
        <w:rPr>
          <w:rFonts w:cs="Calibri" w:eastAsiaTheme="minorEastAsia"/>
          <w:b/>
          <w:bCs/>
          <w:color w:val="23558C"/>
          <w:sz w:val="28"/>
          <w:szCs w:val="28"/>
          <w:lang w:eastAsia="zh-CN"/>
        </w:rPr>
        <w:t>Eaton</w:t>
      </w:r>
      <w:r>
        <w:rPr>
          <w:rFonts w:hint="eastAsia" w:eastAsia="宋体" w:cs="Calibri"/>
          <w:b/>
          <w:bCs/>
          <w:color w:val="23558C"/>
          <w:sz w:val="28"/>
          <w:szCs w:val="28"/>
          <w:lang w:eastAsia="zh-CN"/>
        </w:rPr>
        <w:t>:</w:t>
      </w:r>
      <w:r>
        <w:rPr>
          <w:rFonts w:cs="Calibri" w:eastAsiaTheme="minorEastAsia"/>
          <w:b/>
          <w:bCs/>
          <w:color w:val="23558C"/>
          <w:sz w:val="28"/>
          <w:szCs w:val="28"/>
          <w:lang w:eastAsia="zh-CN"/>
        </w:rPr>
        <w:t xml:space="preserve"> a global intelligent power management company</w:t>
      </w:r>
      <w:bookmarkEnd w:id="0"/>
    </w:p>
    <w:p w14:paraId="2ECCBAB5">
      <w:pPr>
        <w:jc w:val="both"/>
        <w:rPr>
          <w:rFonts w:cs="Calibri" w:eastAsiaTheme="minorEastAsia"/>
          <w:b/>
          <w:bCs/>
          <w:color w:val="23558C"/>
          <w:sz w:val="24"/>
          <w:szCs w:val="24"/>
          <w:lang w:eastAsia="zh-CN"/>
        </w:rPr>
      </w:pPr>
      <w:r>
        <w:rPr>
          <w:rFonts w:cs="Calibri" w:eastAsiaTheme="minorEastAsia"/>
          <w:b/>
          <w:bCs/>
          <w:color w:val="23558C"/>
          <w:sz w:val="28"/>
          <w:szCs w:val="28"/>
          <w:lang w:eastAsia="zh-CN"/>
        </w:rPr>
        <w:t xml:space="preserve"> </w:t>
      </w:r>
    </w:p>
    <w:p w14:paraId="7F237902">
      <w:pPr>
        <w:jc w:val="both"/>
        <w:outlineLvl w:val="1"/>
        <w:rPr>
          <w:rFonts w:cs="Calibri" w:eastAsiaTheme="minorEastAsia"/>
          <w:b/>
          <w:bCs/>
          <w:color w:val="23558C"/>
          <w:sz w:val="24"/>
          <w:szCs w:val="24"/>
          <w:lang w:eastAsia="zh-CN"/>
        </w:rPr>
      </w:pPr>
      <w:bookmarkStart w:id="1" w:name="_Toc22398"/>
      <w:r>
        <w:rPr>
          <w:rFonts w:cs="Calibri" w:eastAsiaTheme="minorEastAsia"/>
          <w:b/>
          <w:bCs/>
          <w:color w:val="23558C"/>
          <w:sz w:val="24"/>
          <w:szCs w:val="24"/>
          <w:lang w:eastAsia="zh-CN"/>
        </w:rPr>
        <w:t>1.1 Eaton’s transformation into a leader in intelligent power management positions it</w:t>
      </w:r>
      <w:r>
        <w:rPr>
          <w:rFonts w:hint="eastAsia" w:eastAsia="宋体" w:cs="Calibri"/>
          <w:b/>
          <w:bCs/>
          <w:color w:val="23558C"/>
          <w:sz w:val="24"/>
          <w:szCs w:val="24"/>
          <w:lang w:eastAsia="zh-CN"/>
        </w:rPr>
        <w:t>self</w:t>
      </w:r>
      <w:r>
        <w:rPr>
          <w:rFonts w:cs="Calibri" w:eastAsiaTheme="minorEastAsia"/>
          <w:b/>
          <w:bCs/>
          <w:color w:val="23558C"/>
          <w:sz w:val="24"/>
          <w:szCs w:val="24"/>
          <w:lang w:eastAsia="zh-CN"/>
        </w:rPr>
        <w:t xml:space="preserve"> as a key beneficiary of global energy transition and AI tailwinds.</w:t>
      </w:r>
      <w:bookmarkEnd w:id="1"/>
    </w:p>
    <w:p w14:paraId="0EE637F7">
      <w:pPr>
        <w:jc w:val="both"/>
        <w:rPr>
          <w:rFonts w:cs="Calibri" w:eastAsiaTheme="minorEastAsia"/>
          <w:b/>
          <w:bCs/>
          <w:sz w:val="18"/>
          <w:szCs w:val="18"/>
          <w:lang w:eastAsia="zh-CN"/>
        </w:rPr>
      </w:pPr>
      <w:r>
        <w:rPr>
          <w:rFonts w:cs="Calibri" w:eastAsiaTheme="minorEastAsia"/>
          <w:b/>
          <w:bCs/>
          <w:sz w:val="18"/>
          <w:szCs w:val="18"/>
          <w:lang w:eastAsia="zh-CN"/>
        </w:rPr>
        <w:t xml:space="preserve"> </w:t>
      </w:r>
    </w:p>
    <w:p w14:paraId="134DC307">
      <w:pPr>
        <w:jc w:val="both"/>
        <w:rPr>
          <w:rFonts w:cs="Calibri" w:eastAsiaTheme="minorEastAsia"/>
          <w:sz w:val="22"/>
          <w:szCs w:val="22"/>
          <w:lang w:eastAsia="zh-CN"/>
        </w:rPr>
      </w:pPr>
      <w:r>
        <w:rPr>
          <w:rFonts w:cs="Calibri" w:eastAsiaTheme="minorEastAsia"/>
          <w:b/>
          <w:bCs/>
          <w:sz w:val="22"/>
          <w:szCs w:val="22"/>
          <w:lang w:eastAsia="zh-CN"/>
        </w:rPr>
        <w:t xml:space="preserve">Eaton is a company dedicated to developing intelligent power management products and solutions that transform the way the world manages power. </w:t>
      </w:r>
      <w:r>
        <w:rPr>
          <w:rFonts w:cs="Calibri" w:eastAsiaTheme="minorEastAsia"/>
          <w:sz w:val="22"/>
          <w:szCs w:val="22"/>
          <w:lang w:eastAsia="zh-CN"/>
        </w:rPr>
        <w:t>Today, Eaton Corporation plc has successfully reinvented itself</w:t>
      </w:r>
      <w:r>
        <w:rPr>
          <w:rFonts w:hint="eastAsia" w:eastAsia="宋体" w:cs="Calibri"/>
          <w:sz w:val="22"/>
          <w:szCs w:val="22"/>
          <w:lang w:eastAsia="zh-CN"/>
        </w:rPr>
        <w:t xml:space="preserve"> </w:t>
      </w:r>
      <w:r>
        <w:rPr>
          <w:rFonts w:cs="Calibri" w:eastAsiaTheme="minorEastAsia"/>
          <w:sz w:val="22"/>
          <w:szCs w:val="22"/>
          <w:lang w:eastAsia="zh-CN"/>
        </w:rPr>
        <w:t>into a premier global intelligent power management company, uniquely positioned at the nexus of the world's most significant secular trends. As of early 2026, the company stands as a critical enabler of the energy transition, electrification, and the massive infrastructure build-out required by the artificial intelligence revolution. Eaton is no longer merely a component supplier; it has become the "arms dealer" for the modern grid and the digital economy. With a 2025 revenue of $27.4 billion and operations spanning 170 countries, the firm leverages its deep technical moat and the Eaton Business System (EBS) to drive superior operational excellence. By focusing on high-growth, high-margin sectors such as data centers and aerospace, Eaton has decoupled itself from traditional industrial cyclicality, commanding a valuation premium that reflects its role as a vital infrastructure backbone for the twenty-first century.</w:t>
      </w:r>
    </w:p>
    <w:p w14:paraId="753DDAAA">
      <w:pPr>
        <w:jc w:val="both"/>
        <w:rPr>
          <w:rFonts w:cs="Calibri" w:eastAsiaTheme="minorEastAsia"/>
          <w:sz w:val="22"/>
          <w:szCs w:val="22"/>
          <w:lang w:eastAsia="zh-CN"/>
        </w:rPr>
      </w:pPr>
    </w:p>
    <w:tbl>
      <w:tblPr>
        <w:tblStyle w:val="12"/>
        <w:tblW w:w="8281"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81"/>
      </w:tblGrid>
      <w:tr w14:paraId="089FA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right"/>
        </w:trPr>
        <w:tc>
          <w:tcPr>
            <w:tcW w:w="8281" w:type="dxa"/>
            <w:tcBorders>
              <w:bottom w:val="nil"/>
            </w:tcBorders>
          </w:tcPr>
          <w:p w14:paraId="293F9E10">
            <w:pPr>
              <w:rPr>
                <w:rFonts w:eastAsia="宋体" w:cs="Calibri"/>
                <w:b/>
                <w:bCs/>
                <w:sz w:val="20"/>
                <w:szCs w:val="20"/>
                <w:lang w:eastAsia="zh-CN"/>
              </w:rPr>
            </w:pPr>
            <w:bookmarkStart w:id="2" w:name="_Hlk216640996"/>
            <w:r>
              <w:rPr>
                <w:rFonts w:hint="eastAsia" w:cs="Calibri" w:eastAsiaTheme="minorEastAsia"/>
                <w:b/>
                <w:bCs/>
                <w:sz w:val="20"/>
                <w:szCs w:val="20"/>
                <w:lang w:eastAsia="zh-CN"/>
              </w:rPr>
              <w:t xml:space="preserve">Figure: </w:t>
            </w:r>
            <w:r>
              <w:rPr>
                <w:rFonts w:hint="eastAsia" w:eastAsia="宋体" w:cs="Calibri"/>
                <w:b/>
                <w:bCs/>
                <w:sz w:val="20"/>
                <w:szCs w:val="20"/>
                <w:lang w:eastAsia="zh-CN"/>
              </w:rPr>
              <w:t>Eaton</w:t>
            </w:r>
            <w:r>
              <w:rPr>
                <w:rFonts w:eastAsia="宋体" w:cs="Calibri"/>
                <w:b/>
                <w:bCs/>
                <w:sz w:val="20"/>
                <w:szCs w:val="20"/>
                <w:lang w:eastAsia="zh-CN"/>
              </w:rPr>
              <w:t>’</w:t>
            </w:r>
            <w:r>
              <w:rPr>
                <w:rFonts w:hint="eastAsia" w:eastAsia="宋体" w:cs="Calibri"/>
                <w:b/>
                <w:bCs/>
                <w:sz w:val="20"/>
                <w:szCs w:val="20"/>
                <w:lang w:eastAsia="zh-CN"/>
              </w:rPr>
              <w:t>s global capabilities</w:t>
            </w:r>
          </w:p>
        </w:tc>
      </w:tr>
      <w:tr w14:paraId="3D8B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jc w:val="right"/>
        </w:trPr>
        <w:tc>
          <w:tcPr>
            <w:tcW w:w="8281" w:type="dxa"/>
            <w:tcBorders>
              <w:top w:val="nil"/>
              <w:bottom w:val="nil"/>
            </w:tcBorders>
            <w:tcMar>
              <w:top w:w="28" w:type="dxa"/>
              <w:bottom w:w="28" w:type="dxa"/>
            </w:tcMar>
            <w:vAlign w:val="center"/>
          </w:tcPr>
          <w:p w14:paraId="0C0E1307">
            <w:pPr>
              <w:ind w:left="2447"/>
              <w:rPr>
                <w:rFonts w:eastAsia="宋体" w:cs="Calibri"/>
                <w:b/>
                <w:bCs/>
                <w:sz w:val="22"/>
                <w:szCs w:val="22"/>
                <w:lang w:eastAsia="zh-CN"/>
              </w:rPr>
            </w:pPr>
          </w:p>
          <w:p w14:paraId="6ED6B285">
            <w:pPr>
              <w:jc w:val="both"/>
              <w:rPr>
                <w:rFonts w:eastAsia="宋体" w:cs="Calibri"/>
                <w:b/>
                <w:bCs/>
                <w:sz w:val="22"/>
                <w:szCs w:val="22"/>
                <w:lang w:eastAsia="zh-CN"/>
              </w:rPr>
            </w:pPr>
            <w:r>
              <w:rPr>
                <w:rFonts w:ascii="Arial" w:hAnsi="Arial" w:cs="Arial"/>
                <w:color w:val="000000"/>
                <w:sz w:val="20"/>
                <w:szCs w:val="20"/>
              </w:rPr>
              <w:drawing>
                <wp:inline distT="0" distB="0" distL="0" distR="0">
                  <wp:extent cx="5100320" cy="3648075"/>
                  <wp:effectExtent l="0" t="0" r="5080" b="9525"/>
                  <wp:docPr id="275956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673"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01884" cy="3649119"/>
                          </a:xfrm>
                          <a:prstGeom prst="rect">
                            <a:avLst/>
                          </a:prstGeom>
                          <a:noFill/>
                          <a:ln>
                            <a:noFill/>
                          </a:ln>
                        </pic:spPr>
                      </pic:pic>
                    </a:graphicData>
                  </a:graphic>
                </wp:inline>
              </w:drawing>
            </w:r>
          </w:p>
        </w:tc>
      </w:tr>
      <w:tr w14:paraId="401AC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right"/>
        </w:trPr>
        <w:tc>
          <w:tcPr>
            <w:tcW w:w="8281" w:type="dxa"/>
            <w:tcBorders>
              <w:top w:val="nil"/>
              <w:bottom w:val="nil"/>
            </w:tcBorders>
          </w:tcPr>
          <w:p w14:paraId="2D30B19E">
            <w:pPr>
              <w:rPr>
                <w:rFonts w:cs="Calibri" w:eastAsiaTheme="minorEastAsia"/>
                <w:lang w:eastAsia="zh-CN"/>
              </w:rPr>
            </w:pPr>
            <w:r>
              <w:rPr>
                <w:rFonts w:hint="eastAsia" w:cs="Calibri" w:eastAsiaTheme="minorEastAsia"/>
                <w:lang w:eastAsia="zh-CN"/>
              </w:rPr>
              <w:t>Source: Company, HFI</w:t>
            </w:r>
          </w:p>
        </w:tc>
      </w:tr>
      <w:tr w14:paraId="419C3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jc w:val="right"/>
        </w:trPr>
        <w:tc>
          <w:tcPr>
            <w:tcW w:w="8281" w:type="dxa"/>
            <w:tcBorders>
              <w:top w:val="nil"/>
            </w:tcBorders>
          </w:tcPr>
          <w:p w14:paraId="5D813A08">
            <w:pPr>
              <w:rPr>
                <w:rFonts w:hint="eastAsia" w:eastAsia="宋体" w:cs="Calibri"/>
                <w:b/>
                <w:bCs/>
                <w:sz w:val="22"/>
                <w:szCs w:val="22"/>
                <w:lang w:eastAsia="zh-CN"/>
              </w:rPr>
            </w:pPr>
          </w:p>
        </w:tc>
      </w:tr>
      <w:bookmarkEnd w:id="2"/>
    </w:tbl>
    <w:p w14:paraId="1FF37569">
      <w:pPr>
        <w:rPr>
          <w:rFonts w:cs="Calibri" w:eastAsiaTheme="minorEastAsia"/>
          <w:b/>
          <w:bCs/>
          <w:sz w:val="22"/>
          <w:szCs w:val="22"/>
          <w:lang w:eastAsia="zh-CN"/>
        </w:rPr>
      </w:pPr>
      <w:r>
        <w:rPr>
          <w:rFonts w:cs="Calibri" w:eastAsiaTheme="minorEastAsia"/>
          <w:b/>
          <w:bCs/>
          <w:sz w:val="22"/>
          <w:szCs w:val="22"/>
          <w:lang w:eastAsia="zh-CN"/>
        </w:rPr>
        <w:br w:type="page"/>
      </w:r>
    </w:p>
    <w:p w14:paraId="2DA3730B">
      <w:pPr>
        <w:jc w:val="both"/>
        <w:rPr>
          <w:rFonts w:cs="Calibri" w:eastAsiaTheme="minorEastAsia"/>
          <w:sz w:val="22"/>
          <w:szCs w:val="22"/>
          <w:lang w:eastAsia="zh-CN"/>
        </w:rPr>
      </w:pPr>
      <w:r>
        <w:rPr>
          <w:rFonts w:cs="Calibri" w:eastAsiaTheme="minorEastAsia"/>
          <w:b/>
          <w:bCs/>
          <w:sz w:val="22"/>
          <w:szCs w:val="22"/>
          <w:lang w:eastAsia="zh-CN"/>
        </w:rPr>
        <w:t>Eaton's century-long evolution showcases masterful strategic pivots toward high-growth electrical and digital power management markets.</w:t>
      </w:r>
      <w:r>
        <w:rPr>
          <w:rFonts w:hint="eastAsia" w:eastAsia="宋体" w:cs="Calibri"/>
          <w:b/>
          <w:bCs/>
          <w:sz w:val="22"/>
          <w:szCs w:val="22"/>
          <w:lang w:eastAsia="zh-CN"/>
        </w:rPr>
        <w:t xml:space="preserve"> </w:t>
      </w:r>
      <w:r>
        <w:rPr>
          <w:rFonts w:cs="Calibri" w:eastAsiaTheme="minorEastAsia"/>
          <w:sz w:val="22"/>
          <w:szCs w:val="22"/>
          <w:lang w:eastAsia="zh-CN"/>
        </w:rPr>
        <w:t>Starting as a 1911 pioneer in U.S. automotive axles and heavy-duty vehicle components, Eaton shifted decisively in 1994 by acquiring Westinghouse’s distribution and control business, building its electrical systems foundation. The 2012 acquisition of Cooper Industries doubled the electrical segment and centered the company on power management.</w:t>
      </w:r>
      <w:r>
        <w:rPr>
          <w:rFonts w:hint="eastAsia" w:eastAsia="宋体" w:cs="Calibri"/>
          <w:sz w:val="22"/>
          <w:szCs w:val="22"/>
          <w:lang w:eastAsia="zh-CN"/>
        </w:rPr>
        <w:t xml:space="preserve"> </w:t>
      </w:r>
      <w:r>
        <w:rPr>
          <w:rFonts w:cs="Calibri" w:eastAsiaTheme="minorEastAsia"/>
          <w:sz w:val="22"/>
          <w:szCs w:val="22"/>
          <w:lang w:eastAsia="zh-CN"/>
        </w:rPr>
        <w:t>Eaton then streamlined aggressively, divesting lighting and hydraulics to prioritize high-barrier, high-margin areas.</w:t>
      </w:r>
      <w:r>
        <w:rPr>
          <w:rFonts w:hint="eastAsia" w:eastAsia="宋体" w:cs="Calibri"/>
          <w:sz w:val="22"/>
          <w:szCs w:val="22"/>
          <w:lang w:eastAsia="zh-CN"/>
        </w:rPr>
        <w:t xml:space="preserve"> </w:t>
      </w:r>
      <w:r>
        <w:rPr>
          <w:rFonts w:cs="Calibri" w:eastAsiaTheme="minorEastAsia"/>
          <w:sz w:val="22"/>
          <w:szCs w:val="22"/>
          <w:lang w:eastAsia="zh-CN"/>
        </w:rPr>
        <w:t>This culminated in the January 26, 2026 announcement of spinning off its Mobility Group (Vehicle and eMobility segments) into an independent public company by early 2027 (expected end of Q1 2027), completing its transformation into a focused Electrical + Aerospace leader aligned with 2030 growth in secular megatrends.</w:t>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4A4B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70562A61">
            <w:pPr>
              <w:jc w:val="both"/>
              <w:rPr>
                <w:rFonts w:eastAsia="宋体" w:cs="Calibri"/>
                <w:b/>
                <w:bCs/>
                <w:sz w:val="20"/>
                <w:szCs w:val="20"/>
                <w:lang w:eastAsia="zh-CN"/>
              </w:rPr>
            </w:pPr>
            <w:r>
              <w:rPr>
                <w:rFonts w:hint="eastAsia" w:eastAsia="宋体" w:cs="Calibri"/>
                <w:b/>
                <w:bCs/>
                <w:sz w:val="20"/>
                <w:szCs w:val="20"/>
                <w:lang w:eastAsia="zh-CN"/>
              </w:rPr>
              <w:t>Figure: Eaton</w:t>
            </w:r>
            <w:r>
              <w:rPr>
                <w:rFonts w:eastAsia="宋体" w:cs="Calibri"/>
                <w:b/>
                <w:bCs/>
                <w:sz w:val="20"/>
                <w:szCs w:val="20"/>
                <w:lang w:eastAsia="zh-CN"/>
              </w:rPr>
              <w:t>’</w:t>
            </w:r>
            <w:r>
              <w:rPr>
                <w:rFonts w:hint="eastAsia" w:eastAsia="宋体" w:cs="Calibri"/>
                <w:b/>
                <w:bCs/>
                <w:sz w:val="20"/>
                <w:szCs w:val="20"/>
                <w:lang w:eastAsia="zh-CN"/>
              </w:rPr>
              <w:t>s stock performance</w:t>
            </w:r>
          </w:p>
        </w:tc>
      </w:tr>
      <w:tr w14:paraId="6BF3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58450C3C">
            <w:pPr>
              <w:jc w:val="both"/>
              <w:rPr>
                <w:rFonts w:eastAsia="宋体" w:cs="Calibri"/>
                <w:b/>
                <w:bCs/>
                <w:sz w:val="22"/>
                <w:szCs w:val="22"/>
                <w:lang w:eastAsia="zh-CN"/>
              </w:rPr>
            </w:pPr>
            <w:r>
              <w:rPr>
                <w:rFonts w:ascii="Arial" w:hAnsi="Arial" w:cs="Arial"/>
                <w:color w:val="000000"/>
                <w:sz w:val="20"/>
                <w:szCs w:val="20"/>
              </w:rPr>
              <w:drawing>
                <wp:inline distT="0" distB="0" distL="0" distR="0">
                  <wp:extent cx="6216015" cy="1664970"/>
                  <wp:effectExtent l="0" t="0" r="1905" b="11430"/>
                  <wp:docPr id="6520948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94821" name="图片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226832" cy="1668222"/>
                          </a:xfrm>
                          <a:prstGeom prst="rect">
                            <a:avLst/>
                          </a:prstGeom>
                          <a:noFill/>
                          <a:ln>
                            <a:noFill/>
                          </a:ln>
                        </pic:spPr>
                      </pic:pic>
                    </a:graphicData>
                  </a:graphic>
                </wp:inline>
              </w:drawing>
            </w:r>
          </w:p>
        </w:tc>
      </w:tr>
      <w:tr w14:paraId="2EBB0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6ED9A5D0">
            <w:pPr>
              <w:jc w:val="both"/>
              <w:rPr>
                <w:rFonts w:eastAsia="宋体" w:cs="Calibri"/>
                <w:lang w:eastAsia="zh-CN"/>
              </w:rPr>
            </w:pPr>
            <w:r>
              <w:rPr>
                <w:rFonts w:hint="eastAsia" w:eastAsia="宋体" w:cs="Calibri"/>
                <w:lang w:eastAsia="zh-CN"/>
              </w:rPr>
              <w:t>Source: Company, HFI</w:t>
            </w:r>
          </w:p>
        </w:tc>
      </w:tr>
      <w:tr w14:paraId="71E86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10160" w:type="dxa"/>
            <w:tcBorders>
              <w:top w:val="nil"/>
            </w:tcBorders>
          </w:tcPr>
          <w:p w14:paraId="579107E3">
            <w:pPr>
              <w:jc w:val="both"/>
              <w:rPr>
                <w:rFonts w:eastAsia="宋体" w:cs="Calibri"/>
                <w:b/>
                <w:bCs/>
                <w:sz w:val="22"/>
                <w:szCs w:val="22"/>
                <w:lang w:eastAsia="zh-CN"/>
              </w:rPr>
            </w:pPr>
          </w:p>
        </w:tc>
      </w:tr>
    </w:tbl>
    <w:p w14:paraId="0CDE38BF">
      <w:pPr>
        <w:jc w:val="both"/>
        <w:rPr>
          <w:rFonts w:cs="Calibri" w:eastAsiaTheme="minorEastAsia"/>
          <w:b/>
          <w:bCs/>
          <w:sz w:val="22"/>
          <w:szCs w:val="22"/>
          <w:lang w:eastAsia="zh-CN"/>
        </w:rPr>
      </w:pPr>
    </w:p>
    <w:p w14:paraId="63656BBE">
      <w:pPr>
        <w:jc w:val="both"/>
        <w:rPr>
          <w:rFonts w:cs="Calibri" w:eastAsiaTheme="minorEastAsia"/>
          <w:sz w:val="22"/>
          <w:szCs w:val="22"/>
          <w:lang w:eastAsia="zh-CN"/>
        </w:rPr>
      </w:pPr>
      <w:r>
        <w:rPr>
          <w:rFonts w:cs="Calibri" w:eastAsiaTheme="minorEastAsia"/>
          <w:b/>
          <w:bCs/>
          <w:sz w:val="22"/>
          <w:szCs w:val="22"/>
          <w:lang w:eastAsia="zh-CN"/>
        </w:rPr>
        <w:t xml:space="preserve">This strategic shedding of legacy assets has provided the financial and operational headroom for a new era of high-tech acquisitions. </w:t>
      </w:r>
      <w:r>
        <w:rPr>
          <w:rFonts w:cs="Calibri" w:eastAsiaTheme="minorEastAsia"/>
          <w:sz w:val="22"/>
          <w:szCs w:val="22"/>
          <w:lang w:eastAsia="zh-CN"/>
        </w:rPr>
        <w:t>Complementing this structural pruning, Eaton’s recent inorganic growth strategy has been meticulously calibrated to fortify its technological leadership in the high-stakes sectors of AI-driven electrical infrastructure and aerospace. Since 2021, the multi-billion dollar acquisitions of Cobham Mission Systems and Ultra PCS have been instrumental in augmenting Eaton’s defense exposure and mission-critical electronics, providing a stable, high-margin revenue base. However, the most transformative shift in the current cycle is Eaton’s decisive move into thermal management and solid-state domains. The strategic purchase of Boyd Cor</w:t>
      </w:r>
      <w:r>
        <w:rPr>
          <w:rFonts w:hint="eastAsia" w:cs="Calibri" w:eastAsiaTheme="minorEastAsia"/>
          <w:sz w:val="22"/>
          <w:szCs w:val="22"/>
          <w:lang w:eastAsia="zh-CN"/>
        </w:rPr>
        <w:t xml:space="preserve">poration announced in November 2025，stands out as a watershed moment, equipping Eaton with industry-leading liquid cooling capabilities essential for the high-power density of AI data centers. This acquisition, coupled with the integration of </w:t>
      </w:r>
      <w:r>
        <w:rPr>
          <w:rFonts w:asciiTheme="minorHAnsi" w:hAnsiTheme="minorHAnsi" w:eastAsiaTheme="minorEastAsia" w:cstheme="minorHAnsi"/>
          <w:sz w:val="22"/>
          <w:szCs w:val="22"/>
          <w:lang w:eastAsia="zh-CN"/>
        </w:rPr>
        <w:t>Exertherm’s</w:t>
      </w:r>
      <w:r>
        <w:rPr>
          <w:rFonts w:hint="eastAsia" w:cs="Calibri" w:eastAsiaTheme="minorEastAsia"/>
          <w:sz w:val="22"/>
          <w:szCs w:val="22"/>
          <w:lang w:eastAsia="zh-CN"/>
        </w:rPr>
        <w:t xml:space="preserve"> c</w:t>
      </w:r>
      <w:r>
        <w:rPr>
          <w:rFonts w:cs="Calibri" w:eastAsiaTheme="minorEastAsia"/>
          <w:sz w:val="22"/>
          <w:szCs w:val="22"/>
          <w:lang w:eastAsia="zh-CN"/>
        </w:rPr>
        <w:t>ontinuous thermal monitoring, allows Eaton to offer a comprehensive, digitally-enabled power chain. Furthermore, the company’s focus on solid-state transformer (SST) technology represents a fundamental shift away from legacy mechanical hardware toward silicon-based power electronics, ensuring Eaton remains the preferred architecture provider for the global energy transition.</w:t>
      </w:r>
    </w:p>
    <w:p w14:paraId="4AC4A96E">
      <w:pPr>
        <w:jc w:val="both"/>
        <w:rPr>
          <w:rFonts w:eastAsia="宋体" w:cs="Calibri"/>
          <w:sz w:val="22"/>
          <w:szCs w:val="22"/>
          <w:lang w:eastAsia="zh-CN"/>
        </w:rPr>
      </w:pP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6AEB7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48C7183">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Eaton</w:t>
            </w:r>
            <w:r>
              <w:rPr>
                <w:rFonts w:eastAsia="宋体" w:cs="Calibri"/>
                <w:b/>
                <w:bCs/>
                <w:sz w:val="20"/>
                <w:szCs w:val="20"/>
                <w:lang w:eastAsia="zh-CN"/>
              </w:rPr>
              <w:t>’</w:t>
            </w:r>
            <w:r>
              <w:rPr>
                <w:rFonts w:hint="eastAsia" w:eastAsia="宋体" w:cs="Calibri"/>
                <w:b/>
                <w:bCs/>
                <w:sz w:val="20"/>
                <w:szCs w:val="20"/>
                <w:lang w:eastAsia="zh-CN"/>
              </w:rPr>
              <w:t>s Electric</w:t>
            </w:r>
            <w:r>
              <w:rPr>
                <w:rFonts w:eastAsia="宋体" w:cs="Calibri"/>
                <w:b/>
                <w:bCs/>
                <w:sz w:val="20"/>
                <w:szCs w:val="20"/>
                <w:lang w:eastAsia="zh-CN"/>
              </w:rPr>
              <w:t xml:space="preserve"> portfolio</w:t>
            </w:r>
            <w:r>
              <w:rPr>
                <w:rFonts w:hint="eastAsia" w:eastAsia="宋体" w:cs="Calibri"/>
                <w:b/>
                <w:bCs/>
                <w:sz w:val="20"/>
                <w:szCs w:val="20"/>
                <w:lang w:eastAsia="zh-CN"/>
              </w:rPr>
              <w:t xml:space="preserve"> actions</w:t>
            </w:r>
          </w:p>
        </w:tc>
      </w:tr>
      <w:tr w14:paraId="69DA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67036AF8">
            <w:pPr>
              <w:rPr>
                <w:rFonts w:eastAsia="宋体" w:cs="Calibri"/>
                <w:b/>
                <w:bCs/>
                <w:sz w:val="22"/>
                <w:szCs w:val="22"/>
                <w:lang w:eastAsia="zh-CN"/>
              </w:rPr>
            </w:pPr>
          </w:p>
          <w:p w14:paraId="092BA15C">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905760"/>
                  <wp:effectExtent l="0" t="0" r="10795" b="5080"/>
                  <wp:docPr id="1648576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6676"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4685" cy="2905760"/>
                          </a:xfrm>
                          <a:prstGeom prst="rect">
                            <a:avLst/>
                          </a:prstGeom>
                          <a:noFill/>
                          <a:ln>
                            <a:noFill/>
                          </a:ln>
                        </pic:spPr>
                      </pic:pic>
                    </a:graphicData>
                  </a:graphic>
                </wp:inline>
              </w:drawing>
            </w:r>
          </w:p>
        </w:tc>
      </w:tr>
      <w:tr w14:paraId="53C13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6BDE8C82">
            <w:pPr>
              <w:rPr>
                <w:rFonts w:cs="Calibri" w:eastAsiaTheme="minorEastAsia"/>
                <w:lang w:eastAsia="zh-CN"/>
              </w:rPr>
            </w:pPr>
            <w:r>
              <w:rPr>
                <w:rFonts w:hint="eastAsia" w:cs="Calibri" w:eastAsiaTheme="minorEastAsia"/>
                <w:lang w:eastAsia="zh-CN"/>
              </w:rPr>
              <w:t>Source: Company, HFI</w:t>
            </w:r>
          </w:p>
        </w:tc>
      </w:tr>
      <w:tr w14:paraId="2AC2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103F2A6">
            <w:pPr>
              <w:rPr>
                <w:rFonts w:eastAsia="宋体" w:cs="Calibri"/>
                <w:b/>
                <w:bCs/>
                <w:sz w:val="20"/>
                <w:szCs w:val="20"/>
                <w:lang w:eastAsia="zh-CN"/>
              </w:rPr>
            </w:pPr>
          </w:p>
          <w:p w14:paraId="7CDC1623">
            <w:pPr>
              <w:rPr>
                <w:rFonts w:eastAsia="宋体" w:cs="Calibri"/>
                <w:b/>
                <w:bCs/>
                <w:sz w:val="20"/>
                <w:szCs w:val="20"/>
                <w:lang w:eastAsia="zh-CN"/>
              </w:rPr>
            </w:pPr>
          </w:p>
          <w:p w14:paraId="617042E2">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eastAsia="宋体" w:cs="Calibri"/>
                <w:b/>
                <w:bCs/>
                <w:sz w:val="20"/>
                <w:szCs w:val="20"/>
                <w:lang w:eastAsia="zh-CN"/>
              </w:rPr>
              <w:t>Eaton’s Aerospace portfolio</w:t>
            </w:r>
            <w:r>
              <w:rPr>
                <w:rFonts w:hint="eastAsia" w:eastAsia="宋体" w:cs="Calibri"/>
                <w:b/>
                <w:bCs/>
                <w:sz w:val="20"/>
                <w:szCs w:val="20"/>
                <w:lang w:eastAsia="zh-CN"/>
              </w:rPr>
              <w:t xml:space="preserve"> actions</w:t>
            </w:r>
          </w:p>
        </w:tc>
      </w:tr>
      <w:tr w14:paraId="75C88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0D6FF6DA">
            <w:pPr>
              <w:rPr>
                <w:rFonts w:eastAsia="宋体" w:cs="Calibri"/>
                <w:b/>
                <w:bCs/>
                <w:sz w:val="22"/>
                <w:szCs w:val="22"/>
                <w:lang w:eastAsia="zh-CN"/>
              </w:rPr>
            </w:pPr>
          </w:p>
          <w:p w14:paraId="1B5DBA80">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138680"/>
                  <wp:effectExtent l="0" t="0" r="10795" b="10160"/>
                  <wp:docPr id="7492728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72830"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4685" cy="2138680"/>
                          </a:xfrm>
                          <a:prstGeom prst="rect">
                            <a:avLst/>
                          </a:prstGeom>
                          <a:noFill/>
                          <a:ln>
                            <a:noFill/>
                          </a:ln>
                        </pic:spPr>
                      </pic:pic>
                    </a:graphicData>
                  </a:graphic>
                </wp:inline>
              </w:drawing>
            </w:r>
          </w:p>
        </w:tc>
      </w:tr>
      <w:tr w14:paraId="4C873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2912AD18">
            <w:pPr>
              <w:rPr>
                <w:rFonts w:cs="Calibri" w:eastAsiaTheme="minorEastAsia"/>
                <w:lang w:eastAsia="zh-CN"/>
              </w:rPr>
            </w:pPr>
            <w:r>
              <w:rPr>
                <w:rFonts w:hint="eastAsia" w:cs="Calibri" w:eastAsiaTheme="minorEastAsia"/>
                <w:lang w:eastAsia="zh-CN"/>
              </w:rPr>
              <w:t>Source: Company, HFI</w:t>
            </w:r>
          </w:p>
        </w:tc>
      </w:tr>
    </w:tbl>
    <w:p w14:paraId="699DE915">
      <w:pPr>
        <w:jc w:val="both"/>
        <w:rPr>
          <w:rFonts w:eastAsia="宋体" w:cs="Calibri"/>
          <w:sz w:val="22"/>
          <w:szCs w:val="22"/>
          <w:lang w:eastAsia="zh-CN"/>
        </w:rPr>
      </w:pPr>
    </w:p>
    <w:p w14:paraId="5BD73320">
      <w:pPr>
        <w:jc w:val="both"/>
        <w:rPr>
          <w:rFonts w:eastAsia="宋体" w:cs="Calibri"/>
          <w:sz w:val="22"/>
          <w:szCs w:val="22"/>
          <w:lang w:eastAsia="zh-CN"/>
        </w:rPr>
      </w:pPr>
      <w:r>
        <w:rPr>
          <w:rFonts w:eastAsia="宋体" w:cs="Calibri"/>
          <w:b/>
          <w:bCs/>
          <w:sz w:val="22"/>
          <w:szCs w:val="22"/>
          <w:lang w:eastAsia="zh-CN"/>
        </w:rPr>
        <w:t xml:space="preserve">Massive capital investments in North American manufacturing capacity aim to alleviate supply constraints and monetize the record-high order backlog. </w:t>
      </w:r>
      <w:r>
        <w:rPr>
          <w:rFonts w:eastAsia="宋体" w:cs="Calibri"/>
          <w:sz w:val="22"/>
          <w:szCs w:val="22"/>
          <w:lang w:eastAsia="zh-CN"/>
        </w:rPr>
        <w:t>To institutionalize its leadership in the electrification super-cycle, Eaton has accelerated its capital expenditure program, committing over $1.5 billion to expand its North American manufacturing footprint. This multi-year expansion, centered on key facilities in Nacogdoches, Texas, and Waukesha, Wisconsin, specifically targets the critical shortage of utility-scale transformers and voltage regulators that has constrained the utility sector. Furthermore, new production capacity in South Carolina and Mexico is being optimized for modular power distribution assemblies to meet the specialized, high-density power requirements of hyperscale AI data centers. By strategically scaling its physical infrastructure, Eaton is transitioning from a period of demand-led growth to a phase of capacity-driven realization, effectively de-risking its long-term revenue targets and ensuring the timely conversion of its record-breaking $15.3 billion order backlog into high-margin earnings.</w:t>
      </w:r>
    </w:p>
    <w:p w14:paraId="43DDA052">
      <w:pPr>
        <w:jc w:val="both"/>
        <w:rPr>
          <w:rFonts w:eastAsia="宋体" w:cs="Calibri"/>
          <w:sz w:val="22"/>
          <w:szCs w:val="22"/>
          <w:lang w:eastAsia="zh-CN"/>
        </w:rPr>
      </w:pPr>
    </w:p>
    <w:p w14:paraId="74EEFC6D">
      <w:pPr>
        <w:jc w:val="both"/>
        <w:rPr>
          <w:rFonts w:eastAsia="宋体" w:cs="Calibri"/>
          <w:sz w:val="22"/>
          <w:szCs w:val="22"/>
          <w:highlight w:val="none"/>
          <w:lang w:eastAsia="zh-CN"/>
        </w:rPr>
      </w:pPr>
      <w:r>
        <w:rPr>
          <w:rFonts w:hint="eastAsia" w:cs="Calibri" w:eastAsiaTheme="minorEastAsia"/>
          <w:b/>
          <w:bCs/>
          <w:sz w:val="22"/>
          <w:szCs w:val="22"/>
          <w:lang w:eastAsia="zh-CN"/>
        </w:rPr>
        <w:t>ETN operates in five business segment</w:t>
      </w:r>
      <w:r>
        <w:rPr>
          <w:rFonts w:hint="eastAsia" w:cs="Calibri" w:eastAsiaTheme="minorEastAsia"/>
          <w:b/>
          <w:bCs/>
          <w:sz w:val="22"/>
          <w:szCs w:val="22"/>
          <w:highlight w:val="none"/>
          <w:lang w:eastAsia="zh-CN"/>
        </w:rPr>
        <w:t>s:</w:t>
      </w:r>
      <w:r>
        <w:rPr>
          <w:rFonts w:hint="eastAsia" w:cs="Calibri" w:eastAsiaTheme="minorEastAsia"/>
          <w:sz w:val="22"/>
          <w:szCs w:val="22"/>
          <w:highlight w:val="none"/>
          <w:lang w:eastAsia="zh-CN"/>
        </w:rPr>
        <w:t xml:space="preserve"> Electrical Americas</w:t>
      </w:r>
      <w:r>
        <w:rPr>
          <w:rFonts w:hint="eastAsia" w:cs="Calibri" w:eastAsiaTheme="minorEastAsia"/>
          <w:sz w:val="22"/>
          <w:szCs w:val="22"/>
          <w:highlight w:val="none"/>
          <w:lang w:val="en-US" w:eastAsia="zh-CN"/>
        </w:rPr>
        <w:t xml:space="preserve"> (48.5% of FY 25 sales)</w:t>
      </w:r>
      <w:r>
        <w:rPr>
          <w:rFonts w:hint="eastAsia" w:cs="Calibri" w:eastAsiaTheme="minorEastAsia"/>
          <w:sz w:val="22"/>
          <w:szCs w:val="22"/>
          <w:highlight w:val="none"/>
          <w:lang w:eastAsia="zh-CN"/>
        </w:rPr>
        <w:t>, Electrical Global</w:t>
      </w:r>
      <w:r>
        <w:rPr>
          <w:rFonts w:hint="eastAsia" w:cs="Calibri" w:eastAsiaTheme="minorEastAsia"/>
          <w:sz w:val="22"/>
          <w:szCs w:val="22"/>
          <w:highlight w:val="none"/>
          <w:lang w:val="en-US" w:eastAsia="zh-CN"/>
        </w:rPr>
        <w:t xml:space="preserve"> (24.8% of FY 25 sales)</w:t>
      </w:r>
      <w:r>
        <w:rPr>
          <w:rFonts w:hint="eastAsia" w:cs="Calibri" w:eastAsiaTheme="minorEastAsia"/>
          <w:sz w:val="22"/>
          <w:szCs w:val="22"/>
          <w:highlight w:val="none"/>
          <w:lang w:eastAsia="zh-CN"/>
        </w:rPr>
        <w:t>, Aerospace</w:t>
      </w:r>
      <w:r>
        <w:rPr>
          <w:rFonts w:hint="eastAsia" w:cs="Calibri" w:eastAsiaTheme="minorEastAsia"/>
          <w:sz w:val="22"/>
          <w:szCs w:val="22"/>
          <w:highlight w:val="none"/>
          <w:lang w:val="en-US" w:eastAsia="zh-CN"/>
        </w:rPr>
        <w:t xml:space="preserve"> (15.5% of FY 25 sales)</w:t>
      </w:r>
      <w:r>
        <w:rPr>
          <w:rFonts w:hint="eastAsia" w:eastAsia="宋体" w:cs="Calibri"/>
          <w:sz w:val="22"/>
          <w:szCs w:val="22"/>
          <w:highlight w:val="none"/>
          <w:lang w:eastAsia="zh-CN"/>
        </w:rPr>
        <w:t xml:space="preserve">, </w:t>
      </w:r>
      <w:r>
        <w:rPr>
          <w:rFonts w:hint="eastAsia" w:cs="Calibri" w:eastAsiaTheme="minorEastAsia"/>
          <w:sz w:val="22"/>
          <w:szCs w:val="22"/>
          <w:highlight w:val="none"/>
          <w:lang w:eastAsia="zh-CN"/>
        </w:rPr>
        <w:t>Vehicle</w:t>
      </w:r>
      <w:r>
        <w:rPr>
          <w:rFonts w:hint="eastAsia" w:cs="Calibri" w:eastAsiaTheme="minorEastAsia"/>
          <w:sz w:val="22"/>
          <w:szCs w:val="22"/>
          <w:highlight w:val="none"/>
          <w:lang w:val="en-US" w:eastAsia="zh-CN"/>
        </w:rPr>
        <w:t xml:space="preserve"> (9.1 % of FY 25 sales)</w:t>
      </w:r>
      <w:r>
        <w:rPr>
          <w:rFonts w:hint="eastAsia" w:cs="Calibri" w:eastAsiaTheme="minorEastAsia"/>
          <w:sz w:val="22"/>
          <w:szCs w:val="22"/>
          <w:highlight w:val="none"/>
          <w:lang w:eastAsia="zh-CN"/>
        </w:rPr>
        <w:t xml:space="preserve"> and eMobility</w:t>
      </w:r>
      <w:r>
        <w:rPr>
          <w:rFonts w:hint="eastAsia" w:cs="Calibri" w:eastAsiaTheme="minorEastAsia"/>
          <w:sz w:val="22"/>
          <w:szCs w:val="22"/>
          <w:highlight w:val="none"/>
          <w:lang w:val="en-US" w:eastAsia="zh-CN"/>
        </w:rPr>
        <w:t xml:space="preserve"> (2.2% of FY 25 sales)</w:t>
      </w:r>
      <w:r>
        <w:rPr>
          <w:rFonts w:hint="eastAsia" w:cs="Calibri" w:eastAsiaTheme="minorEastAsia"/>
          <w:sz w:val="22"/>
          <w:szCs w:val="22"/>
          <w:highlight w:val="none"/>
          <w:lang w:eastAsia="zh-CN"/>
        </w:rPr>
        <w:t>:</w:t>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735C2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5E38C4F4">
            <w:pPr>
              <w:rPr>
                <w:rFonts w:eastAsia="宋体" w:cs="Calibri"/>
                <w:b/>
                <w:bCs/>
                <w:sz w:val="20"/>
                <w:szCs w:val="20"/>
                <w:lang w:eastAsia="zh-CN"/>
              </w:rPr>
            </w:pPr>
          </w:p>
          <w:p w14:paraId="42E8ADB1">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Segment sales and End-markets</w:t>
            </w:r>
          </w:p>
        </w:tc>
      </w:tr>
      <w:tr w14:paraId="2E6BF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8" w:hRule="atLeast"/>
        </w:trPr>
        <w:tc>
          <w:tcPr>
            <w:tcW w:w="10160" w:type="dxa"/>
            <w:tcBorders>
              <w:top w:val="nil"/>
              <w:bottom w:val="nil"/>
            </w:tcBorders>
            <w:tcMar>
              <w:top w:w="28" w:type="dxa"/>
              <w:bottom w:w="28" w:type="dxa"/>
            </w:tcMar>
            <w:vAlign w:val="center"/>
          </w:tcPr>
          <w:p w14:paraId="3214C241">
            <w:pPr>
              <w:rPr>
                <w:rFonts w:eastAsia="宋体" w:cs="Calibri"/>
                <w:b/>
                <w:bCs/>
                <w:sz w:val="22"/>
                <w:szCs w:val="22"/>
                <w:lang w:eastAsia="zh-CN"/>
              </w:rPr>
            </w:pPr>
          </w:p>
          <w:p w14:paraId="616D052A">
            <w:pPr>
              <w:jc w:val="center"/>
              <w:rPr>
                <w:rFonts w:eastAsia="宋体" w:cs="Calibri"/>
                <w:b/>
                <w:bCs/>
                <w:sz w:val="22"/>
                <w:szCs w:val="22"/>
                <w:lang w:eastAsia="zh-CN"/>
              </w:rPr>
            </w:pPr>
            <w:r>
              <w:rPr>
                <w:rFonts w:ascii="Arial" w:hAnsi="Arial" w:cs="Arial"/>
                <w:color w:val="000000"/>
                <w:sz w:val="20"/>
                <w:szCs w:val="20"/>
              </w:rPr>
              <w:drawing>
                <wp:inline distT="0" distB="0" distL="0" distR="0">
                  <wp:extent cx="6327140" cy="1881505"/>
                  <wp:effectExtent l="0" t="0" r="12700" b="8255"/>
                  <wp:docPr id="9046739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3988" name="图片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327140" cy="1881505"/>
                          </a:xfrm>
                          <a:prstGeom prst="rect">
                            <a:avLst/>
                          </a:prstGeom>
                          <a:noFill/>
                          <a:ln>
                            <a:noFill/>
                          </a:ln>
                        </pic:spPr>
                      </pic:pic>
                    </a:graphicData>
                  </a:graphic>
                </wp:inline>
              </w:drawing>
            </w:r>
          </w:p>
        </w:tc>
      </w:tr>
      <w:tr w14:paraId="28A9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7ECA0EE1">
            <w:pPr>
              <w:rPr>
                <w:rFonts w:cs="Calibri" w:eastAsiaTheme="minorEastAsia"/>
                <w:lang w:eastAsia="zh-CN"/>
              </w:rPr>
            </w:pPr>
            <w:r>
              <w:rPr>
                <w:rFonts w:hint="eastAsia" w:cs="Calibri" w:eastAsiaTheme="minorEastAsia"/>
                <w:lang w:eastAsia="zh-CN"/>
              </w:rPr>
              <w:t>Source: Company, HFI</w:t>
            </w:r>
          </w:p>
        </w:tc>
      </w:tr>
    </w:tbl>
    <w:p w14:paraId="3159DBFF">
      <w:pPr>
        <w:jc w:val="both"/>
        <w:rPr>
          <w:rFonts w:eastAsia="宋体" w:cs="Calibri"/>
          <w:b/>
          <w:bCs/>
          <w:sz w:val="22"/>
          <w:szCs w:val="22"/>
          <w:lang w:eastAsia="zh-CN"/>
        </w:rPr>
      </w:pPr>
    </w:p>
    <w:p w14:paraId="0BC0C313">
      <w:pPr>
        <w:jc w:val="both"/>
        <w:rPr>
          <w:rFonts w:eastAsia="宋体" w:cs="Calibri"/>
          <w:color w:val="EE0000"/>
          <w:sz w:val="22"/>
          <w:szCs w:val="22"/>
          <w:lang w:eastAsia="zh-CN"/>
        </w:rPr>
      </w:pPr>
      <w:r>
        <w:rPr>
          <w:rFonts w:cs="Calibri" w:eastAsiaTheme="minorEastAsia"/>
          <w:b/>
          <w:bCs/>
          <w:sz w:val="22"/>
          <w:szCs w:val="22"/>
          <w:lang w:eastAsia="zh-CN"/>
        </w:rPr>
        <w:t xml:space="preserve">Electrical Americas serves as the primary growth engine, leveraging unprecedented demand from AI-driven data centers and utility grid modernization. </w:t>
      </w:r>
      <w:r>
        <w:rPr>
          <w:rFonts w:cs="Calibri" w:eastAsiaTheme="minorEastAsia"/>
          <w:sz w:val="22"/>
          <w:szCs w:val="22"/>
          <w:lang w:eastAsia="zh-CN"/>
        </w:rPr>
        <w:t>The Electrical Americas segment remains the cornerstone of Eaton’s valuation, contributing nearly 50% of total revenue and exhibiting the most aggressive growth profile within the portfolio. This segment provides the critical architecture for power distribution, including medium-voltage switchgear, circuit breakers, and Uninterruptible Power Supplies (UPS). The explosion of generative AI has catalyzed a massive expansion in hyperscale data center capacity, where Eaton’s integrated solutions are the gold standard for reliability and thermal management. Furthermore, the push for grid modernization in North America, fueled by federal infrastructure spending and the integration of renewable energy sources, has created a multi-year backlog of utility-scale projects. Eaton’s ability to offer a comprehensive hardware-and-software stack ensures that it captures the full value chain of electrification. By integrating its industry-leading physical infrastructure with the Brightlayer digital platform, Eaton enables utilities to not only build the grid but also optimize it through real-time data and automated management, from the point of generation to the final consumer.</w:t>
      </w:r>
    </w:p>
    <w:p w14:paraId="7607CBD9">
      <w:pPr>
        <w:rPr>
          <w:rFonts w:eastAsia="宋体" w:cs="Calibri"/>
          <w:sz w:val="22"/>
          <w:szCs w:val="22"/>
          <w:lang w:eastAsia="zh-CN"/>
        </w:rPr>
      </w:pPr>
      <w:r>
        <w:rPr>
          <w:rFonts w:eastAsia="宋体" w:cs="Calibri"/>
          <w:sz w:val="22"/>
          <w:szCs w:val="22"/>
          <w:lang w:eastAsia="zh-CN"/>
        </w:rPr>
        <w:br w:type="page"/>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73EF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3A891031">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ortfolio of data center solutions</w:t>
            </w:r>
          </w:p>
        </w:tc>
      </w:tr>
      <w:tr w14:paraId="77D6F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06208E69">
            <w:pPr>
              <w:rPr>
                <w:rFonts w:eastAsia="宋体" w:cs="Calibri"/>
                <w:b/>
                <w:bCs/>
                <w:sz w:val="22"/>
                <w:szCs w:val="22"/>
                <w:lang w:eastAsia="zh-CN"/>
              </w:rPr>
            </w:pPr>
          </w:p>
          <w:p w14:paraId="2A0408EB">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719705"/>
                  <wp:effectExtent l="0" t="0" r="10795" b="8255"/>
                  <wp:docPr id="503538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8001" name="图片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4685" cy="2719705"/>
                          </a:xfrm>
                          <a:prstGeom prst="rect">
                            <a:avLst/>
                          </a:prstGeom>
                          <a:noFill/>
                          <a:ln>
                            <a:noFill/>
                          </a:ln>
                        </pic:spPr>
                      </pic:pic>
                    </a:graphicData>
                  </a:graphic>
                </wp:inline>
              </w:drawing>
            </w:r>
          </w:p>
        </w:tc>
      </w:tr>
      <w:tr w14:paraId="73D05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0BDE8CE8">
            <w:pPr>
              <w:rPr>
                <w:rFonts w:cs="Calibri" w:eastAsiaTheme="minorEastAsia"/>
                <w:lang w:eastAsia="zh-CN"/>
              </w:rPr>
            </w:pPr>
            <w:r>
              <w:rPr>
                <w:rFonts w:hint="eastAsia" w:cs="Calibri" w:eastAsiaTheme="minorEastAsia"/>
                <w:lang w:eastAsia="zh-CN"/>
              </w:rPr>
              <w:t>Source: Company, HFI</w:t>
            </w:r>
          </w:p>
        </w:tc>
      </w:tr>
    </w:tbl>
    <w:p w14:paraId="7998FE04">
      <w:pPr>
        <w:jc w:val="both"/>
        <w:rPr>
          <w:rFonts w:eastAsia="宋体" w:cs="Calibri"/>
          <w:sz w:val="22"/>
          <w:szCs w:val="22"/>
          <w:lang w:eastAsia="zh-CN"/>
        </w:rPr>
      </w:pPr>
    </w:p>
    <w:p w14:paraId="7D0864CC">
      <w:pPr>
        <w:jc w:val="both"/>
        <w:rPr>
          <w:rFonts w:cs="Calibri" w:eastAsiaTheme="minorEastAsia"/>
          <w:sz w:val="22"/>
          <w:szCs w:val="22"/>
          <w:lang w:eastAsia="zh-CN"/>
        </w:rPr>
      </w:pPr>
      <w:r>
        <w:rPr>
          <w:rFonts w:cs="Calibri" w:eastAsiaTheme="minorEastAsia"/>
          <w:b/>
          <w:bCs/>
          <w:sz w:val="22"/>
          <w:szCs w:val="22"/>
          <w:lang w:eastAsia="zh-CN"/>
        </w:rPr>
        <w:t>The Electrical Global segment reinforces Eaton’s market depth by capitalizing on international decarbonization and industrial automation initiatives.</w:t>
      </w:r>
      <w:r>
        <w:rPr>
          <w:rFonts w:cs="Calibri" w:eastAsiaTheme="minorEastAsia"/>
          <w:sz w:val="22"/>
          <w:szCs w:val="22"/>
          <w:lang w:eastAsia="zh-CN"/>
        </w:rPr>
        <w:t xml:space="preserve"> Operating as the international counterpart to the Americas division, Electrical Global captures the accelerating demand for energy transition solutions across Europe, the Middle East, and Asia-Pacific. This segment is particularly well-positioned to benefit from European "Green Deal" initiatives, where Eaton’s microgrid controllers and medium-voltage switchgear are essential for integrating intermittent wind and solar power into aging grid infrastructures. Beyond utilities, the segment serves a diverse array of industrial and commercial clients seeking to enhance energy efficiency through automation and smart power monitoring. Despite the fragmented nature of international markets, Eaton’s global footprint and localized supply chains allow it to maintain high operational margins while mitigating geopolitical risks. The segment’s growth is increasingly driven by "software-as-a-service" offerings that provide real-time energy analytics, further shifting the revenue mix toward recurring, high-margin digital services.</w:t>
      </w:r>
    </w:p>
    <w:p w14:paraId="16E6769A">
      <w:pPr>
        <w:rPr>
          <w:rFonts w:eastAsia="宋体" w:cs="Calibri"/>
          <w:sz w:val="22"/>
          <w:szCs w:val="22"/>
          <w:lang w:eastAsia="zh-CN"/>
        </w:rPr>
      </w:pPr>
      <w:r>
        <w:rPr>
          <w:rFonts w:eastAsia="宋体" w:cs="Calibri"/>
          <w:sz w:val="22"/>
          <w:szCs w:val="22"/>
          <w:lang w:eastAsia="zh-CN"/>
        </w:rPr>
        <w:br w:type="page"/>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5AB52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2ABE1EED">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 xml:space="preserve">ortfolio of </w:t>
            </w:r>
            <w:r>
              <w:rPr>
                <w:rFonts w:hint="eastAsia" w:eastAsia="宋体" w:cs="Calibri"/>
                <w:b/>
                <w:bCs/>
                <w:sz w:val="20"/>
                <w:szCs w:val="20"/>
                <w:lang w:eastAsia="zh-CN"/>
              </w:rPr>
              <w:t>grid</w:t>
            </w:r>
            <w:r>
              <w:rPr>
                <w:rFonts w:eastAsia="宋体" w:cs="Calibri"/>
                <w:b/>
                <w:bCs/>
                <w:sz w:val="20"/>
                <w:szCs w:val="20"/>
                <w:lang w:eastAsia="zh-CN"/>
              </w:rPr>
              <w:t xml:space="preserve"> solutions</w:t>
            </w:r>
          </w:p>
        </w:tc>
      </w:tr>
      <w:tr w14:paraId="5F6FA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73DA23F0">
            <w:pPr>
              <w:rPr>
                <w:rFonts w:eastAsia="宋体" w:cs="Calibri"/>
                <w:b/>
                <w:bCs/>
                <w:sz w:val="22"/>
                <w:szCs w:val="22"/>
                <w:lang w:eastAsia="zh-CN"/>
              </w:rPr>
            </w:pPr>
          </w:p>
          <w:p w14:paraId="12A1ACD2">
            <w:pPr>
              <w:rPr>
                <w:rFonts w:eastAsia="宋体" w:cs="Calibri"/>
                <w:b/>
                <w:bCs/>
                <w:sz w:val="22"/>
                <w:szCs w:val="22"/>
                <w:lang w:eastAsia="zh-CN"/>
              </w:rPr>
            </w:pPr>
            <w:r>
              <w:rPr>
                <w:rFonts w:ascii="Arial" w:hAnsi="Arial" w:cs="Arial"/>
                <w:color w:val="000000"/>
                <w:sz w:val="20"/>
                <w:szCs w:val="20"/>
              </w:rPr>
              <w:drawing>
                <wp:inline distT="0" distB="0" distL="0" distR="0">
                  <wp:extent cx="5629275" cy="2753360"/>
                  <wp:effectExtent l="0" t="0" r="9525" b="5080"/>
                  <wp:docPr id="947840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0391" name="图片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41222" cy="2753360"/>
                          </a:xfrm>
                          <a:prstGeom prst="rect">
                            <a:avLst/>
                          </a:prstGeom>
                          <a:noFill/>
                          <a:ln>
                            <a:noFill/>
                          </a:ln>
                        </pic:spPr>
                      </pic:pic>
                    </a:graphicData>
                  </a:graphic>
                </wp:inline>
              </w:drawing>
            </w:r>
          </w:p>
        </w:tc>
      </w:tr>
      <w:tr w14:paraId="074A0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59615D6D">
            <w:pPr>
              <w:rPr>
                <w:rFonts w:cs="Calibri" w:eastAsiaTheme="minorEastAsia"/>
                <w:lang w:eastAsia="zh-CN"/>
              </w:rPr>
            </w:pPr>
            <w:r>
              <w:rPr>
                <w:rFonts w:hint="eastAsia" w:cs="Calibri" w:eastAsiaTheme="minorEastAsia"/>
                <w:lang w:eastAsia="zh-CN"/>
              </w:rPr>
              <w:t>Source: Company, HFI</w:t>
            </w:r>
          </w:p>
        </w:tc>
      </w:tr>
    </w:tbl>
    <w:p w14:paraId="6C620D07">
      <w:pPr>
        <w:jc w:val="both"/>
        <w:rPr>
          <w:rFonts w:eastAsia="宋体" w:cs="Calibri"/>
          <w:sz w:val="22"/>
          <w:szCs w:val="22"/>
          <w:lang w:eastAsia="zh-CN"/>
        </w:rPr>
      </w:pPr>
    </w:p>
    <w:p w14:paraId="34FFDDCB">
      <w:pPr>
        <w:jc w:val="both"/>
        <w:rPr>
          <w:rFonts w:eastAsia="宋体" w:cs="Calibri"/>
          <w:sz w:val="22"/>
          <w:szCs w:val="22"/>
          <w:lang w:eastAsia="zh-CN"/>
        </w:rPr>
      </w:pPr>
      <w:r>
        <w:rPr>
          <w:rFonts w:cs="Calibri" w:eastAsiaTheme="minorEastAsia"/>
          <w:b/>
          <w:bCs/>
          <w:sz w:val="22"/>
          <w:szCs w:val="22"/>
          <w:lang w:eastAsia="zh-CN"/>
        </w:rPr>
        <w:t xml:space="preserve">Eaton’s high-margin Aerospace business provides long-term cash flow visibility through robust defense spending and commercial aviation aftermarket demand. </w:t>
      </w:r>
      <w:r>
        <w:rPr>
          <w:rFonts w:cs="Calibri" w:eastAsiaTheme="minorEastAsia"/>
          <w:sz w:val="22"/>
          <w:szCs w:val="22"/>
          <w:lang w:eastAsia="zh-CN"/>
        </w:rPr>
        <w:t>The Aerospace segment is frequently described as the "crown jewel" of the Eaton portfolio, characterized by extremely high barriers to entry and long-cycle revenue streams. As a Tier-1 supplier to OEMs like Boeing and Airbus, Eaton provides mission-critical fuel, hydraulic, and motion control systems that are integral to the world’s most advanced aircraft. The value proposition of this segment lies in its massive installed base, which generates high-margin aftermarket revenue for decades after an aircraft enters service. Following the total recovery of global air travel and a significant uptick in global defense budgets in 2025, Eaton has seen its aerospace backlog swell to record levels. The recent acquisitions of Cobham and Ultra PCS have further fortified its position in high-growth niches such as mission systems and defense electronics, ensuring that the segment remains a stable and highly profitable pillar of the overall corporate structure.</w:t>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5102D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299B68E1">
            <w:pPr>
              <w:rPr>
                <w:rFonts w:eastAsia="宋体" w:cs="Calibri"/>
                <w:b/>
                <w:bCs/>
                <w:sz w:val="20"/>
                <w:szCs w:val="20"/>
                <w:lang w:eastAsia="zh-CN"/>
              </w:rPr>
            </w:pPr>
            <w:r>
              <w:rPr>
                <w:rFonts w:hint="eastAsia" w:eastAsia="宋体" w:cs="Calibri"/>
                <w:b/>
                <w:bCs/>
                <w:sz w:val="20"/>
                <w:szCs w:val="20"/>
                <w:lang w:eastAsia="zh-CN"/>
              </w:rPr>
              <w:t xml:space="preserve">                                                     </w:t>
            </w: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 xml:space="preserve">ortfolio of </w:t>
            </w:r>
            <w:r>
              <w:rPr>
                <w:rFonts w:hint="eastAsia" w:eastAsia="宋体" w:cs="Calibri"/>
                <w:b/>
                <w:bCs/>
                <w:sz w:val="20"/>
                <w:szCs w:val="20"/>
                <w:lang w:eastAsia="zh-CN"/>
              </w:rPr>
              <w:t>aerospace</w:t>
            </w:r>
          </w:p>
          <w:p w14:paraId="3CC79DF0">
            <w:pPr>
              <w:ind w:left="2447"/>
              <w:rPr>
                <w:rFonts w:eastAsia="宋体" w:cs="Calibri"/>
                <w:b/>
                <w:bCs/>
                <w:sz w:val="20"/>
                <w:szCs w:val="20"/>
                <w:lang w:eastAsia="zh-CN"/>
              </w:rPr>
            </w:pPr>
            <w:r>
              <w:rPr>
                <w:rFonts w:ascii="Arial" w:hAnsi="Arial" w:cs="Arial"/>
                <w:color w:val="000000"/>
                <w:sz w:val="20"/>
                <w:szCs w:val="20"/>
              </w:rPr>
              <w:drawing>
                <wp:inline distT="0" distB="0" distL="0" distR="0">
                  <wp:extent cx="2447925" cy="2139315"/>
                  <wp:effectExtent l="0" t="0" r="5715" b="9525"/>
                  <wp:docPr id="8427906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0651" name="图片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479642" cy="2139315"/>
                          </a:xfrm>
                          <a:prstGeom prst="rect">
                            <a:avLst/>
                          </a:prstGeom>
                          <a:noFill/>
                          <a:ln>
                            <a:noFill/>
                          </a:ln>
                        </pic:spPr>
                      </pic:pic>
                    </a:graphicData>
                  </a:graphic>
                </wp:inline>
              </w:drawing>
            </w:r>
          </w:p>
        </w:tc>
      </w:tr>
      <w:tr w14:paraId="33282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51332BE7">
            <w:pPr>
              <w:ind w:left="2305"/>
              <w:rPr>
                <w:rFonts w:cs="Calibri" w:eastAsiaTheme="minorEastAsia"/>
                <w:lang w:eastAsia="zh-CN"/>
              </w:rPr>
            </w:pPr>
            <w:r>
              <w:rPr>
                <w:rFonts w:hint="eastAsia" w:cs="Calibri" w:eastAsiaTheme="minorEastAsia"/>
                <w:lang w:eastAsia="zh-CN"/>
              </w:rPr>
              <w:t>Source: Company, HFI</w:t>
            </w:r>
          </w:p>
        </w:tc>
      </w:tr>
    </w:tbl>
    <w:p w14:paraId="401BBF4E">
      <w:pPr>
        <w:jc w:val="both"/>
        <w:rPr>
          <w:rFonts w:eastAsia="宋体" w:cs="Calibri"/>
          <w:sz w:val="22"/>
          <w:szCs w:val="22"/>
          <w:lang w:eastAsia="zh-CN"/>
        </w:rPr>
      </w:pPr>
    </w:p>
    <w:p w14:paraId="39B1DB27">
      <w:pPr>
        <w:jc w:val="both"/>
        <w:rPr>
          <w:rFonts w:asciiTheme="minorHAnsi" w:hAnsiTheme="minorHAnsi" w:eastAsiaTheme="minorEastAsia" w:cstheme="minorHAnsi"/>
          <w:sz w:val="22"/>
          <w:szCs w:val="22"/>
          <w:lang w:eastAsia="zh-CN"/>
        </w:rPr>
      </w:pPr>
      <w:r>
        <w:rPr>
          <w:rFonts w:asciiTheme="minorHAnsi" w:hAnsiTheme="minorHAnsi" w:eastAsiaTheme="minorEastAsia" w:cstheme="minorHAnsi"/>
          <w:b/>
          <w:bCs/>
          <w:sz w:val="22"/>
          <w:szCs w:val="22"/>
          <w:lang w:eastAsia="zh-CN"/>
        </w:rPr>
        <w:t>Eaton’s traditional Vehicle operations serve as a strategic "cash cow"， generating the robust liquidity necessary to fund the company’s high-growth technological pivots.</w:t>
      </w:r>
      <w:r>
        <w:rPr>
          <w:rFonts w:asciiTheme="minorHAnsi" w:hAnsiTheme="minorHAnsi" w:eastAsiaTheme="minorEastAsia" w:cstheme="minorHAnsi"/>
          <w:sz w:val="22"/>
          <w:szCs w:val="22"/>
          <w:lang w:eastAsia="zh-CN"/>
        </w:rPr>
        <w:t xml:space="preserve"> Despite the planned early 2027 spinoff, this segment remains a dominant force in the global commercial vehicle market, maintaining market leadership in heavy-duty truck transmissions and fuel-efficient valvetrains. By leveraging the Eaton Business System to maximize margins and optimize capital expenditure, the business continues to provide a stable financial foundation while Eaton aggressively invests in next-generation power electronics.</w:t>
      </w:r>
    </w:p>
    <w:p w14:paraId="7731487F">
      <w:pPr>
        <w:jc w:val="both"/>
        <w:rPr>
          <w:rFonts w:cs="Calibri" w:eastAsiaTheme="minorEastAsia"/>
          <w:b/>
          <w:bCs/>
          <w:sz w:val="22"/>
          <w:szCs w:val="22"/>
          <w:lang w:eastAsia="zh-CN"/>
        </w:rPr>
      </w:pPr>
    </w:p>
    <w:p w14:paraId="1189EC0A">
      <w:pPr>
        <w:jc w:val="both"/>
        <w:rPr>
          <w:rFonts w:eastAsia="宋体" w:cs="Calibri"/>
          <w:sz w:val="22"/>
          <w:szCs w:val="22"/>
          <w:lang w:eastAsia="zh-CN"/>
        </w:rPr>
      </w:pPr>
      <w:r>
        <w:rPr>
          <w:rFonts w:cs="Calibri" w:eastAsiaTheme="minorEastAsia"/>
          <w:b/>
          <w:bCs/>
          <w:sz w:val="22"/>
          <w:szCs w:val="22"/>
          <w:lang w:eastAsia="zh-CN"/>
        </w:rPr>
        <w:t>Parallel to this, the eMobility segment acts as a high-growth incubator, developing the critical high-voltage power electronics essential for electrified transportation.</w:t>
      </w:r>
      <w:r>
        <w:rPr>
          <w:rFonts w:cs="Calibri" w:eastAsiaTheme="minorEastAsia"/>
          <w:sz w:val="22"/>
          <w:szCs w:val="22"/>
          <w:lang w:eastAsia="zh-CN"/>
        </w:rPr>
        <w:t xml:space="preserve"> This division specializes in advanced power distribution units (PDUs) and patented Breaktor® circuit protection technology, finding significant traction in the demanding commercial vehicle and off-highway sectors. By integrating eMobility with traditional vehicle operations into the upcoming "Mobility Group" spinoff, Eaton is creating a standalone leader with a balanced portfolio of legacy cash flows and future-ready technologies, ultimately allowing the remaining "Core Eaton" to achieve a pure-play valuation focused on Electrical and Aerospace markets.</w:t>
      </w:r>
    </w:p>
    <w:p w14:paraId="5820A647">
      <w:pPr>
        <w:jc w:val="both"/>
        <w:rPr>
          <w:rFonts w:eastAsia="宋体" w:cs="Calibri"/>
          <w:sz w:val="22"/>
          <w:szCs w:val="22"/>
          <w:lang w:eastAsia="zh-CN"/>
        </w:rPr>
      </w:pPr>
    </w:p>
    <w:tbl>
      <w:tblPr>
        <w:tblStyle w:val="12"/>
        <w:tblW w:w="10160"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3B99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right"/>
        </w:trPr>
        <w:tc>
          <w:tcPr>
            <w:tcW w:w="10160" w:type="dxa"/>
            <w:tcBorders>
              <w:bottom w:val="nil"/>
            </w:tcBorders>
          </w:tcPr>
          <w:p w14:paraId="7E4B8EFE">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P</w:t>
            </w:r>
            <w:r>
              <w:rPr>
                <w:rFonts w:eastAsia="宋体" w:cs="Calibri"/>
                <w:b/>
                <w:bCs/>
                <w:sz w:val="20"/>
                <w:szCs w:val="20"/>
                <w:lang w:eastAsia="zh-CN"/>
              </w:rPr>
              <w:t>ortfolio of</w:t>
            </w:r>
            <w:r>
              <w:rPr>
                <w:rFonts w:hint="eastAsia" w:eastAsia="宋体" w:cs="Calibri"/>
                <w:b/>
                <w:bCs/>
                <w:sz w:val="20"/>
                <w:szCs w:val="20"/>
                <w:lang w:eastAsia="zh-CN"/>
              </w:rPr>
              <w:t xml:space="preserve"> vehicle and eMobility</w:t>
            </w:r>
          </w:p>
        </w:tc>
      </w:tr>
      <w:tr w14:paraId="1D713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jc w:val="right"/>
        </w:trPr>
        <w:tc>
          <w:tcPr>
            <w:tcW w:w="10160" w:type="dxa"/>
            <w:tcBorders>
              <w:top w:val="nil"/>
              <w:bottom w:val="nil"/>
            </w:tcBorders>
            <w:tcMar>
              <w:top w:w="28" w:type="dxa"/>
              <w:bottom w:w="28" w:type="dxa"/>
            </w:tcMar>
            <w:vAlign w:val="center"/>
          </w:tcPr>
          <w:p w14:paraId="7248DE1B">
            <w:pPr>
              <w:rPr>
                <w:rFonts w:eastAsia="宋体" w:cs="Calibri"/>
                <w:b/>
                <w:bCs/>
                <w:sz w:val="22"/>
                <w:szCs w:val="22"/>
                <w:lang w:eastAsia="zh-CN"/>
              </w:rPr>
            </w:pPr>
          </w:p>
          <w:p w14:paraId="707D995B">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2929255"/>
                  <wp:effectExtent l="0" t="0" r="10795" b="12065"/>
                  <wp:docPr id="4794191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19120" name="图片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34685" cy="2929255"/>
                          </a:xfrm>
                          <a:prstGeom prst="rect">
                            <a:avLst/>
                          </a:prstGeom>
                          <a:noFill/>
                          <a:ln>
                            <a:noFill/>
                          </a:ln>
                        </pic:spPr>
                      </pic:pic>
                    </a:graphicData>
                  </a:graphic>
                </wp:inline>
              </w:drawing>
            </w:r>
          </w:p>
        </w:tc>
      </w:tr>
      <w:tr w14:paraId="37A9A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right"/>
        </w:trPr>
        <w:tc>
          <w:tcPr>
            <w:tcW w:w="10160" w:type="dxa"/>
            <w:tcBorders>
              <w:top w:val="nil"/>
              <w:bottom w:val="nil"/>
            </w:tcBorders>
          </w:tcPr>
          <w:p w14:paraId="1BB63205">
            <w:pPr>
              <w:rPr>
                <w:rFonts w:cs="Calibri" w:eastAsiaTheme="minorEastAsia"/>
                <w:lang w:eastAsia="zh-CN"/>
              </w:rPr>
            </w:pPr>
            <w:r>
              <w:rPr>
                <w:rFonts w:hint="eastAsia" w:cs="Calibri" w:eastAsiaTheme="minorEastAsia"/>
                <w:lang w:eastAsia="zh-CN"/>
              </w:rPr>
              <w:t>Source: Company, HFI</w:t>
            </w:r>
          </w:p>
        </w:tc>
      </w:tr>
    </w:tbl>
    <w:p w14:paraId="55B9AD05">
      <w:pPr>
        <w:rPr>
          <w:rFonts w:eastAsia="宋体" w:cs="Calibri"/>
          <w:sz w:val="22"/>
          <w:szCs w:val="22"/>
          <w:lang w:eastAsia="zh-CN"/>
        </w:rPr>
      </w:pPr>
      <w:r>
        <w:rPr>
          <w:rFonts w:eastAsia="宋体" w:cs="Calibri"/>
          <w:sz w:val="22"/>
          <w:szCs w:val="22"/>
          <w:lang w:eastAsia="zh-CN"/>
        </w:rPr>
        <w:br w:type="page"/>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1280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3" w:hRule="atLeast"/>
        </w:trPr>
        <w:tc>
          <w:tcPr>
            <w:tcW w:w="10160" w:type="dxa"/>
            <w:tcBorders>
              <w:bottom w:val="nil"/>
            </w:tcBorders>
          </w:tcPr>
          <w:p w14:paraId="6396F453">
            <w:pPr>
              <w:rPr>
                <w:rFonts w:eastAsia="宋体" w:cs="Calibri"/>
                <w:b/>
                <w:bCs/>
                <w:sz w:val="20"/>
                <w:szCs w:val="20"/>
                <w:lang w:eastAsia="zh-CN"/>
              </w:rPr>
            </w:pPr>
            <w:r>
              <w:rPr>
                <w:rFonts w:hint="eastAsia" w:cs="Calibri" w:eastAsiaTheme="minorEastAsia"/>
                <w:b/>
                <w:bCs/>
                <w:sz w:val="20"/>
                <w:szCs w:val="20"/>
                <w:lang w:eastAsia="zh-CN"/>
              </w:rPr>
              <w:t xml:space="preserve">Figure: </w:t>
            </w:r>
            <w:r>
              <w:rPr>
                <w:rFonts w:hint="eastAsia" w:eastAsia="宋体" w:cs="Calibri"/>
                <w:b/>
                <w:bCs/>
                <w:sz w:val="20"/>
                <w:szCs w:val="20"/>
                <w:lang w:eastAsia="zh-CN"/>
              </w:rPr>
              <w:t>Segment sales and End-Markets</w:t>
            </w:r>
          </w:p>
        </w:tc>
      </w:tr>
      <w:tr w14:paraId="23BC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8" w:hRule="atLeast"/>
        </w:trPr>
        <w:tc>
          <w:tcPr>
            <w:tcW w:w="10160" w:type="dxa"/>
            <w:tcBorders>
              <w:top w:val="nil"/>
              <w:bottom w:val="nil"/>
            </w:tcBorders>
            <w:tcMar>
              <w:top w:w="28" w:type="dxa"/>
              <w:bottom w:w="28" w:type="dxa"/>
            </w:tcMar>
            <w:vAlign w:val="center"/>
          </w:tcPr>
          <w:p w14:paraId="677131F2">
            <w:pPr>
              <w:rPr>
                <w:rFonts w:eastAsia="宋体" w:cs="Calibri"/>
                <w:b/>
                <w:bCs/>
                <w:sz w:val="22"/>
                <w:szCs w:val="22"/>
                <w:lang w:eastAsia="zh-CN"/>
              </w:rPr>
            </w:pPr>
          </w:p>
          <w:p w14:paraId="7C960EA4">
            <w:pPr>
              <w:jc w:val="center"/>
              <w:rPr>
                <w:rFonts w:eastAsia="宋体" w:cs="Calibri"/>
                <w:b/>
                <w:bCs/>
                <w:sz w:val="22"/>
                <w:szCs w:val="22"/>
                <w:lang w:eastAsia="zh-CN"/>
              </w:rPr>
            </w:pPr>
            <w:r>
              <w:rPr>
                <w:rFonts w:ascii="Arial" w:hAnsi="Arial" w:cs="Arial"/>
                <w:color w:val="000000"/>
                <w:sz w:val="20"/>
                <w:szCs w:val="20"/>
              </w:rPr>
              <w:drawing>
                <wp:inline distT="0" distB="0" distL="0" distR="0">
                  <wp:extent cx="5734685" cy="1712595"/>
                  <wp:effectExtent l="0" t="0" r="10795" b="9525"/>
                  <wp:docPr id="13596217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1706" name="图片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4685" cy="1712595"/>
                          </a:xfrm>
                          <a:prstGeom prst="rect">
                            <a:avLst/>
                          </a:prstGeom>
                          <a:noFill/>
                          <a:ln>
                            <a:noFill/>
                          </a:ln>
                        </pic:spPr>
                      </pic:pic>
                    </a:graphicData>
                  </a:graphic>
                </wp:inline>
              </w:drawing>
            </w:r>
          </w:p>
        </w:tc>
      </w:tr>
      <w:tr w14:paraId="1961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16997D1D">
            <w:pPr>
              <w:rPr>
                <w:rFonts w:cs="Calibri" w:eastAsiaTheme="minorEastAsia"/>
                <w:lang w:eastAsia="zh-CN"/>
              </w:rPr>
            </w:pPr>
            <w:r>
              <w:rPr>
                <w:rFonts w:hint="eastAsia" w:cs="Calibri" w:eastAsiaTheme="minorEastAsia"/>
                <w:lang w:eastAsia="zh-CN"/>
              </w:rPr>
              <w:t>Source: Company, HFI</w:t>
            </w:r>
          </w:p>
        </w:tc>
      </w:tr>
    </w:tbl>
    <w:p w14:paraId="70FAE776">
      <w:pPr>
        <w:jc w:val="both"/>
        <w:rPr>
          <w:rFonts w:eastAsia="宋体" w:cs="Calibri"/>
          <w:b/>
          <w:bCs/>
          <w:sz w:val="22"/>
          <w:szCs w:val="22"/>
          <w:lang w:eastAsia="zh-CN"/>
        </w:rPr>
      </w:pPr>
    </w:p>
    <w:p w14:paraId="23AB22C0">
      <w:pPr>
        <w:jc w:val="both"/>
        <w:rPr>
          <w:rFonts w:cs="Calibri" w:eastAsiaTheme="minorEastAsia"/>
          <w:sz w:val="22"/>
          <w:szCs w:val="22"/>
          <w:lang w:eastAsia="zh-CN"/>
        </w:rPr>
      </w:pPr>
      <w:r>
        <w:rPr>
          <w:rFonts w:cs="Calibri" w:eastAsiaTheme="minorEastAsia"/>
          <w:b/>
          <w:bCs/>
          <w:sz w:val="22"/>
          <w:szCs w:val="22"/>
          <w:lang w:eastAsia="zh-CN"/>
        </w:rPr>
        <w:t xml:space="preserve">Under CEO Paulo Ruiz, Eaton is executing a rigorous 2030 strategy focused on digital integration and high-visibility backlog realization. </w:t>
      </w:r>
      <w:r>
        <w:rPr>
          <w:rFonts w:cs="Calibri" w:eastAsiaTheme="minorEastAsia"/>
          <w:sz w:val="22"/>
          <w:szCs w:val="22"/>
          <w:lang w:eastAsia="zh-CN"/>
        </w:rPr>
        <w:t>The leadership transition to CEO Paulo Ruiz in mid-2025 has signaled a phase of intensified execution for Eaton’s "2030 Growth Strategy." Ruiz, a veteran with deep roots in both electrical engineering and industrial management, has prioritized the "digitalization of power" as the firm's next frontier. Under his guidance, the company has doubled down on its Brightlayer software suite, aiming to transform every piece of Eaton hardware into a data-generating asset. Complementing his vision is the appointment of David Foster as CFO in early 2026, whose decades of experience in global treasury and regional finance provide the operational rigor needed to manage the complex 2027 Mobility spinoff. Together, the executive team is focused on converting Eaton’s record-high order backlog into realized earnings, while simultaneously expanding margins through AI-driven manufacturing efficiencies and premium pricing strategies in supply-constrained markets.</w:t>
      </w:r>
    </w:p>
    <w:p w14:paraId="3B0D4D92">
      <w:pPr>
        <w:jc w:val="both"/>
        <w:rPr>
          <w:rFonts w:eastAsia="宋体" w:cs="Calibri"/>
          <w:sz w:val="22"/>
          <w:szCs w:val="22"/>
          <w:lang w:eastAsia="zh-CN"/>
        </w:rPr>
      </w:pP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405F3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0865B1B5">
            <w:pPr>
              <w:jc w:val="both"/>
              <w:rPr>
                <w:rFonts w:cs="Calibri" w:eastAsiaTheme="minorEastAsia"/>
                <w:b/>
                <w:bCs/>
                <w:sz w:val="22"/>
                <w:szCs w:val="22"/>
                <w:lang w:eastAsia="zh-CN"/>
              </w:rPr>
            </w:pPr>
            <w:r>
              <w:rPr>
                <w:rFonts w:cs="Calibri" w:eastAsiaTheme="minorEastAsia"/>
                <w:b/>
                <w:bCs/>
                <w:sz w:val="22"/>
                <w:szCs w:val="22"/>
                <w:lang w:eastAsia="zh-CN"/>
              </w:rPr>
              <w:t xml:space="preserve">Figure: Leadership team </w:t>
            </w:r>
          </w:p>
        </w:tc>
      </w:tr>
      <w:tr w14:paraId="637F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1F60E6B5">
            <w:pPr>
              <w:rPr>
                <w:rFonts w:cs="Calibri" w:eastAsiaTheme="minorEastAsia"/>
                <w:b/>
                <w:bCs/>
                <w:sz w:val="22"/>
                <w:szCs w:val="22"/>
                <w:lang w:eastAsia="zh-CN"/>
              </w:rPr>
            </w:pPr>
            <w:r>
              <w:rPr>
                <w:rFonts w:ascii="Arial" w:hAnsi="Arial" w:cs="Arial"/>
                <w:color w:val="000000"/>
                <w:sz w:val="20"/>
                <w:szCs w:val="20"/>
              </w:rPr>
              <w:drawing>
                <wp:inline distT="0" distB="0" distL="0" distR="0">
                  <wp:extent cx="5734685" cy="2712085"/>
                  <wp:effectExtent l="0" t="0" r="10795" b="635"/>
                  <wp:docPr id="11204553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55331" name="图片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34685" cy="2712085"/>
                          </a:xfrm>
                          <a:prstGeom prst="rect">
                            <a:avLst/>
                          </a:prstGeom>
                          <a:noFill/>
                          <a:ln>
                            <a:noFill/>
                          </a:ln>
                        </pic:spPr>
                      </pic:pic>
                    </a:graphicData>
                  </a:graphic>
                </wp:inline>
              </w:drawing>
            </w:r>
          </w:p>
        </w:tc>
      </w:tr>
      <w:tr w14:paraId="03F52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2B234AB1">
            <w:pPr>
              <w:jc w:val="both"/>
              <w:rPr>
                <w:rFonts w:cs="Calibri" w:eastAsiaTheme="minorEastAsia"/>
                <w:b/>
                <w:bCs/>
                <w:lang w:eastAsia="zh-CN"/>
              </w:rPr>
            </w:pPr>
            <w:r>
              <w:rPr>
                <w:rFonts w:cs="Calibri" w:eastAsiaTheme="minorEastAsia"/>
                <w:lang w:eastAsia="zh-CN"/>
              </w:rPr>
              <w:t>Source: Company, HFI</w:t>
            </w:r>
          </w:p>
        </w:tc>
      </w:tr>
      <w:tr w14:paraId="6583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tcBorders>
          </w:tcPr>
          <w:p w14:paraId="6E73A4BD">
            <w:pPr>
              <w:jc w:val="both"/>
              <w:rPr>
                <w:rFonts w:cs="Calibri" w:eastAsiaTheme="minorEastAsia"/>
                <w:b/>
                <w:bCs/>
                <w:sz w:val="22"/>
                <w:szCs w:val="22"/>
                <w:lang w:eastAsia="zh-CN"/>
              </w:rPr>
            </w:pPr>
          </w:p>
        </w:tc>
      </w:tr>
    </w:tbl>
    <w:p w14:paraId="0B2A82D0">
      <w:pPr>
        <w:pStyle w:val="146"/>
        <w:jc w:val="both"/>
        <w:rPr>
          <w:rFonts w:ascii="Calibri" w:hAnsi="Calibri" w:eastAsia="楷体" w:cs="Calibri"/>
          <w:color w:val="23558C"/>
          <w:sz w:val="24"/>
        </w:rPr>
      </w:pPr>
      <w:bookmarkStart w:id="3" w:name="_Toc3382"/>
      <w:r>
        <w:rPr>
          <w:rFonts w:ascii="Calibri" w:hAnsi="Calibri" w:eastAsia="楷体_GB2312" w:cs="Calibri"/>
          <w:color w:val="23558C"/>
          <w:sz w:val="24"/>
        </w:rPr>
        <w:t xml:space="preserve">1.2 </w:t>
      </w:r>
      <w:r>
        <w:rPr>
          <w:rFonts w:ascii="Calibri" w:hAnsi="Calibri" w:eastAsia="楷体" w:cs="Calibri"/>
          <w:color w:val="23558C"/>
          <w:sz w:val="24"/>
        </w:rPr>
        <w:t>Financial performance highlights</w:t>
      </w:r>
      <w:bookmarkEnd w:id="3"/>
    </w:p>
    <w:p w14:paraId="232472C7">
      <w:pPr>
        <w:jc w:val="both"/>
        <w:rPr>
          <w:rFonts w:eastAsia="宋体" w:cs="Calibri"/>
          <w:sz w:val="22"/>
          <w:szCs w:val="22"/>
          <w:lang w:eastAsia="zh-CN"/>
        </w:rPr>
      </w:pPr>
      <w:r>
        <w:rPr>
          <w:rFonts w:cs="Calibri" w:eastAsiaTheme="minorEastAsia"/>
          <w:b/>
          <w:bCs/>
          <w:sz w:val="22"/>
          <w:szCs w:val="22"/>
          <w:lang w:eastAsia="zh-CN"/>
        </w:rPr>
        <w:t>Eaton’s revenue evolution between 2020 and 2025 reflects a successful pivot toward high-growth electrical markets and a structural decoupling from industrial cyclicality.</w:t>
      </w:r>
      <w:r>
        <w:rPr>
          <w:rFonts w:cs="Calibri" w:eastAsiaTheme="minorEastAsia"/>
          <w:sz w:val="22"/>
          <w:szCs w:val="22"/>
          <w:lang w:eastAsia="zh-CN"/>
        </w:rPr>
        <w:t xml:space="preserve"> Following the significant portfolio pruning that included the 2021 divestiture of the Hydraulics business, the company has delivered robust top-line performance, culminating in a record $27.4 billion in total revenue for FY2025, representing 10% year-over-year growth. The Electrical Americas segment has emerged as the primary growth engine, contributing approximately $132.8 billion in 2025 revenue as hyperscale data centers and utility grid modernization drive double-digit volume increases. Meanwhile, the Electrical Global segment, contributing $68.2 billion in 2025, continues to benefit from international grid decentralization and industrial automation across Europe and Asia. The Aerospace division has demonstrated remarkable resilience, achieving $4.09 billion in 2025 revenue through a mix of strong defense spending and a recovering commercial aviation aftermarket. Even the Mobility segments, which generated approximately $3 billion in combined revenue for 2025, have maintained stable performance through disciplined pricing while preparing for their strategic separation in early 2027.</w:t>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2D7B8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16F0C328">
            <w:pPr>
              <w:ind w:left="2447" w:hanging="142"/>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Segment Revenue</w:t>
            </w:r>
            <w:r>
              <w:rPr>
                <w:rFonts w:cs="Calibri" w:eastAsiaTheme="minorEastAsia"/>
                <w:b/>
                <w:bCs/>
                <w:sz w:val="22"/>
                <w:szCs w:val="22"/>
                <w:lang w:eastAsia="zh-CN"/>
              </w:rPr>
              <w:t xml:space="preserve"> </w:t>
            </w:r>
          </w:p>
        </w:tc>
      </w:tr>
      <w:tr w14:paraId="29F6C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76976B28">
            <w:pPr>
              <w:ind w:left="2447" w:hanging="142"/>
              <w:rPr>
                <w:rFonts w:cs="Calibri" w:eastAsiaTheme="minorEastAsia"/>
                <w:b/>
                <w:bCs/>
                <w:sz w:val="22"/>
                <w:szCs w:val="22"/>
                <w:lang w:eastAsia="zh-CN"/>
              </w:rPr>
            </w:pPr>
            <w:r>
              <w:rPr>
                <w:rFonts w:ascii="Arial" w:hAnsi="Arial" w:cs="Arial"/>
                <w:color w:val="000000"/>
                <w:sz w:val="20"/>
                <w:szCs w:val="20"/>
              </w:rPr>
              <w:drawing>
                <wp:inline distT="0" distB="0" distL="0" distR="0">
                  <wp:extent cx="2945130" cy="1733550"/>
                  <wp:effectExtent l="0" t="0" r="11430" b="3810"/>
                  <wp:docPr id="6254094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9436" name="图片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950982" cy="1736875"/>
                          </a:xfrm>
                          <a:prstGeom prst="rect">
                            <a:avLst/>
                          </a:prstGeom>
                          <a:noFill/>
                          <a:ln>
                            <a:noFill/>
                          </a:ln>
                        </pic:spPr>
                      </pic:pic>
                    </a:graphicData>
                  </a:graphic>
                </wp:inline>
              </w:drawing>
            </w:r>
          </w:p>
        </w:tc>
      </w:tr>
      <w:tr w14:paraId="39DF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0160" w:type="dxa"/>
            <w:tcBorders>
              <w:top w:val="nil"/>
              <w:bottom w:val="nil"/>
            </w:tcBorders>
          </w:tcPr>
          <w:p w14:paraId="7B63AC8B">
            <w:pPr>
              <w:ind w:left="2447" w:hanging="142"/>
              <w:jc w:val="both"/>
              <w:rPr>
                <w:rFonts w:cs="Calibri" w:eastAsiaTheme="minorEastAsia"/>
                <w:b/>
                <w:bCs/>
                <w:lang w:eastAsia="zh-CN"/>
              </w:rPr>
            </w:pPr>
            <w:r>
              <w:rPr>
                <w:rFonts w:cs="Calibri" w:eastAsiaTheme="minorEastAsia"/>
                <w:lang w:eastAsia="zh-CN"/>
              </w:rPr>
              <w:t>Source: Company, HFI</w:t>
            </w:r>
          </w:p>
        </w:tc>
      </w:tr>
    </w:tbl>
    <w:p w14:paraId="0BDF774F">
      <w:pPr>
        <w:rPr>
          <w:rFonts w:eastAsia="宋体" w:cs="Calibri"/>
          <w:sz w:val="22"/>
          <w:szCs w:val="22"/>
          <w:lang w:eastAsia="zh-CN"/>
        </w:rPr>
      </w:pPr>
    </w:p>
    <w:p w14:paraId="513E0D66">
      <w:pPr>
        <w:jc w:val="both"/>
        <w:rPr>
          <w:rFonts w:hint="eastAsia" w:eastAsia="宋体" w:cs="Calibri"/>
          <w:sz w:val="22"/>
          <w:szCs w:val="22"/>
          <w:lang w:eastAsia="zh-CN"/>
        </w:rPr>
      </w:pPr>
      <w:r>
        <w:rPr>
          <w:rFonts w:cs="Calibri" w:eastAsiaTheme="minorEastAsia"/>
          <w:b/>
          <w:bCs/>
          <w:sz w:val="22"/>
          <w:szCs w:val="22"/>
          <w:lang w:eastAsia="zh-CN"/>
        </w:rPr>
        <w:t xml:space="preserve">Sustained Gross Profit growth and disciplined cost management via the Eaton Business System  have catalyzed significant margin expansion across the 2020-2025 period. </w:t>
      </w:r>
      <w:r>
        <w:rPr>
          <w:rFonts w:cs="Calibri" w:eastAsiaTheme="minorEastAsia"/>
          <w:sz w:val="22"/>
          <w:szCs w:val="22"/>
          <w:lang w:eastAsia="zh-CN"/>
        </w:rPr>
        <w:t>The consistent upward trajectory in Gross Profit highlights Eaton’s successful transition toward higher-value, technology-driven solutions and its formidable pricing power within critical infrastructure markets. This operational leverage is clearly demonstrated by the record segment margin of 24.5% reached in 2025, which reflects the favorable mix-shift resulting from the integration of high-margin acquisitions like Cobham and Ultra PCS. The financial integrity of these margins is further validated by a record $3.6 billion in free cash flow, representing a conversion rate that anchors the company’s extensive $9 billion capital return program. Looking forward, Eaton’s 2030 strategic framework targets a consolidated segment operating margin of approximately 28%, with the flagship Electrical Americas segment projected to reach a peer-leading ~32%. By focusing on high-barrier technologies such as liquid cooling and solid-state power, Eaton is structurally re-rating its profitability profile as it approaches its 2027 pure-play transformation</w:t>
      </w:r>
      <w:r>
        <w:rPr>
          <w:rFonts w:hint="eastAsia" w:eastAsia="宋体" w:cs="Calibri"/>
          <w:sz w:val="22"/>
          <w:szCs w:val="22"/>
          <w:lang w:eastAsia="zh-CN"/>
        </w:rPr>
        <w:t>.</w:t>
      </w:r>
    </w:p>
    <w:p w14:paraId="7FA6719A">
      <w:pPr>
        <w:jc w:val="both"/>
        <w:rPr>
          <w:rFonts w:hint="eastAsia" w:eastAsia="宋体" w:cs="Calibri"/>
          <w:sz w:val="22"/>
          <w:szCs w:val="22"/>
          <w:lang w:eastAsia="zh-CN"/>
        </w:rPr>
      </w:pPr>
    </w:p>
    <w:tbl>
      <w:tblPr>
        <w:tblStyle w:val="12"/>
        <w:tblW w:w="10160"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36F0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jc w:val="right"/>
        </w:trPr>
        <w:tc>
          <w:tcPr>
            <w:tcW w:w="10160" w:type="dxa"/>
            <w:tcBorders>
              <w:bottom w:val="nil"/>
            </w:tcBorders>
          </w:tcPr>
          <w:p w14:paraId="3D95CD43">
            <w:pPr>
              <w:jc w:val="both"/>
              <w:rPr>
                <w:rFonts w:eastAsia="宋体" w:cs="Calibri"/>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Gross Profit</w:t>
            </w:r>
            <w:r>
              <w:rPr>
                <w:rFonts w:cs="Calibri" w:eastAsiaTheme="minorEastAsia"/>
                <w:b/>
                <w:bCs/>
                <w:sz w:val="22"/>
                <w:szCs w:val="22"/>
                <w:lang w:eastAsia="zh-CN"/>
              </w:rPr>
              <w:t xml:space="preserve"> </w:t>
            </w:r>
            <w:r>
              <w:rPr>
                <w:rFonts w:eastAsia="宋体" w:cs="Calibri"/>
                <w:b/>
                <w:bCs/>
                <w:sz w:val="22"/>
                <w:szCs w:val="22"/>
                <w:lang w:eastAsia="zh-CN"/>
              </w:rPr>
              <w:t>and Operating</w:t>
            </w:r>
            <w:r>
              <w:rPr>
                <w:rFonts w:hint="eastAsia" w:eastAsia="宋体" w:cs="Calibri"/>
                <w:b/>
                <w:bCs/>
                <w:sz w:val="22"/>
                <w:szCs w:val="22"/>
                <w:lang w:eastAsia="zh-CN"/>
              </w:rPr>
              <w:t xml:space="preserve"> Profit</w:t>
            </w:r>
          </w:p>
        </w:tc>
      </w:tr>
      <w:tr w14:paraId="5B2D2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jc w:val="right"/>
        </w:trPr>
        <w:tc>
          <w:tcPr>
            <w:tcW w:w="10160" w:type="dxa"/>
            <w:tcBorders>
              <w:top w:val="nil"/>
              <w:bottom w:val="nil"/>
            </w:tcBorders>
            <w:tcMar>
              <w:top w:w="28" w:type="dxa"/>
              <w:bottom w:w="28" w:type="dxa"/>
            </w:tcMar>
            <w:vAlign w:val="center"/>
          </w:tcPr>
          <w:p w14:paraId="3AF4C4C2">
            <w:pPr>
              <w:rPr>
                <w:rFonts w:cs="Calibri" w:eastAsiaTheme="minorEastAsia"/>
                <w:b/>
                <w:bCs/>
                <w:sz w:val="22"/>
                <w:szCs w:val="22"/>
                <w:lang w:eastAsia="zh-CN"/>
              </w:rPr>
            </w:pPr>
            <w:r>
              <w:rPr>
                <w:rFonts w:ascii="Arial" w:hAnsi="Arial" w:cs="Arial"/>
                <w:color w:val="000000"/>
                <w:sz w:val="20"/>
                <w:szCs w:val="20"/>
              </w:rPr>
              <w:drawing>
                <wp:inline distT="0" distB="0" distL="0" distR="0">
                  <wp:extent cx="2933065" cy="1724025"/>
                  <wp:effectExtent l="0" t="0" r="8255" b="13335"/>
                  <wp:docPr id="18546507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0782" name="图片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938658" cy="1726968"/>
                          </a:xfrm>
                          <a:prstGeom prst="rect">
                            <a:avLst/>
                          </a:prstGeom>
                          <a:noFill/>
                          <a:ln>
                            <a:noFill/>
                          </a:ln>
                        </pic:spPr>
                      </pic:pic>
                    </a:graphicData>
                  </a:graphic>
                </wp:inline>
              </w:drawing>
            </w:r>
            <w:r>
              <w:rPr>
                <w:rFonts w:ascii="Arial" w:hAnsi="Arial" w:cs="Arial"/>
                <w:color w:val="000000"/>
                <w:sz w:val="20"/>
                <w:szCs w:val="20"/>
              </w:rPr>
              <w:t xml:space="preserve"> </w:t>
            </w:r>
            <w:r>
              <w:rPr>
                <w:rFonts w:ascii="Arial" w:hAnsi="Arial" w:cs="Arial"/>
                <w:color w:val="000000"/>
                <w:sz w:val="20"/>
                <w:szCs w:val="20"/>
              </w:rPr>
              <w:drawing>
                <wp:inline distT="0" distB="0" distL="0" distR="0">
                  <wp:extent cx="2924175" cy="1737360"/>
                  <wp:effectExtent l="0" t="0" r="1905" b="0"/>
                  <wp:docPr id="19661671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7113" name="图片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930017" cy="1741113"/>
                          </a:xfrm>
                          <a:prstGeom prst="rect">
                            <a:avLst/>
                          </a:prstGeom>
                          <a:noFill/>
                          <a:ln>
                            <a:noFill/>
                          </a:ln>
                        </pic:spPr>
                      </pic:pic>
                    </a:graphicData>
                  </a:graphic>
                </wp:inline>
              </w:drawing>
            </w:r>
          </w:p>
        </w:tc>
      </w:tr>
      <w:tr w14:paraId="413A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jc w:val="right"/>
        </w:trPr>
        <w:tc>
          <w:tcPr>
            <w:tcW w:w="10160" w:type="dxa"/>
            <w:tcBorders>
              <w:top w:val="nil"/>
              <w:bottom w:val="nil"/>
            </w:tcBorders>
          </w:tcPr>
          <w:p w14:paraId="6D6E72E6">
            <w:pPr>
              <w:jc w:val="both"/>
              <w:rPr>
                <w:rFonts w:cs="Calibri" w:eastAsiaTheme="minorEastAsia"/>
                <w:b/>
                <w:bCs/>
                <w:lang w:eastAsia="zh-CN"/>
              </w:rPr>
            </w:pPr>
            <w:r>
              <w:rPr>
                <w:rFonts w:cs="Calibri" w:eastAsiaTheme="minorEastAsia"/>
                <w:lang w:eastAsia="zh-CN"/>
              </w:rPr>
              <w:t>Source: Company, HFI</w:t>
            </w:r>
          </w:p>
        </w:tc>
      </w:tr>
    </w:tbl>
    <w:p w14:paraId="158A9EFA">
      <w:pPr>
        <w:rPr>
          <w:rFonts w:eastAsia="宋体" w:cs="Calibri"/>
          <w:b/>
          <w:bCs/>
          <w:sz w:val="22"/>
          <w:szCs w:val="22"/>
          <w:lang w:eastAsia="zh-CN"/>
        </w:rPr>
      </w:pPr>
    </w:p>
    <w:p w14:paraId="732588FE">
      <w:pPr>
        <w:jc w:val="both"/>
        <w:rPr>
          <w:rFonts w:eastAsia="宋体" w:cs="Calibri"/>
          <w:sz w:val="22"/>
          <w:szCs w:val="22"/>
          <w:lang w:eastAsia="zh-CN"/>
        </w:rPr>
      </w:pPr>
      <w:r>
        <w:rPr>
          <w:rFonts w:cs="Calibri" w:eastAsiaTheme="minorEastAsia"/>
          <w:b/>
          <w:bCs/>
          <w:sz w:val="22"/>
          <w:szCs w:val="22"/>
          <w:lang w:eastAsia="zh-CN"/>
        </w:rPr>
        <w:t>The 2026 guidance remains highly constructive, supported by a historic $15.3 billion order backlog and continued margin accretion.</w:t>
      </w:r>
      <w:r>
        <w:rPr>
          <w:rFonts w:cs="Calibri" w:eastAsiaTheme="minorEastAsia"/>
          <w:sz w:val="22"/>
          <w:szCs w:val="22"/>
          <w:lang w:eastAsia="zh-CN"/>
        </w:rPr>
        <w:t xml:space="preserve"> Management has issued a high-conviction outlook for 2026, targeting organic growth of 7% to 9% and adjusted EPS between $13.00 and $13.50. This near-term trajectory is significantly de-risked by the massive $15.3 billion backlog, which provides high visibility into revenue conversion through the upcoming fiscal year. The planned spinoff of the Mobility Group by early 2027 is expected to further catalyze earnings growth by allowing the remaining "Core Eaton" to operate as a high-margin, pure-play electrical and aerospace entity.</w:t>
      </w:r>
    </w:p>
    <w:p w14:paraId="4FBB9EC3">
      <w:pPr>
        <w:rPr>
          <w:rFonts w:eastAsia="宋体" w:cs="Calibri"/>
          <w:sz w:val="22"/>
          <w:szCs w:val="22"/>
          <w:lang w:eastAsia="zh-CN"/>
        </w:rPr>
      </w:pPr>
    </w:p>
    <w:tbl>
      <w:tblPr>
        <w:tblStyle w:val="12"/>
        <w:tblW w:w="884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45"/>
      </w:tblGrid>
      <w:tr w14:paraId="255CD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jc w:val="right"/>
        </w:trPr>
        <w:tc>
          <w:tcPr>
            <w:tcW w:w="8845" w:type="dxa"/>
            <w:tcBorders>
              <w:bottom w:val="nil"/>
            </w:tcBorders>
          </w:tcPr>
          <w:p w14:paraId="0A3B70A3">
            <w:pPr>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2026 guidance</w:t>
            </w:r>
            <w:r>
              <w:rPr>
                <w:rFonts w:cs="Calibri" w:eastAsiaTheme="minorEastAsia"/>
                <w:b/>
                <w:bCs/>
                <w:sz w:val="22"/>
                <w:szCs w:val="22"/>
                <w:lang w:eastAsia="zh-CN"/>
              </w:rPr>
              <w:t xml:space="preserve"> </w:t>
            </w:r>
          </w:p>
        </w:tc>
      </w:tr>
      <w:tr w14:paraId="179E6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jc w:val="right"/>
        </w:trPr>
        <w:tc>
          <w:tcPr>
            <w:tcW w:w="8845" w:type="dxa"/>
            <w:tcBorders>
              <w:top w:val="nil"/>
              <w:bottom w:val="nil"/>
            </w:tcBorders>
            <w:tcMar>
              <w:top w:w="28" w:type="dxa"/>
              <w:bottom w:w="28" w:type="dxa"/>
            </w:tcMar>
            <w:vAlign w:val="center"/>
          </w:tcPr>
          <w:p w14:paraId="765435BC">
            <w:pPr>
              <w:rPr>
                <w:rFonts w:cs="Calibri" w:eastAsiaTheme="minorEastAsia"/>
                <w:b/>
                <w:bCs/>
                <w:sz w:val="22"/>
                <w:szCs w:val="22"/>
                <w:lang w:eastAsia="zh-CN"/>
              </w:rPr>
            </w:pPr>
            <w:r>
              <w:rPr>
                <w:rFonts w:ascii="Arial" w:hAnsi="Arial" w:cs="Arial"/>
                <w:color w:val="000000"/>
                <w:sz w:val="20"/>
                <w:szCs w:val="20"/>
              </w:rPr>
              <w:drawing>
                <wp:inline distT="0" distB="0" distL="0" distR="0">
                  <wp:extent cx="5372100" cy="3592195"/>
                  <wp:effectExtent l="0" t="0" r="7620" b="4445"/>
                  <wp:docPr id="1365253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3186" name="图片 1"/>
                          <pic:cNvPicPr>
                            <a:picLocks noChangeAspect="1"/>
                          </pic:cNvPicPr>
                        </pic:nvPicPr>
                        <pic:blipFill>
                          <a:blip r:embed="rId32"/>
                          <a:stretch>
                            <a:fillRect/>
                          </a:stretch>
                        </pic:blipFill>
                        <pic:spPr>
                          <a:xfrm>
                            <a:off x="0" y="0"/>
                            <a:ext cx="5402134" cy="3612625"/>
                          </a:xfrm>
                          <a:prstGeom prst="rect">
                            <a:avLst/>
                          </a:prstGeom>
                        </pic:spPr>
                      </pic:pic>
                    </a:graphicData>
                  </a:graphic>
                </wp:inline>
              </w:drawing>
            </w:r>
          </w:p>
        </w:tc>
      </w:tr>
      <w:tr w14:paraId="264E4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jc w:val="right"/>
        </w:trPr>
        <w:tc>
          <w:tcPr>
            <w:tcW w:w="8845" w:type="dxa"/>
            <w:tcBorders>
              <w:top w:val="nil"/>
              <w:bottom w:val="nil"/>
            </w:tcBorders>
          </w:tcPr>
          <w:p w14:paraId="32F2C3CC">
            <w:pPr>
              <w:jc w:val="both"/>
              <w:rPr>
                <w:rFonts w:cs="Calibri" w:eastAsiaTheme="minorEastAsia"/>
                <w:b/>
                <w:bCs/>
                <w:lang w:eastAsia="zh-CN"/>
              </w:rPr>
            </w:pPr>
            <w:r>
              <w:rPr>
                <w:rFonts w:cs="Calibri" w:eastAsiaTheme="minorEastAsia"/>
                <w:lang w:eastAsia="zh-CN"/>
              </w:rPr>
              <w:t>Source: Company, HFI</w:t>
            </w:r>
          </w:p>
        </w:tc>
      </w:tr>
    </w:tbl>
    <w:p w14:paraId="24D7EA12">
      <w:pPr>
        <w:rPr>
          <w:rFonts w:eastAsia="宋体" w:cs="Calibri"/>
          <w:b/>
          <w:bCs/>
          <w:sz w:val="22"/>
          <w:szCs w:val="22"/>
          <w:lang w:eastAsia="zh-CN"/>
        </w:rPr>
      </w:pPr>
    </w:p>
    <w:p w14:paraId="7E378182">
      <w:pPr>
        <w:rPr>
          <w:rFonts w:cs="Calibri" w:eastAsiaTheme="minorEastAsia"/>
          <w:b/>
          <w:bCs/>
          <w:sz w:val="22"/>
          <w:szCs w:val="22"/>
          <w:lang w:eastAsia="zh-CN"/>
        </w:rPr>
      </w:pPr>
      <w:r>
        <w:rPr>
          <w:rFonts w:cs="Calibri" w:eastAsiaTheme="minorEastAsia"/>
          <w:b/>
          <w:bCs/>
          <w:sz w:val="22"/>
          <w:szCs w:val="22"/>
          <w:lang w:eastAsia="zh-CN"/>
        </w:rPr>
        <w:br w:type="page"/>
      </w:r>
    </w:p>
    <w:p w14:paraId="61E6F8C9">
      <w:pPr>
        <w:jc w:val="both"/>
        <w:rPr>
          <w:rFonts w:eastAsia="宋体"/>
          <w:lang w:eastAsia="zh-CN"/>
        </w:rPr>
      </w:pPr>
      <w:r>
        <w:rPr>
          <w:rFonts w:cs="Calibri" w:eastAsiaTheme="minorEastAsia"/>
          <w:b/>
          <w:bCs/>
          <w:sz w:val="22"/>
          <w:szCs w:val="22"/>
          <w:lang w:eastAsia="zh-CN"/>
        </w:rPr>
        <w:t xml:space="preserve">The 2030 strategic outlook envisions a period of aggressive compounding, with segment margins targeted to reach approximately 28%. </w:t>
      </w:r>
      <w:r>
        <w:rPr>
          <w:rFonts w:cs="Calibri" w:eastAsiaTheme="minorEastAsia"/>
          <w:sz w:val="22"/>
          <w:szCs w:val="22"/>
          <w:lang w:eastAsia="zh-CN"/>
        </w:rPr>
        <w:t>Looking toward the end of the decade, Eaton's long-term framework targets an organic revenue CAGR of 6% to 9% and an adjusted EPS CAGR exceeding 12%. Profitability is expected to scale significantly, with segment operating margins projected at ~28%, led by a dominant ~32% target for Electrical Americas and ~27% for Aerospace. This vision is supported by a disciplined focus on high-quality earnings, with a targeted free cash flow to adjusted earnings conversion rate of 95% to 100%, ensuring ample liquidity for the company’s ongoing capital return and high-tech M&amp;A programs.</w:t>
      </w:r>
    </w:p>
    <w:tbl>
      <w:tblPr>
        <w:tblStyle w:val="12"/>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445D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trPr>
        <w:tc>
          <w:tcPr>
            <w:tcW w:w="10160" w:type="dxa"/>
            <w:tcBorders>
              <w:bottom w:val="nil"/>
            </w:tcBorders>
          </w:tcPr>
          <w:p w14:paraId="6E8F2330">
            <w:pPr>
              <w:ind w:firstLine="2447"/>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2030 strategy outlook</w:t>
            </w:r>
            <w:r>
              <w:rPr>
                <w:rFonts w:cs="Calibri" w:eastAsiaTheme="minorEastAsia"/>
                <w:b/>
                <w:bCs/>
                <w:sz w:val="22"/>
                <w:szCs w:val="22"/>
                <w:lang w:eastAsia="zh-CN"/>
              </w:rPr>
              <w:t xml:space="preserve"> </w:t>
            </w:r>
          </w:p>
        </w:tc>
      </w:tr>
      <w:tr w14:paraId="3F755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05CA5D99">
            <w:pPr>
              <w:ind w:firstLine="2447"/>
              <w:rPr>
                <w:rFonts w:cs="Calibri" w:eastAsiaTheme="minorEastAsia"/>
                <w:b/>
                <w:bCs/>
                <w:sz w:val="22"/>
                <w:szCs w:val="22"/>
                <w:lang w:eastAsia="zh-CN"/>
              </w:rPr>
            </w:pPr>
            <w:r>
              <w:rPr>
                <w:rFonts w:ascii="Arial" w:hAnsi="Arial" w:cs="Arial"/>
                <w:color w:val="000000"/>
                <w:sz w:val="20"/>
                <w:szCs w:val="20"/>
              </w:rPr>
              <w:drawing>
                <wp:inline distT="0" distB="0" distL="0" distR="0">
                  <wp:extent cx="4145280" cy="1720215"/>
                  <wp:effectExtent l="0" t="0" r="0" b="1905"/>
                  <wp:docPr id="5138174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17421" name="图片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198437" cy="1742529"/>
                          </a:xfrm>
                          <a:prstGeom prst="rect">
                            <a:avLst/>
                          </a:prstGeom>
                          <a:noFill/>
                          <a:ln>
                            <a:noFill/>
                          </a:ln>
                        </pic:spPr>
                      </pic:pic>
                    </a:graphicData>
                  </a:graphic>
                </wp:inline>
              </w:drawing>
            </w:r>
          </w:p>
        </w:tc>
      </w:tr>
      <w:tr w14:paraId="2946D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14700A46">
            <w:pPr>
              <w:ind w:firstLine="2447"/>
              <w:jc w:val="both"/>
              <w:rPr>
                <w:rFonts w:cs="Calibri" w:eastAsiaTheme="minorEastAsia"/>
                <w:b/>
                <w:bCs/>
                <w:lang w:eastAsia="zh-CN"/>
              </w:rPr>
            </w:pPr>
            <w:r>
              <w:rPr>
                <w:rFonts w:cs="Calibri" w:eastAsiaTheme="minorEastAsia"/>
                <w:lang w:eastAsia="zh-CN"/>
              </w:rPr>
              <w:t>Source: Company, HFI</w:t>
            </w:r>
          </w:p>
        </w:tc>
      </w:tr>
    </w:tbl>
    <w:p w14:paraId="396AC3AB">
      <w:pPr>
        <w:pStyle w:val="2"/>
        <w:spacing w:beforeLines="100" w:after="240" w:afterLines="100"/>
        <w:jc w:val="both"/>
        <w:rPr>
          <w:rFonts w:eastAsia="楷体" w:cs="Calibri"/>
          <w:color w:val="23558C"/>
          <w:sz w:val="28"/>
          <w:szCs w:val="28"/>
          <w:lang w:eastAsia="zh-CN"/>
        </w:rPr>
      </w:pPr>
      <w:bookmarkStart w:id="4" w:name="_Toc14369"/>
      <w:r>
        <w:rPr>
          <w:rFonts w:eastAsia="楷体" w:cs="Calibri"/>
          <w:color w:val="23558C"/>
          <w:sz w:val="28"/>
          <w:szCs w:val="28"/>
          <w:lang w:eastAsia="zh-CN"/>
        </w:rPr>
        <w:t>2</w:t>
      </w:r>
      <w:r>
        <w:rPr>
          <w:rFonts w:hint="eastAsia" w:eastAsia="楷体" w:cs="Calibri"/>
          <w:color w:val="23558C"/>
          <w:sz w:val="28"/>
          <w:szCs w:val="28"/>
          <w:lang w:eastAsia="zh-CN"/>
        </w:rPr>
        <w:t>.</w:t>
      </w:r>
      <w:r>
        <w:rPr>
          <w:rFonts w:eastAsia="楷体" w:cs="Calibri"/>
          <w:color w:val="C00000"/>
          <w:sz w:val="28"/>
          <w:szCs w:val="28"/>
          <w:lang w:eastAsia="zh-CN"/>
        </w:rPr>
        <w:t xml:space="preserve"> </w:t>
      </w:r>
      <w:r>
        <w:rPr>
          <w:rFonts w:eastAsia="楷体" w:cs="Calibri"/>
          <w:color w:val="23558C"/>
          <w:sz w:val="28"/>
          <w:szCs w:val="28"/>
          <w:lang w:eastAsia="zh-CN"/>
        </w:rPr>
        <w:t>Riding on the megatrends of digitalization and electrification</w:t>
      </w:r>
      <w:bookmarkEnd w:id="4"/>
    </w:p>
    <w:p w14:paraId="4FE1559B">
      <w:pPr>
        <w:pStyle w:val="146"/>
        <w:jc w:val="both"/>
        <w:rPr>
          <w:rFonts w:ascii="Calibri" w:hAnsi="Calibri" w:eastAsia="楷体" w:cs="Calibri"/>
          <w:color w:val="23558C"/>
          <w:sz w:val="24"/>
        </w:rPr>
      </w:pPr>
      <w:bookmarkStart w:id="5" w:name="_Toc3609"/>
      <w:r>
        <w:rPr>
          <w:rFonts w:ascii="Calibri" w:hAnsi="Calibri" w:eastAsia="楷体_GB2312" w:cs="Calibri"/>
          <w:color w:val="23558C"/>
          <w:sz w:val="24"/>
        </w:rPr>
        <w:t xml:space="preserve">2.1 </w:t>
      </w:r>
      <w:r>
        <w:rPr>
          <w:rFonts w:ascii="Calibri" w:hAnsi="Calibri" w:eastAsia="楷体" w:cs="Calibri"/>
          <w:color w:val="23558C"/>
          <w:sz w:val="24"/>
        </w:rPr>
        <w:t>Powering up AI Data Centers: Insatiable demand for AI and cloud data center capacity accelerating growth in power management</w:t>
      </w:r>
      <w:bookmarkEnd w:id="5"/>
    </w:p>
    <w:p w14:paraId="511A613E">
      <w:pPr>
        <w:widowControl w:val="0"/>
        <w:jc w:val="both"/>
        <w:rPr>
          <w:rFonts w:eastAsia="楷体" w:cs="Calibri"/>
          <w:kern w:val="2"/>
          <w:sz w:val="22"/>
          <w:szCs w:val="22"/>
          <w:lang w:eastAsia="zh-CN"/>
        </w:rPr>
      </w:pPr>
      <w:r>
        <w:rPr>
          <w:rFonts w:eastAsia="楷体" w:cs="Calibri"/>
          <w:b/>
          <w:bCs/>
          <w:kern w:val="2"/>
          <w:sz w:val="22"/>
          <w:szCs w:val="22"/>
          <w:lang w:eastAsia="zh-CN"/>
        </w:rPr>
        <w:t xml:space="preserve">Data centers in the US are in short supply and construction of data centers in the U.S. is accelerating. </w:t>
      </w:r>
      <w:r>
        <w:rPr>
          <w:rFonts w:eastAsia="楷体" w:cs="Calibri"/>
          <w:kern w:val="2"/>
          <w:sz w:val="22"/>
          <w:szCs w:val="22"/>
          <w:lang w:eastAsia="zh-CN"/>
        </w:rPr>
        <w:t>According to the CBRE North America Data Center Trends H2 2025 report, the North American data center market is experiencing unprecedented tightening, with the overall vacancy rate in eight primary markets (defined by their massive inventory, high density of network providers, and the presence of major cloud service providers) plummeting to a record low of 1.4% by year-end 2025. This scarcity of available inventory is largely driven by a massive surge in demand from hyperscalers and AI-driven occupiers, who are racing to secure capacity well ahead of delivery. Consequently, rental rates have continued their upward trajectory for the fourth consecutive year, with average monthly asking prices for 250-to-500 kW requirements rising 6.5% year-over-year to $195.94 per kW/month, while large-scale requirements of 10 MW or more command even significant premiums.</w:t>
      </w:r>
    </w:p>
    <w:p w14:paraId="6D2F85B8">
      <w:pPr>
        <w:rPr>
          <w:rFonts w:eastAsia="楷体" w:cs="Calibri"/>
          <w:kern w:val="2"/>
          <w:sz w:val="22"/>
          <w:szCs w:val="22"/>
          <w:lang w:eastAsia="zh-CN"/>
        </w:rPr>
      </w:pPr>
      <w:r>
        <w:rPr>
          <w:rFonts w:eastAsia="楷体" w:cs="Calibri"/>
          <w:kern w:val="2"/>
          <w:sz w:val="22"/>
          <w:szCs w:val="22"/>
          <w:lang w:eastAsia="zh-CN"/>
        </w:rPr>
        <w:br w:type="page"/>
      </w:r>
    </w:p>
    <w:tbl>
      <w:tblPr>
        <w:tblStyle w:val="12"/>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96"/>
        <w:gridCol w:w="384"/>
      </w:tblGrid>
      <w:tr w14:paraId="438E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384" w:type="dxa"/>
          <w:trHeight w:val="241" w:hRule="atLeast"/>
        </w:trPr>
        <w:tc>
          <w:tcPr>
            <w:tcW w:w="7680" w:type="dxa"/>
            <w:gridSpan w:val="2"/>
            <w:tcBorders>
              <w:bottom w:val="nil"/>
            </w:tcBorders>
          </w:tcPr>
          <w:p w14:paraId="7C116CF9">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Figure: H2 2025 Wholesale Primary Market Fundamentals</w:t>
            </w:r>
          </w:p>
        </w:tc>
      </w:tr>
      <w:tr w14:paraId="71733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4E60C505">
            <w:pPr>
              <w:widowControl w:val="0"/>
              <w:ind w:left="218"/>
              <w:jc w:val="both"/>
              <w:rPr>
                <w:rFonts w:eastAsia="楷体" w:cs="Calibri"/>
                <w:b/>
                <w:bCs/>
                <w:kern w:val="2"/>
                <w:sz w:val="22"/>
                <w:szCs w:val="22"/>
                <w:lang w:eastAsia="zh-CN"/>
              </w:rPr>
            </w:pPr>
            <w:r>
              <w:rPr>
                <w:rFonts w:ascii="Arial" w:hAnsi="Arial" w:cs="Arial"/>
                <w:color w:val="1F1F1F"/>
                <w:sz w:val="20"/>
                <w:szCs w:val="20"/>
                <w:shd w:val="clear" w:color="auto" w:fill="FFFFFF"/>
              </w:rPr>
              <w:drawing>
                <wp:inline distT="0" distB="0" distL="0" distR="0">
                  <wp:extent cx="4452620" cy="2247900"/>
                  <wp:effectExtent l="0" t="0" r="12700" b="7620"/>
                  <wp:docPr id="14514241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4183" name="图片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452620" cy="2249033"/>
                          </a:xfrm>
                          <a:prstGeom prst="rect">
                            <a:avLst/>
                          </a:prstGeom>
                          <a:noFill/>
                          <a:ln>
                            <a:noFill/>
                          </a:ln>
                        </pic:spPr>
                      </pic:pic>
                    </a:graphicData>
                  </a:graphic>
                </wp:inline>
              </w:drawing>
            </w:r>
          </w:p>
        </w:tc>
      </w:tr>
      <w:tr w14:paraId="2060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84" w:type="dxa"/>
          <w:trHeight w:val="90" w:hRule="atLeast"/>
        </w:trPr>
        <w:tc>
          <w:tcPr>
            <w:tcW w:w="7680" w:type="dxa"/>
            <w:gridSpan w:val="2"/>
            <w:tcBorders>
              <w:top w:val="nil"/>
            </w:tcBorders>
          </w:tcPr>
          <w:p w14:paraId="6ED5599D">
            <w:pPr>
              <w:jc w:val="both"/>
              <w:rPr>
                <w:rFonts w:cs="Calibri" w:eastAsiaTheme="minorEastAsia"/>
                <w:lang w:eastAsia="zh-CN"/>
              </w:rPr>
            </w:pPr>
            <w:r>
              <w:rPr>
                <w:rFonts w:cs="Calibri" w:eastAsiaTheme="minorEastAsia"/>
                <w:lang w:eastAsia="zh-CN"/>
              </w:rPr>
              <w:t>Note:*Vacancy year-over-year change is between H2 2025 and H2 2024.**Rental rates are quoted asking rates for 250+ kW at N+1/Tier III requirements.</w:t>
            </w:r>
          </w:p>
          <w:p w14:paraId="6C7A06B5">
            <w:pPr>
              <w:jc w:val="both"/>
              <w:rPr>
                <w:rFonts w:eastAsia="楷体" w:cs="Calibri"/>
                <w:b/>
                <w:bCs/>
                <w:kern w:val="2"/>
                <w:sz w:val="22"/>
                <w:szCs w:val="22"/>
                <w:lang w:eastAsia="zh-CN"/>
              </w:rPr>
            </w:pPr>
            <w:r>
              <w:rPr>
                <w:rFonts w:cs="Calibri" w:eastAsiaTheme="minorEastAsia"/>
                <w:lang w:eastAsia="zh-CN"/>
              </w:rPr>
              <w:t>Source: CBRE Research, CBRE Data Center Solutions, H2 2025.HFI</w:t>
            </w:r>
          </w:p>
        </w:tc>
      </w:tr>
    </w:tbl>
    <w:p w14:paraId="26262996">
      <w:pPr>
        <w:widowControl w:val="0"/>
        <w:jc w:val="both"/>
        <w:rPr>
          <w:rFonts w:eastAsia="楷体" w:cs="Calibri"/>
          <w:b/>
          <w:bCs/>
          <w:kern w:val="2"/>
          <w:sz w:val="22"/>
          <w:szCs w:val="22"/>
          <w:lang w:eastAsia="zh-CN"/>
        </w:rPr>
      </w:pPr>
    </w:p>
    <w:p w14:paraId="4801B57A">
      <w:pPr>
        <w:widowControl w:val="0"/>
        <w:jc w:val="both"/>
        <w:rPr>
          <w:rFonts w:eastAsia="楷体" w:cs="Calibri"/>
          <w:b/>
          <w:bCs/>
          <w:kern w:val="2"/>
          <w:sz w:val="22"/>
          <w:szCs w:val="22"/>
          <w:lang w:eastAsia="zh-CN"/>
        </w:rPr>
      </w:pPr>
    </w:p>
    <w:tbl>
      <w:tblPr>
        <w:tblStyle w:val="12"/>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96"/>
        <w:gridCol w:w="384"/>
      </w:tblGrid>
      <w:tr w14:paraId="49D3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241" w:hRule="atLeast"/>
        </w:trPr>
        <w:tc>
          <w:tcPr>
            <w:tcW w:w="7680" w:type="dxa"/>
            <w:gridSpan w:val="2"/>
            <w:tcBorders>
              <w:bottom w:val="nil"/>
            </w:tcBorders>
          </w:tcPr>
          <w:p w14:paraId="2BCF4694">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Figure: Average Asking Rental Rate with Y-o-Y % Change for Primary Markets</w:t>
            </w:r>
          </w:p>
        </w:tc>
      </w:tr>
      <w:tr w14:paraId="0D1F6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4EE39D89">
            <w:pPr>
              <w:widowControl w:val="0"/>
              <w:ind w:left="218"/>
              <w:jc w:val="both"/>
              <w:rPr>
                <w:rFonts w:eastAsia="楷体" w:cs="Calibri"/>
                <w:b/>
                <w:bCs/>
                <w:kern w:val="2"/>
                <w:sz w:val="22"/>
                <w:szCs w:val="22"/>
                <w:lang w:eastAsia="zh-CN"/>
              </w:rPr>
            </w:pPr>
            <w:r>
              <w:rPr>
                <w:rFonts w:ascii="Arial" w:hAnsi="Arial" w:cs="Arial"/>
                <w:color w:val="1F1F1F"/>
                <w:sz w:val="20"/>
                <w:szCs w:val="20"/>
                <w:shd w:val="clear" w:color="auto" w:fill="FFFFFF"/>
              </w:rPr>
              <w:drawing>
                <wp:inline distT="0" distB="0" distL="0" distR="0">
                  <wp:extent cx="4439920" cy="2609850"/>
                  <wp:effectExtent l="0" t="0" r="10160" b="11430"/>
                  <wp:docPr id="8385064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06416" name="图片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439920" cy="2612927"/>
                          </a:xfrm>
                          <a:prstGeom prst="rect">
                            <a:avLst/>
                          </a:prstGeom>
                          <a:noFill/>
                          <a:ln>
                            <a:noFill/>
                          </a:ln>
                        </pic:spPr>
                      </pic:pic>
                    </a:graphicData>
                  </a:graphic>
                </wp:inline>
              </w:drawing>
            </w:r>
          </w:p>
        </w:tc>
      </w:tr>
      <w:tr w14:paraId="17B63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84" w:type="dxa"/>
          <w:trHeight w:val="90" w:hRule="atLeast"/>
        </w:trPr>
        <w:tc>
          <w:tcPr>
            <w:tcW w:w="7680" w:type="dxa"/>
            <w:gridSpan w:val="2"/>
            <w:tcBorders>
              <w:top w:val="nil"/>
            </w:tcBorders>
          </w:tcPr>
          <w:p w14:paraId="32BD0003">
            <w:pPr>
              <w:jc w:val="both"/>
              <w:rPr>
                <w:rFonts w:eastAsia="楷体" w:cs="Calibri"/>
                <w:b/>
                <w:bCs/>
                <w:kern w:val="2"/>
                <w:sz w:val="22"/>
                <w:szCs w:val="22"/>
                <w:lang w:eastAsia="zh-CN"/>
              </w:rPr>
            </w:pPr>
            <w:r>
              <w:rPr>
                <w:rFonts w:cs="Calibri" w:eastAsiaTheme="minorEastAsia"/>
                <w:lang w:eastAsia="zh-CN"/>
              </w:rPr>
              <w:t>Source: CBRE Research, CBRE Data Center Solutions, H2 2025. HFI</w:t>
            </w:r>
          </w:p>
        </w:tc>
      </w:tr>
    </w:tbl>
    <w:p w14:paraId="6715F587">
      <w:pPr>
        <w:widowControl w:val="0"/>
        <w:jc w:val="both"/>
        <w:rPr>
          <w:rFonts w:eastAsia="楷体" w:cs="Calibri"/>
          <w:kern w:val="2"/>
          <w:sz w:val="22"/>
          <w:szCs w:val="22"/>
          <w:lang w:eastAsia="zh-CN"/>
        </w:rPr>
      </w:pPr>
    </w:p>
    <w:p w14:paraId="56CEE26D">
      <w:pPr>
        <w:widowControl w:val="0"/>
        <w:jc w:val="both"/>
        <w:rPr>
          <w:rFonts w:eastAsia="楷体" w:cs="Calibri"/>
          <w:kern w:val="2"/>
          <w:sz w:val="22"/>
          <w:szCs w:val="22"/>
          <w:lang w:eastAsia="zh-CN"/>
        </w:rPr>
      </w:pPr>
      <w:r>
        <w:rPr>
          <w:rFonts w:eastAsia="楷体" w:cs="Calibri"/>
          <w:kern w:val="2"/>
          <w:sz w:val="22"/>
          <w:szCs w:val="22"/>
          <w:lang w:eastAsia="zh-CN"/>
        </w:rPr>
        <w:t>Despite these supply constraints, the development pipeline remains robust as developers pivot toward power-first site selection to meet long-term needs. In 2025, primary market supply expanded by 36% year-over-year to reach a total of 9,432 MW, supported by a record net absorption of 2,497.6 MW. At the end of the year, there were approximately 5,994.4 MW of capacity under construction in primary markets, although new project starts have faced challenges due to power procurement hurdles and zoning delays. This supply is so tightly contested that 4,799.9 MW has already been secured by tenants, resulting in a staggering pre-lease ratio of approximately 80.1%. This high-demand environment has led to a highly pre-committed market, where most of the new capacity is leased long before construction is completed, reinforcing the sector's shift toward large-scale, AI-optimized infrastructure.</w:t>
      </w:r>
    </w:p>
    <w:p w14:paraId="4EB8AB50">
      <w:pPr>
        <w:widowControl w:val="0"/>
        <w:jc w:val="both"/>
        <w:rPr>
          <w:rFonts w:eastAsia="楷体" w:cs="Calibri"/>
          <w:kern w:val="2"/>
          <w:sz w:val="22"/>
          <w:szCs w:val="22"/>
          <w:lang w:eastAsia="zh-CN"/>
        </w:rPr>
      </w:pPr>
    </w:p>
    <w:tbl>
      <w:tblPr>
        <w:tblStyle w:val="12"/>
        <w:tblW w:w="752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0"/>
      </w:tblGrid>
      <w:tr w14:paraId="2CE26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520" w:type="dxa"/>
            <w:tcBorders>
              <w:bottom w:val="nil"/>
            </w:tcBorders>
          </w:tcPr>
          <w:p w14:paraId="093AB946">
            <w:pPr>
              <w:widowControl w:val="0"/>
              <w:jc w:val="both"/>
              <w:rPr>
                <w:rFonts w:eastAsia="楷体" w:cs="Calibri"/>
                <w:kern w:val="2"/>
                <w:sz w:val="22"/>
                <w:szCs w:val="22"/>
                <w:lang w:eastAsia="zh-CN"/>
              </w:rPr>
            </w:pPr>
            <w:r>
              <w:rPr>
                <w:rFonts w:eastAsia="楷体" w:cs="Calibri"/>
                <w:b/>
                <w:bCs/>
                <w:kern w:val="2"/>
                <w:sz w:val="20"/>
                <w:szCs w:val="20"/>
                <w:lang w:eastAsia="zh-CN"/>
              </w:rPr>
              <w:t>Figure:</w:t>
            </w:r>
            <w:r>
              <w:rPr>
                <w:rFonts w:hint="eastAsia" w:eastAsia="楷体" w:cs="Calibri"/>
                <w:b/>
                <w:bCs/>
                <w:kern w:val="2"/>
                <w:sz w:val="20"/>
                <w:szCs w:val="20"/>
                <w:lang w:eastAsia="zh-CN"/>
              </w:rPr>
              <w:t xml:space="preserve"> </w:t>
            </w:r>
            <w:r>
              <w:rPr>
                <w:rFonts w:eastAsia="楷体" w:cs="Calibri"/>
                <w:b/>
                <w:bCs/>
                <w:kern w:val="2"/>
                <w:sz w:val="20"/>
                <w:szCs w:val="20"/>
                <w:lang w:eastAsia="zh-CN"/>
              </w:rPr>
              <w:t>Primary Markets Net Absorption, Preleasing &amp; Under Construction</w:t>
            </w:r>
          </w:p>
        </w:tc>
      </w:tr>
      <w:tr w14:paraId="1D9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20" w:type="dxa"/>
            <w:tcBorders>
              <w:top w:val="nil"/>
              <w:bottom w:val="nil"/>
            </w:tcBorders>
            <w:tcMar>
              <w:top w:w="28" w:type="dxa"/>
              <w:bottom w:w="28" w:type="dxa"/>
            </w:tcMar>
            <w:vAlign w:val="center"/>
          </w:tcPr>
          <w:p w14:paraId="0449C882">
            <w:pPr>
              <w:widowControl w:val="0"/>
              <w:jc w:val="both"/>
              <w:rPr>
                <w:rFonts w:eastAsia="楷体" w:cs="Calibri"/>
                <w:kern w:val="2"/>
                <w:sz w:val="22"/>
                <w:szCs w:val="22"/>
                <w:lang w:eastAsia="zh-CN"/>
              </w:rPr>
            </w:pPr>
            <w:r>
              <w:rPr>
                <w:rFonts w:ascii="Arial" w:hAnsi="Arial" w:cs="Arial"/>
                <w:color w:val="1F1F1F"/>
                <w:sz w:val="20"/>
                <w:szCs w:val="20"/>
                <w:shd w:val="clear" w:color="auto" w:fill="FFFFFF"/>
              </w:rPr>
              <w:drawing>
                <wp:inline distT="0" distB="0" distL="0" distR="0">
                  <wp:extent cx="4540885" cy="3552190"/>
                  <wp:effectExtent l="0" t="0" r="635" b="13970"/>
                  <wp:docPr id="64583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30103"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540885" cy="3557009"/>
                          </a:xfrm>
                          <a:prstGeom prst="rect">
                            <a:avLst/>
                          </a:prstGeom>
                          <a:noFill/>
                          <a:ln>
                            <a:noFill/>
                          </a:ln>
                        </pic:spPr>
                      </pic:pic>
                    </a:graphicData>
                  </a:graphic>
                </wp:inline>
              </w:drawing>
            </w:r>
          </w:p>
        </w:tc>
      </w:tr>
      <w:tr w14:paraId="7D9F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520" w:type="dxa"/>
            <w:tcBorders>
              <w:top w:val="nil"/>
            </w:tcBorders>
          </w:tcPr>
          <w:p w14:paraId="4CDAB6B3">
            <w:pPr>
              <w:jc w:val="both"/>
              <w:rPr>
                <w:rFonts w:eastAsia="楷体" w:cs="Calibri"/>
                <w:kern w:val="2"/>
                <w:sz w:val="12"/>
                <w:szCs w:val="12"/>
                <w:lang w:eastAsia="zh-CN"/>
              </w:rPr>
            </w:pPr>
            <w:r>
              <w:rPr>
                <w:rFonts w:cs="Calibri" w:eastAsiaTheme="minorEastAsia"/>
                <w:lang w:eastAsia="zh-CN"/>
              </w:rPr>
              <w:t>Source: CBRE Research, CBRE Data Center Solutions, H2 2025. HFI</w:t>
            </w:r>
          </w:p>
        </w:tc>
      </w:tr>
    </w:tbl>
    <w:p w14:paraId="74AF89E8">
      <w:pPr>
        <w:widowControl w:val="0"/>
        <w:jc w:val="both"/>
        <w:rPr>
          <w:rFonts w:eastAsia="楷体" w:cs="Calibri"/>
          <w:kern w:val="2"/>
          <w:sz w:val="22"/>
          <w:szCs w:val="22"/>
          <w:lang w:eastAsia="zh-CN"/>
        </w:rPr>
      </w:pPr>
    </w:p>
    <w:p w14:paraId="68503B48">
      <w:pPr>
        <w:widowControl w:val="0"/>
        <w:jc w:val="both"/>
        <w:rPr>
          <w:rFonts w:eastAsia="楷体" w:cs="Calibri"/>
          <w:kern w:val="2"/>
          <w:sz w:val="22"/>
          <w:szCs w:val="22"/>
          <w:lang w:eastAsia="zh-CN"/>
        </w:rPr>
      </w:pPr>
      <w:r>
        <w:rPr>
          <w:rFonts w:eastAsia="楷体" w:cs="Calibri"/>
          <w:b/>
          <w:bCs/>
          <w:kern w:val="2"/>
          <w:sz w:val="22"/>
          <w:szCs w:val="22"/>
          <w:lang w:eastAsia="zh-CN"/>
        </w:rPr>
        <w:t xml:space="preserve">While the AI-driven data center construction boom is dramatically increasing demand for IT equipment, the burgeoning market for AIDC is also driving a significant structural shift in investment toward non-IT Capital Expenditure (CapEx), including the power infrastructure. </w:t>
      </w:r>
      <w:r>
        <w:rPr>
          <w:rFonts w:eastAsia="楷体" w:cs="Calibri"/>
          <w:kern w:val="2"/>
          <w:sz w:val="22"/>
          <w:szCs w:val="22"/>
          <w:lang w:eastAsia="zh-CN"/>
        </w:rPr>
        <w:t>As AI clusters require exponentially more physical support than traditional cloud computing, the supporting non-IT construction spending—which includes the electrical, thermal management layers, building shell, etc.—now sees a commensurate increase with IT-related development costs. According to co-location operator Digital Realty, within a data center facility total capital investment excluding IT equipment breaks down roughly as follows:~30% for building shell and core; ~35% for electrical systems; ~20% for HVAC and mechanical systems; ~15% for racks and containment.</w:t>
      </w:r>
    </w:p>
    <w:p w14:paraId="78F4ED38">
      <w:pPr>
        <w:widowControl w:val="0"/>
        <w:jc w:val="both"/>
        <w:rPr>
          <w:rFonts w:eastAsia="楷体" w:cs="Calibri"/>
          <w:kern w:val="2"/>
          <w:sz w:val="22"/>
          <w:szCs w:val="22"/>
          <w:lang w:eastAsia="zh-CN"/>
        </w:rPr>
      </w:pPr>
    </w:p>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4B3CC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48F71DBE">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Co-location data centre Capex split (excluding IT equipment) </w:t>
            </w:r>
          </w:p>
        </w:tc>
      </w:tr>
      <w:tr w14:paraId="55A2D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7695386E">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640580" cy="1518285"/>
                  <wp:effectExtent l="0" t="0" r="7620" b="5715"/>
                  <wp:docPr id="17043908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0864" name="图片 10"/>
                          <pic:cNvPicPr>
                            <a:picLocks noChangeAspect="1"/>
                          </pic:cNvPicPr>
                        </pic:nvPicPr>
                        <pic:blipFill>
                          <a:blip r:embed="rId37"/>
                          <a:stretch>
                            <a:fillRect/>
                          </a:stretch>
                        </pic:blipFill>
                        <pic:spPr>
                          <a:xfrm>
                            <a:off x="0" y="0"/>
                            <a:ext cx="4646441" cy="1520347"/>
                          </a:xfrm>
                          <a:prstGeom prst="rect">
                            <a:avLst/>
                          </a:prstGeom>
                          <a:noFill/>
                          <a:ln>
                            <a:noFill/>
                          </a:ln>
                        </pic:spPr>
                      </pic:pic>
                    </a:graphicData>
                  </a:graphic>
                </wp:inline>
              </w:drawing>
            </w:r>
          </w:p>
        </w:tc>
      </w:tr>
      <w:tr w14:paraId="11D3F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638F76F8">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Digital Realty</w:t>
            </w:r>
            <w:r>
              <w:rPr>
                <w:rFonts w:cs="Calibri" w:eastAsiaTheme="minorEastAsia"/>
                <w:lang w:eastAsia="zh-CN"/>
              </w:rPr>
              <w:t>, HFI</w:t>
            </w:r>
          </w:p>
        </w:tc>
      </w:tr>
    </w:tbl>
    <w:p w14:paraId="6DF7630C">
      <w:pPr>
        <w:widowControl w:val="0"/>
        <w:jc w:val="both"/>
        <w:rPr>
          <w:rFonts w:eastAsia="楷体" w:cs="Calibri"/>
          <w:b/>
          <w:bCs/>
          <w:kern w:val="2"/>
          <w:sz w:val="22"/>
          <w:szCs w:val="22"/>
          <w:lang w:eastAsia="zh-CN"/>
        </w:rPr>
      </w:pPr>
    </w:p>
    <w:p w14:paraId="55AE9E83">
      <w:pPr>
        <w:widowControl w:val="0"/>
        <w:jc w:val="both"/>
        <w:rPr>
          <w:rFonts w:eastAsia="楷体" w:cs="Calibri"/>
          <w:b/>
          <w:bCs/>
          <w:kern w:val="2"/>
          <w:sz w:val="22"/>
          <w:szCs w:val="22"/>
          <w:lang w:eastAsia="zh-CN"/>
        </w:rPr>
      </w:pPr>
    </w:p>
    <w:p w14:paraId="316615ED">
      <w:pPr>
        <w:widowControl w:val="0"/>
        <w:jc w:val="both"/>
        <w:rPr>
          <w:rFonts w:eastAsia="楷体" w:cs="Calibri"/>
          <w:b/>
          <w:bCs/>
          <w:kern w:val="2"/>
          <w:sz w:val="22"/>
          <w:szCs w:val="22"/>
          <w:lang w:eastAsia="zh-CN"/>
        </w:rPr>
      </w:pPr>
    </w:p>
    <w:p w14:paraId="469FAB5C">
      <w:pPr>
        <w:widowControl w:val="0"/>
        <w:jc w:val="both"/>
        <w:rPr>
          <w:rFonts w:eastAsia="楷体" w:cs="Calibri"/>
          <w:kern w:val="2"/>
          <w:sz w:val="22"/>
          <w:szCs w:val="22"/>
        </w:rPr>
      </w:pPr>
      <w:r>
        <w:rPr>
          <w:rFonts w:eastAsia="楷体" w:cs="Calibri"/>
          <w:b/>
          <w:bCs/>
          <w:kern w:val="2"/>
          <w:sz w:val="22"/>
          <w:szCs w:val="22"/>
        </w:rPr>
        <w:t xml:space="preserve">The surge in energy intensity of data center required more robust power management solution and create opportunities for solution providers, like Eaton, ABB, Vertiv, Schneider Electric. </w:t>
      </w:r>
      <w:r>
        <w:rPr>
          <w:rFonts w:eastAsia="楷体" w:cs="Calibri"/>
          <w:kern w:val="2"/>
          <w:sz w:val="22"/>
          <w:szCs w:val="22"/>
        </w:rPr>
        <w:t>The intensification of AI training and inference has led to a dramatic spike in rack density, moving from traditional 5–10 kW racks to AI-specific configurations exceeding 50–100 kW per rack. To protect these high-value GPU clusters, operators are demanding higher redundancy and more sophisticated electrical architectures, contributing to forecasts that data center electricity consumption will grow from roughly 4% in 2024 to approximately 9% of total U.S. power demand by 2030, according to the Electric Power Research Institute (EPRI). The reliability of the entire power chain is now paramount. This urgency drives a 'flight to quality' for switchgear and UPS systems, as operators prioritize Tier-1 vendors who can provide the sophisticated, large-scale power management required to support ultra-dense AI workloads without interruption.</w:t>
      </w:r>
    </w:p>
    <w:p w14:paraId="2F431522">
      <w:pPr>
        <w:widowControl w:val="0"/>
        <w:jc w:val="both"/>
        <w:rPr>
          <w:rFonts w:eastAsia="楷体" w:cs="Calibri"/>
          <w:b/>
          <w:bCs/>
          <w:kern w:val="2"/>
          <w:sz w:val="22"/>
          <w:szCs w:val="22"/>
          <w:lang w:eastAsia="zh-CN"/>
        </w:rPr>
      </w:pPr>
    </w:p>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643F1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3B8E7C30">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A simplified illustration of electric flow in a typical data center </w:t>
            </w:r>
          </w:p>
        </w:tc>
      </w:tr>
      <w:tr w14:paraId="0BD33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638F4EE9">
            <w:pPr>
              <w:widowControl w:val="0"/>
              <w:jc w:val="both"/>
              <w:rPr>
                <w:rFonts w:eastAsia="楷体" w:cs="Calibri"/>
                <w:b/>
                <w:bCs/>
                <w:kern w:val="2"/>
                <w:sz w:val="22"/>
                <w:szCs w:val="22"/>
                <w:lang w:eastAsia="zh-CN"/>
              </w:rPr>
            </w:pPr>
            <w:r>
              <w:rPr>
                <w:rFonts w:cs="Calibri"/>
                <w:b/>
                <w:bCs/>
                <w:color w:val="000000"/>
                <w:sz w:val="22"/>
                <w:szCs w:val="22"/>
              </w:rPr>
              <w:drawing>
                <wp:inline distT="0" distB="0" distL="0" distR="0">
                  <wp:extent cx="4064000" cy="3044825"/>
                  <wp:effectExtent l="0" t="0" r="5080" b="3175"/>
                  <wp:docPr id="13161366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6682" name="图片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70741" cy="3049827"/>
                          </a:xfrm>
                          <a:prstGeom prst="rect">
                            <a:avLst/>
                          </a:prstGeom>
                          <a:noFill/>
                          <a:ln>
                            <a:noFill/>
                          </a:ln>
                        </pic:spPr>
                      </pic:pic>
                    </a:graphicData>
                  </a:graphic>
                </wp:inline>
              </w:drawing>
            </w:r>
          </w:p>
        </w:tc>
      </w:tr>
      <w:tr w14:paraId="5E1D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40B0EA6C">
            <w:pPr>
              <w:widowControl w:val="0"/>
              <w:jc w:val="both"/>
              <w:rPr>
                <w:rFonts w:eastAsia="楷体" w:cs="Calibri"/>
                <w:b/>
                <w:bCs/>
                <w:kern w:val="2"/>
                <w:lang w:eastAsia="zh-CN"/>
              </w:rPr>
            </w:pPr>
            <w:r>
              <w:rPr>
                <w:rFonts w:eastAsia="楷体" w:cs="Calibri"/>
                <w:kern w:val="2"/>
                <w:lang w:eastAsia="zh-CN"/>
              </w:rPr>
              <w:t>Source:</w:t>
            </w:r>
            <w:r>
              <w:rPr>
                <w:rFonts w:hint="eastAsia" w:eastAsia="楷体" w:cs="Calibri"/>
                <w:kern w:val="2"/>
                <w:lang w:eastAsia="zh-CN"/>
              </w:rPr>
              <w:t xml:space="preserve"> </w:t>
            </w:r>
            <w:r>
              <w:rPr>
                <w:rFonts w:eastAsia="楷体" w:cs="Calibri"/>
                <w:kern w:val="2"/>
                <w:lang w:eastAsia="zh-CN"/>
              </w:rPr>
              <w:t>HFI</w:t>
            </w:r>
          </w:p>
        </w:tc>
      </w:tr>
    </w:tbl>
    <w:p w14:paraId="3EE9C89D">
      <w:pPr>
        <w:widowControl w:val="0"/>
        <w:jc w:val="both"/>
        <w:rPr>
          <w:rFonts w:eastAsia="楷体" w:cs="Calibri"/>
          <w:b/>
          <w:bCs/>
          <w:iCs/>
          <w:snapToGrid/>
          <w:color w:val="23558C"/>
          <w:sz w:val="24"/>
          <w:szCs w:val="20"/>
          <w:lang w:eastAsia="zh-CN"/>
        </w:rPr>
      </w:pPr>
    </w:p>
    <w:p w14:paraId="29C20009">
      <w:pPr>
        <w:pStyle w:val="3"/>
        <w:jc w:val="both"/>
        <w:rPr>
          <w:rFonts w:eastAsia="楷体" w:cs="Calibri"/>
          <w:snapToGrid/>
          <w:color w:val="23558C"/>
          <w:sz w:val="24"/>
          <w:szCs w:val="20"/>
          <w:lang w:eastAsia="zh-CN"/>
        </w:rPr>
      </w:pPr>
      <w:bookmarkStart w:id="6" w:name="_Toc5940"/>
      <w:r>
        <w:rPr>
          <w:rFonts w:hint="eastAsia" w:eastAsia="楷体" w:cs="Calibri"/>
          <w:snapToGrid/>
          <w:color w:val="23558C"/>
          <w:sz w:val="24"/>
          <w:szCs w:val="20"/>
          <w:lang w:eastAsia="zh-CN"/>
        </w:rPr>
        <w:t>2.2 AIDC</w:t>
      </w:r>
      <w:r>
        <w:rPr>
          <w:rFonts w:eastAsia="楷体" w:cs="Calibri"/>
          <w:snapToGrid/>
          <w:color w:val="23558C"/>
          <w:sz w:val="24"/>
          <w:szCs w:val="20"/>
          <w:lang w:eastAsia="zh-CN"/>
        </w:rPr>
        <w:t>Power grid upgrade and modernization: robust demand for electrical equipment when aging grid meets re-industrialization and more electricity generation.</w:t>
      </w:r>
      <w:bookmarkEnd w:id="6"/>
    </w:p>
    <w:p w14:paraId="12881A4F">
      <w:pPr>
        <w:widowControl w:val="0"/>
        <w:jc w:val="both"/>
        <w:rPr>
          <w:rFonts w:eastAsia="楷体" w:cs="Calibri"/>
          <w:b/>
          <w:bCs/>
          <w:kern w:val="2"/>
          <w:sz w:val="22"/>
          <w:szCs w:val="22"/>
          <w:lang w:eastAsia="zh-CN"/>
        </w:rPr>
      </w:pPr>
    </w:p>
    <w:p w14:paraId="0959700D">
      <w:pPr>
        <w:widowControl w:val="0"/>
        <w:jc w:val="both"/>
        <w:rPr>
          <w:rFonts w:eastAsia="楷体" w:cs="Calibri"/>
          <w:kern w:val="2"/>
          <w:sz w:val="22"/>
          <w:szCs w:val="22"/>
          <w:lang w:eastAsia="zh-CN"/>
        </w:rPr>
      </w:pPr>
      <w:r>
        <w:rPr>
          <w:rFonts w:eastAsia="楷体" w:cs="Calibri"/>
          <w:b/>
          <w:bCs/>
          <w:kern w:val="2"/>
          <w:sz w:val="22"/>
          <w:szCs w:val="22"/>
          <w:lang w:eastAsia="zh-CN"/>
        </w:rPr>
        <w:t>The United States electrical grid is currently facing a critical inflection point characterized by decades of chronic underinvestment.</w:t>
      </w:r>
      <w:r>
        <w:rPr>
          <w:rFonts w:eastAsia="楷体" w:cs="Calibri"/>
          <w:kern w:val="2"/>
          <w:sz w:val="22"/>
          <w:szCs w:val="22"/>
          <w:lang w:eastAsia="zh-CN"/>
        </w:rPr>
        <w:t xml:space="preserve"> Approximately 70% of the U.S. grid is now over 25 years old, a clear indicator of a systemic aging issue that has rendered the infrastructure increasingly fragile. As these legacy assets reach the end of their operational lifecycles, the frequency of grid failures and outages has escalated, mandating an accelerated replacement and hardening cycle to ensure national energy security. As per NERC, more than half of North America is at risk of energy shortfalls in the next five to 10 years. This necessary wave of equipment replacement is no longer discretionary but an urgent requirement to modernize a foundation that remained largely stagnant for the past 30 to 40 years.</w:t>
      </w:r>
    </w:p>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0EFEB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0798E10F">
            <w:pPr>
              <w:widowControl w:val="0"/>
              <w:jc w:val="both"/>
              <w:rPr>
                <w:rFonts w:eastAsia="楷体" w:cs="Calibri"/>
                <w:b/>
                <w:bCs/>
                <w:kern w:val="2"/>
                <w:sz w:val="22"/>
                <w:szCs w:val="22"/>
                <w:lang w:eastAsia="zh-CN"/>
              </w:rPr>
            </w:pPr>
            <w:r>
              <w:rPr>
                <w:rFonts w:eastAsia="楷体" w:cs="Calibri"/>
                <w:b/>
                <w:bCs/>
                <w:kern w:val="2"/>
                <w:sz w:val="20"/>
                <w:szCs w:val="20"/>
                <w:lang w:eastAsia="zh-CN"/>
              </w:rPr>
              <w:t>Figure: Capacity and Energy Risk Assessment- Risk Area Summary (2025–29)</w:t>
            </w:r>
          </w:p>
        </w:tc>
      </w:tr>
      <w:tr w14:paraId="62D0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5D2B57B2">
            <w:pPr>
              <w:widowControl w:val="0"/>
              <w:jc w:val="both"/>
              <w:rPr>
                <w:rFonts w:eastAsia="楷体" w:cs="Calibri"/>
                <w:b/>
                <w:bCs/>
                <w:kern w:val="2"/>
                <w:sz w:val="22"/>
                <w:szCs w:val="22"/>
                <w:lang w:eastAsia="zh-CN"/>
              </w:rPr>
            </w:pPr>
            <w:r>
              <w:rPr>
                <w:rFonts w:ascii="Arial" w:hAnsi="Arial" w:cs="Arial"/>
                <w:color w:val="000000"/>
                <w:sz w:val="20"/>
                <w:szCs w:val="20"/>
              </w:rPr>
              <w:drawing>
                <wp:inline distT="0" distB="0" distL="0" distR="0">
                  <wp:extent cx="3362960" cy="1917065"/>
                  <wp:effectExtent l="0" t="0" r="5080" b="3175"/>
                  <wp:docPr id="12176490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9056" name="图片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2960" cy="1917065"/>
                          </a:xfrm>
                          <a:prstGeom prst="rect">
                            <a:avLst/>
                          </a:prstGeom>
                          <a:noFill/>
                          <a:ln>
                            <a:noFill/>
                          </a:ln>
                        </pic:spPr>
                      </pic:pic>
                    </a:graphicData>
                  </a:graphic>
                </wp:inline>
              </w:drawing>
            </w:r>
          </w:p>
        </w:tc>
      </w:tr>
      <w:tr w14:paraId="6E195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6A482DFE">
            <w:pPr>
              <w:widowControl w:val="0"/>
              <w:jc w:val="both"/>
              <w:rPr>
                <w:rFonts w:eastAsia="楷体" w:cs="Calibri"/>
                <w:b/>
                <w:bCs/>
                <w:kern w:val="2"/>
                <w:lang w:eastAsia="zh-CN"/>
              </w:rPr>
            </w:pPr>
            <w:r>
              <w:rPr>
                <w:rFonts w:eastAsia="楷体" w:cs="Calibri"/>
                <w:kern w:val="2"/>
                <w:lang w:eastAsia="zh-CN"/>
              </w:rPr>
              <w:t>Source:</w:t>
            </w:r>
            <w:r>
              <w:rPr>
                <w:rFonts w:hint="eastAsia" w:eastAsia="楷体" w:cs="Calibri"/>
                <w:kern w:val="2"/>
                <w:lang w:eastAsia="zh-CN"/>
              </w:rPr>
              <w:t xml:space="preserve"> Digital Realty</w:t>
            </w:r>
            <w:r>
              <w:rPr>
                <w:rFonts w:eastAsia="楷体" w:cs="Calibri"/>
                <w:kern w:val="2"/>
                <w:lang w:eastAsia="zh-CN"/>
              </w:rPr>
              <w:t>, HFI</w:t>
            </w:r>
          </w:p>
        </w:tc>
      </w:tr>
    </w:tbl>
    <w:p w14:paraId="0815DD79">
      <w:pPr>
        <w:widowControl w:val="0"/>
        <w:jc w:val="both"/>
        <w:rPr>
          <w:rFonts w:eastAsia="楷体" w:cs="Calibri"/>
          <w:kern w:val="2"/>
          <w:sz w:val="22"/>
          <w:szCs w:val="22"/>
          <w:lang w:eastAsia="zh-CN"/>
        </w:rPr>
      </w:pPr>
    </w:p>
    <w:p w14:paraId="472C6808">
      <w:pPr>
        <w:widowControl w:val="0"/>
        <w:jc w:val="both"/>
        <w:rPr>
          <w:rFonts w:eastAsia="楷体" w:cs="Calibri"/>
          <w:kern w:val="2"/>
          <w:sz w:val="22"/>
          <w:szCs w:val="22"/>
          <w:lang w:eastAsia="zh-CN"/>
        </w:rPr>
      </w:pPr>
      <w:r>
        <w:rPr>
          <w:rFonts w:eastAsia="楷体" w:cs="Calibri"/>
          <w:b/>
          <w:bCs/>
          <w:kern w:val="2"/>
          <w:sz w:val="22"/>
          <w:szCs w:val="22"/>
          <w:lang w:eastAsia="zh-CN"/>
        </w:rPr>
        <w:t>Compounding the pressure on this aging infrastructure is the massive demand surge driven by American re-industrialization and the rapid integration of renewable energy sources.</w:t>
      </w:r>
      <w:r>
        <w:rPr>
          <w:rFonts w:eastAsia="楷体" w:cs="Calibri"/>
          <w:kern w:val="2"/>
          <w:sz w:val="22"/>
          <w:szCs w:val="22"/>
          <w:lang w:eastAsia="zh-CN"/>
        </w:rPr>
        <w:t xml:space="preserve"> According to the Department of Energy, U.S. electricity generation is expected to grow at 6x the Compound Annual Growth Rate (CAGR) over the year 2024 to 2030 compared to the pace seen over the last two decades. This unprecedented growth is propelled by the large-scale interconnection of solar and wind power, both of which introduce high levels of variability and load stress to the system.</w:t>
      </w:r>
    </w:p>
    <w:p w14:paraId="0D9FD56C">
      <w:pPr>
        <w:widowControl w:val="0"/>
        <w:jc w:val="both"/>
        <w:rPr>
          <w:rFonts w:eastAsia="楷体" w:cs="Calibri"/>
          <w:kern w:val="2"/>
          <w:sz w:val="22"/>
          <w:szCs w:val="22"/>
          <w:lang w:eastAsia="zh-CN"/>
        </w:rPr>
      </w:pPr>
    </w:p>
    <w:p w14:paraId="153981DF">
      <w:pPr>
        <w:widowControl w:val="0"/>
        <w:jc w:val="both"/>
        <w:rPr>
          <w:rFonts w:eastAsia="楷体" w:cs="Calibri"/>
          <w:kern w:val="2"/>
          <w:sz w:val="22"/>
          <w:szCs w:val="22"/>
          <w:lang w:eastAsia="zh-CN"/>
        </w:rPr>
      </w:pPr>
      <w:r>
        <w:rPr>
          <w:rFonts w:eastAsia="楷体" w:cs="Calibri"/>
          <w:b/>
          <w:bCs/>
          <w:kern w:val="2"/>
          <w:sz w:val="22"/>
          <w:szCs w:val="22"/>
          <w:lang w:eastAsia="zh-CN"/>
        </w:rPr>
        <w:t>To accommodate this transition, there is a burgeoning need for significant new capital investment focused on grid automation and digitalization.</w:t>
      </w:r>
      <w:r>
        <w:rPr>
          <w:rFonts w:eastAsia="楷体" w:cs="Calibri"/>
          <w:kern w:val="2"/>
          <w:sz w:val="22"/>
          <w:szCs w:val="22"/>
          <w:lang w:eastAsia="zh-CN"/>
        </w:rPr>
        <w:t xml:space="preserve"> In response to increased demand, the utility sector in North America has started and is planning a surge in capital investment. According to Morningstar, investor-owned utilities in the U.S. have already invested more than $1.3 trillion in the past decade to enhance energy infrastructure. 4 Growth expenditures by these utilities are expected to exceed $1.1 trillion over the five-year period ending December 31, 2029. This macro-trend creates a robust, long-term demand cycle for advanced electrical equipment, as the grid must evolve from a passive distribution network into a dynamic, digitalized infrastructure capable of supporting the next era of industrial and technological expansion.</w:t>
      </w:r>
    </w:p>
    <w:p w14:paraId="16441CF3">
      <w:pPr>
        <w:widowControl w:val="0"/>
        <w:jc w:val="both"/>
        <w:rPr>
          <w:rFonts w:eastAsia="楷体" w:cs="Calibri"/>
          <w:kern w:val="2"/>
          <w:sz w:val="22"/>
          <w:szCs w:val="22"/>
          <w:lang w:eastAsia="zh-CN"/>
        </w:rPr>
      </w:pPr>
    </w:p>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13F5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6FE08902">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w:t>
            </w:r>
            <w:r>
              <w:rPr>
                <w:rFonts w:hint="eastAsia" w:eastAsia="楷体" w:cs="Calibri"/>
                <w:b/>
                <w:bCs/>
                <w:kern w:val="2"/>
                <w:sz w:val="20"/>
                <w:szCs w:val="20"/>
                <w:lang w:eastAsia="zh-CN"/>
              </w:rPr>
              <w:t>US grid situation</w:t>
            </w:r>
          </w:p>
        </w:tc>
      </w:tr>
      <w:tr w14:paraId="2B7F1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3A3F5A7C">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4014470" cy="2252345"/>
                  <wp:effectExtent l="0" t="0" r="8890" b="3175"/>
                  <wp:docPr id="1191221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1716" name="图片 1"/>
                          <pic:cNvPicPr>
                            <a:picLocks noChangeAspect="1"/>
                          </pic:cNvPicPr>
                        </pic:nvPicPr>
                        <pic:blipFill>
                          <a:blip r:embed="rId40"/>
                          <a:stretch>
                            <a:fillRect/>
                          </a:stretch>
                        </pic:blipFill>
                        <pic:spPr>
                          <a:xfrm>
                            <a:off x="0" y="0"/>
                            <a:ext cx="4016519" cy="2252345"/>
                          </a:xfrm>
                          <a:prstGeom prst="rect">
                            <a:avLst/>
                          </a:prstGeom>
                        </pic:spPr>
                      </pic:pic>
                    </a:graphicData>
                  </a:graphic>
                </wp:inline>
              </w:drawing>
            </w:r>
          </w:p>
        </w:tc>
      </w:tr>
      <w:tr w14:paraId="1F677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4509AE10">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U.S. Energy Information Administration and Department of Energy </w:t>
            </w:r>
            <w:r>
              <w:rPr>
                <w:rFonts w:cs="Calibri" w:eastAsiaTheme="minorEastAsia"/>
                <w:lang w:eastAsia="zh-CN"/>
              </w:rPr>
              <w:t>, HFI</w:t>
            </w:r>
          </w:p>
        </w:tc>
      </w:tr>
    </w:tbl>
    <w:p w14:paraId="09102E65">
      <w:pPr>
        <w:widowControl w:val="0"/>
        <w:jc w:val="both"/>
        <w:rPr>
          <w:rFonts w:eastAsia="楷体" w:cs="Calibri"/>
          <w:kern w:val="2"/>
          <w:sz w:val="22"/>
          <w:szCs w:val="22"/>
          <w:lang w:eastAsia="zh-CN"/>
        </w:rPr>
      </w:pPr>
      <w:r>
        <w:rPr>
          <w:rFonts w:eastAsia="楷体" w:cs="Calibri"/>
          <w:b/>
          <w:bCs/>
          <w:kern w:val="2"/>
          <w:sz w:val="22"/>
          <w:szCs w:val="22"/>
          <w:lang w:eastAsia="zh-CN"/>
        </w:rPr>
        <w:t xml:space="preserve">The market for critical power infrastructure in 2025-2026 remains historically tight </w:t>
      </w:r>
      <w:r>
        <w:rPr>
          <w:rFonts w:eastAsia="楷体" w:cs="Calibri"/>
          <w:kern w:val="2"/>
          <w:sz w:val="22"/>
          <w:szCs w:val="22"/>
          <w:lang w:eastAsia="zh-CN"/>
        </w:rPr>
        <w:t>due to the unprecedented surge in demand from AI data centers and grid modernization with long lead time and rising prices for key components.</w:t>
      </w:r>
    </w:p>
    <w:p w14:paraId="2DAF5CDE">
      <w:pPr>
        <w:widowControl w:val="0"/>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2EADAC96">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0AB0760E">
            <w:pPr>
              <w:rPr>
                <w:rFonts w:eastAsia="楷体" w:cs="Calibri"/>
                <w:kern w:val="2"/>
                <w:sz w:val="22"/>
                <w:szCs w:val="22"/>
                <w:lang w:eastAsia="zh-CN"/>
              </w:rPr>
            </w:pPr>
            <w:r>
              <w:rPr>
                <w:rFonts w:hint="eastAsia" w:eastAsia="楷体" w:cs="Calibri"/>
                <w:b/>
                <w:bCs/>
                <w:kern w:val="2"/>
                <w:sz w:val="22"/>
                <w:szCs w:val="22"/>
                <w:lang w:eastAsia="zh-CN"/>
              </w:rPr>
              <w:t xml:space="preserve">Table: </w:t>
            </w:r>
            <w:r>
              <w:rPr>
                <w:rFonts w:eastAsia="楷体" w:cs="Calibri"/>
                <w:b/>
                <w:bCs/>
                <w:kern w:val="2"/>
                <w:sz w:val="22"/>
                <w:szCs w:val="22"/>
                <w:lang w:eastAsia="zh-CN"/>
              </w:rPr>
              <w:t>Lead time for key electrical components</w:t>
            </w:r>
          </w:p>
        </w:tc>
      </w:tr>
      <w:tr w14:paraId="4CDA10BA">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7EF73115">
            <w:pPr>
              <w:rPr>
                <w:rFonts w:eastAsia="楷体" w:cs="Calibri"/>
                <w:kern w:val="2"/>
                <w:sz w:val="22"/>
                <w:szCs w:val="22"/>
                <w:lang w:eastAsia="zh-CN"/>
              </w:rPr>
            </w:pPr>
            <w:r>
              <w:rPr>
                <w:rFonts w:eastAsia="楷体" w:cs="Calibri"/>
                <w:kern w:val="2"/>
                <w:sz w:val="22"/>
                <w:szCs w:val="22"/>
                <w:lang w:eastAsia="zh-CN"/>
              </w:rPr>
              <w:drawing>
                <wp:inline distT="0" distB="0" distL="0" distR="0">
                  <wp:extent cx="4672330" cy="3883660"/>
                  <wp:effectExtent l="0" t="0" r="6350" b="2540"/>
                  <wp:docPr id="212457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6307" name="图片 1"/>
                          <pic:cNvPicPr>
                            <a:picLocks noChangeAspect="1"/>
                          </pic:cNvPicPr>
                        </pic:nvPicPr>
                        <pic:blipFill>
                          <a:blip r:embed="rId41"/>
                          <a:stretch>
                            <a:fillRect/>
                          </a:stretch>
                        </pic:blipFill>
                        <pic:spPr>
                          <a:xfrm>
                            <a:off x="0" y="0"/>
                            <a:ext cx="4672330" cy="3912602"/>
                          </a:xfrm>
                          <a:prstGeom prst="rect">
                            <a:avLst/>
                          </a:prstGeom>
                        </pic:spPr>
                      </pic:pic>
                    </a:graphicData>
                  </a:graphic>
                </wp:inline>
              </w:drawing>
            </w:r>
          </w:p>
          <w:p w14:paraId="3AA45192">
            <w:pPr>
              <w:rPr>
                <w:rFonts w:eastAsia="楷体" w:cs="Calibri"/>
                <w:kern w:val="2"/>
                <w:lang w:eastAsia="zh-CN"/>
              </w:rPr>
            </w:pPr>
            <w:r>
              <w:rPr>
                <w:rFonts w:hint="eastAsia" w:eastAsia="楷体" w:cs="Calibri"/>
                <w:kern w:val="2"/>
                <w:lang w:eastAsia="zh-CN"/>
              </w:rPr>
              <w:t>Source: Bloomberg, HFI</w:t>
            </w:r>
          </w:p>
        </w:tc>
      </w:tr>
    </w:tbl>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2425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5290769D">
            <w:pPr>
              <w:widowControl w:val="0"/>
              <w:jc w:val="both"/>
              <w:rPr>
                <w:rFonts w:eastAsia="楷体" w:cs="Calibri"/>
                <w:b/>
                <w:bCs/>
                <w:kern w:val="2"/>
                <w:sz w:val="20"/>
                <w:szCs w:val="20"/>
                <w:lang w:eastAsia="zh-CN"/>
              </w:rPr>
            </w:pPr>
          </w:p>
          <w:p w14:paraId="2E171DBF">
            <w:pPr>
              <w:widowControl w:val="0"/>
              <w:jc w:val="both"/>
              <w:rPr>
                <w:rFonts w:eastAsia="楷体" w:cs="Calibri"/>
                <w:b/>
                <w:bCs/>
                <w:kern w:val="2"/>
                <w:sz w:val="20"/>
                <w:szCs w:val="20"/>
                <w:lang w:eastAsia="zh-CN"/>
              </w:rPr>
            </w:pPr>
          </w:p>
          <w:p w14:paraId="3D2B2285">
            <w:pPr>
              <w:widowControl w:val="0"/>
              <w:jc w:val="both"/>
              <w:rPr>
                <w:rFonts w:eastAsia="楷体" w:cs="Calibri"/>
                <w:b/>
                <w:bCs/>
                <w:kern w:val="2"/>
                <w:sz w:val="20"/>
                <w:szCs w:val="20"/>
                <w:lang w:eastAsia="zh-CN"/>
              </w:rPr>
            </w:pPr>
          </w:p>
          <w:p w14:paraId="64CFCC9E">
            <w:pPr>
              <w:widowControl w:val="0"/>
              <w:jc w:val="both"/>
              <w:rPr>
                <w:rFonts w:eastAsia="楷体" w:cs="Calibri"/>
                <w:b/>
                <w:bCs/>
                <w:kern w:val="2"/>
                <w:sz w:val="20"/>
                <w:szCs w:val="20"/>
                <w:lang w:eastAsia="zh-CN"/>
              </w:rPr>
            </w:pPr>
          </w:p>
          <w:p w14:paraId="3576A858">
            <w:pPr>
              <w:widowControl w:val="0"/>
              <w:jc w:val="both"/>
              <w:rPr>
                <w:rFonts w:eastAsia="楷体" w:cs="Calibri"/>
                <w:b/>
                <w:bCs/>
                <w:kern w:val="2"/>
                <w:sz w:val="22"/>
                <w:szCs w:val="22"/>
                <w:lang w:eastAsia="zh-CN"/>
              </w:rPr>
            </w:pPr>
            <w:r>
              <w:rPr>
                <w:rFonts w:eastAsia="楷体" w:cs="Calibri"/>
                <w:b/>
                <w:bCs/>
                <w:kern w:val="2"/>
                <w:sz w:val="20"/>
                <w:szCs w:val="20"/>
                <w:lang w:eastAsia="zh-CN"/>
              </w:rPr>
              <w:t>Figure: Transformer price index rising in the US</w:t>
            </w:r>
          </w:p>
        </w:tc>
      </w:tr>
      <w:tr w14:paraId="0F1EA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3C151049">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3933190" cy="2194560"/>
                  <wp:effectExtent l="0" t="0" r="13970" b="0"/>
                  <wp:docPr id="9430701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0147" name="图片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939019" cy="2197719"/>
                          </a:xfrm>
                          <a:prstGeom prst="rect">
                            <a:avLst/>
                          </a:prstGeom>
                          <a:noFill/>
                          <a:ln>
                            <a:noFill/>
                          </a:ln>
                        </pic:spPr>
                      </pic:pic>
                    </a:graphicData>
                  </a:graphic>
                </wp:inline>
              </w:drawing>
            </w:r>
          </w:p>
        </w:tc>
      </w:tr>
      <w:tr w14:paraId="19D15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25CF392E">
            <w:pPr>
              <w:widowControl w:val="0"/>
              <w:jc w:val="both"/>
              <w:rPr>
                <w:rFonts w:eastAsia="楷体" w:cs="Calibri"/>
                <w:b/>
                <w:bCs/>
                <w:kern w:val="2"/>
                <w:sz w:val="22"/>
                <w:szCs w:val="22"/>
                <w:lang w:eastAsia="zh-CN"/>
              </w:rPr>
            </w:pPr>
            <w:r>
              <w:rPr>
                <w:rFonts w:hint="eastAsia" w:eastAsia="楷体" w:cs="Calibri"/>
                <w:kern w:val="2"/>
                <w:lang w:eastAsia="zh-CN"/>
              </w:rPr>
              <w:t>Source: Bloomberg, HFI</w:t>
            </w:r>
          </w:p>
        </w:tc>
      </w:tr>
    </w:tbl>
    <w:p w14:paraId="7D3D5716">
      <w:pPr>
        <w:widowControl w:val="0"/>
        <w:jc w:val="both"/>
        <w:rPr>
          <w:rFonts w:eastAsia="楷体" w:cs="Calibri"/>
          <w:b/>
          <w:bCs/>
          <w:kern w:val="2"/>
          <w:sz w:val="22"/>
          <w:szCs w:val="22"/>
          <w:lang w:eastAsia="zh-CN"/>
        </w:rPr>
      </w:pPr>
    </w:p>
    <w:p w14:paraId="57672A56">
      <w:pPr>
        <w:pStyle w:val="146"/>
        <w:jc w:val="both"/>
        <w:rPr>
          <w:rFonts w:ascii="Calibri" w:hAnsi="Calibri" w:eastAsia="楷体" w:cs="Calibri"/>
          <w:color w:val="23558C"/>
          <w:kern w:val="2"/>
          <w:sz w:val="22"/>
          <w:szCs w:val="22"/>
        </w:rPr>
      </w:pPr>
      <w:bookmarkStart w:id="7" w:name="_Toc27982"/>
      <w:r>
        <w:rPr>
          <w:rFonts w:ascii="Calibri" w:hAnsi="Calibri" w:eastAsia="楷体_GB2312" w:cs="Calibri"/>
          <w:color w:val="23558C"/>
          <w:sz w:val="24"/>
        </w:rPr>
        <w:t>2.</w:t>
      </w:r>
      <w:r>
        <w:rPr>
          <w:rFonts w:hint="eastAsia" w:ascii="Calibri" w:hAnsi="Calibri" w:eastAsia="楷体_GB2312" w:cs="Calibri"/>
          <w:color w:val="23558C"/>
          <w:sz w:val="24"/>
        </w:rPr>
        <w:t>3</w:t>
      </w:r>
      <w:r>
        <w:rPr>
          <w:rFonts w:ascii="Calibri" w:hAnsi="Calibri" w:eastAsia="楷体_GB2312" w:cs="Calibri"/>
          <w:color w:val="23558C"/>
          <w:sz w:val="24"/>
        </w:rPr>
        <w:t xml:space="preserve"> Aerospace product upcycle: More defense spending with aging fleets and more commercial demand with record air travel.</w:t>
      </w:r>
      <w:bookmarkEnd w:id="7"/>
    </w:p>
    <w:p w14:paraId="2BD00B5F">
      <w:pPr>
        <w:jc w:val="both"/>
        <w:rPr>
          <w:rFonts w:eastAsia="楷体" w:cs="Calibri"/>
          <w:kern w:val="2"/>
          <w:sz w:val="22"/>
          <w:szCs w:val="22"/>
        </w:rPr>
      </w:pPr>
      <w:r>
        <w:rPr>
          <w:rFonts w:eastAsia="楷体" w:cs="Calibri"/>
          <w:b/>
          <w:bCs/>
          <w:kern w:val="2"/>
          <w:sz w:val="22"/>
          <w:szCs w:val="22"/>
          <w:lang w:eastAsia="zh-CN"/>
        </w:rPr>
        <w:t xml:space="preserve">The defense aerospace sector is experiencing a period of high intensity driven by a dual necessity: maintaining a massive "legacy" fleet and accelerating the transition to next-generation platforms. </w:t>
      </w:r>
      <w:r>
        <w:rPr>
          <w:rFonts w:eastAsia="楷体" w:cs="Calibri"/>
          <w:kern w:val="2"/>
          <w:sz w:val="22"/>
          <w:szCs w:val="22"/>
          <w:lang w:eastAsia="zh-CN"/>
        </w:rPr>
        <w:t>According to the U.S. Government Accountability Office, the backbone of the U.S. Air Force—including B-52 bombers and KC-135 tankers—is over 60 years old on average. Keeping these "aging fleets" mission-ready requires constant, high-value retrofits, structural upgrades, and complex maintenance cycles. Simultaneously, global geopolitical tensions are pushing defense budgets toward "New Growth Platforms" like the FLRAA and T-7A. This creates a powerful financial tailwind where spending is mandated both for the survival of existing assets and the rapid procurement of future air superiority.</w:t>
      </w:r>
    </w:p>
    <w:p w14:paraId="67510517">
      <w:pPr>
        <w:jc w:val="both"/>
        <w:rPr>
          <w:rFonts w:eastAsia="楷体" w:cs="Calibri"/>
          <w:b/>
          <w:bCs/>
          <w:kern w:val="2"/>
          <w:sz w:val="22"/>
          <w:szCs w:val="22"/>
          <w:lang w:eastAsia="zh-CN"/>
        </w:rPr>
      </w:pPr>
    </w:p>
    <w:p w14:paraId="2A3D2B6F">
      <w:pPr>
        <w:jc w:val="both"/>
        <w:rPr>
          <w:rFonts w:eastAsia="楷体" w:cs="Calibri"/>
          <w:kern w:val="2"/>
          <w:sz w:val="22"/>
          <w:szCs w:val="22"/>
          <w:lang w:eastAsia="zh-CN"/>
        </w:rPr>
      </w:pPr>
      <w:r>
        <w:rPr>
          <w:rFonts w:eastAsia="楷体" w:cs="Calibri"/>
          <w:b/>
          <w:bCs/>
          <w:kern w:val="2"/>
          <w:sz w:val="22"/>
          <w:szCs w:val="22"/>
          <w:lang w:eastAsia="zh-CN"/>
        </w:rPr>
        <w:t xml:space="preserve">In the commercial realm, the aviation industry is witnessing a historic resurgence characterized by record air travel and a massive supply-demand imbalance. </w:t>
      </w:r>
      <w:r>
        <w:rPr>
          <w:rFonts w:eastAsia="楷体" w:cs="Calibri"/>
          <w:kern w:val="2"/>
          <w:sz w:val="22"/>
          <w:szCs w:val="22"/>
          <w:lang w:eastAsia="zh-CN"/>
        </w:rPr>
        <w:t>With Revenue Passenger Kilometers (RPK) projected to grow over 25% by 2030, airlines are desperate to expand their capacity. This has resulted in a staggering OE (Original Equipment) backlog of over 13 years for major aircraft manufacturers. Because demand for travel is outstripping the pace of new aircraft production, the industry is firing on all cylinders: factories are pushing for maximum output to clear the backlog, while existing commercial fleets are being flown harder and longer, necessitating more frequent servicing to keep up with the global passenger surge.</w:t>
      </w:r>
    </w:p>
    <w:tbl>
      <w:tblPr>
        <w:tblStyle w:val="12"/>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3FDE6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0FED5B7F">
            <w:pPr>
              <w:widowControl w:val="0"/>
              <w:jc w:val="both"/>
              <w:rPr>
                <w:rFonts w:eastAsia="楷体" w:cs="Calibri"/>
                <w:b/>
                <w:bCs/>
                <w:kern w:val="2"/>
                <w:sz w:val="20"/>
                <w:szCs w:val="20"/>
                <w:lang w:eastAsia="zh-CN"/>
              </w:rPr>
            </w:pPr>
          </w:p>
          <w:p w14:paraId="3CE8890C">
            <w:pPr>
              <w:widowControl w:val="0"/>
              <w:jc w:val="both"/>
              <w:rPr>
                <w:rFonts w:eastAsia="楷体" w:cs="Calibri"/>
                <w:b/>
                <w:bCs/>
                <w:kern w:val="2"/>
                <w:sz w:val="22"/>
                <w:szCs w:val="22"/>
                <w:lang w:eastAsia="zh-CN"/>
              </w:rPr>
            </w:pPr>
            <w:r>
              <w:rPr>
                <w:rFonts w:eastAsia="楷体" w:cs="Calibri"/>
                <w:b/>
                <w:bCs/>
                <w:kern w:val="2"/>
                <w:sz w:val="20"/>
                <w:szCs w:val="20"/>
                <w:lang w:eastAsia="zh-CN"/>
              </w:rPr>
              <w:t>Figure: More defense spending and commercial demand</w:t>
            </w:r>
          </w:p>
        </w:tc>
      </w:tr>
      <w:tr w14:paraId="5C075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51EBBEE6">
            <w:pPr>
              <w:widowControl w:val="0"/>
              <w:jc w:val="both"/>
              <w:rPr>
                <w:rFonts w:eastAsia="楷体" w:cs="Calibri"/>
                <w:b/>
                <w:bCs/>
                <w:kern w:val="2"/>
                <w:sz w:val="22"/>
                <w:szCs w:val="22"/>
                <w:lang w:eastAsia="zh-CN"/>
              </w:rPr>
            </w:pPr>
            <w:r>
              <w:rPr>
                <w:rFonts w:ascii="Arial" w:hAnsi="Arial" w:cs="Arial"/>
                <w:b/>
                <w:bCs/>
                <w:color w:val="000000"/>
                <w:sz w:val="20"/>
                <w:szCs w:val="20"/>
              </w:rPr>
              <w:drawing>
                <wp:inline distT="0" distB="0" distL="0" distR="0">
                  <wp:extent cx="4424680" cy="2277110"/>
                  <wp:effectExtent l="0" t="0" r="10160" b="8890"/>
                  <wp:docPr id="1219482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82427" name="图片 1"/>
                          <pic:cNvPicPr>
                            <a:picLocks noChangeAspect="1"/>
                          </pic:cNvPicPr>
                        </pic:nvPicPr>
                        <pic:blipFill>
                          <a:blip r:embed="rId43"/>
                          <a:stretch>
                            <a:fillRect/>
                          </a:stretch>
                        </pic:blipFill>
                        <pic:spPr>
                          <a:xfrm>
                            <a:off x="0" y="0"/>
                            <a:ext cx="4424680" cy="2286615"/>
                          </a:xfrm>
                          <a:prstGeom prst="rect">
                            <a:avLst/>
                          </a:prstGeom>
                        </pic:spPr>
                      </pic:pic>
                    </a:graphicData>
                  </a:graphic>
                </wp:inline>
              </w:drawing>
            </w:r>
          </w:p>
        </w:tc>
      </w:tr>
      <w:tr w14:paraId="18CC3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20F2AC64">
            <w:pPr>
              <w:jc w:val="both"/>
              <w:rPr>
                <w:rFonts w:eastAsia="楷体" w:cs="Calibri"/>
                <w:b/>
                <w:bCs/>
                <w:kern w:val="2"/>
                <w:sz w:val="22"/>
                <w:szCs w:val="22"/>
                <w:lang w:eastAsia="zh-CN"/>
              </w:rPr>
            </w:pPr>
            <w:r>
              <w:rPr>
                <w:rFonts w:cs="Calibri" w:eastAsiaTheme="minorEastAsia"/>
                <w:lang w:eastAsia="zh-CN"/>
              </w:rPr>
              <w:t>Source:</w:t>
            </w:r>
            <w:r>
              <w:rPr>
                <w:rFonts w:hint="eastAsia" w:cs="Calibri" w:eastAsiaTheme="minorEastAsia"/>
                <w:lang w:eastAsia="zh-CN"/>
              </w:rPr>
              <w:t xml:space="preserve"> Company </w:t>
            </w:r>
            <w:r>
              <w:rPr>
                <w:rFonts w:cs="Calibri" w:eastAsiaTheme="minorEastAsia"/>
                <w:lang w:eastAsia="zh-CN"/>
              </w:rPr>
              <w:t>, HFI</w:t>
            </w:r>
          </w:p>
        </w:tc>
      </w:tr>
    </w:tbl>
    <w:p w14:paraId="311528B8">
      <w:pPr>
        <w:pStyle w:val="25"/>
        <w:ind w:left="0"/>
        <w:jc w:val="both"/>
        <w:rPr>
          <w:rFonts w:eastAsia="楷体" w:cs="Calibri"/>
          <w:b/>
          <w:bCs/>
          <w:kern w:val="2"/>
          <w:sz w:val="22"/>
          <w:szCs w:val="22"/>
          <w:lang w:eastAsia="zh-CN"/>
        </w:rPr>
      </w:pPr>
    </w:p>
    <w:p w14:paraId="73B558F9">
      <w:pPr>
        <w:pStyle w:val="25"/>
        <w:ind w:left="0"/>
        <w:jc w:val="both"/>
        <w:rPr>
          <w:rFonts w:eastAsia="楷体" w:cs="Calibri"/>
          <w:kern w:val="2"/>
          <w:sz w:val="22"/>
          <w:szCs w:val="22"/>
          <w:lang w:eastAsia="zh-CN"/>
        </w:rPr>
      </w:pPr>
      <w:r>
        <w:rPr>
          <w:rFonts w:eastAsia="楷体" w:cs="Calibri"/>
          <w:b/>
          <w:bCs/>
          <w:kern w:val="2"/>
          <w:sz w:val="22"/>
          <w:szCs w:val="22"/>
          <w:lang w:eastAsia="zh-CN"/>
        </w:rPr>
        <w:t xml:space="preserve">The convergence of these two trends creates </w:t>
      </w:r>
      <w:r>
        <w:rPr>
          <w:rFonts w:hint="eastAsia" w:eastAsia="楷体" w:cs="Calibri"/>
          <w:b/>
          <w:bCs/>
          <w:kern w:val="2"/>
          <w:sz w:val="22"/>
          <w:szCs w:val="22"/>
          <w:lang w:eastAsia="zh-CN"/>
        </w:rPr>
        <w:t>strong</w:t>
      </w:r>
      <w:r>
        <w:rPr>
          <w:rFonts w:eastAsia="楷体" w:cs="Calibri"/>
          <w:b/>
          <w:bCs/>
          <w:kern w:val="2"/>
          <w:sz w:val="22"/>
          <w:szCs w:val="22"/>
          <w:lang w:eastAsia="zh-CN"/>
        </w:rPr>
        <w:t xml:space="preserve"> demand for aerospace systems and components . </w:t>
      </w:r>
      <w:r>
        <w:rPr>
          <w:rFonts w:eastAsia="楷体" w:cs="Calibri"/>
          <w:kern w:val="2"/>
          <w:sz w:val="22"/>
          <w:szCs w:val="22"/>
          <w:lang w:eastAsia="zh-CN"/>
        </w:rPr>
        <w:t>In the defense sector, aftermarket solutions—such as specialized seals, engine-driven pumps, and fuel conveyance systems—are the lifeblood that keeps 60-year-old airframes safely in the sky. On the commercial side, every new plane sitting in the 13-year backlog represents a guaranteed future sale of high-pressure hydraulic systems, fuel inerting technologies, and advanced wing-flap actuators. Whether it is a retrofit for a vintage B-52 or a state-of-the-art system for a new Boeing or Airbus, these mission-critical components are indispensable, ensuring that as the world spends more on flight, the demand of aerospace systems and components remains at the heart of every takeoff and landing.</w:t>
      </w:r>
    </w:p>
    <w:p w14:paraId="11147AF1">
      <w:pPr>
        <w:pStyle w:val="2"/>
        <w:spacing w:beforeLines="100" w:after="240" w:afterLines="100"/>
        <w:jc w:val="both"/>
        <w:rPr>
          <w:rFonts w:eastAsia="楷体_GB2312" w:cs="Calibri"/>
          <w:color w:val="23558C"/>
          <w:sz w:val="28"/>
          <w:szCs w:val="28"/>
        </w:rPr>
      </w:pPr>
      <w:bookmarkStart w:id="8" w:name="_Toc8047"/>
      <w:r>
        <w:rPr>
          <w:rFonts w:eastAsia="楷体" w:cs="Calibri"/>
          <w:color w:val="23558C"/>
          <w:sz w:val="28"/>
          <w:szCs w:val="28"/>
          <w:lang w:eastAsia="zh-CN"/>
        </w:rPr>
        <w:t>3</w:t>
      </w:r>
      <w:r>
        <w:rPr>
          <w:rFonts w:hint="eastAsia" w:eastAsia="楷体" w:cs="Calibri"/>
          <w:color w:val="23558C"/>
          <w:sz w:val="28"/>
          <w:szCs w:val="28"/>
          <w:lang w:eastAsia="zh-CN"/>
        </w:rPr>
        <w:t>.</w:t>
      </w:r>
      <w:r>
        <w:rPr>
          <w:rFonts w:eastAsia="楷体" w:cs="Calibri"/>
          <w:color w:val="23558C"/>
          <w:sz w:val="28"/>
          <w:szCs w:val="28"/>
          <w:lang w:eastAsia="zh-CN"/>
        </w:rPr>
        <w:t xml:space="preserve"> Eaton is Positioned to Drive Continued Profitable Growth and Value Creation Across Core Electrical and Aerospace Businesses</w:t>
      </w:r>
      <w:bookmarkEnd w:id="8"/>
    </w:p>
    <w:p w14:paraId="4765DBAE">
      <w:pPr>
        <w:jc w:val="both"/>
        <w:rPr>
          <w:rFonts w:eastAsia="楷体" w:cs="Calibri"/>
          <w:kern w:val="2"/>
          <w:sz w:val="22"/>
          <w:szCs w:val="22"/>
          <w:lang w:eastAsia="zh-CN"/>
        </w:rPr>
      </w:pPr>
      <w:r>
        <w:rPr>
          <w:rFonts w:eastAsia="楷体" w:cs="Calibri"/>
          <w:b/>
          <w:bCs/>
          <w:kern w:val="2"/>
          <w:sz w:val="22"/>
          <w:szCs w:val="22"/>
          <w:lang w:eastAsia="zh-CN"/>
        </w:rPr>
        <w:t xml:space="preserve">The planned spin-off of the Mobility segment marks a decisive shift in Eaton’s long-term strategy, streamlining the company’s portfolio to focus exclusively on its high-growth Electrical and Aerospace businesses. </w:t>
      </w:r>
      <w:r>
        <w:rPr>
          <w:rFonts w:eastAsia="楷体" w:cs="Calibri"/>
          <w:kern w:val="2"/>
          <w:sz w:val="22"/>
          <w:szCs w:val="22"/>
          <w:lang w:eastAsia="zh-CN"/>
        </w:rPr>
        <w:t>This transaction, expected to be completed by the end of Q1 2027, is structured to be tax-free to Eaton shareholders for U.S. federal income tax purposes, ensuring maximum value retention. By separating the more cyclical automotive-related assets, Eaton is positioning itself to fully capture the "generational growth" driven by powerful secular megatrends, including the global energy transition, the rapid expansion of AI-driven data centers, and the modernization of aging electrical grids. This narrowed focus allows for more targeted capital allocation and operational agility, ensuring that Eaton remains a pure-play leader in the electrification and aerospace power management sectors for decades to come.</w:t>
      </w:r>
    </w:p>
    <w:p w14:paraId="51A16017">
      <w:pPr>
        <w:jc w:val="both"/>
        <w:rPr>
          <w:rFonts w:eastAsia="楷体" w:cs="Calibri"/>
          <w:kern w:val="2"/>
          <w:sz w:val="22"/>
          <w:szCs w:val="22"/>
          <w:lang w:eastAsia="zh-CN"/>
        </w:rPr>
      </w:pPr>
    </w:p>
    <w:p w14:paraId="3615F4C3">
      <w:pPr>
        <w:jc w:val="both"/>
        <w:rPr>
          <w:rFonts w:eastAsia="楷体" w:cs="Calibri"/>
          <w:kern w:val="2"/>
          <w:sz w:val="22"/>
          <w:szCs w:val="22"/>
          <w:lang w:eastAsia="zh-CN"/>
        </w:rPr>
      </w:pPr>
      <w:r>
        <w:rPr>
          <w:rFonts w:eastAsia="楷体" w:cs="Calibri"/>
          <w:b/>
          <w:bCs/>
          <w:kern w:val="2"/>
          <w:sz w:val="22"/>
          <w:szCs w:val="22"/>
          <w:lang w:eastAsia="zh-CN"/>
        </w:rPr>
        <w:t xml:space="preserve">In an increasingly competitive landscape where peers like Vertiv and Schneider Electric are also deep strategic partners with NVIDIA, Eaton distinguishes itself by its unique 'Grid-to-Chip' breadth. </w:t>
      </w:r>
      <w:r>
        <w:rPr>
          <w:rFonts w:eastAsia="楷体" w:cs="Calibri"/>
          <w:kern w:val="2"/>
          <w:sz w:val="22"/>
          <w:szCs w:val="22"/>
          <w:lang w:eastAsia="zh-CN"/>
        </w:rPr>
        <w:t>While rivals excel in specific areas like liquid cooling or modular white space, Eaton’s competitive moat lies in its ability to manage the entire power chain—integrating utility-scale high-voltage substations directly with AI-specific 800V HVDC rack architectures. This end-to-end control, combined with one of the industry's most robust North American manufacturing footprints, allows Eaton to deliver pre-validated, ultra-high-density power solutions that are purpose-built to handle the volatile 'power-burst' profiles of NVIDIA’s Blackwell and Rubin platforms at scale.</w:t>
      </w:r>
    </w:p>
    <w:p w14:paraId="3B7EDFDD">
      <w:pPr>
        <w:jc w:val="both"/>
        <w:rPr>
          <w:rFonts w:eastAsia="楷体" w:cs="Calibri"/>
          <w:b/>
          <w:bCs/>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6819B899">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29A989D7">
            <w:pPr>
              <w:rPr>
                <w:rFonts w:eastAsia="楷体" w:cs="Calibri"/>
                <w:kern w:val="2"/>
                <w:sz w:val="22"/>
                <w:szCs w:val="22"/>
                <w:lang w:eastAsia="zh-CN"/>
              </w:rPr>
            </w:pPr>
            <w:r>
              <w:rPr>
                <w:rFonts w:eastAsia="楷体" w:cs="Calibri"/>
                <w:b/>
                <w:bCs/>
                <w:kern w:val="2"/>
                <w:sz w:val="22"/>
                <w:szCs w:val="22"/>
                <w:lang w:eastAsia="zh-CN"/>
              </w:rPr>
              <w:t>Figure: Eaton offers broadest portfolio of DC power management solutions</w:t>
            </w:r>
          </w:p>
        </w:tc>
      </w:tr>
      <w:tr w14:paraId="58569C35">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48F7752A">
            <w:pPr>
              <w:rPr>
                <w:rFonts w:eastAsia="楷体" w:cs="Calibri"/>
                <w:kern w:val="2"/>
                <w:sz w:val="22"/>
                <w:szCs w:val="22"/>
                <w:lang w:eastAsia="zh-CN"/>
              </w:rPr>
            </w:pPr>
            <w:r>
              <w:rPr>
                <w:rFonts w:ascii="Arial" w:hAnsi="Arial" w:cs="Arial"/>
                <w:color w:val="000000"/>
                <w:sz w:val="20"/>
                <w:szCs w:val="20"/>
              </w:rPr>
              <w:drawing>
                <wp:inline distT="0" distB="0" distL="0" distR="0">
                  <wp:extent cx="4376420" cy="2286000"/>
                  <wp:effectExtent l="0" t="0" r="12700" b="0"/>
                  <wp:docPr id="831869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69558" name="图片 1"/>
                          <pic:cNvPicPr>
                            <a:picLocks noChangeAspect="1"/>
                          </pic:cNvPicPr>
                        </pic:nvPicPr>
                        <pic:blipFill>
                          <a:blip r:embed="rId44"/>
                          <a:stretch>
                            <a:fillRect/>
                          </a:stretch>
                        </pic:blipFill>
                        <pic:spPr>
                          <a:xfrm>
                            <a:off x="0" y="0"/>
                            <a:ext cx="4383512" cy="2289704"/>
                          </a:xfrm>
                          <a:prstGeom prst="rect">
                            <a:avLst/>
                          </a:prstGeom>
                        </pic:spPr>
                      </pic:pic>
                    </a:graphicData>
                  </a:graphic>
                </wp:inline>
              </w:drawing>
            </w:r>
          </w:p>
        </w:tc>
      </w:tr>
      <w:tr w14:paraId="37D5D1F0">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0DB36FD4">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20E3A753">
      <w:pPr>
        <w:jc w:val="both"/>
        <w:rPr>
          <w:rFonts w:eastAsia="楷体" w:cs="Calibri"/>
          <w:b/>
          <w:bCs/>
          <w:kern w:val="2"/>
          <w:sz w:val="22"/>
          <w:szCs w:val="22"/>
          <w:lang w:eastAsia="zh-CN"/>
        </w:rPr>
      </w:pPr>
    </w:p>
    <w:p w14:paraId="7F8B396E">
      <w:pPr>
        <w:jc w:val="both"/>
        <w:rPr>
          <w:rFonts w:eastAsia="楷体" w:cs="Calibri"/>
          <w:kern w:val="2"/>
          <w:sz w:val="22"/>
          <w:szCs w:val="22"/>
          <w:lang w:eastAsia="zh-CN"/>
        </w:rPr>
      </w:pPr>
      <w:r>
        <w:rPr>
          <w:rFonts w:eastAsia="楷体" w:cs="Calibri"/>
          <w:b/>
          <w:bCs/>
          <w:kern w:val="2"/>
          <w:sz w:val="22"/>
          <w:szCs w:val="22"/>
          <w:lang w:eastAsia="zh-CN"/>
        </w:rPr>
        <w:t>Beyond the white space of the data center, Eaton holds a competitive edge through its comprehensive utility-grade distribution infrastructure and advanced digital edge control solutions.</w:t>
      </w:r>
      <w:r>
        <w:rPr>
          <w:rFonts w:eastAsia="楷体" w:cs="Calibri"/>
          <w:kern w:val="2"/>
          <w:sz w:val="22"/>
          <w:szCs w:val="22"/>
          <w:lang w:eastAsia="zh-CN"/>
        </w:rPr>
        <w:t xml:space="preserve"> Unlike many competitors who operate in silos, Eaton provides a seamless integration from the distribution substation directly to the end customer. Its Brightlayer digital platform and Grid Edge intelligence offer superior visibility and automated control, enabling faster fault isolation and service restoration compared to the more fragmented systems of its peers. By combining robust physical hardware—such as medium-voltage switchgear and transformers—with cutting-edge digital twins and edge analytics, Eaton empowers operators to optimize power quality and resilience across distributed IT environments, ensuring a level of operational continuity that remains a benchmark for the industry.</w:t>
      </w:r>
    </w:p>
    <w:p w14:paraId="4C049C06">
      <w:pPr>
        <w:jc w:val="both"/>
        <w:rPr>
          <w:rFonts w:eastAsia="楷体" w:cs="Calibri"/>
          <w:kern w:val="2"/>
          <w:sz w:val="22"/>
          <w:szCs w:val="22"/>
          <w:lang w:eastAsia="zh-CN"/>
        </w:rPr>
      </w:pPr>
    </w:p>
    <w:p w14:paraId="1B272BFF">
      <w:pPr>
        <w:jc w:val="both"/>
        <w:rPr>
          <w:rFonts w:eastAsia="楷体" w:cs="Calibri"/>
          <w:kern w:val="2"/>
          <w:sz w:val="22"/>
          <w:szCs w:val="22"/>
          <w:lang w:eastAsia="zh-CN"/>
        </w:rPr>
      </w:pPr>
      <w:r>
        <w:rPr>
          <w:rFonts w:eastAsia="楷体" w:cs="Calibri"/>
          <w:b/>
          <w:bCs/>
          <w:kern w:val="2"/>
          <w:sz w:val="22"/>
          <w:szCs w:val="22"/>
          <w:lang w:eastAsia="zh-CN"/>
        </w:rPr>
        <w:t xml:space="preserve">Finally, Eaton maintains a formidable competitive moat as a core supplier of integrated fuel, hydraulic, and electrical power solutions for both commercial and military aircraft. </w:t>
      </w:r>
      <w:r>
        <w:rPr>
          <w:rFonts w:eastAsia="楷体" w:cs="Calibri"/>
          <w:kern w:val="2"/>
          <w:sz w:val="22"/>
          <w:szCs w:val="22"/>
          <w:lang w:eastAsia="zh-CN"/>
        </w:rPr>
        <w:t xml:space="preserve">While competitors like </w:t>
      </w:r>
      <w:r>
        <w:rPr>
          <w:rFonts w:eastAsia="楷体" w:cs="Calibri"/>
          <w:b/>
          <w:bCs/>
          <w:kern w:val="2"/>
          <w:sz w:val="22"/>
          <w:szCs w:val="22"/>
          <w:lang w:eastAsia="zh-CN"/>
        </w:rPr>
        <w:t>Honeywell</w:t>
      </w:r>
      <w:r>
        <w:rPr>
          <w:rFonts w:eastAsia="楷体" w:cs="Calibri"/>
          <w:kern w:val="2"/>
          <w:sz w:val="22"/>
          <w:szCs w:val="22"/>
          <w:lang w:eastAsia="zh-CN"/>
        </w:rPr>
        <w:t xml:space="preserve"> or </w:t>
      </w:r>
      <w:r>
        <w:rPr>
          <w:rFonts w:eastAsia="楷体" w:cs="Calibri"/>
          <w:b/>
          <w:bCs/>
          <w:kern w:val="2"/>
          <w:sz w:val="22"/>
          <w:szCs w:val="22"/>
          <w:lang w:eastAsia="zh-CN"/>
        </w:rPr>
        <w:t>Parker Hannifin</w:t>
      </w:r>
      <w:r>
        <w:rPr>
          <w:rFonts w:eastAsia="楷体" w:cs="Calibri"/>
          <w:kern w:val="2"/>
          <w:sz w:val="22"/>
          <w:szCs w:val="22"/>
          <w:lang w:eastAsia="zh-CN"/>
        </w:rPr>
        <w:t xml:space="preserve"> compete in specific segments, Eaton’s strength lies in its ability to provide mission-critical systems that enhance fuel efficiency and operational reliability across the entire flight envelope. From high-pressure hydraulic pumps to advanced debris-monitoring systems and lightweight electrical distribution, Eaton’s technologies are embedded in the world’s most advanced platforms, including the latest generation of wide-body jets and frontline defense aircraft. By leveraging its deep domain expertise in power management, Eaton ensures that aerospace manufacturers can meet increasingly stringent safety and weight requirements, solidifying its role as an indispensable partner in the global aviation supply chain.</w:t>
      </w:r>
    </w:p>
    <w:p w14:paraId="2FB85A9C">
      <w:pPr>
        <w:jc w:val="both"/>
        <w:rPr>
          <w:rFonts w:eastAsia="楷体" w:cs="Calibri"/>
          <w:kern w:val="2"/>
          <w:sz w:val="22"/>
          <w:szCs w:val="22"/>
          <w:lang w:eastAsia="zh-CN"/>
        </w:rPr>
      </w:pPr>
      <w:r>
        <w:rPr>
          <w:rFonts w:eastAsia="楷体" w:cs="Calibri"/>
          <w:kern w:val="2"/>
          <w:sz w:val="22"/>
          <w:szCs w:val="22"/>
          <w:lang w:eastAsia="zh-CN"/>
        </w:rPr>
        <w:br w:type="textWrapping"/>
      </w:r>
      <w:r>
        <w:rPr>
          <w:rFonts w:eastAsia="楷体" w:cs="Calibri"/>
          <w:b/>
          <w:bCs/>
          <w:kern w:val="2"/>
          <w:sz w:val="22"/>
          <w:szCs w:val="22"/>
          <w:lang w:eastAsia="zh-CN"/>
        </w:rPr>
        <w:t>Eaton’s strategic position in core electrical and aerospace is evidenced by the fast-growing negotiations pipeline and record-breaking historical backlog, showing extended visibility and a high level of confidence in future growth.</w:t>
      </w:r>
      <w:r>
        <w:rPr>
          <w:rFonts w:eastAsia="楷体" w:cs="Calibri"/>
          <w:kern w:val="2"/>
          <w:sz w:val="22"/>
          <w:szCs w:val="22"/>
          <w:lang w:eastAsia="zh-CN"/>
        </w:rPr>
        <w:t xml:space="preserve"> In the Electrical Americas segment, the backlog has surge to $13.2B in 2025, a stunning 31% increase year-on-year. The negotiations pipeline has also surged to $9.8B in 2025, representing more than 4x growth since 2019 and a CAGR of 26%. This momentum is further reflected in the company's total historical backlog, which reached a record $19.6B in 2025—comprising $15.3B from the Electrical Sector and $4.3B from the Aerospace Segment. Since 2021, the company has maintained significant annual backlog growth, including a 26% increase in the most recent year, providing a robust foundation for unprecedented demand. With more capacity expansion expected to be online soon, we believe the company is on track to deliver on 2026 and 2030 financial commitments with differentiated performance.</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0C89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nil"/>
            </w:tcBorders>
          </w:tcPr>
          <w:p w14:paraId="4E78D4D5">
            <w:pPr>
              <w:rPr>
                <w:rFonts w:eastAsia="楷体" w:cs="Calibri"/>
                <w:b/>
                <w:bCs/>
                <w:kern w:val="2"/>
                <w:sz w:val="22"/>
                <w:szCs w:val="22"/>
                <w:lang w:eastAsia="zh-CN"/>
              </w:rPr>
            </w:pPr>
            <w:r>
              <w:rPr>
                <w:rFonts w:hint="eastAsia" w:eastAsia="楷体" w:cs="Calibri"/>
                <w:b/>
                <w:bCs/>
                <w:kern w:val="2"/>
                <w:sz w:val="22"/>
                <w:szCs w:val="22"/>
                <w:lang w:eastAsia="zh-CN"/>
              </w:rPr>
              <w:t xml:space="preserve">Figure: </w:t>
            </w:r>
            <w:r>
              <w:rPr>
                <w:rFonts w:eastAsia="楷体" w:cs="Calibri"/>
                <w:b/>
                <w:bCs/>
                <w:kern w:val="2"/>
                <w:sz w:val="22"/>
                <w:szCs w:val="22"/>
                <w:lang w:eastAsia="zh-CN"/>
              </w:rPr>
              <w:t>Negotiations and backlog remain robust and growing</w:t>
            </w:r>
          </w:p>
        </w:tc>
      </w:tr>
      <w:tr w14:paraId="59163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1" w:hRule="atLeast"/>
        </w:trPr>
        <w:tc>
          <w:tcPr>
            <w:tcW w:w="10206" w:type="dxa"/>
            <w:tcBorders>
              <w:top w:val="nil"/>
              <w:bottom w:val="nil"/>
            </w:tcBorders>
            <w:tcMar>
              <w:top w:w="28" w:type="dxa"/>
              <w:bottom w:w="28" w:type="dxa"/>
            </w:tcMar>
            <w:vAlign w:val="center"/>
          </w:tcPr>
          <w:p w14:paraId="1F354148">
            <w:pPr>
              <w:rPr>
                <w:rFonts w:eastAsia="楷体" w:cs="Calibri"/>
                <w:b/>
                <w:bCs/>
                <w:kern w:val="2"/>
                <w:sz w:val="22"/>
                <w:szCs w:val="22"/>
                <w:lang w:eastAsia="zh-CN"/>
              </w:rPr>
            </w:pPr>
            <w:r>
              <w:rPr>
                <w:rFonts w:ascii="Arial" w:hAnsi="Arial" w:cs="Arial"/>
                <w:color w:val="000000"/>
                <w:sz w:val="20"/>
                <w:szCs w:val="20"/>
              </w:rPr>
              <w:drawing>
                <wp:inline distT="0" distB="0" distL="0" distR="0">
                  <wp:extent cx="5469255" cy="2266950"/>
                  <wp:effectExtent l="0" t="0" r="1905" b="3810"/>
                  <wp:docPr id="2259795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9563" name="图片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76164" cy="2269590"/>
                          </a:xfrm>
                          <a:prstGeom prst="rect">
                            <a:avLst/>
                          </a:prstGeom>
                          <a:noFill/>
                          <a:ln>
                            <a:noFill/>
                          </a:ln>
                        </pic:spPr>
                      </pic:pic>
                    </a:graphicData>
                  </a:graphic>
                </wp:inline>
              </w:drawing>
            </w:r>
          </w:p>
        </w:tc>
      </w:tr>
      <w:tr w14:paraId="76CE8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0206" w:type="dxa"/>
            <w:tcBorders>
              <w:top w:val="nil"/>
            </w:tcBorders>
          </w:tcPr>
          <w:p w14:paraId="438C420B">
            <w:pPr>
              <w:rPr>
                <w:rFonts w:eastAsia="楷体" w:cs="Calibri"/>
                <w:b/>
                <w:bCs/>
                <w:kern w:val="2"/>
                <w:sz w:val="22"/>
                <w:szCs w:val="22"/>
                <w:lang w:eastAsia="zh-CN"/>
              </w:rPr>
            </w:pPr>
            <w:r>
              <w:rPr>
                <w:rFonts w:hint="eastAsia" w:eastAsia="楷体" w:cs="Calibri"/>
                <w:kern w:val="2"/>
                <w:lang w:eastAsia="zh-CN"/>
              </w:rPr>
              <w:t>Source: Company, HFI</w:t>
            </w:r>
          </w:p>
        </w:tc>
      </w:tr>
    </w:tbl>
    <w:p w14:paraId="1C6B306E">
      <w:pPr>
        <w:rPr>
          <w:rFonts w:eastAsia="楷体_GB2312" w:cs="Calibri"/>
          <w:b/>
          <w:bCs/>
          <w:color w:val="23558C"/>
          <w:sz w:val="30"/>
          <w:lang w:eastAsia="zh-CN"/>
        </w:rPr>
      </w:pPr>
    </w:p>
    <w:p w14:paraId="403A9675">
      <w:pPr>
        <w:pStyle w:val="2"/>
        <w:spacing w:beforeLines="100" w:after="240" w:afterLines="100"/>
        <w:jc w:val="both"/>
        <w:rPr>
          <w:rFonts w:eastAsia="楷体" w:cs="Calibri"/>
          <w:sz w:val="22"/>
          <w:szCs w:val="22"/>
          <w:lang w:eastAsia="zh-CN"/>
        </w:rPr>
      </w:pPr>
      <w:bookmarkStart w:id="9" w:name="_Toc4522"/>
      <w:r>
        <w:rPr>
          <w:rFonts w:eastAsia="楷体_GB2312" w:cs="Calibri"/>
          <w:b/>
          <w:bCs/>
          <w:color w:val="23558C"/>
          <w:sz w:val="30"/>
          <w:lang w:eastAsia="zh-CN"/>
        </w:rPr>
        <w:t>4</w:t>
      </w:r>
      <w:r>
        <w:rPr>
          <w:rFonts w:eastAsia="楷体_GB2312" w:cs="Calibri"/>
          <w:b/>
          <w:bCs/>
          <w:color w:val="23558C"/>
          <w:sz w:val="30"/>
        </w:rPr>
        <w:t>.</w:t>
      </w:r>
      <w:r>
        <w:rPr>
          <w:rFonts w:cs="Calibri"/>
          <w:b/>
          <w:bCs/>
          <w:color w:val="23558C"/>
        </w:rPr>
        <w:t xml:space="preserve"> </w:t>
      </w:r>
      <w:r>
        <w:rPr>
          <w:rFonts w:eastAsia="楷体" w:cs="Calibri"/>
          <w:color w:val="23558C"/>
          <w:sz w:val="28"/>
          <w:szCs w:val="28"/>
          <w:lang w:eastAsia="zh-CN"/>
        </w:rPr>
        <w:t>Valuation</w:t>
      </w:r>
      <w:r>
        <w:rPr>
          <w:rFonts w:eastAsia="楷体" w:cs="Calibri"/>
          <w:b/>
          <w:bCs/>
          <w:color w:val="23558C"/>
          <w:sz w:val="30"/>
          <w:lang w:eastAsia="zh-CN"/>
        </w:rPr>
        <w:t>&amp; recommendation</w:t>
      </w:r>
      <w:bookmarkEnd w:id="9"/>
    </w:p>
    <w:p w14:paraId="107BC0FF">
      <w:pPr>
        <w:jc w:val="both"/>
        <w:rPr>
          <w:rFonts w:eastAsia="楷体" w:cs="Calibri"/>
          <w:sz w:val="22"/>
          <w:szCs w:val="22"/>
          <w:lang w:eastAsia="zh-CN"/>
        </w:rPr>
      </w:pPr>
      <w:r>
        <w:rPr>
          <w:rFonts w:eastAsia="楷体" w:cs="Calibri"/>
          <w:sz w:val="22"/>
          <w:szCs w:val="22"/>
          <w:lang w:eastAsia="zh-CN"/>
        </w:rPr>
        <w:t xml:space="preserve">We estimate that revenue of </w:t>
      </w:r>
      <w:r>
        <w:rPr>
          <w:rFonts w:hint="eastAsia" w:eastAsia="楷体" w:cs="Calibri"/>
          <w:sz w:val="22"/>
          <w:szCs w:val="22"/>
          <w:lang w:eastAsia="zh-CN"/>
        </w:rPr>
        <w:t>Eaton</w:t>
      </w:r>
      <w:r>
        <w:rPr>
          <w:rFonts w:eastAsia="楷体" w:cs="Calibri"/>
          <w:sz w:val="22"/>
          <w:szCs w:val="22"/>
          <w:lang w:eastAsia="zh-CN"/>
        </w:rPr>
        <w:t xml:space="preserve"> from year 202</w:t>
      </w:r>
      <w:r>
        <w:rPr>
          <w:rFonts w:hint="eastAsia" w:eastAsia="楷体" w:cs="Calibri"/>
          <w:sz w:val="22"/>
          <w:szCs w:val="22"/>
          <w:lang w:eastAsia="zh-CN"/>
        </w:rPr>
        <w:t>6</w:t>
      </w:r>
      <w:r>
        <w:rPr>
          <w:rFonts w:eastAsia="楷体" w:cs="Calibri"/>
          <w:sz w:val="22"/>
          <w:szCs w:val="22"/>
          <w:lang w:eastAsia="zh-CN"/>
        </w:rPr>
        <w:t xml:space="preserve"> to 20</w:t>
      </w:r>
      <w:r>
        <w:rPr>
          <w:rFonts w:hint="eastAsia" w:eastAsia="楷体" w:cs="Calibri"/>
          <w:sz w:val="22"/>
          <w:szCs w:val="22"/>
          <w:lang w:eastAsia="zh-CN"/>
        </w:rPr>
        <w:t>32</w:t>
      </w:r>
      <w:r>
        <w:rPr>
          <w:rFonts w:eastAsia="楷体" w:cs="Calibri"/>
          <w:sz w:val="22"/>
          <w:szCs w:val="22"/>
          <w:lang w:eastAsia="zh-CN"/>
        </w:rPr>
        <w:t xml:space="preserve"> will be $</w:t>
      </w:r>
      <w:r>
        <w:rPr>
          <w:rFonts w:hint="eastAsia" w:eastAsia="楷体" w:cs="Calibri"/>
          <w:sz w:val="22"/>
          <w:szCs w:val="22"/>
          <w:lang w:eastAsia="zh-CN"/>
        </w:rPr>
        <w:t>29</w:t>
      </w:r>
      <w:r>
        <w:rPr>
          <w:rFonts w:eastAsia="楷体" w:cs="Calibri"/>
          <w:sz w:val="22"/>
          <w:szCs w:val="22"/>
          <w:lang w:eastAsia="zh-CN"/>
        </w:rPr>
        <w:t>,</w:t>
      </w:r>
      <w:r>
        <w:rPr>
          <w:rFonts w:hint="eastAsia" w:eastAsia="楷体" w:cs="Calibri"/>
          <w:sz w:val="22"/>
          <w:szCs w:val="22"/>
          <w:lang w:eastAsia="zh-CN"/>
        </w:rPr>
        <w:t>505</w:t>
      </w:r>
      <w:r>
        <w:rPr>
          <w:rFonts w:eastAsia="楷体" w:cs="Calibri"/>
          <w:sz w:val="22"/>
          <w:szCs w:val="22"/>
          <w:lang w:eastAsia="zh-CN"/>
        </w:rPr>
        <w:t xml:space="preserve"> /</w:t>
      </w:r>
      <w:r>
        <w:rPr>
          <w:rFonts w:hint="eastAsia" w:eastAsia="楷体" w:cs="Calibri"/>
          <w:sz w:val="22"/>
          <w:szCs w:val="22"/>
          <w:lang w:eastAsia="zh-CN"/>
        </w:rPr>
        <w:t>3</w:t>
      </w:r>
      <w:r>
        <w:rPr>
          <w:rFonts w:eastAsia="楷体" w:cs="Calibri"/>
          <w:sz w:val="22"/>
          <w:szCs w:val="22"/>
          <w:lang w:eastAsia="zh-CN"/>
        </w:rPr>
        <w:t>1,</w:t>
      </w:r>
      <w:r>
        <w:rPr>
          <w:rFonts w:hint="eastAsia" w:eastAsia="楷体" w:cs="Calibri"/>
          <w:sz w:val="22"/>
          <w:szCs w:val="22"/>
          <w:lang w:eastAsia="zh-CN"/>
        </w:rPr>
        <w:t>735/ 34,159/ 36,779/ 39,628/ 42,714/ 46,072</w:t>
      </w:r>
      <w:r>
        <w:rPr>
          <w:rFonts w:eastAsia="楷体" w:cs="Calibri"/>
          <w:sz w:val="22"/>
          <w:szCs w:val="22"/>
          <w:lang w:eastAsia="zh-CN"/>
        </w:rPr>
        <w:t xml:space="preserve"> million, with the net profit of </w:t>
      </w:r>
      <w:r>
        <w:rPr>
          <w:rFonts w:hint="eastAsia" w:eastAsia="楷体" w:cs="Calibri"/>
          <w:sz w:val="22"/>
          <w:szCs w:val="22"/>
          <w:lang w:eastAsia="zh-CN"/>
        </w:rPr>
        <w:t>4,724/ 5,116/ 5,544/ 6,008/ 6,157/ 6,645/ 7,177</w:t>
      </w:r>
      <w:r>
        <w:rPr>
          <w:rFonts w:eastAsia="楷体" w:cs="Calibri"/>
          <w:sz w:val="22"/>
          <w:szCs w:val="22"/>
          <w:lang w:eastAsia="zh-CN"/>
        </w:rPr>
        <w:t xml:space="preserve"> </w:t>
      </w:r>
      <w:r>
        <w:rPr>
          <w:rFonts w:hint="eastAsia" w:eastAsia="楷体" w:cs="Calibri"/>
          <w:sz w:val="22"/>
          <w:szCs w:val="22"/>
          <w:lang w:eastAsia="zh-CN"/>
        </w:rPr>
        <w:t xml:space="preserve">  </w:t>
      </w:r>
      <w:r>
        <w:rPr>
          <w:rFonts w:eastAsia="楷体" w:cs="Calibri"/>
          <w:sz w:val="22"/>
          <w:szCs w:val="22"/>
          <w:lang w:eastAsia="zh-CN"/>
        </w:rPr>
        <w:t xml:space="preserve">million. Based on the DCF valuation model, our target price of </w:t>
      </w:r>
      <w:r>
        <w:rPr>
          <w:rFonts w:hint="eastAsia" w:eastAsia="楷体" w:cs="Calibri"/>
          <w:sz w:val="22"/>
          <w:szCs w:val="22"/>
          <w:lang w:eastAsia="zh-CN"/>
        </w:rPr>
        <w:t>Eaton</w:t>
      </w:r>
      <w:r>
        <w:rPr>
          <w:rFonts w:eastAsia="楷体" w:cs="Calibri"/>
          <w:sz w:val="22"/>
          <w:szCs w:val="22"/>
          <w:lang w:eastAsia="zh-CN"/>
        </w:rPr>
        <w:t xml:space="preserve"> is</w:t>
      </w:r>
      <w:r>
        <w:rPr>
          <w:rFonts w:hint="eastAsia" w:eastAsia="楷体" w:cs="Calibri"/>
          <w:sz w:val="22"/>
          <w:szCs w:val="22"/>
          <w:lang w:eastAsia="zh-CN"/>
        </w:rPr>
        <w:t xml:space="preserve"> </w:t>
      </w:r>
      <w:r>
        <w:rPr>
          <w:rFonts w:eastAsia="楷体" w:cs="Calibri"/>
          <w:sz w:val="22"/>
          <w:szCs w:val="22"/>
          <w:lang w:eastAsia="zh-CN"/>
        </w:rPr>
        <w:t xml:space="preserve">$ </w:t>
      </w:r>
      <w:r>
        <w:rPr>
          <w:rFonts w:hint="eastAsia" w:eastAsia="楷体" w:cs="Calibri"/>
          <w:sz w:val="22"/>
          <w:szCs w:val="22"/>
          <w:lang w:eastAsia="zh-CN"/>
        </w:rPr>
        <w:t>391.17</w:t>
      </w:r>
      <w:r>
        <w:rPr>
          <w:rFonts w:eastAsia="楷体" w:cs="Calibri"/>
          <w:sz w:val="22"/>
          <w:szCs w:val="22"/>
          <w:lang w:eastAsia="zh-CN"/>
        </w:rPr>
        <w:t xml:space="preserve">, </w:t>
      </w:r>
      <w:r>
        <w:rPr>
          <w:rFonts w:hint="eastAsia" w:eastAsia="楷体" w:cs="Calibri"/>
          <w:sz w:val="22"/>
          <w:szCs w:val="22"/>
          <w:lang w:eastAsia="zh-CN"/>
        </w:rPr>
        <w:t xml:space="preserve">and </w:t>
      </w:r>
      <w:r>
        <w:rPr>
          <w:rFonts w:eastAsia="楷体" w:cs="Calibri"/>
          <w:sz w:val="22"/>
          <w:szCs w:val="22"/>
          <w:lang w:eastAsia="zh-CN"/>
        </w:rPr>
        <w:t xml:space="preserve">we initiate coverage on the stock with “Outperform”. </w:t>
      </w:r>
    </w:p>
    <w:p w14:paraId="7F5292DD">
      <w:pPr>
        <w:jc w:val="both"/>
        <w:rPr>
          <w:rFonts w:eastAsia="楷体" w:cs="Calibri"/>
          <w:sz w:val="22"/>
          <w:szCs w:val="22"/>
          <w:lang w:eastAsia="zh-CN"/>
        </w:rPr>
      </w:pPr>
    </w:p>
    <w:tbl>
      <w:tblPr>
        <w:tblStyle w:val="12"/>
        <w:tblW w:w="7480"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80"/>
      </w:tblGrid>
      <w:tr w14:paraId="1BCDEE5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305" w:hRule="atLeast"/>
        </w:trPr>
        <w:tc>
          <w:tcPr>
            <w:tcW w:w="7480" w:type="dxa"/>
          </w:tcPr>
          <w:p w14:paraId="76A7BB6B">
            <w:pPr>
              <w:jc w:val="both"/>
              <w:rPr>
                <w:rFonts w:eastAsia="楷体_GB2312" w:cs="Calibri"/>
                <w:b/>
                <w:sz w:val="20"/>
                <w:szCs w:val="20"/>
              </w:rPr>
            </w:pPr>
            <w:r>
              <w:rPr>
                <w:rFonts w:eastAsia="楷体_GB2312" w:cs="Calibri"/>
                <w:b/>
                <w:sz w:val="20"/>
                <w:szCs w:val="20"/>
              </w:rPr>
              <w:t xml:space="preserve">Table: </w:t>
            </w:r>
            <w:r>
              <w:rPr>
                <w:rFonts w:hint="eastAsia" w:eastAsia="楷体_GB2312" w:cs="Calibri"/>
                <w:b/>
                <w:sz w:val="20"/>
                <w:szCs w:val="20"/>
                <w:lang w:eastAsia="zh-CN"/>
              </w:rPr>
              <w:t xml:space="preserve">DCF </w:t>
            </w:r>
            <w:r>
              <w:rPr>
                <w:rFonts w:eastAsia="楷体_GB2312" w:cs="Calibri"/>
                <w:b/>
                <w:sz w:val="20"/>
                <w:szCs w:val="20"/>
              </w:rPr>
              <w:t>Model</w:t>
            </w:r>
          </w:p>
        </w:tc>
      </w:tr>
      <w:tr w14:paraId="68309B8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225" w:hRule="atLeast"/>
        </w:trPr>
        <w:tc>
          <w:tcPr>
            <w:tcW w:w="7480" w:type="dxa"/>
          </w:tcPr>
          <w:p w14:paraId="463D1376">
            <w:pPr>
              <w:jc w:val="both"/>
            </w:pPr>
          </w:p>
          <w:p w14:paraId="302074E1">
            <w:pPr>
              <w:jc w:val="both"/>
              <w:rPr>
                <w:lang w:eastAsia="zh-CN"/>
              </w:rPr>
            </w:pPr>
            <w:r>
              <w:rPr>
                <w:lang w:eastAsia="zh-CN"/>
              </w:rPr>
              <w:drawing>
                <wp:inline distT="0" distB="0" distL="0" distR="0">
                  <wp:extent cx="4735830" cy="4195445"/>
                  <wp:effectExtent l="0" t="0" r="3810" b="10795"/>
                  <wp:docPr id="173272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5881"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735830" cy="4195445"/>
                          </a:xfrm>
                          <a:prstGeom prst="rect">
                            <a:avLst/>
                          </a:prstGeom>
                          <a:noFill/>
                          <a:ln>
                            <a:noFill/>
                          </a:ln>
                        </pic:spPr>
                      </pic:pic>
                    </a:graphicData>
                  </a:graphic>
                </wp:inline>
              </w:drawing>
            </w:r>
          </w:p>
        </w:tc>
      </w:tr>
      <w:tr w14:paraId="0FD5702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0" w:hRule="atLeast"/>
        </w:trPr>
        <w:tc>
          <w:tcPr>
            <w:tcW w:w="7480" w:type="dxa"/>
          </w:tcPr>
          <w:p w14:paraId="2BCA6D72">
            <w:pPr>
              <w:spacing w:line="240" w:lineRule="atLeast"/>
              <w:jc w:val="both"/>
              <w:textAlignment w:val="center"/>
              <w:rPr>
                <w:rFonts w:cs="Calibri"/>
              </w:rPr>
            </w:pPr>
            <w:r>
              <w:rPr>
                <w:rFonts w:eastAsia="楷体_GB2312" w:cs="Calibri"/>
              </w:rPr>
              <w:t>Source: Company, H</w:t>
            </w:r>
            <w:r>
              <w:rPr>
                <w:rFonts w:hint="eastAsia" w:eastAsia="楷体_GB2312" w:cs="Calibri"/>
                <w:lang w:val="en-US" w:eastAsia="zh-CN"/>
              </w:rPr>
              <w:t>F</w:t>
            </w:r>
            <w:r>
              <w:rPr>
                <w:rFonts w:eastAsia="楷体_GB2312" w:cs="Calibri"/>
              </w:rPr>
              <w:t>I</w:t>
            </w:r>
            <w:r>
              <w:rPr>
                <w:rFonts w:cs="Calibri"/>
              </w:rPr>
              <w:t xml:space="preserve"> </w:t>
            </w:r>
          </w:p>
        </w:tc>
      </w:tr>
    </w:tbl>
    <w:p w14:paraId="0A3B60EF">
      <w:pPr>
        <w:jc w:val="both"/>
        <w:rPr>
          <w:rFonts w:eastAsia="楷体_GB2312" w:cs="Calibri"/>
          <w:b/>
          <w:sz w:val="17"/>
        </w:rPr>
      </w:pPr>
    </w:p>
    <w:p w14:paraId="2302541E">
      <w:pPr>
        <w:jc w:val="both"/>
        <w:rPr>
          <w:rFonts w:eastAsia="楷体_GB2312" w:cs="Calibri"/>
          <w:b/>
          <w:sz w:val="20"/>
          <w:szCs w:val="20"/>
          <w:lang w:eastAsia="zh-CN"/>
        </w:rPr>
      </w:pPr>
    </w:p>
    <w:p w14:paraId="6FFC3D21">
      <w:pPr>
        <w:rPr>
          <w:rFonts w:cs="Times New Roman"/>
          <w:b/>
          <w:bCs/>
          <w:color w:val="23558C"/>
          <w:kern w:val="28"/>
          <w:sz w:val="22"/>
          <w:szCs w:val="22"/>
        </w:rPr>
      </w:pPr>
    </w:p>
    <w:p w14:paraId="3FB518C9">
      <w:pPr>
        <w:rPr>
          <w:rFonts w:cs="Times New Roman"/>
          <w:b/>
          <w:bCs/>
          <w:color w:val="23558C"/>
          <w:kern w:val="28"/>
          <w:sz w:val="22"/>
          <w:szCs w:val="22"/>
        </w:rPr>
      </w:pPr>
    </w:p>
    <w:p w14:paraId="74228115">
      <w:pPr>
        <w:rPr>
          <w:rFonts w:cs="Times New Roman"/>
          <w:b/>
          <w:bCs/>
          <w:color w:val="23558C"/>
          <w:kern w:val="28"/>
          <w:sz w:val="22"/>
          <w:szCs w:val="22"/>
        </w:rPr>
      </w:pPr>
      <w:r>
        <w:rPr>
          <w:rFonts w:cs="Times New Roman"/>
          <w:b/>
          <w:bCs/>
          <w:color w:val="23558C"/>
          <w:kern w:val="28"/>
          <w:sz w:val="22"/>
          <w:szCs w:val="22"/>
        </w:rPr>
        <w:br w:type="page"/>
      </w:r>
    </w:p>
    <w:p w14:paraId="376422C3">
      <w:pPr>
        <w:jc w:val="both"/>
        <w:rPr>
          <w:rFonts w:eastAsia="楷体_GB2312" w:cs="Calibri"/>
          <w:b/>
          <w:sz w:val="20"/>
          <w:szCs w:val="20"/>
        </w:rPr>
      </w:pPr>
      <w:r>
        <w:rPr>
          <w:rFonts w:eastAsia="楷体_GB2312" w:cs="Calibri"/>
          <w:b/>
          <w:sz w:val="20"/>
          <w:szCs w:val="20"/>
          <w:lang w:eastAsia="zh-CN"/>
        </w:rPr>
        <w:t>Ta</w:t>
      </w:r>
      <w:r>
        <w:rPr>
          <w:rFonts w:eastAsia="楷体_GB2312" w:cs="Calibri"/>
          <w:b/>
          <w:sz w:val="20"/>
          <w:szCs w:val="20"/>
        </w:rPr>
        <w:t>ble: Financial Summary</w:t>
      </w:r>
    </w:p>
    <w:p w14:paraId="17967453">
      <w:pPr>
        <w:jc w:val="both"/>
        <w:rPr>
          <w:rFonts w:eastAsia="楷体_GB2312" w:cs="Calibri"/>
          <w:b/>
          <w:bCs/>
          <w:color w:val="23558C"/>
          <w:kern w:val="28"/>
          <w:sz w:val="22"/>
          <w:szCs w:val="22"/>
          <w:lang w:eastAsia="zh-CN"/>
        </w:rPr>
      </w:pPr>
      <w:bookmarkStart w:id="12" w:name="_GoBack"/>
      <w:r>
        <w:rPr>
          <w:rFonts w:ascii="宋体" w:hAnsi="宋体" w:eastAsia="宋体" w:cs="宋体"/>
          <w:sz w:val="24"/>
          <w:szCs w:val="24"/>
        </w:rPr>
        <w:drawing>
          <wp:inline distT="0" distB="0" distL="114300" distR="114300">
            <wp:extent cx="4637405" cy="8147050"/>
            <wp:effectExtent l="0" t="0" r="1079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7"/>
                    <a:stretch>
                      <a:fillRect/>
                    </a:stretch>
                  </pic:blipFill>
                  <pic:spPr>
                    <a:xfrm>
                      <a:off x="0" y="0"/>
                      <a:ext cx="4637405" cy="8147050"/>
                    </a:xfrm>
                    <a:prstGeom prst="rect">
                      <a:avLst/>
                    </a:prstGeom>
                    <a:noFill/>
                    <a:ln w="9525">
                      <a:noFill/>
                    </a:ln>
                  </pic:spPr>
                </pic:pic>
              </a:graphicData>
            </a:graphic>
          </wp:inline>
        </w:drawing>
      </w:r>
      <w:bookmarkEnd w:id="12"/>
    </w:p>
    <w:p w14:paraId="01F953B2">
      <w:pPr>
        <w:spacing w:line="240" w:lineRule="atLeast"/>
        <w:jc w:val="both"/>
        <w:textAlignment w:val="center"/>
        <w:rPr>
          <w:rFonts w:cs="Calibri"/>
        </w:rPr>
      </w:pPr>
      <w:r>
        <w:rPr>
          <w:rFonts w:eastAsia="楷体_GB2312" w:cs="Calibri"/>
        </w:rPr>
        <w:t>Source: Company, H</w:t>
      </w:r>
      <w:r>
        <w:rPr>
          <w:rFonts w:hint="eastAsia" w:eastAsia="楷体_GB2312" w:cs="Calibri"/>
          <w:lang w:val="en-US" w:eastAsia="zh-CN"/>
        </w:rPr>
        <w:t>F</w:t>
      </w:r>
      <w:r>
        <w:rPr>
          <w:rFonts w:eastAsia="楷体_GB2312" w:cs="Calibri"/>
        </w:rPr>
        <w:t>I</w:t>
      </w:r>
      <w:r>
        <w:rPr>
          <w:rFonts w:cs="Calibri"/>
        </w:rPr>
        <w:t xml:space="preserve"> </w:t>
      </w:r>
    </w:p>
    <w:p w14:paraId="48B2F165">
      <w:pPr>
        <w:pStyle w:val="2"/>
        <w:spacing w:beforeLines="100" w:after="240" w:afterLines="100"/>
        <w:jc w:val="both"/>
        <w:rPr>
          <w:rFonts w:eastAsia="宋体"/>
          <w:b/>
          <w:bCs/>
          <w:lang w:eastAsia="zh-CN"/>
        </w:rPr>
      </w:pPr>
      <w:bookmarkStart w:id="10" w:name="_Toc186105501"/>
      <w:bookmarkStart w:id="11" w:name="_Toc28497"/>
      <w:r>
        <w:rPr>
          <w:rFonts w:eastAsia="楷体_GB2312" w:cs="Calibri"/>
          <w:b/>
          <w:bCs/>
          <w:color w:val="23558C"/>
          <w:sz w:val="30"/>
        </w:rPr>
        <w:t xml:space="preserve">5. </w:t>
      </w:r>
      <w:bookmarkEnd w:id="10"/>
      <w:r>
        <w:rPr>
          <w:rFonts w:eastAsia="楷体" w:cs="Calibri"/>
          <w:color w:val="23558C"/>
          <w:sz w:val="28"/>
          <w:szCs w:val="28"/>
          <w:lang w:eastAsia="zh-CN"/>
        </w:rPr>
        <w:t>Risks</w:t>
      </w:r>
      <w:bookmarkEnd w:id="11"/>
    </w:p>
    <w:p w14:paraId="13E37AD9">
      <w:pPr>
        <w:pStyle w:val="18"/>
        <w:jc w:val="both"/>
        <w:rPr>
          <w:rFonts w:eastAsia="楷体" w:cs="Calibri"/>
          <w:sz w:val="22"/>
          <w:szCs w:val="22"/>
          <w:lang w:eastAsia="zh-CN"/>
        </w:rPr>
      </w:pPr>
      <w:r>
        <w:rPr>
          <w:rFonts w:eastAsia="楷体" w:cs="Calibri"/>
          <w:sz w:val="22"/>
          <w:szCs w:val="22"/>
          <w:lang w:eastAsia="zh-CN"/>
        </w:rPr>
        <w:t>Slowing growth and misexecution; Slowing demand activity in data center; Continued trade tensions and shifting U.S. tariff policies; Technological Obsolescence.</w:t>
      </w:r>
    </w:p>
    <w:p w14:paraId="18EC916E">
      <w:pPr>
        <w:pStyle w:val="18"/>
        <w:rPr>
          <w:rFonts w:eastAsia="楷体" w:cs="Calibri"/>
          <w:sz w:val="22"/>
          <w:szCs w:val="22"/>
          <w:lang w:eastAsia="zh-CN"/>
        </w:rPr>
      </w:pPr>
    </w:p>
    <w:p w14:paraId="2099C978">
      <w:pPr>
        <w:pStyle w:val="18"/>
        <w:rPr>
          <w:rFonts w:eastAsia="宋体"/>
          <w:lang w:eastAsia="zh-CN"/>
        </w:rPr>
      </w:pPr>
    </w:p>
    <w:p w14:paraId="27932910">
      <w:pPr>
        <w:pStyle w:val="18"/>
        <w:rPr>
          <w:rFonts w:eastAsia="宋体"/>
          <w:sz w:val="4"/>
          <w:szCs w:val="4"/>
          <w:lang w:eastAsia="zh-CN"/>
        </w:rPr>
      </w:pPr>
    </w:p>
    <w:p w14:paraId="539B24A7">
      <w:pPr>
        <w:pStyle w:val="18"/>
        <w:rPr>
          <w:rFonts w:eastAsia="宋体"/>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tbl>
      <w:tblPr>
        <w:tblStyle w:val="12"/>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gridCol w:w="21"/>
      </w:tblGrid>
      <w:tr w14:paraId="483625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gridSpan w:val="2"/>
          </w:tcPr>
          <w:p w14:paraId="42CCDC8F">
            <w:pPr>
              <w:rPr>
                <w:rFonts w:eastAsia="宋体"/>
                <w:lang w:eastAsia="zh-CN"/>
              </w:rPr>
            </w:pPr>
            <w:r>
              <w:rPr>
                <w:rFonts w:hint="eastAsia" w:eastAsia="宋体"/>
                <w:lang w:eastAsia="zh-CN"/>
              </w:rPr>
              <w:t>[</w:t>
            </w:r>
            <w:r>
              <w:rPr>
                <w:rFonts w:eastAsia="宋体"/>
                <w:lang w:eastAsia="zh-CN"/>
              </w:rPr>
              <w:t>Table_APPENDIX]</w:t>
            </w:r>
          </w:p>
        </w:tc>
      </w:tr>
      <w:tr w14:paraId="2077FC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2"/>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1A1F85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59F0C26">
                  <w:pPr>
                    <w:pStyle w:val="2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76486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70583AC4">
                  <w:pPr>
                    <w:pStyle w:val="24"/>
                    <w:spacing w:after="60"/>
                    <w:rPr>
                      <w:rFonts w:eastAsia="楷体_GB2312" w:cs="Calibri"/>
                      <w:b/>
                      <w:bCs/>
                      <w:w w:val="70"/>
                      <w:sz w:val="22"/>
                      <w:szCs w:val="22"/>
                      <w:lang w:eastAsia="zh-CN"/>
                    </w:rPr>
                  </w:pPr>
                  <w:r>
                    <w:rPr>
                      <w:rFonts w:eastAsia="楷体_GB2312" w:cs="Calibri"/>
                      <w:b/>
                      <w:bCs/>
                      <w:w w:val="70"/>
                      <w:sz w:val="22"/>
                      <w:szCs w:val="22"/>
                    </w:rPr>
                    <w:t>APPENDIX</w:t>
                  </w:r>
                </w:p>
                <w:p w14:paraId="03D354DD">
                  <w:pPr>
                    <w:pStyle w:val="24"/>
                    <w:rPr>
                      <w:rFonts w:eastAsia="楷体_GB2312" w:cs="Calibri"/>
                      <w:b/>
                      <w:bCs/>
                      <w:w w:val="70"/>
                      <w:sz w:val="20"/>
                      <w:szCs w:val="20"/>
                    </w:rPr>
                  </w:pPr>
                  <w:r>
                    <w:rPr>
                      <w:rFonts w:eastAsia="楷体_GB2312" w:cs="Calibri"/>
                      <w:b/>
                      <w:bCs/>
                      <w:w w:val="70"/>
                      <w:sz w:val="20"/>
                      <w:szCs w:val="20"/>
                    </w:rPr>
                    <w:t>IMPORTANT DISCLOSURES</w:t>
                  </w:r>
                </w:p>
                <w:p w14:paraId="5D6B45E0">
                  <w:pPr>
                    <w:pStyle w:val="24"/>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CCCD5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6992928">
                  <w:pPr>
                    <w:pStyle w:val="24"/>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73D6904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79274D8A">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21FFFC0F">
                  <w:r>
                    <w:rPr>
                      <w:rFonts w:ascii="Calibri" w:eastAsia="楷体_GB2312"/>
                      <w:b w:val="0"/>
                      <w:i w:val="0"/>
                      <w:color w:val="000000"/>
                      <w:w w:val="70"/>
                      <w:sz w:val="20"/>
                    </w:rPr>
                    <w:t>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D5DE7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096907D3">
                  <w:pPr>
                    <w:pStyle w:val="24"/>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3F50B0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2DB6225A">
                  <w:pPr>
                    <w:pStyle w:val="24"/>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DCE68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57D2A59">
                  <w:pPr>
                    <w:pStyle w:val="24"/>
                    <w:rPr>
                      <w:rFonts w:eastAsia="楷体_GB2312" w:cs="Calibri"/>
                      <w:w w:val="70"/>
                      <w:sz w:val="20"/>
                      <w:szCs w:val="20"/>
                    </w:rPr>
                  </w:pPr>
                </w:p>
              </w:tc>
            </w:tr>
            <w:tr w14:paraId="32FD24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5DB9520B">
                  <w:pPr>
                    <w:pStyle w:val="24"/>
                    <w:rPr>
                      <w:rFonts w:eastAsia="楷体_GB2312" w:cs="Calibri"/>
                      <w:w w:val="79"/>
                      <w:sz w:val="20"/>
                      <w:szCs w:val="20"/>
                    </w:rPr>
                  </w:pPr>
                  <w:r>
                    <w:rPr>
                      <w:rFonts w:eastAsia="楷体_GB2312" w:cs="Calibri"/>
                      <w:b/>
                      <w:w w:val="79"/>
                      <w:sz w:val="20"/>
                      <w:szCs w:val="20"/>
                    </w:rPr>
                    <w:t xml:space="preserve">Ratings Definitions (from 1 Jul 2020): </w:t>
                  </w:r>
                </w:p>
                <w:p w14:paraId="298D6603">
                  <w:pPr>
                    <w:pStyle w:val="24"/>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08F37CA">
                  <w:pPr>
                    <w:pStyle w:val="24"/>
                    <w:rPr>
                      <w:rFonts w:eastAsia="楷体_GB2312" w:cs="Calibri"/>
                      <w:b/>
                      <w:w w:val="79"/>
                      <w:sz w:val="20"/>
                      <w:szCs w:val="20"/>
                    </w:rPr>
                  </w:pPr>
                  <w:r>
                    <w:rPr>
                      <w:rFonts w:eastAsia="楷体_GB2312" w:cs="Calibri"/>
                      <w:b/>
                      <w:w w:val="79"/>
                      <w:sz w:val="20"/>
                      <w:szCs w:val="20"/>
                    </w:rPr>
                    <w:t>Analyst Stock Ratings</w:t>
                  </w:r>
                </w:p>
                <w:p w14:paraId="015C0ACA">
                  <w:pPr>
                    <w:pStyle w:val="2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4316A905">
                  <w:pPr>
                    <w:pStyle w:val="2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575F0327">
                  <w:pPr>
                    <w:pStyle w:val="24"/>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7308C868">
                  <w:pPr>
                    <w:pStyle w:val="24"/>
                    <w:rPr>
                      <w:rFonts w:eastAsia="楷体_GB2312" w:cs="Calibri"/>
                      <w:w w:val="70"/>
                      <w:sz w:val="20"/>
                      <w:szCs w:val="20"/>
                      <w:lang w:eastAsia="zh-CN"/>
                    </w:rPr>
                  </w:pPr>
                </w:p>
              </w:tc>
            </w:tr>
            <w:tr w14:paraId="0C2650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ABF6C3">
                  <w:pPr>
                    <w:pStyle w:val="24"/>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AFF67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5A5F6F1">
                  <w:pPr>
                    <w:pStyle w:val="24"/>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5E98A0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31F309D">
                  <w:pPr>
                    <w:pStyle w:val="24"/>
                    <w:rPr>
                      <w:rFonts w:eastAsia="楷体_GB2312" w:cs="Calibri"/>
                      <w:w w:val="70"/>
                      <w:sz w:val="20"/>
                      <w:szCs w:val="20"/>
                    </w:rPr>
                  </w:pPr>
                </w:p>
              </w:tc>
            </w:tr>
            <w:tr w14:paraId="3A574B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49BF108">
                  <w:pPr>
                    <w:pStyle w:val="24"/>
                    <w:spacing w:after="40"/>
                    <w:rPr>
                      <w:rFonts w:eastAsia="楷体_GB2312" w:cs="Calibri"/>
                      <w:b/>
                      <w:bCs/>
                      <w:w w:val="70"/>
                      <w:sz w:val="20"/>
                      <w:szCs w:val="20"/>
                    </w:rPr>
                  </w:pPr>
                  <w:r>
                    <w:rPr>
                      <w:rFonts w:eastAsia="楷体_GB2312" w:cs="Calibri"/>
                      <w:b/>
                      <w:bCs/>
                      <w:w w:val="70"/>
                      <w:sz w:val="20"/>
                      <w:szCs w:val="20"/>
                    </w:rPr>
                    <w:t>IMPORTANT DISCLAIMER</w:t>
                  </w:r>
                </w:p>
                <w:p w14:paraId="4D7AA043">
                  <w:pPr>
                    <w:pStyle w:val="24"/>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74631ACE">
                  <w:pPr>
                    <w:pStyle w:val="2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19084354">
                  <w:pPr>
                    <w:pStyle w:val="24"/>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D0BB5F8">
                  <w:pPr>
                    <w:pStyle w:val="24"/>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rPr>
                      <w:rFonts w:eastAsia="楷体_GB2312" w:cs="Calibri"/>
                      <w:bCs/>
                      <w:w w:val="70"/>
                      <w:sz w:val="20"/>
                      <w:szCs w:val="20"/>
                    </w:rPr>
                    <w:fldChar w:fldCharType="begin"/>
                  </w:r>
                  <w:r>
                    <w:rPr>
                      <w:rFonts w:eastAsia="楷体_GB2312" w:cs="Calibri"/>
                      <w:bCs/>
                      <w:w w:val="70"/>
                      <w:sz w:val="20"/>
                      <w:szCs w:val="20"/>
                    </w:rPr>
                    <w:instrText xml:space="preserve"> HYPERLINK "http://www.hfisec.com.hk" </w:instrText>
                  </w:r>
                  <w:r>
                    <w:rPr>
                      <w:rFonts w:eastAsia="楷体_GB2312" w:cs="Calibri"/>
                      <w:bCs/>
                      <w:w w:val="70"/>
                      <w:sz w:val="20"/>
                      <w:szCs w:val="20"/>
                    </w:rPr>
                    <w:fldChar w:fldCharType="separate"/>
                  </w:r>
                  <w:r>
                    <w:rPr>
                      <w:rStyle w:val="14"/>
                      <w:rFonts w:eastAsia="楷体_GB2312" w:cs="Calibri"/>
                      <w:bCs/>
                      <w:w w:val="70"/>
                      <w:sz w:val="20"/>
                      <w:szCs w:val="20"/>
                    </w:rPr>
                    <w:t xml:space="preserve">www.hfisec.com.hk </w:t>
                  </w:r>
                  <w:r>
                    <w:rPr>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7550DDBB">
                  <w:pPr>
                    <w:pStyle w:val="24"/>
                    <w:spacing w:after="60"/>
                    <w:rPr>
                      <w:rFonts w:eastAsia="楷体_GB2312" w:cs="Calibri"/>
                      <w:b/>
                      <w:w w:val="70"/>
                      <w:sz w:val="20"/>
                      <w:szCs w:val="20"/>
                    </w:rPr>
                  </w:pPr>
                </w:p>
              </w:tc>
            </w:tr>
            <w:tr w14:paraId="1342A94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FFA4B3C">
                  <w:pPr>
                    <w:pStyle w:val="24"/>
                    <w:spacing w:after="40"/>
                    <w:rPr>
                      <w:rFonts w:eastAsia="楷体_GB2312" w:cs="Calibri"/>
                      <w:b/>
                      <w:bCs/>
                      <w:w w:val="70"/>
                      <w:sz w:val="20"/>
                      <w:szCs w:val="20"/>
                    </w:rPr>
                  </w:pPr>
                  <w:r>
                    <w:rPr>
                      <w:rFonts w:eastAsia="楷体_GB2312" w:cs="Calibri"/>
                      <w:b/>
                      <w:bCs/>
                      <w:w w:val="70"/>
                      <w:sz w:val="20"/>
                      <w:szCs w:val="20"/>
                    </w:rPr>
                    <w:t>DISTRIBUTION AND REGIONAL NOTICES</w:t>
                  </w:r>
                </w:p>
                <w:p w14:paraId="402543E5">
                  <w:pPr>
                    <w:pStyle w:val="2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70AA6ED9">
                  <w:pPr>
                    <w:pStyle w:val="2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556B5FAF">
                  <w:pPr>
                    <w:pStyle w:val="24"/>
                    <w:spacing w:after="60"/>
                    <w:rPr>
                      <w:rFonts w:eastAsia="楷体_GB2312" w:cs="Calibri"/>
                      <w:b/>
                      <w:w w:val="70"/>
                      <w:sz w:val="20"/>
                      <w:szCs w:val="20"/>
                    </w:rPr>
                  </w:pPr>
                </w:p>
              </w:tc>
            </w:tr>
            <w:tr w14:paraId="057304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CCA22C">
                  <w:pPr>
                    <w:pStyle w:val="2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1763365">
                  <w:pPr>
                    <w:pStyle w:val="2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5E9E997C">
                  <w:pPr>
                    <w:pStyle w:val="24"/>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1577D8A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8746C9F">
                  <w:pPr>
                    <w:pStyle w:val="24"/>
                    <w:spacing w:after="60"/>
                    <w:rPr>
                      <w:rFonts w:eastAsia="楷体_GB2312" w:cs="Calibri"/>
                      <w:b/>
                      <w:w w:val="70"/>
                      <w:sz w:val="20"/>
                      <w:szCs w:val="20"/>
                    </w:rPr>
                  </w:pPr>
                </w:p>
              </w:tc>
            </w:tr>
            <w:tr w14:paraId="2A2E2D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1BFE7D9">
                  <w:pPr>
                    <w:pStyle w:val="24"/>
                    <w:spacing w:after="60"/>
                    <w:rPr>
                      <w:rFonts w:eastAsia="楷体_GB2312" w:cs="Calibri"/>
                      <w:b/>
                      <w:w w:val="70"/>
                      <w:sz w:val="20"/>
                      <w:szCs w:val="20"/>
                      <w:lang w:eastAsia="zh-CN"/>
                    </w:rPr>
                  </w:pPr>
                </w:p>
              </w:tc>
            </w:tr>
          </w:tbl>
          <w:p w14:paraId="2E54ADC1">
            <w:pPr>
              <w:pStyle w:val="70"/>
              <w:rPr>
                <w:rFonts w:eastAsia="宋体"/>
                <w:sz w:val="16"/>
              </w:rPr>
            </w:pPr>
          </w:p>
          <w:p w14:paraId="51D982B3">
            <w:pPr>
              <w:rPr>
                <w:sz w:val="20"/>
                <w:szCs w:val="20"/>
              </w:rPr>
            </w:pPr>
          </w:p>
        </w:tc>
      </w:tr>
      <w:tr w14:paraId="7C7F23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3627FE8F">
            <w:pPr>
              <w:pStyle w:val="24"/>
              <w:rPr>
                <w:rFonts w:eastAsia="楷体_GB2312"/>
                <w:b/>
                <w:w w:val="70"/>
                <w:sz w:val="20"/>
                <w:szCs w:val="20"/>
              </w:rPr>
            </w:pPr>
            <w:r>
              <w:rPr>
                <w:rFonts w:eastAsia="楷体_GB2312"/>
                <w:b/>
                <w:w w:val="70"/>
                <w:sz w:val="20"/>
                <w:szCs w:val="20"/>
              </w:rPr>
              <w:t>Recommendation Chart</w:t>
            </w:r>
          </w:p>
          <w:tbl>
            <w:tblPr>
              <w:tblStyle w:val="12"/>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tblGrid>
            <w:tr w14:paraId="18E7A92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375D7F41">
                  <w:pPr>
                    <w:pStyle w:val="24"/>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5770093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A50C3B1">
                  <w:pPr>
                    <w:pStyle w:val="24"/>
                    <w:rPr>
                      <w:rFonts w:eastAsia="楷体_GB2312"/>
                      <w:b/>
                      <w:w w:val="70"/>
                      <w:sz w:val="20"/>
                      <w:szCs w:val="20"/>
                    </w:rPr>
                  </w:pPr>
                  <w:r>
                    <w:rPr>
                      <w:rFonts w:ascii="Calibri" w:eastAsia="楷体_GB2312"/>
                    </w:rPr>
                    <w:drawing>
                      <wp:inline distT="0" distB="0" distL="0" distR="0">
                        <wp:extent cx="6350000" cy="3810000"/>
                        <wp:effectExtent l="0" t="0" r="5080" b="0"/>
                        <wp:docPr id="34" name="Drawing 34" descr="/data/deploy/attachments/file/temp/202603/1773052238293_WrWU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descr="/data/deploy/attachments/file/temp/202603/1773052238293_WrWUF.png"/>
                                <pic:cNvPicPr>
                                  <a:picLocks noChangeAspect="1"/>
                                </pic:cNvPicPr>
                              </pic:nvPicPr>
                              <pic:blipFill>
                                <a:blip r:embed="rId48"/>
                                <a:stretch>
                                  <a:fillRect/>
                                </a:stretch>
                              </pic:blipFill>
                              <pic:spPr>
                                <a:xfrm>
                                  <a:off x="0" y="0"/>
                                  <a:ext cx="6350000" cy="3810000"/>
                                </a:xfrm>
                                <a:prstGeom prst="rect">
                                  <a:avLst/>
                                </a:prstGeom>
                              </pic:spPr>
                            </pic:pic>
                          </a:graphicData>
                        </a:graphic>
                      </wp:inline>
                    </w:drawing>
                  </w:r>
                </w:p>
              </w:tc>
            </w:tr>
            <w:tr w14:paraId="1EE5DD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01E2108">
                  <w:pPr>
                    <w:pStyle w:val="24"/>
                    <w:rPr>
                      <w:rFonts w:eastAsia="楷体_GB2312"/>
                      <w:b/>
                      <w:w w:val="70"/>
                      <w:sz w:val="20"/>
                      <w:szCs w:val="20"/>
                    </w:rPr>
                  </w:pPr>
                  <w:r>
                    <w:rPr>
                      <w:rFonts w:ascii="Calibri" w:eastAsia="楷体_GB2312"/>
                      <w:b w:val="0"/>
                      <w:i/>
                      <w:color w:val="000000"/>
                      <w:sz w:val="12"/>
                    </w:rPr>
                    <w:t>Source: Company data Bloomberg, HFI estimates</w:t>
                  </w:r>
                </w:p>
              </w:tc>
            </w:tr>
          </w:tbl>
          <w:p w14:paraId="73626302">
            <w:pPr>
              <w:pStyle w:val="70"/>
              <w:rPr>
                <w:rFonts w:eastAsia="宋体"/>
                <w:w w:val="70"/>
                <w:sz w:val="20"/>
                <w:szCs w:val="20"/>
              </w:rPr>
            </w:pPr>
          </w:p>
          <w:p w14:paraId="207D2848">
            <w:pPr>
              <w:pStyle w:val="70"/>
              <w:rPr>
                <w:rFonts w:eastAsia="楷体_GB2312"/>
              </w:rPr>
            </w:pPr>
          </w:p>
        </w:tc>
      </w:tr>
    </w:tbl>
    <w:p w14:paraId="346EB6D4">
      <w:pPr>
        <w:pStyle w:val="70"/>
        <w:rPr>
          <w:rFonts w:eastAsia="宋体"/>
          <w:sz w:val="20"/>
          <w:szCs w:val="20"/>
        </w:rPr>
      </w:pPr>
    </w:p>
    <w:sectPr>
      <w:headerReference r:id="rId12" w:type="first"/>
      <w:footerReference r:id="rId14" w:type="first"/>
      <w:headerReference r:id="rId11" w:type="default"/>
      <w:footerReference r:id="rId13"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楷体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D7A">
    <w:pPr>
      <w:pStyle w:val="20"/>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3D0A7AB">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43D0A7AB">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1"/>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1"/>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B83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8746">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D57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9DFE4C1">
          <w:pPr>
            <w:pStyle w:val="29"/>
            <w:framePr w:wrap="auto" w:vAnchor="margin" w:hAnchor="text" w:xAlign="left" w:yAlign="inline"/>
          </w:pPr>
          <w:r>
            <w:fldChar w:fldCharType="begin"/>
          </w:r>
          <w:r>
            <w:instrText xml:space="preserve"> DATE  \@ "d MMM yyyy"  \* MERGEFORMAT </w:instrText>
          </w:r>
          <w:r>
            <w:fldChar w:fldCharType="separate"/>
          </w:r>
          <w:r>
            <w:t>9 Mar 2026</w:t>
          </w:r>
          <w:r>
            <w:fldChar w:fldCharType="end"/>
          </w:r>
          <w:r>
            <w:tab/>
          </w:r>
          <w:r>
            <w:fldChar w:fldCharType="begin"/>
          </w:r>
          <w:r>
            <w:instrText xml:space="preserve"> PAGE </w:instrText>
          </w:r>
          <w:r>
            <w:fldChar w:fldCharType="separate"/>
          </w:r>
          <w:r>
            <w:t>2</w:t>
          </w:r>
          <w:r>
            <w:fldChar w:fldCharType="end"/>
          </w:r>
        </w:p>
      </w:tc>
    </w:tr>
  </w:tbl>
  <w:p w14:paraId="47B974EF">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87A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5AEA849">
          <w:pPr>
            <w:pStyle w:val="29"/>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36CE942B">
    <w:pPr>
      <w:pStyle w:val="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223C">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52F0">
    <w:pPr>
      <w:pStyle w:val="20"/>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7A1EF066">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7A1EF066">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23E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CFB4">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7341FE4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354888BE">
          <w:pPr>
            <w:pStyle w:val="20"/>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3AB2AA74">
          <w:pPr>
            <w:pStyle w:val="20"/>
            <w:jc w:val="right"/>
            <w:rPr>
              <w:rStyle w:val="62"/>
              <w:rFonts w:eastAsia="楷体_GB2312"/>
              <w:color w:val="005BAC"/>
              <w:sz w:val="24"/>
              <w:lang w:eastAsia="zh-CN"/>
            </w:rPr>
          </w:pPr>
        </w:p>
      </w:tc>
    </w:tr>
    <w:tr w14:paraId="4BFB4A0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45C4D757">
          <w:pPr>
            <w:pStyle w:val="20"/>
            <w:rPr>
              <w:rFonts w:eastAsia="楷体_GB2312" w:cs="Calibri"/>
              <w:color w:val="005BAC"/>
              <w:sz w:val="24"/>
              <w:szCs w:val="24"/>
              <w:lang w:eastAsia="zh-CN"/>
            </w:rPr>
          </w:pPr>
          <w:r>
            <w:rPr>
              <w:rFonts w:ascii="Calibri" w:eastAsia="楷体_GB2312"/>
              <w:b/>
              <w:i w:val="0"/>
              <w:color w:val="215E99"/>
              <w:sz w:val="24"/>
            </w:rPr>
            <w:t>Eaton(ETN US)</w:t>
          </w:r>
        </w:p>
      </w:tc>
      <w:tc>
        <w:tcPr>
          <w:tcW w:w="4308" w:type="dxa"/>
          <w:tcBorders>
            <w:top w:val="nil"/>
          </w:tcBorders>
          <w:vAlign w:val="center"/>
        </w:tcPr>
        <w:p w14:paraId="2B85EDAA">
          <w:pPr>
            <w:pStyle w:val="20"/>
            <w:wordWrap w:val="0"/>
            <w:jc w:val="right"/>
            <w:rPr>
              <w:rStyle w:val="62"/>
              <w:rFonts w:eastAsia="楷体_GB2312" w:cs="Calibri"/>
              <w:color w:val="005BAC"/>
              <w:sz w:val="24"/>
              <w:lang w:eastAsia="zh-CN"/>
            </w:rPr>
          </w:pPr>
          <w:r>
            <w:rPr>
              <w:rFonts w:ascii="Calibri" w:eastAsia="楷体_GB2312"/>
              <w:b/>
              <w:i w:val="0"/>
              <w:color w:val="215E99"/>
              <w:sz w:val="24"/>
            </w:rPr>
            <w:t>Initiate with OUTPERFORM</w:t>
          </w:r>
        </w:p>
      </w:tc>
    </w:tr>
  </w:tbl>
  <w:p w14:paraId="06552642">
    <w:pPr>
      <w:pStyle w:val="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1C4B3">
    <w:pPr>
      <w:pStyle w:val="20"/>
      <w:spacing w:line="360" w:lineRule="auto"/>
    </w:pPr>
  </w:p>
  <w:p w14:paraId="7FAD4701">
    <w:pPr>
      <w:pStyle w:val="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D2D9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BD934"/>
    <w:multiLevelType w:val="singleLevel"/>
    <w:tmpl w:val="D76BD934"/>
    <w:lvl w:ilvl="0" w:tentative="0">
      <w:start w:val="1"/>
      <w:numFmt w:val="decimal"/>
      <w:suff w:val="space"/>
      <w:lvlText w:val="%1."/>
      <w:lvlJc w:val="left"/>
    </w:lvl>
  </w:abstractNum>
  <w:abstractNum w:abstractNumId="1">
    <w:nsid w:val="03935DA5"/>
    <w:multiLevelType w:val="multilevel"/>
    <w:tmpl w:val="03935DA5"/>
    <w:lvl w:ilvl="0" w:tentative="0">
      <w:start w:val="1"/>
      <w:numFmt w:val="bullet"/>
      <w:pStyle w:val="2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1A2D25"/>
    <w:multiLevelType w:val="multilevel"/>
    <w:tmpl w:val="331A2D25"/>
    <w:lvl w:ilvl="0" w:tentative="0">
      <w:start w:val="1"/>
      <w:numFmt w:val="bullet"/>
      <w:pStyle w:val="55"/>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BBF48C1"/>
    <w:multiLevelType w:val="multilevel"/>
    <w:tmpl w:val="3BBF48C1"/>
    <w:lvl w:ilvl="0" w:tentative="0">
      <w:start w:val="1"/>
      <w:numFmt w:val="bullet"/>
      <w:pStyle w:val="101"/>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41772804"/>
    <w:multiLevelType w:val="multilevel"/>
    <w:tmpl w:val="41772804"/>
    <w:lvl w:ilvl="0" w:tentative="0">
      <w:start w:val="1"/>
      <w:numFmt w:val="bullet"/>
      <w:pStyle w:val="54"/>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9321DC"/>
    <w:multiLevelType w:val="multilevel"/>
    <w:tmpl w:val="479321DC"/>
    <w:lvl w:ilvl="0" w:tentative="0">
      <w:start w:val="1"/>
      <w:numFmt w:val="bullet"/>
      <w:pStyle w:val="17"/>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62B5102"/>
    <w:multiLevelType w:val="multilevel"/>
    <w:tmpl w:val="662B5102"/>
    <w:lvl w:ilvl="0" w:tentative="0">
      <w:start w:val="1"/>
      <w:numFmt w:val="bullet"/>
      <w:pStyle w:val="86"/>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6C4E34EC"/>
    <w:multiLevelType w:val="multilevel"/>
    <w:tmpl w:val="6C4E34EC"/>
    <w:lvl w:ilvl="0" w:tentative="0">
      <w:start w:val="1"/>
      <w:numFmt w:val="bullet"/>
      <w:pStyle w:val="53"/>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7"/>
  </w:num>
  <w:num w:numId="4">
    <w:abstractNumId w:val="4"/>
  </w:num>
  <w:num w:numId="5">
    <w:abstractNumId w:val="2"/>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4834FBF"/>
    <w:rsid w:val="05622EA9"/>
    <w:rsid w:val="1CC6206F"/>
    <w:rsid w:val="1F954252"/>
    <w:rsid w:val="4AEC698D"/>
    <w:rsid w:val="56D57BC4"/>
    <w:rsid w:val="581B74A0"/>
    <w:rsid w:val="62C456BC"/>
    <w:rsid w:val="64821589"/>
    <w:rsid w:val="6C2C0569"/>
    <w:rsid w:val="6D2A0812"/>
    <w:rsid w:val="6DA1725C"/>
    <w:rsid w:val="786677CC"/>
    <w:rsid w:val="78B0375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5"/>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0">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99"/>
    <w:rPr>
      <w:color w:val="0000FF"/>
      <w:u w:val="single"/>
    </w:rPr>
  </w:style>
  <w:style w:type="character" w:customStyle="1" w:styleId="15">
    <w:name w:val="批注框文本 字符"/>
    <w:basedOn w:val="13"/>
    <w:link w:val="6"/>
    <w:qFormat/>
    <w:uiPriority w:val="0"/>
    <w:rPr>
      <w:rFonts w:ascii="Tahoma" w:hAnsi="Tahoma" w:cs="Tahoma"/>
      <w:lang w:eastAsia="ja-JP"/>
    </w:rPr>
  </w:style>
  <w:style w:type="paragraph" w:customStyle="1" w:styleId="16">
    <w:name w:val="EFAFPReportType"/>
    <w:link w:val="80"/>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7">
    <w:name w:val="EFABullet"/>
    <w:basedOn w:val="18"/>
    <w:qFormat/>
    <w:uiPriority w:val="99"/>
    <w:pPr>
      <w:numPr>
        <w:ilvl w:val="0"/>
        <w:numId w:val="1"/>
      </w:numPr>
      <w:tabs>
        <w:tab w:val="left" w:pos="480"/>
      </w:tabs>
      <w:ind w:left="192" w:firstLine="0"/>
    </w:pPr>
    <w:rPr>
      <w:szCs w:val="22"/>
    </w:rPr>
  </w:style>
  <w:style w:type="paragraph" w:customStyle="1" w:styleId="18">
    <w:name w:val="EFABodyText"/>
    <w:link w:val="36"/>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19">
    <w:name w:val="EFAButton"/>
    <w:basedOn w:val="20"/>
    <w:qFormat/>
    <w:uiPriority w:val="0"/>
    <w:rPr>
      <w:b/>
    </w:rPr>
  </w:style>
  <w:style w:type="paragraph" w:customStyle="1" w:styleId="20">
    <w:name w:val="EFANormal"/>
    <w:link w:val="3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1">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2">
    <w:name w:val="EFAFPFrameText_11.5pt_Right"/>
    <w:basedOn w:val="23"/>
    <w:link w:val="111"/>
    <w:qFormat/>
    <w:uiPriority w:val="0"/>
    <w:pPr>
      <w:framePr w:wrap="around" w:xAlign="right" w:y="1"/>
      <w:suppressOverlap/>
      <w:jc w:val="right"/>
    </w:pPr>
    <w:rPr>
      <w:bCs/>
      <w:szCs w:val="32"/>
    </w:rPr>
  </w:style>
  <w:style w:type="paragraph" w:customStyle="1" w:styleId="23">
    <w:name w:val="EFAFPFrameText_11.5pt"/>
    <w:link w:val="109"/>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4">
    <w:name w:val="EFADisclaimerText"/>
    <w:basedOn w:val="20"/>
    <w:link w:val="139"/>
    <w:qFormat/>
    <w:uiPriority w:val="99"/>
    <w:pPr>
      <w:jc w:val="both"/>
    </w:pPr>
  </w:style>
  <w:style w:type="paragraph" w:styleId="25">
    <w:name w:val="List Paragraph"/>
    <w:basedOn w:val="1"/>
    <w:qFormat/>
    <w:uiPriority w:val="34"/>
    <w:pPr>
      <w:ind w:left="720"/>
      <w:contextualSpacing/>
    </w:pPr>
  </w:style>
  <w:style w:type="paragraph" w:customStyle="1" w:styleId="26">
    <w:name w:val="EFABullet_Red"/>
    <w:basedOn w:val="27"/>
    <w:qFormat/>
    <w:uiPriority w:val="99"/>
    <w:pPr>
      <w:numPr>
        <w:ilvl w:val="0"/>
        <w:numId w:val="2"/>
      </w:numPr>
      <w:tabs>
        <w:tab w:val="left" w:pos="481"/>
      </w:tabs>
      <w:ind w:left="0" w:firstLine="0"/>
    </w:pPr>
  </w:style>
  <w:style w:type="paragraph" w:customStyle="1" w:styleId="27">
    <w:name w:val="EFAFP_BodyText"/>
    <w:link w:val="37"/>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28">
    <w:name w:val="EFA2ndPageHeader"/>
    <w:basedOn w:val="20"/>
    <w:qFormat/>
    <w:uiPriority w:val="0"/>
    <w:pPr>
      <w:spacing w:before="40" w:after="40"/>
      <w:jc w:val="right"/>
    </w:pPr>
    <w:rPr>
      <w:color w:val="FF0000"/>
      <w:sz w:val="24"/>
    </w:rPr>
  </w:style>
  <w:style w:type="paragraph" w:customStyle="1" w:styleId="29">
    <w:name w:val="EFAPageFooter"/>
    <w:basedOn w:val="20"/>
    <w:qFormat/>
    <w:uiPriority w:val="0"/>
    <w:pPr>
      <w:framePr w:wrap="around" w:vAnchor="page" w:hAnchor="page" w:x="347" w:y="15481"/>
      <w:suppressOverlap/>
      <w:tabs>
        <w:tab w:val="center" w:pos="5165"/>
      </w:tabs>
    </w:pPr>
    <w:rPr>
      <w:b/>
      <w:sz w:val="20"/>
      <w:szCs w:val="20"/>
    </w:rPr>
  </w:style>
  <w:style w:type="paragraph" w:customStyle="1" w:styleId="30">
    <w:name w:val="EFAPageHeader"/>
    <w:basedOn w:val="20"/>
    <w:qFormat/>
    <w:uiPriority w:val="0"/>
    <w:pPr>
      <w:tabs>
        <w:tab w:val="right" w:pos="10692"/>
      </w:tabs>
      <w:spacing w:before="40" w:after="40"/>
    </w:pPr>
    <w:rPr>
      <w:color w:val="005BAC"/>
      <w:sz w:val="24"/>
    </w:rPr>
  </w:style>
  <w:style w:type="paragraph" w:customStyle="1" w:styleId="31">
    <w:name w:val="EFAHiddenBookmark"/>
    <w:basedOn w:val="1"/>
    <w:link w:val="32"/>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2">
    <w:name w:val="EFAHiddenBookmark Char"/>
    <w:link w:val="31"/>
    <w:qFormat/>
    <w:uiPriority w:val="99"/>
    <w:rPr>
      <w:rFonts w:ascii="Arial" w:hAnsi="Arial" w:eastAsia="Times New Roman"/>
      <w:vanish/>
      <w:kern w:val="2"/>
      <w:sz w:val="14"/>
      <w:szCs w:val="19"/>
      <w:lang w:val="en-GB" w:eastAsia="en-US"/>
    </w:rPr>
  </w:style>
  <w:style w:type="paragraph" w:customStyle="1" w:styleId="33">
    <w:name w:val="EFAPoweredByEFA"/>
    <w:link w:val="3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4">
    <w:name w:val="EFAPoweredByEFA Char"/>
    <w:link w:val="33"/>
    <w:qFormat/>
    <w:uiPriority w:val="0"/>
    <w:rPr>
      <w:rFonts w:ascii="Arial" w:hAnsi="Arial" w:eastAsia="PMingLiU"/>
      <w:color w:val="5A5A5A"/>
      <w:sz w:val="9"/>
      <w:szCs w:val="9"/>
      <w:lang w:eastAsia="zh-TW"/>
    </w:rPr>
  </w:style>
  <w:style w:type="character" w:customStyle="1" w:styleId="35">
    <w:name w:val="EFANormal Char"/>
    <w:basedOn w:val="13"/>
    <w:link w:val="20"/>
    <w:qFormat/>
    <w:uiPriority w:val="0"/>
    <w:rPr>
      <w:lang w:eastAsia="ja-JP"/>
    </w:rPr>
  </w:style>
  <w:style w:type="character" w:customStyle="1" w:styleId="36">
    <w:name w:val="EFABodyText Char"/>
    <w:basedOn w:val="13"/>
    <w:link w:val="18"/>
    <w:qFormat/>
    <w:uiPriority w:val="0"/>
    <w:rPr>
      <w:sz w:val="20"/>
      <w:lang w:eastAsia="ja-JP"/>
    </w:rPr>
  </w:style>
  <w:style w:type="character" w:customStyle="1" w:styleId="37">
    <w:name w:val="EFAFP_BodyText Char"/>
    <w:basedOn w:val="13"/>
    <w:link w:val="27"/>
    <w:qFormat/>
    <w:uiPriority w:val="0"/>
    <w:rPr>
      <w:sz w:val="20"/>
      <w:lang w:eastAsia="ja-JP"/>
    </w:rPr>
  </w:style>
  <w:style w:type="paragraph" w:customStyle="1" w:styleId="38">
    <w:name w:val="EFAFPTag"/>
    <w:basedOn w:val="20"/>
    <w:qFormat/>
    <w:uiPriority w:val="0"/>
    <w:pPr>
      <w:jc w:val="center"/>
    </w:pPr>
    <w:rPr>
      <w:b/>
    </w:rPr>
  </w:style>
  <w:style w:type="paragraph" w:customStyle="1" w:styleId="39">
    <w:name w:val="EFAFPFooter2"/>
    <w:link w:val="125"/>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0">
    <w:name w:val="EFACharGrey"/>
    <w:qFormat/>
    <w:uiPriority w:val="1"/>
    <w:rPr>
      <w:color w:val="808080"/>
    </w:rPr>
  </w:style>
  <w:style w:type="paragraph" w:customStyle="1" w:styleId="41">
    <w:name w:val="EFAFPTitle"/>
    <w:link w:val="110"/>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2">
    <w:name w:val="EFAFPColFrameText"/>
    <w:link w:val="44"/>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3">
    <w:name w:val="EFAFPColFrameText_Right"/>
    <w:basedOn w:val="42"/>
    <w:qFormat/>
    <w:uiPriority w:val="0"/>
    <w:pPr>
      <w:framePr w:wrap="around"/>
      <w:jc w:val="right"/>
    </w:pPr>
  </w:style>
  <w:style w:type="character" w:customStyle="1" w:styleId="44">
    <w:name w:val="EFAFPColFrameText Char"/>
    <w:basedOn w:val="13"/>
    <w:link w:val="42"/>
    <w:qFormat/>
    <w:uiPriority w:val="0"/>
    <w:rPr>
      <w:sz w:val="14"/>
      <w:szCs w:val="14"/>
    </w:rPr>
  </w:style>
  <w:style w:type="paragraph" w:customStyle="1" w:styleId="45">
    <w:name w:val="EFAFPColFrameHeading"/>
    <w:basedOn w:val="42"/>
    <w:qFormat/>
    <w:uiPriority w:val="0"/>
    <w:pPr>
      <w:framePr w:wrap="around"/>
    </w:pPr>
    <w:rPr>
      <w:b/>
      <w:color w:val="23558C"/>
      <w:sz w:val="16"/>
    </w:rPr>
  </w:style>
  <w:style w:type="paragraph" w:customStyle="1" w:styleId="46">
    <w:name w:val="EFAFPColFrameText_Left"/>
    <w:basedOn w:val="42"/>
    <w:link w:val="68"/>
    <w:qFormat/>
    <w:uiPriority w:val="0"/>
    <w:pPr>
      <w:framePr w:wrap="around"/>
    </w:pPr>
  </w:style>
  <w:style w:type="paragraph" w:customStyle="1" w:styleId="47">
    <w:name w:val="EFAFPColFrame_Source"/>
    <w:basedOn w:val="46"/>
    <w:qFormat/>
    <w:uiPriority w:val="0"/>
    <w:pPr>
      <w:framePr w:wrap="around"/>
    </w:pPr>
    <w:rPr>
      <w:sz w:val="12"/>
      <w:szCs w:val="12"/>
    </w:rPr>
  </w:style>
  <w:style w:type="character" w:customStyle="1" w:styleId="48">
    <w:name w:val="EFACharBold"/>
    <w:basedOn w:val="13"/>
    <w:qFormat/>
    <w:uiPriority w:val="1"/>
    <w:rPr>
      <w:b/>
    </w:rPr>
  </w:style>
  <w:style w:type="paragraph" w:customStyle="1" w:styleId="49">
    <w:name w:val="EFAFPColFrame_AnalystName"/>
    <w:basedOn w:val="46"/>
    <w:qFormat/>
    <w:uiPriority w:val="0"/>
    <w:pPr>
      <w:framePr w:wrap="around"/>
    </w:pPr>
    <w:rPr>
      <w:b/>
      <w:sz w:val="16"/>
    </w:rPr>
  </w:style>
  <w:style w:type="paragraph" w:customStyle="1" w:styleId="50">
    <w:name w:val="EFAFPColFrameText_8pt"/>
    <w:basedOn w:val="46"/>
    <w:qFormat/>
    <w:uiPriority w:val="0"/>
    <w:pPr>
      <w:framePr w:wrap="around"/>
    </w:pPr>
    <w:rPr>
      <w:sz w:val="16"/>
    </w:rPr>
  </w:style>
  <w:style w:type="paragraph" w:customStyle="1" w:styleId="51">
    <w:name w:val="EFAFP_Source"/>
    <w:basedOn w:val="20"/>
    <w:qFormat/>
    <w:uiPriority w:val="0"/>
    <w:rPr>
      <w:sz w:val="12"/>
      <w:szCs w:val="12"/>
    </w:rPr>
  </w:style>
  <w:style w:type="paragraph" w:customStyle="1" w:styleId="52">
    <w:name w:val="EFAFP_Abstract"/>
    <w:qFormat/>
    <w:uiPriority w:val="0"/>
    <w:rPr>
      <w:rFonts w:ascii="Calibri" w:hAnsi="Calibri" w:eastAsia="MS Mincho" w:cs="Times New Roman"/>
      <w:snapToGrid w:val="0"/>
      <w:sz w:val="18"/>
      <w:szCs w:val="16"/>
      <w:lang w:val="en-US" w:eastAsia="ja-JP" w:bidi="ar-SA"/>
    </w:rPr>
  </w:style>
  <w:style w:type="paragraph" w:customStyle="1" w:styleId="53">
    <w:name w:val="EFABullet_Green"/>
    <w:basedOn w:val="27"/>
    <w:qFormat/>
    <w:uiPriority w:val="0"/>
    <w:pPr>
      <w:numPr>
        <w:ilvl w:val="0"/>
        <w:numId w:val="3"/>
      </w:numPr>
      <w:tabs>
        <w:tab w:val="left" w:pos="468"/>
      </w:tabs>
      <w:ind w:left="0" w:firstLine="0"/>
    </w:pPr>
  </w:style>
  <w:style w:type="paragraph" w:customStyle="1" w:styleId="54">
    <w:name w:val="EFABullet_Blue"/>
    <w:basedOn w:val="27"/>
    <w:qFormat/>
    <w:uiPriority w:val="0"/>
    <w:pPr>
      <w:numPr>
        <w:ilvl w:val="0"/>
        <w:numId w:val="4"/>
      </w:numPr>
      <w:tabs>
        <w:tab w:val="left" w:pos="468"/>
      </w:tabs>
      <w:ind w:left="0" w:firstLine="0"/>
    </w:pPr>
  </w:style>
  <w:style w:type="paragraph" w:customStyle="1" w:styleId="55">
    <w:name w:val="EFABullet_Yellow"/>
    <w:basedOn w:val="27"/>
    <w:qFormat/>
    <w:uiPriority w:val="0"/>
    <w:pPr>
      <w:numPr>
        <w:ilvl w:val="0"/>
        <w:numId w:val="5"/>
      </w:numPr>
      <w:tabs>
        <w:tab w:val="left" w:pos="468"/>
      </w:tabs>
      <w:ind w:left="0" w:firstLine="0"/>
    </w:pPr>
  </w:style>
  <w:style w:type="paragraph" w:customStyle="1" w:styleId="56">
    <w:name w:val="EFASource"/>
    <w:basedOn w:val="18"/>
    <w:qFormat/>
    <w:uiPriority w:val="0"/>
    <w:rPr>
      <w:sz w:val="12"/>
      <w:szCs w:val="14"/>
    </w:rPr>
  </w:style>
  <w:style w:type="paragraph" w:customStyle="1" w:styleId="57">
    <w:name w:val="EFASubHeader"/>
    <w:basedOn w:val="18"/>
    <w:next w:val="18"/>
    <w:link w:val="108"/>
    <w:qFormat/>
    <w:uiPriority w:val="0"/>
    <w:rPr>
      <w:b/>
      <w:bCs/>
    </w:rPr>
  </w:style>
  <w:style w:type="paragraph" w:customStyle="1" w:styleId="58">
    <w:name w:val="EFADisclaimerHeading"/>
    <w:basedOn w:val="24"/>
    <w:next w:val="24"/>
    <w:qFormat/>
    <w:uiPriority w:val="99"/>
    <w:rPr>
      <w:b/>
    </w:rPr>
  </w:style>
  <w:style w:type="paragraph" w:customStyle="1" w:styleId="59">
    <w:name w:val="EFADisclaimerHeading2"/>
    <w:basedOn w:val="24"/>
    <w:next w:val="24"/>
    <w:qFormat/>
    <w:uiPriority w:val="0"/>
    <w:rPr>
      <w:b/>
      <w:sz w:val="20"/>
      <w:szCs w:val="20"/>
    </w:rPr>
  </w:style>
  <w:style w:type="paragraph" w:customStyle="1" w:styleId="60">
    <w:name w:val="EFADisclaimerHeading3"/>
    <w:basedOn w:val="24"/>
    <w:qFormat/>
    <w:uiPriority w:val="0"/>
    <w:rPr>
      <w:b/>
      <w:sz w:val="18"/>
      <w:szCs w:val="18"/>
    </w:rPr>
  </w:style>
  <w:style w:type="paragraph" w:customStyle="1" w:styleId="61">
    <w:name w:val="EFASideComment"/>
    <w:basedOn w:val="18"/>
    <w:qFormat/>
    <w:uiPriority w:val="0"/>
    <w:pPr>
      <w:framePr w:w="2980" w:hSpace="180" w:wrap="around" w:vAnchor="text" w:hAnchor="text" w:x="-3250" w:y="160"/>
    </w:pPr>
  </w:style>
  <w:style w:type="character" w:customStyle="1" w:styleId="62">
    <w:name w:val="EFACharBold_and_AllCap"/>
    <w:qFormat/>
    <w:uiPriority w:val="1"/>
    <w:rPr>
      <w:b/>
      <w:caps/>
    </w:rPr>
  </w:style>
  <w:style w:type="paragraph" w:customStyle="1" w:styleId="63">
    <w:name w:val="__Table_Normal"/>
    <w:basedOn w:val="1"/>
    <w:link w:val="64"/>
    <w:qFormat/>
    <w:uiPriority w:val="0"/>
    <w:rPr>
      <w:snapToGrid/>
      <w:color w:val="000000"/>
      <w:kern w:val="28"/>
    </w:rPr>
  </w:style>
  <w:style w:type="character" w:customStyle="1" w:styleId="64">
    <w:name w:val="__Table_Normal Char"/>
    <w:basedOn w:val="13"/>
    <w:link w:val="63"/>
    <w:qFormat/>
    <w:uiPriority w:val="0"/>
    <w:rPr>
      <w:snapToGrid/>
      <w:color w:val="000000"/>
      <w:kern w:val="28"/>
      <w:lang w:eastAsia="ja-JP"/>
    </w:rPr>
  </w:style>
  <w:style w:type="paragraph" w:customStyle="1" w:styleId="65">
    <w:name w:val="Front pg Tbl left just 7 pt"/>
    <w:basedOn w:val="1"/>
    <w:link w:val="66"/>
    <w:qFormat/>
    <w:uiPriority w:val="0"/>
    <w:rPr>
      <w:snapToGrid/>
      <w:sz w:val="14"/>
      <w:szCs w:val="24"/>
    </w:rPr>
  </w:style>
  <w:style w:type="character" w:customStyle="1" w:styleId="66">
    <w:name w:val="Front pg Tbl left just 7 pt Char Char"/>
    <w:basedOn w:val="13"/>
    <w:link w:val="65"/>
    <w:qFormat/>
    <w:uiPriority w:val="0"/>
    <w:rPr>
      <w:snapToGrid/>
      <w:sz w:val="14"/>
      <w:szCs w:val="24"/>
      <w:lang w:eastAsia="ja-JP"/>
    </w:rPr>
  </w:style>
  <w:style w:type="paragraph" w:customStyle="1" w:styleId="67">
    <w:name w:val="EFAFPColFrameText_Center"/>
    <w:basedOn w:val="46"/>
    <w:link w:val="69"/>
    <w:qFormat/>
    <w:uiPriority w:val="0"/>
    <w:pPr>
      <w:framePr w:wrap="around"/>
    </w:pPr>
  </w:style>
  <w:style w:type="character" w:customStyle="1" w:styleId="68">
    <w:name w:val="EFAFPColFrameText_Left Char"/>
    <w:basedOn w:val="44"/>
    <w:link w:val="46"/>
    <w:qFormat/>
    <w:uiPriority w:val="0"/>
    <w:rPr>
      <w:sz w:val="14"/>
      <w:szCs w:val="14"/>
    </w:rPr>
  </w:style>
  <w:style w:type="character" w:customStyle="1" w:styleId="69">
    <w:name w:val="EFAFPColFrameText_Center Char"/>
    <w:basedOn w:val="68"/>
    <w:link w:val="67"/>
    <w:qFormat/>
    <w:uiPriority w:val="0"/>
    <w:rPr>
      <w:sz w:val="14"/>
      <w:szCs w:val="14"/>
    </w:rPr>
  </w:style>
  <w:style w:type="paragraph" w:customStyle="1" w:styleId="70">
    <w:name w:val="EFAAnchor"/>
    <w:basedOn w:val="20"/>
    <w:qFormat/>
    <w:uiPriority w:val="0"/>
    <w:rPr>
      <w:sz w:val="4"/>
      <w:lang w:eastAsia="zh-CN"/>
    </w:rPr>
  </w:style>
  <w:style w:type="paragraph" w:customStyle="1" w:styleId="71">
    <w:name w:val="EFAFPColFrameAnchor"/>
    <w:basedOn w:val="42"/>
    <w:qFormat/>
    <w:uiPriority w:val="0"/>
    <w:pPr>
      <w:framePr w:wrap="around"/>
    </w:pPr>
    <w:rPr>
      <w:sz w:val="4"/>
      <w:szCs w:val="4"/>
    </w:rPr>
  </w:style>
  <w:style w:type="paragraph" w:customStyle="1" w:styleId="72">
    <w:name w:val="EFAFigureTitle_SC"/>
    <w:basedOn w:val="18"/>
    <w:next w:val="18"/>
    <w:link w:val="74"/>
    <w:qFormat/>
    <w:uiPriority w:val="0"/>
    <w:pPr>
      <w:spacing w:before="40" w:after="40"/>
    </w:pPr>
    <w:rPr>
      <w:rFonts w:cs="Calibri"/>
      <w:b/>
      <w:sz w:val="17"/>
    </w:rPr>
  </w:style>
  <w:style w:type="paragraph" w:customStyle="1" w:styleId="73">
    <w:name w:val="EFASource_SC"/>
    <w:basedOn w:val="18"/>
    <w:next w:val="18"/>
    <w:qFormat/>
    <w:uiPriority w:val="0"/>
    <w:rPr>
      <w:sz w:val="12"/>
    </w:rPr>
  </w:style>
  <w:style w:type="character" w:customStyle="1" w:styleId="74">
    <w:name w:val="EFAFigureTitle_SC Char"/>
    <w:basedOn w:val="36"/>
    <w:link w:val="72"/>
    <w:qFormat/>
    <w:uiPriority w:val="0"/>
    <w:rPr>
      <w:rFonts w:cs="Calibri"/>
      <w:b/>
      <w:sz w:val="17"/>
      <w:lang w:eastAsia="ja-JP"/>
    </w:rPr>
  </w:style>
  <w:style w:type="paragraph" w:customStyle="1" w:styleId="75">
    <w:name w:val="EFAFPCol_Hdr2"/>
    <w:basedOn w:val="42"/>
    <w:link w:val="77"/>
    <w:qFormat/>
    <w:uiPriority w:val="0"/>
    <w:pPr>
      <w:framePr w:wrap="around"/>
      <w:jc w:val="both"/>
    </w:pPr>
    <w:rPr>
      <w:b/>
      <w:color w:val="808080"/>
      <w:sz w:val="24"/>
      <w:szCs w:val="24"/>
    </w:rPr>
  </w:style>
  <w:style w:type="paragraph" w:customStyle="1" w:styleId="76">
    <w:name w:val="EFAFP_CustomRec"/>
    <w:link w:val="79"/>
    <w:qFormat/>
    <w:uiPriority w:val="0"/>
    <w:rPr>
      <w:rFonts w:ascii="Calibri" w:hAnsi="Calibri" w:eastAsia="MS Mincho" w:cs="Times New Roman"/>
      <w:b/>
      <w:bCs/>
      <w:snapToGrid w:val="0"/>
      <w:color w:val="23558C"/>
      <w:sz w:val="40"/>
      <w:szCs w:val="24"/>
      <w:lang w:val="en-US" w:eastAsia="zh-CN" w:bidi="ar-SA"/>
    </w:rPr>
  </w:style>
  <w:style w:type="character" w:customStyle="1" w:styleId="77">
    <w:name w:val="EFAFPCol_Hdr2 Char"/>
    <w:basedOn w:val="44"/>
    <w:link w:val="75"/>
    <w:qFormat/>
    <w:uiPriority w:val="0"/>
    <w:rPr>
      <w:b/>
      <w:color w:val="808080"/>
      <w:sz w:val="24"/>
      <w:szCs w:val="24"/>
    </w:rPr>
  </w:style>
  <w:style w:type="paragraph" w:customStyle="1" w:styleId="78">
    <w:name w:val="EFAFP_Rec"/>
    <w:basedOn w:val="42"/>
    <w:link w:val="81"/>
    <w:qFormat/>
    <w:uiPriority w:val="0"/>
    <w:pPr>
      <w:framePr w:wrap="around"/>
    </w:pPr>
    <w:rPr>
      <w:b/>
      <w:bCs/>
      <w:color w:val="23558C"/>
      <w:sz w:val="36"/>
    </w:rPr>
  </w:style>
  <w:style w:type="character" w:customStyle="1" w:styleId="79">
    <w:name w:val="EFAFP_CustomRec Char"/>
    <w:basedOn w:val="13"/>
    <w:link w:val="76"/>
    <w:qFormat/>
    <w:uiPriority w:val="0"/>
    <w:rPr>
      <w:b/>
      <w:bCs/>
      <w:color w:val="23558C"/>
      <w:sz w:val="40"/>
      <w:szCs w:val="24"/>
    </w:rPr>
  </w:style>
  <w:style w:type="character" w:customStyle="1" w:styleId="80">
    <w:name w:val="EFAFPReportType Char"/>
    <w:basedOn w:val="13"/>
    <w:link w:val="16"/>
    <w:qFormat/>
    <w:uiPriority w:val="0"/>
    <w:rPr>
      <w:color w:val="23558C"/>
      <w:sz w:val="44"/>
      <w:szCs w:val="44"/>
      <w:lang w:eastAsia="ja-JP"/>
    </w:rPr>
  </w:style>
  <w:style w:type="character" w:customStyle="1" w:styleId="81">
    <w:name w:val="EFAFP_Rec Char"/>
    <w:basedOn w:val="77"/>
    <w:link w:val="78"/>
    <w:qFormat/>
    <w:uiPriority w:val="0"/>
    <w:rPr>
      <w:bCs/>
      <w:color w:val="23558C"/>
      <w:sz w:val="36"/>
      <w:szCs w:val="14"/>
    </w:rPr>
  </w:style>
  <w:style w:type="paragraph" w:customStyle="1" w:styleId="82">
    <w:name w:val="EFAFPHdrInfo"/>
    <w:link w:val="83"/>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3">
    <w:name w:val="EFAFPHdrInfo Char"/>
    <w:basedOn w:val="80"/>
    <w:link w:val="82"/>
    <w:qFormat/>
    <w:uiPriority w:val="0"/>
    <w:rPr>
      <w:b/>
      <w:bCs/>
      <w:color w:val="000000"/>
      <w:sz w:val="32"/>
      <w:szCs w:val="32"/>
      <w:lang w:eastAsia="ja-JP"/>
    </w:rPr>
  </w:style>
  <w:style w:type="paragraph" w:customStyle="1" w:styleId="84">
    <w:name w:val="Style EFAFP_BodyText + After:  6 pt"/>
    <w:basedOn w:val="27"/>
    <w:qFormat/>
    <w:uiPriority w:val="0"/>
    <w:pPr>
      <w:spacing w:after="120"/>
    </w:pPr>
    <w:rPr>
      <w:rFonts w:eastAsia="Times New Roman"/>
      <w:snapToGrid/>
      <w:sz w:val="22"/>
      <w:szCs w:val="20"/>
    </w:rPr>
  </w:style>
  <w:style w:type="paragraph" w:customStyle="1" w:styleId="85">
    <w:name w:val="Style EFAFP_BodyText + 12 pt Bold Black After:  6 pt Kern at 14..."/>
    <w:basedOn w:val="27"/>
    <w:qFormat/>
    <w:uiPriority w:val="0"/>
    <w:pPr>
      <w:spacing w:after="120"/>
    </w:pPr>
    <w:rPr>
      <w:rFonts w:eastAsia="Times New Roman"/>
      <w:b/>
      <w:bCs/>
      <w:snapToGrid/>
      <w:color w:val="000000"/>
      <w:kern w:val="28"/>
      <w:sz w:val="26"/>
      <w:szCs w:val="20"/>
    </w:rPr>
  </w:style>
  <w:style w:type="paragraph" w:customStyle="1" w:styleId="86">
    <w:name w:val="EFAFP_Headline"/>
    <w:next w:val="87"/>
    <w:link w:val="88"/>
    <w:qFormat/>
    <w:uiPriority w:val="0"/>
    <w:pPr>
      <w:numPr>
        <w:ilvl w:val="0"/>
        <w:numId w:val="6"/>
      </w:numPr>
      <w:adjustRightInd w:val="0"/>
      <w:snapToGrid w:val="0"/>
    </w:pPr>
    <w:rPr>
      <w:rFonts w:ascii="Calibri" w:hAnsi="Calibri" w:eastAsia="Times New Roman" w:cs="Times New Roman"/>
      <w:b/>
      <w:bCs/>
      <w:snapToGrid/>
      <w:color w:val="23558C"/>
      <w:kern w:val="28"/>
      <w:sz w:val="28"/>
      <w:szCs w:val="20"/>
      <w:lang w:val="en-US" w:eastAsia="ja-JP" w:bidi="ar-SA"/>
    </w:rPr>
  </w:style>
  <w:style w:type="paragraph" w:customStyle="1" w:styleId="87">
    <w:name w:val="EFAFP_BodyText2"/>
    <w:link w:val="90"/>
    <w:qFormat/>
    <w:uiPriority w:val="0"/>
    <w:pPr>
      <w:adjustRightInd w:val="0"/>
      <w:snapToGrid w:val="0"/>
      <w:spacing w:after="120"/>
    </w:pPr>
    <w:rPr>
      <w:rFonts w:ascii="Calibri" w:hAnsi="Calibri" w:eastAsia="Times New Roman" w:cs="PMingLiU"/>
      <w:snapToGrid/>
      <w:sz w:val="20"/>
      <w:szCs w:val="20"/>
      <w:lang w:val="en-US" w:eastAsia="ja-JP" w:bidi="ar-SA"/>
    </w:rPr>
  </w:style>
  <w:style w:type="character" w:customStyle="1" w:styleId="88">
    <w:name w:val="EFAFP_Headline Char"/>
    <w:basedOn w:val="13"/>
    <w:link w:val="86"/>
    <w:qFormat/>
    <w:uiPriority w:val="0"/>
    <w:rPr>
      <w:rFonts w:eastAsia="Times New Roman"/>
      <w:b/>
      <w:bCs/>
      <w:snapToGrid/>
      <w:color w:val="23558C"/>
      <w:kern w:val="28"/>
      <w:sz w:val="28"/>
      <w:szCs w:val="20"/>
      <w:lang w:eastAsia="ja-JP"/>
    </w:rPr>
  </w:style>
  <w:style w:type="character" w:customStyle="1" w:styleId="89">
    <w:name w:val="EFABlueChar"/>
    <w:qFormat/>
    <w:uiPriority w:val="1"/>
    <w:rPr>
      <w:b/>
      <w:color w:val="23508C"/>
    </w:rPr>
  </w:style>
  <w:style w:type="character" w:customStyle="1" w:styleId="90">
    <w:name w:val="EFAFP_BodyText2 Char"/>
    <w:basedOn w:val="13"/>
    <w:link w:val="87"/>
    <w:qFormat/>
    <w:uiPriority w:val="0"/>
    <w:rPr>
      <w:rFonts w:eastAsia="Times New Roman" w:cs="PMingLiU"/>
      <w:snapToGrid/>
      <w:sz w:val="20"/>
      <w:szCs w:val="20"/>
      <w:lang w:eastAsia="ja-JP"/>
    </w:rPr>
  </w:style>
  <w:style w:type="paragraph" w:customStyle="1" w:styleId="91">
    <w:name w:val="EFAHeading2"/>
    <w:basedOn w:val="1"/>
    <w:link w:val="93"/>
    <w:qFormat/>
    <w:uiPriority w:val="0"/>
    <w:pPr>
      <w:widowControl w:val="0"/>
      <w:adjustRightInd w:val="0"/>
      <w:snapToGrid w:val="0"/>
      <w:spacing w:before="160"/>
    </w:pPr>
    <w:rPr>
      <w:color w:val="23558C"/>
      <w:kern w:val="28"/>
      <w:sz w:val="28"/>
    </w:rPr>
  </w:style>
  <w:style w:type="paragraph" w:customStyle="1" w:styleId="92">
    <w:name w:val="EFABodyText2"/>
    <w:basedOn w:val="18"/>
    <w:link w:val="95"/>
    <w:qFormat/>
    <w:uiPriority w:val="0"/>
    <w:rPr>
      <w:szCs w:val="22"/>
    </w:rPr>
  </w:style>
  <w:style w:type="character" w:customStyle="1" w:styleId="93">
    <w:name w:val="EFAHeading2 Char"/>
    <w:basedOn w:val="13"/>
    <w:link w:val="91"/>
    <w:qFormat/>
    <w:uiPriority w:val="0"/>
    <w:rPr>
      <w:color w:val="23558C"/>
      <w:kern w:val="28"/>
      <w:sz w:val="28"/>
      <w:lang w:eastAsia="ja-JP"/>
    </w:rPr>
  </w:style>
  <w:style w:type="paragraph" w:customStyle="1" w:styleId="94">
    <w:name w:val="EFAHeading_with_bullet"/>
    <w:basedOn w:val="1"/>
    <w:next w:val="92"/>
    <w:link w:val="96"/>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5">
    <w:name w:val="EFABodyText2 Char"/>
    <w:basedOn w:val="36"/>
    <w:link w:val="92"/>
    <w:qFormat/>
    <w:uiPriority w:val="0"/>
    <w:rPr>
      <w:sz w:val="20"/>
      <w:szCs w:val="22"/>
      <w:lang w:eastAsia="ja-JP"/>
    </w:rPr>
  </w:style>
  <w:style w:type="character" w:customStyle="1" w:styleId="96">
    <w:name w:val="EFAHeading_with_bullet Char"/>
    <w:basedOn w:val="13"/>
    <w:link w:val="94"/>
    <w:qFormat/>
    <w:uiPriority w:val="0"/>
    <w:rPr>
      <w:b/>
      <w:color w:val="23558C"/>
      <w:kern w:val="28"/>
      <w:sz w:val="28"/>
      <w:lang w:eastAsia="ja-JP"/>
    </w:rPr>
  </w:style>
  <w:style w:type="paragraph" w:customStyle="1" w:styleId="97">
    <w:name w:val="EFARiskText"/>
    <w:link w:val="99"/>
    <w:qFormat/>
    <w:uiPriority w:val="0"/>
    <w:pPr>
      <w:jc w:val="center"/>
    </w:pPr>
    <w:rPr>
      <w:rFonts w:ascii="Calibri" w:hAnsi="Calibri" w:eastAsia="MS Mincho" w:cs="Times New Roman"/>
      <w:snapToGrid/>
      <w:color w:val="23508C"/>
      <w:sz w:val="16"/>
      <w:szCs w:val="16"/>
      <w:lang w:val="en-US" w:eastAsia="ja-JP" w:bidi="ar-SA"/>
    </w:rPr>
  </w:style>
  <w:style w:type="paragraph" w:customStyle="1" w:styleId="98">
    <w:name w:val="EFARiskText_Inv"/>
    <w:basedOn w:val="97"/>
    <w:link w:val="100"/>
    <w:qFormat/>
    <w:uiPriority w:val="0"/>
    <w:rPr>
      <w:b/>
      <w:color w:val="FFFFFF"/>
    </w:rPr>
  </w:style>
  <w:style w:type="character" w:customStyle="1" w:styleId="99">
    <w:name w:val="EFARiskText Char"/>
    <w:basedOn w:val="13"/>
    <w:link w:val="97"/>
    <w:qFormat/>
    <w:uiPriority w:val="0"/>
    <w:rPr>
      <w:snapToGrid/>
      <w:color w:val="23508C"/>
      <w:lang w:eastAsia="ja-JP"/>
    </w:rPr>
  </w:style>
  <w:style w:type="character" w:customStyle="1" w:styleId="100">
    <w:name w:val="EFARiskText_Inv Char"/>
    <w:basedOn w:val="99"/>
    <w:link w:val="98"/>
    <w:qFormat/>
    <w:uiPriority w:val="0"/>
    <w:rPr>
      <w:b/>
      <w:snapToGrid/>
      <w:color w:val="FFFFFF"/>
      <w:lang w:eastAsia="ja-JP"/>
    </w:rPr>
  </w:style>
  <w:style w:type="paragraph" w:customStyle="1" w:styleId="101">
    <w:name w:val="EFAHeading3"/>
    <w:basedOn w:val="1"/>
    <w:link w:val="106"/>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2">
    <w:name w:val="EFATextInBullet"/>
    <w:link w:val="104"/>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3">
    <w:name w:val="EFATextInBullet_Inv"/>
    <w:basedOn w:val="102"/>
    <w:qFormat/>
    <w:uiPriority w:val="0"/>
    <w:rPr>
      <w:color w:val="FFFFFF" w:themeColor="background1"/>
      <w14:textFill>
        <w14:solidFill>
          <w14:schemeClr w14:val="bg1"/>
        </w14:solidFill>
      </w14:textFill>
    </w:rPr>
  </w:style>
  <w:style w:type="character" w:customStyle="1" w:styleId="104">
    <w:name w:val="EFATextInBullet Char"/>
    <w:basedOn w:val="13"/>
    <w:link w:val="102"/>
    <w:qFormat/>
    <w:uiPriority w:val="0"/>
    <w:rPr>
      <w:b/>
      <w:bCs/>
      <w:lang w:eastAsia="ja-JP"/>
    </w:rPr>
  </w:style>
  <w:style w:type="paragraph" w:customStyle="1" w:styleId="105">
    <w:name w:val="EFAHeading"/>
    <w:link w:val="107"/>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6">
    <w:name w:val="EFAHeading3 Char"/>
    <w:basedOn w:val="13"/>
    <w:link w:val="101"/>
    <w:qFormat/>
    <w:uiPriority w:val="0"/>
    <w:rPr>
      <w:b/>
      <w:color w:val="23558C"/>
      <w:kern w:val="28"/>
      <w:sz w:val="28"/>
      <w:lang w:eastAsia="ja-JP"/>
    </w:rPr>
  </w:style>
  <w:style w:type="character" w:customStyle="1" w:styleId="107">
    <w:name w:val="EFAHeading Char"/>
    <w:basedOn w:val="13"/>
    <w:link w:val="105"/>
    <w:qFormat/>
    <w:uiPriority w:val="0"/>
    <w:rPr>
      <w:b/>
      <w:color w:val="000000"/>
      <w:kern w:val="28"/>
      <w:sz w:val="24"/>
      <w:szCs w:val="14"/>
      <w:lang w:eastAsia="ja-JP"/>
    </w:rPr>
  </w:style>
  <w:style w:type="character" w:customStyle="1" w:styleId="108">
    <w:name w:val="EFASubHeader Char"/>
    <w:basedOn w:val="36"/>
    <w:link w:val="57"/>
    <w:qFormat/>
    <w:uiPriority w:val="0"/>
    <w:rPr>
      <w:b/>
      <w:bCs/>
      <w:sz w:val="20"/>
      <w:lang w:eastAsia="ja-JP"/>
    </w:rPr>
  </w:style>
  <w:style w:type="character" w:customStyle="1" w:styleId="109">
    <w:name w:val="EFAFPFrameText_11.5pt Char"/>
    <w:basedOn w:val="13"/>
    <w:link w:val="23"/>
    <w:qFormat/>
    <w:uiPriority w:val="0"/>
    <w:rPr>
      <w:b/>
      <w:color w:val="23558C"/>
      <w:sz w:val="24"/>
      <w:lang w:eastAsia="ja-JP"/>
    </w:rPr>
  </w:style>
  <w:style w:type="character" w:customStyle="1" w:styleId="110">
    <w:name w:val="EFAFPTitle Char"/>
    <w:basedOn w:val="13"/>
    <w:link w:val="41"/>
    <w:qFormat/>
    <w:uiPriority w:val="0"/>
    <w:rPr>
      <w:b/>
      <w:color w:val="FFFFFF"/>
      <w:sz w:val="32"/>
      <w:szCs w:val="32"/>
      <w:lang w:eastAsia="ja-JP"/>
    </w:rPr>
  </w:style>
  <w:style w:type="character" w:customStyle="1" w:styleId="111">
    <w:name w:val="EFAFPFrameText_11.5pt_Right Char"/>
    <w:basedOn w:val="109"/>
    <w:link w:val="22"/>
    <w:qFormat/>
    <w:uiPriority w:val="0"/>
    <w:rPr>
      <w:bCs/>
      <w:color w:val="23558C"/>
      <w:sz w:val="24"/>
      <w:szCs w:val="32"/>
      <w:lang w:eastAsia="ja-JP"/>
    </w:rPr>
  </w:style>
  <w:style w:type="paragraph" w:customStyle="1" w:styleId="112">
    <w:name w:val="EFADisclaimerHiddenText"/>
    <w:link w:val="113"/>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3">
    <w:name w:val="EFADisclaimerHiddenText Char"/>
    <w:basedOn w:val="13"/>
    <w:link w:val="112"/>
    <w:qFormat/>
    <w:uiPriority w:val="0"/>
    <w:rPr>
      <w:vanish/>
      <w:color w:val="FFFFFF"/>
      <w:sz w:val="2"/>
      <w:lang w:eastAsia="ja-JP"/>
    </w:rPr>
  </w:style>
  <w:style w:type="paragraph" w:customStyle="1" w:styleId="114">
    <w:name w:val="EFATagging"/>
    <w:link w:val="115"/>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5">
    <w:name w:val="EFATagging Char"/>
    <w:basedOn w:val="13"/>
    <w:link w:val="114"/>
    <w:qFormat/>
    <w:uiPriority w:val="0"/>
    <w:rPr>
      <w:bCs/>
      <w:color w:val="0066CC" w:themeColor="accent1" w:themeShade="80"/>
      <w:lang w:eastAsia="ja-JP"/>
    </w:rPr>
  </w:style>
  <w:style w:type="paragraph" w:customStyle="1" w:styleId="116">
    <w:name w:val="EFAFP_Tagging"/>
    <w:link w:val="117"/>
    <w:qFormat/>
    <w:uiPriority w:val="0"/>
    <w:rPr>
      <w:rFonts w:ascii="Calibri" w:hAnsi="Calibri" w:eastAsia="MS Mincho" w:cs="Times New Roman"/>
      <w:snapToGrid w:val="0"/>
      <w:color w:val="0066CC" w:themeColor="accent1" w:themeShade="80"/>
      <w:sz w:val="16"/>
      <w:szCs w:val="20"/>
      <w:lang w:val="en-US" w:eastAsia="ja-JP" w:bidi="ar-SA"/>
    </w:rPr>
  </w:style>
  <w:style w:type="character" w:customStyle="1" w:styleId="117">
    <w:name w:val="EFAFP_Tagging Char"/>
    <w:basedOn w:val="13"/>
    <w:link w:val="116"/>
    <w:qFormat/>
    <w:uiPriority w:val="0"/>
    <w:rPr>
      <w:color w:val="0066CC" w:themeColor="accent1" w:themeShade="80"/>
      <w:szCs w:val="20"/>
      <w:lang w:eastAsia="ja-JP"/>
    </w:rPr>
  </w:style>
  <w:style w:type="paragraph" w:customStyle="1" w:styleId="118">
    <w:name w:val="EFAFPHdrInfo3"/>
    <w:link w:val="119"/>
    <w:qFormat/>
    <w:uiPriority w:val="0"/>
    <w:rPr>
      <w:rFonts w:ascii="Calibri" w:hAnsi="Calibri" w:eastAsia="MS Mincho" w:cs="Times New Roman"/>
      <w:b/>
      <w:bCs/>
      <w:snapToGrid w:val="0"/>
      <w:color w:val="000000"/>
      <w:sz w:val="32"/>
      <w:szCs w:val="20"/>
      <w:lang w:val="en-US" w:eastAsia="ja-JP" w:bidi="ar-SA"/>
    </w:rPr>
  </w:style>
  <w:style w:type="character" w:customStyle="1" w:styleId="119">
    <w:name w:val="EFAFPHdrInfo3 Char"/>
    <w:basedOn w:val="13"/>
    <w:link w:val="118"/>
    <w:qFormat/>
    <w:uiPriority w:val="0"/>
    <w:rPr>
      <w:b/>
      <w:bCs/>
      <w:color w:val="000000"/>
      <w:sz w:val="32"/>
      <w:szCs w:val="20"/>
      <w:lang w:eastAsia="ja-JP"/>
    </w:rPr>
  </w:style>
  <w:style w:type="paragraph" w:customStyle="1" w:styleId="120">
    <w:name w:val="EFAFP_HTI_Link"/>
    <w:basedOn w:val="42"/>
    <w:qFormat/>
    <w:uiPriority w:val="0"/>
    <w:pPr>
      <w:framePr w:wrap="around"/>
      <w:jc w:val="center"/>
    </w:pPr>
    <w:rPr>
      <w:sz w:val="20"/>
      <w:szCs w:val="20"/>
    </w:rPr>
  </w:style>
  <w:style w:type="paragraph" w:customStyle="1" w:styleId="121">
    <w:name w:val="EFAFPTitle6"/>
    <w:link w:val="122"/>
    <w:qFormat/>
    <w:uiPriority w:val="0"/>
    <w:rPr>
      <w:rFonts w:ascii="Calibri" w:hAnsi="Calibri" w:eastAsia="MS Mincho" w:cs="Times New Roman"/>
      <w:b/>
      <w:bCs/>
      <w:snapToGrid w:val="0"/>
      <w:color w:val="FFFFFF"/>
      <w:sz w:val="32"/>
      <w:szCs w:val="20"/>
      <w:lang w:val="en-US" w:eastAsia="ja-JP" w:bidi="ar-SA"/>
    </w:rPr>
  </w:style>
  <w:style w:type="character" w:customStyle="1" w:styleId="122">
    <w:name w:val="EFAFPTitle6 Char"/>
    <w:basedOn w:val="13"/>
    <w:link w:val="121"/>
    <w:qFormat/>
    <w:uiPriority w:val="0"/>
    <w:rPr>
      <w:b/>
      <w:bCs/>
      <w:color w:val="FFFFFF"/>
      <w:sz w:val="32"/>
      <w:szCs w:val="20"/>
      <w:lang w:eastAsia="ja-JP"/>
    </w:rPr>
  </w:style>
  <w:style w:type="paragraph" w:customStyle="1" w:styleId="123">
    <w:name w:val="EFAHiddenText"/>
    <w:link w:val="124"/>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4">
    <w:name w:val="EFAHiddenText Char"/>
    <w:basedOn w:val="13"/>
    <w:link w:val="123"/>
    <w:qFormat/>
    <w:uiPriority w:val="0"/>
    <w:rPr>
      <w:vanish/>
      <w:sz w:val="2"/>
      <w:lang w:eastAsia="ja-JP"/>
    </w:rPr>
  </w:style>
  <w:style w:type="character" w:customStyle="1" w:styleId="125">
    <w:name w:val="EFAFPFooter2 Char"/>
    <w:basedOn w:val="13"/>
    <w:link w:val="39"/>
    <w:qFormat/>
    <w:uiPriority w:val="0"/>
    <w:rPr>
      <w:rFonts w:cs="Arial"/>
      <w:sz w:val="21"/>
      <w:lang w:eastAsia="ja-JP"/>
    </w:rPr>
  </w:style>
  <w:style w:type="table" w:customStyle="1" w:styleId="126">
    <w:name w:val="Table Grid1"/>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EFAFP_HTI_Link2"/>
    <w:link w:val="128"/>
    <w:qFormat/>
    <w:uiPriority w:val="0"/>
    <w:rPr>
      <w:rFonts w:ascii="Calibri" w:hAnsi="Calibri" w:eastAsia="MS Mincho" w:cs="Times New Roman"/>
      <w:snapToGrid w:val="0"/>
      <w:sz w:val="16"/>
      <w:szCs w:val="16"/>
      <w:lang w:val="en-US" w:eastAsia="zh-CN" w:bidi="ar-SA"/>
    </w:rPr>
  </w:style>
  <w:style w:type="character" w:customStyle="1" w:styleId="128">
    <w:name w:val="EFAFP_HTI_Link2 Char"/>
    <w:basedOn w:val="13"/>
    <w:link w:val="127"/>
    <w:qFormat/>
    <w:uiPriority w:val="0"/>
  </w:style>
  <w:style w:type="paragraph" w:customStyle="1" w:styleId="129">
    <w:name w:val="EFAFP_HeadLine_SE"/>
    <w:link w:val="131"/>
    <w:qFormat/>
    <w:uiPriority w:val="0"/>
    <w:rPr>
      <w:rFonts w:ascii="Calibri" w:hAnsi="Calibri" w:eastAsia="Times New Roman" w:cs="Times New Roman"/>
      <w:b/>
      <w:bCs/>
      <w:snapToGrid/>
      <w:color w:val="23558C"/>
      <w:kern w:val="28"/>
      <w:sz w:val="22"/>
      <w:szCs w:val="20"/>
      <w:lang w:val="en-US" w:eastAsia="ja-JP" w:bidi="ar-SA"/>
    </w:rPr>
  </w:style>
  <w:style w:type="paragraph" w:customStyle="1" w:styleId="130">
    <w:name w:val="EFAFPBodyText_SE"/>
    <w:link w:val="13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snapToGrid/>
      <w:sz w:val="20"/>
      <w:szCs w:val="20"/>
      <w:lang w:val="en-US" w:eastAsia="ja-JP" w:bidi="ar-SA"/>
    </w:rPr>
  </w:style>
  <w:style w:type="character" w:customStyle="1" w:styleId="131">
    <w:name w:val="EFAFP_HeadLine_SE Char"/>
    <w:basedOn w:val="13"/>
    <w:link w:val="129"/>
    <w:qFormat/>
    <w:uiPriority w:val="0"/>
    <w:rPr>
      <w:rFonts w:eastAsia="Times New Roman"/>
      <w:b/>
      <w:bCs/>
      <w:snapToGrid/>
      <w:color w:val="23558C"/>
      <w:kern w:val="28"/>
      <w:sz w:val="22"/>
      <w:szCs w:val="20"/>
      <w:lang w:eastAsia="ja-JP"/>
    </w:rPr>
  </w:style>
  <w:style w:type="character" w:customStyle="1" w:styleId="132">
    <w:name w:val="EFAFPBodyText_SE Char"/>
    <w:basedOn w:val="13"/>
    <w:link w:val="130"/>
    <w:qFormat/>
    <w:uiPriority w:val="0"/>
    <w:rPr>
      <w:rFonts w:eastAsia="Times New Roman" w:cs="PMingLiU"/>
      <w:snapToGrid/>
      <w:sz w:val="20"/>
      <w:szCs w:val="20"/>
      <w:lang w:eastAsia="ja-JP"/>
    </w:rPr>
  </w:style>
  <w:style w:type="paragraph" w:customStyle="1" w:styleId="133">
    <w:name w:val="EFAHeader_SE"/>
    <w:link w:val="135"/>
    <w:qFormat/>
    <w:uiPriority w:val="0"/>
    <w:pPr>
      <w:spacing w:after="280" w:line="280" w:lineRule="exact"/>
    </w:pPr>
    <w:rPr>
      <w:rFonts w:ascii="Calibri" w:hAnsi="Calibri" w:eastAsia="MS Mincho" w:cs="Times New Roman"/>
      <w:b/>
      <w:bCs/>
      <w:snapToGrid/>
      <w:color w:val="23558C"/>
      <w:kern w:val="28"/>
      <w:sz w:val="22"/>
      <w:szCs w:val="16"/>
      <w:lang w:val="en-US" w:eastAsia="ja-JP" w:bidi="ar-SA"/>
    </w:rPr>
  </w:style>
  <w:style w:type="paragraph" w:customStyle="1" w:styleId="134">
    <w:name w:val="EFA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snapToGrid/>
      <w:sz w:val="20"/>
      <w:szCs w:val="20"/>
      <w:lang w:val="en-US" w:eastAsia="ja-JP" w:bidi="ar-SA"/>
    </w:rPr>
  </w:style>
  <w:style w:type="character" w:customStyle="1" w:styleId="135">
    <w:name w:val="EFAHeader_SE Char"/>
    <w:basedOn w:val="13"/>
    <w:link w:val="133"/>
    <w:qFormat/>
    <w:uiPriority w:val="0"/>
    <w:rPr>
      <w:b/>
      <w:bCs/>
      <w:snapToGrid/>
      <w:color w:val="23558C"/>
      <w:kern w:val="28"/>
      <w:sz w:val="22"/>
      <w:lang w:eastAsia="ja-JP"/>
    </w:rPr>
  </w:style>
  <w:style w:type="paragraph" w:customStyle="1" w:styleId="136">
    <w:name w:val="EFABodyText_SE2"/>
    <w:link w:val="138"/>
    <w:qFormat/>
    <w:uiPriority w:val="0"/>
    <w:rPr>
      <w:rFonts w:ascii="Calibri" w:hAnsi="Calibri" w:eastAsia="Times New Roman" w:cs="PMingLiU"/>
      <w:snapToGrid/>
      <w:sz w:val="20"/>
      <w:szCs w:val="20"/>
      <w:lang w:val="en-US" w:eastAsia="ja-JP" w:bidi="ar-SA"/>
    </w:rPr>
  </w:style>
  <w:style w:type="character" w:customStyle="1" w:styleId="137">
    <w:name w:val="EFABodyText_SE Char"/>
    <w:basedOn w:val="13"/>
    <w:link w:val="134"/>
    <w:qFormat/>
    <w:uiPriority w:val="0"/>
    <w:rPr>
      <w:rFonts w:eastAsia="Times New Roman" w:cs="PMingLiU"/>
      <w:snapToGrid/>
      <w:sz w:val="20"/>
      <w:szCs w:val="20"/>
      <w:lang w:eastAsia="ja-JP"/>
    </w:rPr>
  </w:style>
  <w:style w:type="character" w:customStyle="1" w:styleId="138">
    <w:name w:val="EFABodyText_SE2 Char"/>
    <w:basedOn w:val="13"/>
    <w:link w:val="136"/>
    <w:qFormat/>
    <w:uiPriority w:val="0"/>
    <w:rPr>
      <w:rFonts w:eastAsia="Times New Roman" w:cs="PMingLiU"/>
      <w:snapToGrid/>
      <w:sz w:val="20"/>
      <w:szCs w:val="20"/>
      <w:lang w:eastAsia="ja-JP"/>
    </w:rPr>
  </w:style>
  <w:style w:type="character" w:customStyle="1" w:styleId="139">
    <w:name w:val="EFADisclaimerText Char"/>
    <w:basedOn w:val="13"/>
    <w:link w:val="24"/>
    <w:qFormat/>
    <w:locked/>
    <w:uiPriority w:val="99"/>
    <w:rPr>
      <w:lang w:eastAsia="ja-JP"/>
    </w:rPr>
  </w:style>
  <w:style w:type="paragraph" w:customStyle="1" w:styleId="140">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1">
    <w:name w:val="EFAFPFooter"/>
    <w:basedOn w:val="20"/>
    <w:qFormat/>
    <w:uiPriority w:val="0"/>
    <w:pPr>
      <w:tabs>
        <w:tab w:val="right" w:pos="10679"/>
      </w:tabs>
      <w:autoSpaceDE w:val="0"/>
      <w:autoSpaceDN w:val="0"/>
      <w:jc w:val="both"/>
    </w:pPr>
    <w:rPr>
      <w:rFonts w:eastAsia="宋体" w:cs="Arial"/>
      <w:b/>
    </w:rPr>
  </w:style>
  <w:style w:type="paragraph" w:customStyle="1" w:styleId="142">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3">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4">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5">
    <w:name w:val="Common"/>
    <w:basedOn w:val="12"/>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46">
    <w:name w:val="样式 标题 2 + 段前: 1 行 段后: 1 行"/>
    <w:basedOn w:val="3"/>
    <w:qFormat/>
    <w:uiPriority w:val="0"/>
    <w:pPr>
      <w:spacing w:before="240" w:after="240"/>
    </w:pPr>
    <w:rPr>
      <w:rFonts w:ascii="宋体" w:hAnsi="宋体" w:eastAsia="宋体" w:cs="宋体"/>
      <w:snapToGrid/>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3.xml"/><Relationship Id="rId49" Type="http://schemas.openxmlformats.org/officeDocument/2006/relationships/customXml" Target="../customXml/item1.xml"/><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26</Pages>
  <Words>6493</Words>
  <Characters>38769</Characters>
  <Lines>401</Lines>
  <Paragraphs>175</Paragraphs>
  <TotalTime>11</TotalTime>
  <ScaleCrop>false</ScaleCrop>
  <LinksUpToDate>false</LinksUpToDate>
  <CharactersWithSpaces>45207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2026-03-09T10:53:27Z</dcterms:modified>
  <dc:title>Corp note</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