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11.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2.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3.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4.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5.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6"/>
        <w:tblpPr w:bottomFromText="360" w:tblpXSpec="right" w:tblpY="-239"/>
        <w:tblOverlap w:val="never"/>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4A0" w:firstRow="1" w:lastRow="0" w:firstColumn="1" w:lastColumn="0" w:noHBand="0" w:noVBand="1"/>
        <w:tblCaption w:val="[Table_Title]"/>
        <w:tblDescription w:val="表格隐藏唯一标识（请勿删除或修改）"/>
      </w:tblPr>
      <w:tblGrid>
        <w:gridCol w:w="7643"/>
        <w:gridCol w:w="2705"/>
      </w:tblGrid>
      <w:tr w:rsidR="00043BDD" w14:paraId="2EFB7BF8" w14:textId="77777777" w:rsidTr="00554428">
        <w:trPr>
          <w:trHeight w:hRule="exact" w:val="23"/>
        </w:trPr>
        <w:tc>
          <w:tcPr>
            <w:tcW w:w="10348" w:type="dxa"/>
            <w:gridSpan w:val="2"/>
          </w:tcPr>
          <w:p w14:paraId="19ECDD88" w14:textId="77777777" w:rsidR="00043BDD" w:rsidRDefault="00A61197">
            <w:pPr>
              <w:pStyle w:val="EFAFPFrameText115pt"/>
              <w:framePr w:w="0" w:hRule="auto" w:wrap="auto" w:vAnchor="margin" w:hAnchor="text" w:xAlign="left" w:yAlign="inline" w:anchorLock="0"/>
              <w:rPr>
                <w:rFonts w:eastAsia="楷体_GB2312" w:cs="Calibri"/>
              </w:rPr>
            </w:pPr>
            <w:r>
              <w:rPr>
                <w:rFonts w:eastAsia="楷体_GB2312" w:cs="Calibri"/>
                <w:b w:val="0"/>
                <w:color w:val="FFFFFF" w:themeColor="background1"/>
                <w:sz w:val="16"/>
                <w:lang w:eastAsia="zh-CN"/>
              </w:rPr>
              <w:t>[</w:t>
            </w:r>
            <w:proofErr w:type="spellStart"/>
            <w:r>
              <w:rPr>
                <w:rFonts w:eastAsia="楷体_GB2312" w:cs="Calibri"/>
                <w:b w:val="0"/>
                <w:color w:val="FFFFFF" w:themeColor="background1"/>
                <w:sz w:val="16"/>
                <w:lang w:eastAsia="zh-CN"/>
              </w:rPr>
              <w:t>Table_Title</w:t>
            </w:r>
            <w:proofErr w:type="spellEnd"/>
            <w:r>
              <w:rPr>
                <w:rFonts w:eastAsia="楷体_GB2312" w:cs="Calibri"/>
                <w:b w:val="0"/>
                <w:color w:val="FFFFFF" w:themeColor="background1"/>
                <w:sz w:val="16"/>
                <w:lang w:eastAsia="zh-CN"/>
              </w:rPr>
              <w:t>]</w:t>
            </w:r>
          </w:p>
        </w:tc>
      </w:tr>
      <w:tr w:rsidR="00043BDD" w14:paraId="07E46A6E" w14:textId="77777777" w:rsidTr="00554428">
        <w:trPr>
          <w:trHeight w:hRule="exact" w:val="318"/>
        </w:trPr>
        <w:tc>
          <w:tcPr>
            <w:tcW w:w="7643" w:type="dxa"/>
            <w:vAlign w:val="center"/>
          </w:tcPr>
          <w:p w14:paraId="00CF94DA" w14:textId="77777777" w:rsidR="00043BDD" w:rsidRDefault="00A61197">
            <w:pPr>
              <w:pStyle w:val="EFAFPFrameText115pt"/>
              <w:framePr w:w="0" w:hRule="auto" w:wrap="auto" w:vAnchor="margin" w:hAnchor="text" w:xAlign="left" w:yAlign="inline" w:anchorLock="0"/>
              <w:rPr>
                <w:rFonts w:eastAsia="楷体_GB2312" w:cs="Calibri"/>
                <w:b w:val="0"/>
                <w:sz w:val="16"/>
                <w:lang w:eastAsia="zh-CN"/>
              </w:rPr>
            </w:pPr>
            <w:r>
              <w:rPr>
                <w:rFonts w:eastAsia="楷体_GB2312" w:cs="Calibri"/>
                <w:b w:val="0"/>
                <w:sz w:val="16"/>
                <w:lang w:eastAsia="zh-CN"/>
              </w:rPr>
              <w:t>研究报告</w:t>
            </w:r>
            <w:r>
              <w:rPr>
                <w:rFonts w:eastAsia="楷体_GB2312" w:cs="Calibri"/>
                <w:b w:val="0"/>
                <w:sz w:val="16"/>
                <w:lang w:eastAsia="zh-CN"/>
              </w:rPr>
              <w:t>Research Report</w:t>
            </w:r>
          </w:p>
        </w:tc>
        <w:tc>
          <w:tcPr>
            <w:tcW w:w="2705" w:type="dxa"/>
            <w:vAlign w:val="center"/>
          </w:tcPr>
          <w:p w14:paraId="368E306C" w14:textId="77777777" w:rsidR="00043BDD" w:rsidRDefault="00043BDD">
            <w:pPr>
              <w:pStyle w:val="EFAFPFrameText115pt"/>
              <w:framePr w:w="0" w:hRule="auto" w:wrap="auto" w:vAnchor="margin" w:hAnchor="text" w:xAlign="left" w:yAlign="inline" w:anchorLock="0"/>
              <w:rPr>
                <w:rFonts w:eastAsia="楷体_GB2312" w:cs="Calibri"/>
              </w:rPr>
            </w:pPr>
          </w:p>
        </w:tc>
      </w:tr>
      <w:tr w:rsidR="00043BDD" w14:paraId="0554AF8D" w14:textId="77777777" w:rsidTr="00554428">
        <w:trPr>
          <w:trHeight w:val="320"/>
        </w:trPr>
        <w:tc>
          <w:tcPr>
            <w:tcW w:w="7643" w:type="dxa"/>
            <w:vAlign w:val="center"/>
          </w:tcPr>
          <w:p w14:paraId="60D3B45B" w14:textId="389C66BE" w:rsidR="00043BDD" w:rsidRDefault="00356791">
            <w:pPr>
              <w:pStyle w:val="EFAFPFrameText115pt"/>
              <w:framePr w:w="0" w:hRule="auto" w:wrap="auto" w:vAnchor="margin" w:hAnchor="text" w:xAlign="left" w:yAlign="inline" w:anchorLock="0"/>
              <w:rPr>
                <w:rFonts w:eastAsia="楷体_GB2312" w:cs="Calibri"/>
                <w:b w:val="0"/>
                <w:sz w:val="20"/>
                <w:szCs w:val="20"/>
              </w:rPr>
            </w:pPr>
            <w:r>
              <w:rPr>
                <w:rFonts w:eastAsia="楷体_GB2312" w:hint="eastAsia"/>
                <w:b w:val="0"/>
                <w:color w:val="215E99"/>
                <w:sz w:val="16"/>
                <w:lang w:eastAsia="zh-CN"/>
              </w:rPr>
              <w:t>19</w:t>
            </w:r>
            <w:r w:rsidR="001473CF">
              <w:rPr>
                <w:rFonts w:eastAsia="楷体_GB2312"/>
                <w:b w:val="0"/>
                <w:color w:val="215E99"/>
                <w:sz w:val="16"/>
              </w:rPr>
              <w:t xml:space="preserve"> </w:t>
            </w:r>
            <w:r w:rsidR="001473CF">
              <w:rPr>
                <w:rFonts w:eastAsia="楷体_GB2312" w:hint="eastAsia"/>
                <w:b w:val="0"/>
                <w:color w:val="215E99"/>
                <w:sz w:val="16"/>
                <w:lang w:eastAsia="zh-CN"/>
              </w:rPr>
              <w:t>Mar</w:t>
            </w:r>
            <w:r w:rsidR="001473CF">
              <w:rPr>
                <w:rFonts w:eastAsia="楷体_GB2312"/>
                <w:b w:val="0"/>
                <w:color w:val="215E99"/>
                <w:sz w:val="16"/>
              </w:rPr>
              <w:t xml:space="preserve"> 2026</w:t>
            </w:r>
          </w:p>
        </w:tc>
        <w:tc>
          <w:tcPr>
            <w:tcW w:w="2705" w:type="dxa"/>
            <w:vAlign w:val="center"/>
          </w:tcPr>
          <w:p w14:paraId="34BB0251" w14:textId="77777777" w:rsidR="00043BDD" w:rsidRDefault="00043BDD">
            <w:pPr>
              <w:pStyle w:val="EFAFPFrameText115pt"/>
              <w:framePr w:w="0" w:hRule="auto" w:wrap="auto" w:vAnchor="margin" w:hAnchor="text" w:xAlign="left" w:yAlign="inline" w:anchorLock="0"/>
              <w:wordWrap w:val="0"/>
              <w:jc w:val="right"/>
              <w:rPr>
                <w:rFonts w:eastAsia="楷体_GB2312" w:cs="Calibri"/>
                <w:lang w:eastAsia="zh-CN"/>
              </w:rPr>
            </w:pPr>
          </w:p>
        </w:tc>
      </w:tr>
      <w:tr w:rsidR="00043BDD" w14:paraId="0959AB0C" w14:textId="77777777" w:rsidTr="008B5555">
        <w:trPr>
          <w:trHeight w:hRule="exact" w:val="64"/>
        </w:trPr>
        <w:tc>
          <w:tcPr>
            <w:tcW w:w="7643" w:type="dxa"/>
          </w:tcPr>
          <w:p w14:paraId="1CDF6AB3" w14:textId="77777777" w:rsidR="00043BDD" w:rsidRDefault="00043BDD">
            <w:pPr>
              <w:pStyle w:val="EFAFPReportType"/>
              <w:framePr w:w="0" w:hRule="auto" w:wrap="auto" w:vAnchor="margin" w:hAnchor="text" w:xAlign="left" w:yAlign="inline" w:anchorLock="0"/>
              <w:rPr>
                <w:rFonts w:eastAsia="楷体_GB2312" w:cs="Calibri"/>
                <w:sz w:val="16"/>
                <w:szCs w:val="16"/>
                <w:lang w:val="en-GB" w:eastAsia="zh-CN"/>
              </w:rPr>
            </w:pPr>
          </w:p>
        </w:tc>
        <w:tc>
          <w:tcPr>
            <w:tcW w:w="2705" w:type="dxa"/>
            <w:vAlign w:val="center"/>
          </w:tcPr>
          <w:p w14:paraId="420D0A87" w14:textId="77777777" w:rsidR="00043BDD" w:rsidRDefault="00043BDD">
            <w:pPr>
              <w:pStyle w:val="EFAFPFrameText115pt"/>
              <w:framePr w:w="0" w:hRule="auto" w:wrap="auto" w:vAnchor="margin" w:hAnchor="text" w:xAlign="left" w:yAlign="inline" w:anchorLock="0"/>
              <w:jc w:val="right"/>
              <w:rPr>
                <w:rFonts w:eastAsia="楷体_GB2312" w:cs="Calibri"/>
              </w:rPr>
            </w:pPr>
          </w:p>
        </w:tc>
      </w:tr>
      <w:tr w:rsidR="00043BDD" w14:paraId="66FADDFA" w14:textId="77777777" w:rsidTr="00554428">
        <w:trPr>
          <w:trHeight w:hRule="exact" w:val="563"/>
        </w:trPr>
        <w:tc>
          <w:tcPr>
            <w:tcW w:w="10348" w:type="dxa"/>
            <w:gridSpan w:val="2"/>
          </w:tcPr>
          <w:p w14:paraId="1DC60121" w14:textId="77777777" w:rsidR="00932DB6" w:rsidRPr="00932DB6" w:rsidRDefault="00A61197" w:rsidP="00932DB6">
            <w:pPr>
              <w:pStyle w:val="EFAFPFrameText115pt"/>
              <w:framePr w:w="0" w:hRule="auto" w:wrap="auto" w:vAnchor="margin" w:hAnchor="text" w:xAlign="left" w:yAlign="inline" w:anchorLock="0"/>
              <w:rPr>
                <w:rFonts w:eastAsia="楷体_GB2312"/>
                <w:color w:val="215E99"/>
                <w:sz w:val="32"/>
                <w:szCs w:val="13"/>
                <w:lang w:val="en-US"/>
              </w:rPr>
            </w:pPr>
            <w:r>
              <w:rPr>
                <w:rFonts w:eastAsia="楷体_GB2312"/>
                <w:color w:val="215E99"/>
                <w:sz w:val="32"/>
                <w:szCs w:val="13"/>
                <w:lang w:eastAsia="zh-CN"/>
              </w:rPr>
              <w:t>全球</w:t>
            </w:r>
            <w:r>
              <w:rPr>
                <w:rFonts w:eastAsia="楷体_GB2312" w:hint="eastAsia"/>
                <w:color w:val="215E99"/>
                <w:sz w:val="32"/>
                <w:szCs w:val="13"/>
                <w:lang w:eastAsia="zh-CN"/>
              </w:rPr>
              <w:t>消费及互联网</w:t>
            </w:r>
            <w:r>
              <w:rPr>
                <w:rFonts w:eastAsia="楷体_GB2312"/>
                <w:color w:val="215E99"/>
                <w:sz w:val="32"/>
                <w:szCs w:val="13"/>
                <w:lang w:val="en-US"/>
              </w:rPr>
              <w:t>Global Consumption &amp; Internet Sector</w:t>
            </w:r>
          </w:p>
          <w:p w14:paraId="5003A235" w14:textId="50260C0E" w:rsidR="00043BDD" w:rsidRDefault="00043BDD">
            <w:pPr>
              <w:pStyle w:val="EFAFPFrameText115pt"/>
              <w:framePr w:w="0" w:hRule="auto" w:wrap="auto" w:vAnchor="margin" w:hAnchor="text" w:xAlign="left" w:yAlign="inline" w:anchorLock="0"/>
              <w:rPr>
                <w:rFonts w:eastAsia="楷体_GB2312"/>
                <w:color w:val="215E99"/>
                <w:sz w:val="32"/>
                <w:szCs w:val="13"/>
                <w:lang w:eastAsia="zh-CN"/>
              </w:rPr>
            </w:pPr>
          </w:p>
          <w:p w14:paraId="3672A398" w14:textId="77777777" w:rsidR="00043BDD" w:rsidRDefault="00043BDD">
            <w:pPr>
              <w:pStyle w:val="EFAFPFrameText115pt"/>
              <w:framePr w:w="0" w:hRule="auto" w:wrap="auto" w:vAnchor="margin" w:hAnchor="text" w:xAlign="left" w:yAlign="inline" w:anchorLock="0"/>
              <w:rPr>
                <w:rFonts w:eastAsia="楷体_GB2312" w:cs="Calibri"/>
                <w:sz w:val="30"/>
                <w:szCs w:val="30"/>
                <w:lang w:eastAsia="zh-CN"/>
              </w:rPr>
            </w:pPr>
          </w:p>
        </w:tc>
      </w:tr>
      <w:tr w:rsidR="00043BDD" w14:paraId="1EC8EBEA" w14:textId="77777777" w:rsidTr="00554428">
        <w:trPr>
          <w:trHeight w:hRule="exact" w:val="1343"/>
        </w:trPr>
        <w:tc>
          <w:tcPr>
            <w:tcW w:w="10348" w:type="dxa"/>
            <w:gridSpan w:val="2"/>
            <w:vAlign w:val="center"/>
          </w:tcPr>
          <w:p w14:paraId="141884A5" w14:textId="4E960C81" w:rsidR="00804AFD" w:rsidRDefault="00A61197" w:rsidP="008B5555">
            <w:pPr>
              <w:pStyle w:val="EFAFPTitle6"/>
              <w:spacing w:line="192" w:lineRule="auto"/>
              <w:rPr>
                <w:rFonts w:eastAsia="楷体_GB2312"/>
                <w:b w:val="0"/>
                <w:color w:val="215E99"/>
                <w:sz w:val="28"/>
                <w:szCs w:val="18"/>
                <w:lang w:eastAsia="zh-CN"/>
              </w:rPr>
            </w:pPr>
            <w:r>
              <w:rPr>
                <w:rFonts w:eastAsia="楷体_GB2312"/>
                <w:b w:val="0"/>
                <w:color w:val="215E99"/>
                <w:sz w:val="28"/>
                <w:szCs w:val="18"/>
                <w:lang w:eastAsia="zh-CN"/>
              </w:rPr>
              <w:t>周报</w:t>
            </w:r>
            <w:r>
              <w:rPr>
                <w:rFonts w:eastAsia="楷体_GB2312"/>
                <w:b w:val="0"/>
                <w:color w:val="215E99"/>
                <w:sz w:val="28"/>
                <w:szCs w:val="18"/>
                <w:lang w:eastAsia="zh-CN"/>
              </w:rPr>
              <w:t>(03/16-03/1</w:t>
            </w:r>
            <w:r w:rsidR="003C0ECB">
              <w:rPr>
                <w:rFonts w:eastAsia="楷体_GB2312" w:hint="eastAsia"/>
                <w:b w:val="0"/>
                <w:color w:val="215E99"/>
                <w:sz w:val="28"/>
                <w:szCs w:val="18"/>
                <w:lang w:eastAsia="zh-CN"/>
              </w:rPr>
              <w:t>9</w:t>
            </w:r>
            <w:r>
              <w:rPr>
                <w:rFonts w:eastAsia="楷体_GB2312"/>
                <w:b w:val="0"/>
                <w:color w:val="215E99"/>
                <w:sz w:val="28"/>
                <w:szCs w:val="18"/>
                <w:lang w:eastAsia="zh-CN"/>
              </w:rPr>
              <w:t xml:space="preserve">): </w:t>
            </w:r>
            <w:r w:rsidR="002D11BD">
              <w:rPr>
                <w:rFonts w:eastAsia="楷体_GB2312" w:hint="eastAsia"/>
                <w:b w:val="0"/>
                <w:color w:val="215E99"/>
                <w:sz w:val="28"/>
                <w:szCs w:val="18"/>
                <w:lang w:eastAsia="zh-CN"/>
              </w:rPr>
              <w:t>消费板块：</w:t>
            </w:r>
            <w:r>
              <w:rPr>
                <w:rFonts w:eastAsia="楷体_GB2312"/>
                <w:b w:val="0"/>
                <w:color w:val="215E99"/>
                <w:sz w:val="28"/>
                <w:szCs w:val="18"/>
                <w:lang w:eastAsia="zh-CN"/>
              </w:rPr>
              <w:t>港股消费震荡，油价高企压制风险偏好；海外互联网板块：</w:t>
            </w:r>
            <w:proofErr w:type="gramStart"/>
            <w:r>
              <w:rPr>
                <w:rFonts w:eastAsia="楷体_GB2312"/>
                <w:b w:val="0"/>
                <w:color w:val="215E99"/>
                <w:sz w:val="28"/>
                <w:szCs w:val="18"/>
                <w:lang w:eastAsia="zh-CN"/>
              </w:rPr>
              <w:t>腾讯年报</w:t>
            </w:r>
            <w:proofErr w:type="gramEnd"/>
            <w:r>
              <w:rPr>
                <w:rFonts w:eastAsia="楷体_GB2312"/>
                <w:b w:val="0"/>
                <w:color w:val="215E99"/>
                <w:sz w:val="28"/>
                <w:szCs w:val="18"/>
                <w:lang w:eastAsia="zh-CN"/>
              </w:rPr>
              <w:t>落地，</w:t>
            </w:r>
            <w:r>
              <w:rPr>
                <w:rFonts w:eastAsia="楷体_GB2312"/>
                <w:b w:val="0"/>
                <w:color w:val="215E99"/>
                <w:sz w:val="28"/>
                <w:szCs w:val="18"/>
                <w:lang w:eastAsia="zh-CN"/>
              </w:rPr>
              <w:t>AI</w:t>
            </w:r>
            <w:r>
              <w:rPr>
                <w:rFonts w:eastAsia="楷体_GB2312" w:hint="eastAsia"/>
                <w:b w:val="0"/>
                <w:color w:val="215E99"/>
                <w:sz w:val="28"/>
                <w:szCs w:val="18"/>
                <w:lang w:eastAsia="zh-CN"/>
              </w:rPr>
              <w:t>长期逻辑未变</w:t>
            </w:r>
          </w:p>
          <w:p w14:paraId="6836F103" w14:textId="37BD5790" w:rsidR="00043BDD" w:rsidRPr="00D65D52" w:rsidRDefault="00D65D52" w:rsidP="008B5555">
            <w:pPr>
              <w:pStyle w:val="EFAFPTitle6"/>
              <w:spacing w:line="192" w:lineRule="auto"/>
              <w:rPr>
                <w:rFonts w:eastAsia="楷体_GB2312" w:cs="Calibri"/>
                <w:lang w:eastAsia="zh-CN"/>
              </w:rPr>
            </w:pPr>
            <w:r>
              <w:rPr>
                <w:rFonts w:eastAsia="楷体_GB2312"/>
                <w:b w:val="0"/>
                <w:color w:val="215E99"/>
                <w:sz w:val="28"/>
                <w:szCs w:val="28"/>
              </w:rPr>
              <w:t>HK consumption rebounds amid volatility, elevated oil prices weigh on risk appetite; Overseas internet sector: Tencent FY2025 results released, long-term AI thesis continues to strengthen</w:t>
            </w:r>
          </w:p>
        </w:tc>
      </w:tr>
      <w:tr w:rsidR="00043BDD" w14:paraId="5C82C3C2" w14:textId="77777777" w:rsidTr="00554428">
        <w:trPr>
          <w:trHeight w:val="620"/>
        </w:trPr>
        <w:tc>
          <w:tcPr>
            <w:tcW w:w="10348" w:type="dxa"/>
            <w:gridSpan w:val="2"/>
          </w:tcPr>
          <w:tbl>
            <w:tblPr>
              <w:tblStyle w:val="af6"/>
              <w:tblW w:w="10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113"/>
              <w:gridCol w:w="2000"/>
              <w:gridCol w:w="2111"/>
              <w:gridCol w:w="2111"/>
              <w:gridCol w:w="2113"/>
            </w:tblGrid>
            <w:tr w:rsidR="00C522C2" w14:paraId="4AFB37E3" w14:textId="77777777" w:rsidTr="008B5555">
              <w:trPr>
                <w:cantSplit/>
                <w:trHeight w:hRule="exact" w:val="155"/>
              </w:trPr>
              <w:tc>
                <w:tcPr>
                  <w:tcW w:w="2113" w:type="dxa"/>
                  <w:tcMar>
                    <w:right w:w="60" w:type="dxa"/>
                  </w:tcMar>
                </w:tcPr>
                <w:p w14:paraId="1D0F3219" w14:textId="77777777" w:rsidR="00C522C2" w:rsidRDefault="00C522C2">
                  <w:pPr>
                    <w:pStyle w:val="EFAFPColFrameText8pt"/>
                    <w:framePr w:w="0" w:hRule="auto" w:hSpace="0" w:wrap="around" w:vAnchor="margin" w:hAnchor="text" w:xAlign="right" w:y="-239" w:anchorLock="0"/>
                    <w:suppressOverlap/>
                    <w:rPr>
                      <w:rFonts w:eastAsia="楷体_GB2312" w:cs="Calibri"/>
                      <w:color w:val="FFFFFF" w:themeColor="background1"/>
                    </w:rPr>
                  </w:pPr>
                  <w:r>
                    <w:rPr>
                      <w:rFonts w:eastAsia="楷体_GB2312" w:cs="Calibri"/>
                      <w:color w:val="FFFFFF" w:themeColor="background1"/>
                    </w:rPr>
                    <w:t>[</w:t>
                  </w:r>
                  <w:proofErr w:type="spellStart"/>
                  <w:r>
                    <w:rPr>
                      <w:rFonts w:eastAsia="楷体_GB2312" w:cs="Calibri"/>
                      <w:color w:val="FFFFFF" w:themeColor="background1"/>
                    </w:rPr>
                    <w:t>Table_Author</w:t>
                  </w:r>
                  <w:proofErr w:type="spellEnd"/>
                  <w:r>
                    <w:rPr>
                      <w:rFonts w:eastAsia="楷体_GB2312" w:cs="Calibri"/>
                      <w:color w:val="FFFFFF" w:themeColor="background1"/>
                    </w:rPr>
                    <w:t>]</w:t>
                  </w:r>
                </w:p>
              </w:tc>
              <w:tc>
                <w:tcPr>
                  <w:tcW w:w="2000" w:type="dxa"/>
                </w:tcPr>
                <w:p w14:paraId="6B01A47F" w14:textId="77777777" w:rsidR="00C522C2" w:rsidRDefault="00C522C2">
                  <w:pPr>
                    <w:pStyle w:val="EFAFPColFrameText8pt"/>
                    <w:framePr w:w="0" w:hRule="auto" w:hSpace="0" w:wrap="around" w:vAnchor="margin" w:hAnchor="text" w:xAlign="right" w:y="-239" w:anchorLock="0"/>
                    <w:suppressOverlap/>
                    <w:rPr>
                      <w:rFonts w:eastAsia="楷体_GB2312" w:cs="Calibri"/>
                      <w:color w:val="FFFFFF" w:themeColor="background1"/>
                    </w:rPr>
                  </w:pPr>
                </w:p>
              </w:tc>
              <w:tc>
                <w:tcPr>
                  <w:tcW w:w="2111" w:type="dxa"/>
                </w:tcPr>
                <w:p w14:paraId="6917C375" w14:textId="77777777" w:rsidR="00C522C2" w:rsidRDefault="00C522C2">
                  <w:pPr>
                    <w:pStyle w:val="EFAFPColFrameText8pt"/>
                    <w:framePr w:w="0" w:hRule="auto" w:hSpace="0" w:wrap="around" w:vAnchor="margin" w:hAnchor="text" w:xAlign="right" w:y="-239" w:anchorLock="0"/>
                    <w:suppressOverlap/>
                    <w:rPr>
                      <w:rFonts w:eastAsia="楷体_GB2312" w:cs="Calibri"/>
                      <w:color w:val="FFFFFF" w:themeColor="background1"/>
                    </w:rPr>
                  </w:pPr>
                </w:p>
              </w:tc>
              <w:tc>
                <w:tcPr>
                  <w:tcW w:w="2111" w:type="dxa"/>
                </w:tcPr>
                <w:p w14:paraId="39109DEA" w14:textId="5675324E" w:rsidR="00C522C2" w:rsidRDefault="00C522C2">
                  <w:pPr>
                    <w:pStyle w:val="EFAFPColFrameText8pt"/>
                    <w:framePr w:w="0" w:hRule="auto" w:hSpace="0" w:wrap="around" w:vAnchor="margin" w:hAnchor="text" w:xAlign="right" w:y="-239" w:anchorLock="0"/>
                    <w:suppressOverlap/>
                    <w:rPr>
                      <w:rFonts w:eastAsia="楷体_GB2312" w:cs="Calibri"/>
                      <w:color w:val="FFFFFF" w:themeColor="background1"/>
                    </w:rPr>
                  </w:pPr>
                </w:p>
              </w:tc>
              <w:tc>
                <w:tcPr>
                  <w:tcW w:w="2113" w:type="dxa"/>
                </w:tcPr>
                <w:p w14:paraId="4D86E490" w14:textId="77777777" w:rsidR="00C522C2" w:rsidRDefault="00C522C2">
                  <w:pPr>
                    <w:pStyle w:val="EFAFPColFrameText8pt"/>
                    <w:framePr w:w="0" w:hRule="auto" w:hSpace="0" w:wrap="around" w:vAnchor="margin" w:hAnchor="text" w:xAlign="right" w:y="-239" w:anchorLock="0"/>
                    <w:suppressOverlap/>
                    <w:rPr>
                      <w:rFonts w:eastAsia="楷体_GB2312" w:cs="Calibri"/>
                      <w:color w:val="FFFFFF" w:themeColor="background1"/>
                    </w:rPr>
                  </w:pPr>
                </w:p>
              </w:tc>
            </w:tr>
            <w:tr w:rsidR="00C522C2" w14:paraId="6B5508ED" w14:textId="77777777" w:rsidTr="008B5555">
              <w:trPr>
                <w:cantSplit/>
                <w:trHeight w:val="206"/>
              </w:trPr>
              <w:tc>
                <w:tcPr>
                  <w:tcW w:w="2113" w:type="dxa"/>
                </w:tcPr>
                <w:p w14:paraId="229BD58F" w14:textId="77777777" w:rsidR="00C522C2" w:rsidRDefault="00C522C2">
                  <w:pPr>
                    <w:pStyle w:val="EFAFPColFrameAnalystName"/>
                    <w:framePr w:w="0" w:hRule="auto" w:hSpace="0" w:wrap="around" w:vAnchor="margin" w:hAnchor="text" w:xAlign="right" w:y="-239" w:anchorLock="0"/>
                    <w:suppressOverlap/>
                    <w:rPr>
                      <w:rFonts w:eastAsia="楷体_GB2312" w:cs="Calibri"/>
                    </w:rPr>
                  </w:pPr>
                  <w:r>
                    <w:rPr>
                      <w:rFonts w:eastAsia="楷体_GB2312"/>
                      <w:color w:val="000000"/>
                    </w:rPr>
                    <w:t>杨斌</w:t>
                  </w:r>
                  <w:r>
                    <w:rPr>
                      <w:rFonts w:eastAsia="楷体_GB2312"/>
                      <w:color w:val="000000"/>
                    </w:rPr>
                    <w:t>Bin Yang, SFC:BSQ313</w:t>
                  </w:r>
                </w:p>
              </w:tc>
              <w:tc>
                <w:tcPr>
                  <w:tcW w:w="2000" w:type="dxa"/>
                </w:tcPr>
                <w:p w14:paraId="4F5C9D79" w14:textId="77777777" w:rsidR="00C522C2" w:rsidRDefault="00C522C2">
                  <w:pPr>
                    <w:pStyle w:val="EFAFPColFrameAnalystName"/>
                    <w:framePr w:w="0" w:hRule="auto" w:hSpace="0" w:wrap="around" w:vAnchor="margin" w:hAnchor="text" w:xAlign="right" w:y="-239" w:anchorLock="0"/>
                    <w:suppressOverlap/>
                    <w:rPr>
                      <w:rFonts w:eastAsia="楷体_GB2312" w:cs="Calibri"/>
                    </w:rPr>
                  </w:pPr>
                </w:p>
              </w:tc>
              <w:tc>
                <w:tcPr>
                  <w:tcW w:w="2111" w:type="dxa"/>
                </w:tcPr>
                <w:p w14:paraId="127821B7" w14:textId="77777777" w:rsidR="00C522C2" w:rsidRDefault="00C522C2">
                  <w:pPr>
                    <w:pStyle w:val="EFAFPColFrameAnalystName"/>
                    <w:framePr w:w="0" w:hRule="auto" w:hSpace="0" w:wrap="around" w:vAnchor="margin" w:hAnchor="text" w:xAlign="right" w:y="-239" w:anchorLock="0"/>
                    <w:suppressOverlap/>
                    <w:rPr>
                      <w:rFonts w:eastAsia="楷体_GB2312" w:cs="Calibri"/>
                    </w:rPr>
                  </w:pPr>
                </w:p>
              </w:tc>
              <w:tc>
                <w:tcPr>
                  <w:tcW w:w="2111" w:type="dxa"/>
                </w:tcPr>
                <w:p w14:paraId="2F121296" w14:textId="264DD1D8" w:rsidR="00C522C2" w:rsidRDefault="00C522C2">
                  <w:pPr>
                    <w:pStyle w:val="EFAFPColFrameAnalystName"/>
                    <w:framePr w:w="0" w:hRule="auto" w:hSpace="0" w:wrap="around" w:vAnchor="margin" w:hAnchor="text" w:xAlign="right" w:y="-239" w:anchorLock="0"/>
                    <w:suppressOverlap/>
                    <w:rPr>
                      <w:rFonts w:eastAsia="楷体_GB2312" w:cs="Calibri"/>
                    </w:rPr>
                  </w:pPr>
                </w:p>
              </w:tc>
              <w:tc>
                <w:tcPr>
                  <w:tcW w:w="2113" w:type="dxa"/>
                </w:tcPr>
                <w:p w14:paraId="635FBFFC" w14:textId="77777777" w:rsidR="00C522C2" w:rsidRDefault="00C522C2">
                  <w:pPr>
                    <w:pStyle w:val="EFAFPColFrameAnalystName"/>
                    <w:framePr w:w="0" w:hRule="auto" w:hSpace="0" w:wrap="around" w:vAnchor="margin" w:hAnchor="text" w:xAlign="right" w:y="-239" w:anchorLock="0"/>
                    <w:suppressOverlap/>
                    <w:rPr>
                      <w:rFonts w:eastAsia="楷体_GB2312" w:cs="Calibri"/>
                    </w:rPr>
                  </w:pPr>
                </w:p>
              </w:tc>
            </w:tr>
            <w:tr w:rsidR="00C522C2" w14:paraId="4B29CFFE" w14:textId="77777777" w:rsidTr="008B5555">
              <w:trPr>
                <w:cantSplit/>
                <w:trHeight w:val="206"/>
              </w:trPr>
              <w:tc>
                <w:tcPr>
                  <w:tcW w:w="2113" w:type="dxa"/>
                </w:tcPr>
                <w:p w14:paraId="384458E5" w14:textId="77777777" w:rsidR="00C522C2" w:rsidRDefault="00C522C2">
                  <w:pPr>
                    <w:pStyle w:val="EFAFPColFrameAnalystName"/>
                    <w:framePr w:w="0" w:hRule="auto" w:hSpace="0" w:wrap="around" w:vAnchor="margin" w:hAnchor="text" w:xAlign="right" w:y="-239" w:anchorLock="0"/>
                    <w:suppressOverlap/>
                    <w:rPr>
                      <w:rFonts w:eastAsia="楷体_GB2312" w:cs="Calibri"/>
                      <w:b w:val="0"/>
                    </w:rPr>
                  </w:pPr>
                  <w:r>
                    <w:rPr>
                      <w:rFonts w:eastAsia="楷体_GB2312"/>
                      <w:b w:val="0"/>
                      <w:color w:val="000000"/>
                    </w:rPr>
                    <w:t>harryyang@hfisec.com.hk</w:t>
                  </w:r>
                </w:p>
              </w:tc>
              <w:tc>
                <w:tcPr>
                  <w:tcW w:w="2000" w:type="dxa"/>
                </w:tcPr>
                <w:p w14:paraId="31131924" w14:textId="77777777" w:rsidR="00C522C2" w:rsidRDefault="00C522C2">
                  <w:pPr>
                    <w:pStyle w:val="EFAFPColFrameAnalystName"/>
                    <w:framePr w:w="0" w:hRule="auto" w:hSpace="0" w:wrap="around" w:vAnchor="margin" w:hAnchor="text" w:xAlign="right" w:y="-239" w:anchorLock="0"/>
                    <w:suppressOverlap/>
                    <w:rPr>
                      <w:rFonts w:eastAsia="楷体_GB2312" w:cs="Calibri"/>
                      <w:b w:val="0"/>
                    </w:rPr>
                  </w:pPr>
                </w:p>
              </w:tc>
              <w:tc>
                <w:tcPr>
                  <w:tcW w:w="2111" w:type="dxa"/>
                </w:tcPr>
                <w:p w14:paraId="06A52B7C" w14:textId="77777777" w:rsidR="00C522C2" w:rsidRDefault="00C522C2">
                  <w:pPr>
                    <w:pStyle w:val="EFAFPColFrameAnalystName"/>
                    <w:framePr w:w="0" w:hRule="auto" w:hSpace="0" w:wrap="around" w:vAnchor="margin" w:hAnchor="text" w:xAlign="right" w:y="-239" w:anchorLock="0"/>
                    <w:suppressOverlap/>
                    <w:rPr>
                      <w:rFonts w:eastAsia="楷体_GB2312" w:cs="Calibri"/>
                      <w:b w:val="0"/>
                    </w:rPr>
                  </w:pPr>
                </w:p>
              </w:tc>
              <w:tc>
                <w:tcPr>
                  <w:tcW w:w="2111" w:type="dxa"/>
                </w:tcPr>
                <w:p w14:paraId="44B84CA6" w14:textId="6579A469" w:rsidR="00C522C2" w:rsidRDefault="00C522C2">
                  <w:pPr>
                    <w:pStyle w:val="EFAFPColFrameAnalystName"/>
                    <w:framePr w:w="0" w:hRule="auto" w:hSpace="0" w:wrap="around" w:vAnchor="margin" w:hAnchor="text" w:xAlign="right" w:y="-239" w:anchorLock="0"/>
                    <w:suppressOverlap/>
                    <w:rPr>
                      <w:rFonts w:eastAsia="楷体_GB2312" w:cs="Calibri"/>
                      <w:b w:val="0"/>
                    </w:rPr>
                  </w:pPr>
                </w:p>
              </w:tc>
              <w:tc>
                <w:tcPr>
                  <w:tcW w:w="2113" w:type="dxa"/>
                </w:tcPr>
                <w:p w14:paraId="6D615C96" w14:textId="77777777" w:rsidR="00C522C2" w:rsidRDefault="00C522C2">
                  <w:pPr>
                    <w:pStyle w:val="EFAFPColFrameAnalystName"/>
                    <w:framePr w:w="0" w:hRule="auto" w:hSpace="0" w:wrap="around" w:vAnchor="margin" w:hAnchor="text" w:xAlign="right" w:y="-239" w:anchorLock="0"/>
                    <w:suppressOverlap/>
                    <w:rPr>
                      <w:rFonts w:eastAsia="楷体_GB2312" w:cs="Calibri"/>
                      <w:b w:val="0"/>
                    </w:rPr>
                  </w:pPr>
                </w:p>
              </w:tc>
            </w:tr>
          </w:tbl>
          <w:p w14:paraId="1E1D1386" w14:textId="77777777" w:rsidR="00043BDD" w:rsidRDefault="00043BDD">
            <w:pPr>
              <w:pStyle w:val="EFAFPColFrameAnalystName"/>
              <w:framePr w:w="0" w:hRule="auto" w:hSpace="0" w:wrap="auto" w:vAnchor="margin" w:hAnchor="text" w:xAlign="left" w:yAlign="inline" w:anchorLock="0"/>
              <w:rPr>
                <w:rFonts w:eastAsia="楷体_GB2312" w:cs="Calibri"/>
                <w:sz w:val="18"/>
                <w:szCs w:val="18"/>
                <w:lang w:val="en-GB"/>
              </w:rPr>
            </w:pPr>
          </w:p>
        </w:tc>
      </w:tr>
      <w:tr w:rsidR="00043BDD" w14:paraId="603C5B36" w14:textId="77777777" w:rsidTr="00554428">
        <w:trPr>
          <w:trHeight w:hRule="exact" w:val="170"/>
        </w:trPr>
        <w:tc>
          <w:tcPr>
            <w:tcW w:w="10348" w:type="dxa"/>
            <w:gridSpan w:val="2"/>
          </w:tcPr>
          <w:p w14:paraId="1F9CDFA4" w14:textId="77777777" w:rsidR="00043BDD" w:rsidRPr="00D615CA" w:rsidRDefault="00043BDD">
            <w:pPr>
              <w:pStyle w:val="EFAFPColFrameAnalystName"/>
              <w:framePr w:w="0" w:hRule="auto" w:hSpace="0" w:wrap="auto" w:vAnchor="margin" w:hAnchor="text" w:xAlign="left" w:yAlign="inline" w:anchorLock="0"/>
              <w:rPr>
                <w:rFonts w:eastAsia="楷体_GB2312" w:cs="Calibri"/>
                <w:b w:val="0"/>
                <w:lang w:val="en-GB"/>
              </w:rPr>
            </w:pPr>
          </w:p>
        </w:tc>
      </w:tr>
      <w:tr w:rsidR="00D615CA" w14:paraId="25F32AF5" w14:textId="77777777" w:rsidTr="00554428">
        <w:trPr>
          <w:trHeight w:hRule="exact" w:val="170"/>
        </w:trPr>
        <w:tc>
          <w:tcPr>
            <w:tcW w:w="10348" w:type="dxa"/>
            <w:gridSpan w:val="2"/>
          </w:tcPr>
          <w:p w14:paraId="2EAFB658" w14:textId="77777777" w:rsidR="00D615CA" w:rsidRDefault="00D615CA">
            <w:pPr>
              <w:pStyle w:val="EFAFPColFrameAnalystName"/>
              <w:framePr w:w="0" w:hRule="auto" w:hSpace="0" w:wrap="auto" w:vAnchor="margin" w:hAnchor="text" w:xAlign="left" w:yAlign="inline" w:anchorLock="0"/>
              <w:rPr>
                <w:rFonts w:eastAsia="楷体_GB2312" w:cs="Calibri"/>
                <w:b w:val="0"/>
              </w:rPr>
            </w:pPr>
          </w:p>
        </w:tc>
      </w:tr>
    </w:tbl>
    <w:p w14:paraId="06840F25" w14:textId="05943470" w:rsidR="00043BDD" w:rsidRDefault="00A61197">
      <w:pPr>
        <w:overflowPunct w:val="0"/>
        <w:spacing w:afterLines="50" w:after="120"/>
        <w:jc w:val="both"/>
        <w:rPr>
          <w:rFonts w:eastAsia="楷体_GB2312" w:cs="Calibri"/>
          <w:color w:val="1F497D" w:themeColor="text2"/>
          <w:sz w:val="28"/>
          <w:szCs w:val="28"/>
          <w:lang w:val="en-US" w:eastAsia="zh-CN"/>
        </w:rPr>
      </w:pPr>
      <w:r>
        <w:rPr>
          <w:rFonts w:eastAsia="楷体_GB2312" w:cs="Calibri"/>
          <w:sz w:val="20"/>
          <w:szCs w:val="20"/>
          <w:lang w:val="en-US" w:eastAsia="zh-CN"/>
        </w:rPr>
        <w:t>(Please see APPENDIX 1 for English summary)</w:t>
      </w:r>
    </w:p>
    <w:p w14:paraId="1345C0D5" w14:textId="14006C85" w:rsidR="00043BDD" w:rsidRDefault="00A61197">
      <w:pPr>
        <w:overflowPunct w:val="0"/>
        <w:spacing w:afterLines="50" w:after="120" w:line="228" w:lineRule="auto"/>
        <w:jc w:val="both"/>
        <w:rPr>
          <w:rFonts w:eastAsia="楷体_GB2312" w:cs="Calibri"/>
          <w:b/>
          <w:bCs/>
          <w:color w:val="1F497D" w:themeColor="text2"/>
          <w:sz w:val="22"/>
          <w:szCs w:val="22"/>
          <w:lang w:val="en-US" w:eastAsia="zh-CN"/>
        </w:rPr>
      </w:pPr>
      <w:r>
        <w:rPr>
          <w:rFonts w:eastAsia="楷体_GB2312" w:cs="Calibri"/>
          <w:b/>
          <w:bCs/>
          <w:color w:val="1F497D" w:themeColor="text2"/>
          <w:sz w:val="22"/>
          <w:szCs w:val="22"/>
          <w:lang w:val="en-US" w:eastAsia="zh-CN"/>
        </w:rPr>
        <w:t>核心观点</w:t>
      </w:r>
      <w:bookmarkStart w:id="0" w:name="OLE_LINK16"/>
    </w:p>
    <w:p w14:paraId="2CBEA0E4" w14:textId="7D92ED82" w:rsidR="00FE4092" w:rsidRPr="006C43C1" w:rsidRDefault="00FE4092" w:rsidP="006C43C1">
      <w:pPr>
        <w:overflowPunct w:val="0"/>
        <w:spacing w:afterLines="50" w:after="120"/>
        <w:jc w:val="both"/>
        <w:rPr>
          <w:rFonts w:eastAsia="楷体_GB2312" w:cs="Calibri"/>
          <w:b/>
          <w:bCs/>
          <w:color w:val="1F497D" w:themeColor="text2"/>
          <w:sz w:val="22"/>
          <w:szCs w:val="22"/>
          <w:lang w:val="en-US" w:eastAsia="zh-CN"/>
        </w:rPr>
      </w:pPr>
      <w:r>
        <w:rPr>
          <w:rFonts w:eastAsia="楷体_GB2312" w:cs="Calibri" w:hint="eastAsia"/>
          <w:b/>
          <w:bCs/>
          <w:color w:val="1F497D" w:themeColor="text2"/>
          <w:sz w:val="22"/>
          <w:szCs w:val="22"/>
          <w:lang w:val="en-US" w:eastAsia="zh-CN"/>
        </w:rPr>
        <w:t>一、</w:t>
      </w:r>
      <w:r>
        <w:rPr>
          <w:rFonts w:eastAsia="楷体_GB2312" w:cs="Calibri"/>
          <w:b/>
          <w:bCs/>
          <w:color w:val="1F497D" w:themeColor="text2"/>
          <w:sz w:val="22"/>
          <w:szCs w:val="22"/>
          <w:lang w:val="en-US" w:eastAsia="zh-CN"/>
        </w:rPr>
        <w:t xml:space="preserve"> </w:t>
      </w:r>
      <w:r>
        <w:rPr>
          <w:rFonts w:eastAsia="楷体_GB2312" w:cs="Calibri" w:hint="eastAsia"/>
          <w:b/>
          <w:bCs/>
          <w:color w:val="1F497D" w:themeColor="text2"/>
          <w:sz w:val="22"/>
          <w:szCs w:val="22"/>
          <w:lang w:val="en-US" w:eastAsia="zh-CN"/>
        </w:rPr>
        <w:t>海外消费：</w:t>
      </w:r>
      <w:r w:rsidR="002D11BD">
        <w:rPr>
          <w:rFonts w:eastAsia="楷体_GB2312" w:cs="Calibri" w:hint="eastAsia"/>
          <w:b/>
          <w:bCs/>
          <w:color w:val="1F497D" w:themeColor="text2"/>
          <w:sz w:val="22"/>
          <w:szCs w:val="22"/>
          <w:lang w:val="en-US" w:eastAsia="zh-CN"/>
        </w:rPr>
        <w:t>板块持续</w:t>
      </w:r>
      <w:r>
        <w:rPr>
          <w:rFonts w:eastAsia="楷体_GB2312" w:cs="Calibri" w:hint="eastAsia"/>
          <w:b/>
          <w:bCs/>
          <w:color w:val="1F497D" w:themeColor="text2"/>
          <w:sz w:val="22"/>
          <w:szCs w:val="22"/>
          <w:lang w:val="en-US" w:eastAsia="zh-CN"/>
        </w:rPr>
        <w:t>震荡，油价高企压制风险偏好</w:t>
      </w:r>
    </w:p>
    <w:p w14:paraId="473165F2" w14:textId="3744BCE1" w:rsidR="00553A79" w:rsidRDefault="00553A79" w:rsidP="006C43C1">
      <w:pPr>
        <w:overflowPunct w:val="0"/>
        <w:spacing w:afterLines="50" w:after="120"/>
        <w:jc w:val="both"/>
        <w:rPr>
          <w:rFonts w:eastAsia="楷体_GB2312" w:cs="Calibri"/>
          <w:sz w:val="20"/>
          <w:szCs w:val="20"/>
          <w:lang w:val="en-US" w:eastAsia="zh-CN" w:bidi="ar"/>
        </w:rPr>
      </w:pPr>
      <w:r>
        <w:rPr>
          <w:rFonts w:eastAsia="楷体_GB2312" w:cs="Calibri" w:hint="eastAsia"/>
          <w:sz w:val="20"/>
          <w:szCs w:val="20"/>
          <w:lang w:val="en-US" w:eastAsia="zh-CN" w:bidi="ar"/>
        </w:rPr>
        <w:t>港股消费：本周板块震荡</w:t>
      </w:r>
      <w:r w:rsidR="002D11BD">
        <w:rPr>
          <w:rFonts w:eastAsia="楷体_GB2312" w:cs="Calibri" w:hint="eastAsia"/>
          <w:sz w:val="20"/>
          <w:szCs w:val="20"/>
          <w:lang w:val="en-US" w:eastAsia="zh-CN" w:bidi="ar"/>
        </w:rPr>
        <w:t>，</w:t>
      </w:r>
      <w:r>
        <w:rPr>
          <w:rFonts w:eastAsia="楷体_GB2312" w:cs="Calibri" w:hint="eastAsia"/>
          <w:sz w:val="20"/>
          <w:szCs w:val="20"/>
          <w:lang w:val="en-US" w:eastAsia="zh-CN" w:bidi="ar"/>
        </w:rPr>
        <w:t>中证港股</w:t>
      </w:r>
      <w:proofErr w:type="gramStart"/>
      <w:r>
        <w:rPr>
          <w:rFonts w:eastAsia="楷体_GB2312" w:cs="Calibri" w:hint="eastAsia"/>
          <w:sz w:val="20"/>
          <w:szCs w:val="20"/>
          <w:lang w:val="en-US" w:eastAsia="zh-CN" w:bidi="ar"/>
        </w:rPr>
        <w:t>通消费</w:t>
      </w:r>
      <w:proofErr w:type="gramEnd"/>
      <w:r>
        <w:rPr>
          <w:rFonts w:eastAsia="楷体_GB2312" w:cs="Calibri" w:hint="eastAsia"/>
          <w:sz w:val="20"/>
          <w:szCs w:val="20"/>
          <w:lang w:val="en-US" w:eastAsia="zh-CN" w:bidi="ar"/>
        </w:rPr>
        <w:t>主题指数（</w:t>
      </w:r>
      <w:r>
        <w:rPr>
          <w:rFonts w:eastAsia="楷体_GB2312" w:cs="Calibri"/>
          <w:sz w:val="20"/>
          <w:szCs w:val="20"/>
          <w:lang w:val="en-US" w:eastAsia="zh-CN" w:bidi="ar"/>
        </w:rPr>
        <w:t>931454</w:t>
      </w:r>
      <w:r>
        <w:rPr>
          <w:rFonts w:eastAsia="楷体_GB2312" w:cs="Calibri" w:hint="eastAsia"/>
          <w:sz w:val="20"/>
          <w:szCs w:val="20"/>
          <w:lang w:val="en-US" w:eastAsia="zh-CN" w:bidi="ar"/>
        </w:rPr>
        <w:t>）本周</w:t>
      </w:r>
      <w:r w:rsidR="009F6E9C">
        <w:rPr>
          <w:rFonts w:eastAsia="楷体_GB2312" w:cs="Calibri" w:hint="eastAsia"/>
          <w:sz w:val="20"/>
          <w:szCs w:val="20"/>
          <w:lang w:val="en-US" w:eastAsia="zh-CN"/>
        </w:rPr>
        <w:t>下跌</w:t>
      </w:r>
      <w:r w:rsidR="009F6E9C">
        <w:rPr>
          <w:rFonts w:eastAsia="楷体_GB2312" w:cs="Calibri" w:hint="eastAsia"/>
          <w:sz w:val="20"/>
          <w:szCs w:val="20"/>
          <w:lang w:val="en-US" w:eastAsia="zh-CN"/>
        </w:rPr>
        <w:t>0.025</w:t>
      </w:r>
      <w:r w:rsidR="009F6E9C">
        <w:rPr>
          <w:rFonts w:eastAsia="楷体_GB2312" w:cs="Calibri"/>
          <w:sz w:val="20"/>
          <w:szCs w:val="20"/>
          <w:lang w:val="en-US" w:eastAsia="zh-CN"/>
        </w:rPr>
        <w:t>%</w:t>
      </w:r>
      <w:r w:rsidR="009F6E9C">
        <w:rPr>
          <w:rFonts w:eastAsia="楷体_GB2312" w:cs="Calibri" w:hint="eastAsia"/>
          <w:sz w:val="20"/>
          <w:szCs w:val="20"/>
          <w:lang w:val="en-US" w:eastAsia="zh-CN"/>
        </w:rPr>
        <w:t>（截至</w:t>
      </w:r>
      <w:r w:rsidR="009F6E9C">
        <w:rPr>
          <w:rFonts w:eastAsia="楷体_GB2312" w:cs="Calibri"/>
          <w:sz w:val="20"/>
          <w:szCs w:val="20"/>
          <w:lang w:val="en-US" w:eastAsia="zh-CN"/>
        </w:rPr>
        <w:t>3/</w:t>
      </w:r>
      <w:r w:rsidR="009F6E9C">
        <w:rPr>
          <w:rFonts w:eastAsia="楷体_GB2312" w:cs="Calibri" w:hint="eastAsia"/>
          <w:sz w:val="20"/>
          <w:szCs w:val="20"/>
          <w:lang w:val="en-US" w:eastAsia="zh-CN"/>
        </w:rPr>
        <w:t>19</w:t>
      </w:r>
      <w:r w:rsidR="009F6E9C">
        <w:rPr>
          <w:rFonts w:eastAsia="楷体_GB2312" w:cs="Calibri" w:hint="eastAsia"/>
          <w:sz w:val="20"/>
          <w:szCs w:val="20"/>
          <w:lang w:val="en-US" w:eastAsia="zh-CN"/>
        </w:rPr>
        <w:t>）</w:t>
      </w:r>
      <w:r>
        <w:rPr>
          <w:rFonts w:eastAsia="楷体_GB2312" w:cs="Calibri" w:hint="eastAsia"/>
          <w:sz w:val="20"/>
          <w:szCs w:val="20"/>
          <w:lang w:val="en-US" w:eastAsia="zh-CN" w:bidi="ar"/>
        </w:rPr>
        <w:t>，恒生指数本周上涨</w:t>
      </w:r>
      <w:r w:rsidR="009F6E9C">
        <w:rPr>
          <w:rFonts w:eastAsia="楷体_GB2312" w:cs="Calibri" w:hint="eastAsia"/>
          <w:sz w:val="20"/>
          <w:szCs w:val="20"/>
          <w:lang w:val="en-US" w:eastAsia="zh-CN"/>
        </w:rPr>
        <w:t>0.14</w:t>
      </w:r>
      <w:r w:rsidR="009F6E9C">
        <w:rPr>
          <w:rFonts w:eastAsia="楷体_GB2312" w:cs="Calibri"/>
          <w:sz w:val="20"/>
          <w:szCs w:val="20"/>
          <w:lang w:val="en-US" w:eastAsia="zh-CN"/>
        </w:rPr>
        <w:t>%</w:t>
      </w:r>
      <w:r>
        <w:rPr>
          <w:rFonts w:eastAsia="楷体_GB2312" w:cs="Calibri" w:hint="eastAsia"/>
          <w:sz w:val="20"/>
          <w:szCs w:val="20"/>
          <w:lang w:val="en-US" w:eastAsia="zh-CN" w:bidi="ar"/>
        </w:rPr>
        <w:t>。油价虽维持</w:t>
      </w:r>
      <w:r>
        <w:rPr>
          <w:rFonts w:eastAsia="楷体_GB2312" w:cs="Calibri"/>
          <w:sz w:val="20"/>
          <w:szCs w:val="20"/>
          <w:lang w:val="en-US" w:eastAsia="zh-CN" w:bidi="ar"/>
        </w:rPr>
        <w:t>100</w:t>
      </w:r>
      <w:r>
        <w:rPr>
          <w:rFonts w:eastAsia="楷体_GB2312" w:cs="Calibri" w:hint="eastAsia"/>
          <w:sz w:val="20"/>
          <w:szCs w:val="20"/>
          <w:lang w:val="en-US" w:eastAsia="zh-CN" w:bidi="ar"/>
        </w:rPr>
        <w:t>美元上方，但前期超跌修复需求及南向资金流入提供支撑。当前估值偏低（</w:t>
      </w:r>
      <w:r>
        <w:rPr>
          <w:rFonts w:eastAsia="楷体_GB2312" w:cs="Calibri"/>
          <w:sz w:val="20"/>
          <w:szCs w:val="20"/>
          <w:lang w:val="en-US" w:eastAsia="zh-CN" w:bidi="ar"/>
        </w:rPr>
        <w:t>931454</w:t>
      </w:r>
      <w:r>
        <w:rPr>
          <w:rFonts w:eastAsia="楷体_GB2312" w:cs="Calibri" w:hint="eastAsia"/>
          <w:sz w:val="20"/>
          <w:szCs w:val="20"/>
          <w:lang w:val="en-US" w:eastAsia="zh-CN" w:bidi="ar"/>
        </w:rPr>
        <w:t>市盈率</w:t>
      </w:r>
      <w:r w:rsidR="008666C0" w:rsidRPr="008666C0">
        <w:rPr>
          <w:rFonts w:eastAsia="楷体_GB2312" w:cs="Calibri"/>
          <w:sz w:val="20"/>
          <w:szCs w:val="20"/>
          <w:lang w:eastAsia="zh-CN" w:bidi="ar"/>
        </w:rPr>
        <w:t>25.59</w:t>
      </w:r>
      <w:r>
        <w:rPr>
          <w:rFonts w:eastAsia="楷体_GB2312" w:cs="Calibri" w:hint="eastAsia"/>
          <w:sz w:val="20"/>
          <w:szCs w:val="20"/>
          <w:lang w:val="en-US" w:eastAsia="zh-CN" w:bidi="ar"/>
        </w:rPr>
        <w:t>），具备安全边际。重点看好高端餐饮、运动服饰及</w:t>
      </w:r>
      <w:r>
        <w:rPr>
          <w:rFonts w:eastAsia="楷体_GB2312" w:cs="Calibri"/>
          <w:sz w:val="20"/>
          <w:szCs w:val="20"/>
          <w:lang w:val="en-US" w:eastAsia="zh-CN" w:bidi="ar"/>
        </w:rPr>
        <w:t>"</w:t>
      </w:r>
      <w:r>
        <w:rPr>
          <w:rFonts w:eastAsia="楷体_GB2312" w:cs="Calibri" w:hint="eastAsia"/>
          <w:sz w:val="20"/>
          <w:szCs w:val="20"/>
          <w:lang w:val="en-US" w:eastAsia="zh-CN" w:bidi="ar"/>
        </w:rPr>
        <w:t>以旧换新</w:t>
      </w:r>
      <w:r>
        <w:rPr>
          <w:rFonts w:eastAsia="楷体_GB2312" w:cs="Calibri"/>
          <w:sz w:val="20"/>
          <w:szCs w:val="20"/>
          <w:lang w:val="en-US" w:eastAsia="zh-CN" w:bidi="ar"/>
        </w:rPr>
        <w:t>"</w:t>
      </w:r>
      <w:r>
        <w:rPr>
          <w:rFonts w:eastAsia="楷体_GB2312" w:cs="Calibri" w:hint="eastAsia"/>
          <w:sz w:val="20"/>
          <w:szCs w:val="20"/>
          <w:lang w:val="en-US" w:eastAsia="zh-CN" w:bidi="ar"/>
        </w:rPr>
        <w:t>受益股。美股消费：本周承压，</w:t>
      </w:r>
      <w:r>
        <w:rPr>
          <w:rFonts w:eastAsia="楷体_GB2312" w:cs="Calibri" w:hint="eastAsia"/>
          <w:sz w:val="20"/>
          <w:szCs w:val="20"/>
          <w:lang w:val="en-US" w:eastAsia="zh-CN" w:bidi="ar"/>
        </w:rPr>
        <w:t>SPLRCS</w:t>
      </w:r>
      <w:r>
        <w:rPr>
          <w:rFonts w:eastAsia="楷体_GB2312" w:cs="Calibri" w:hint="eastAsia"/>
          <w:sz w:val="20"/>
          <w:szCs w:val="20"/>
          <w:lang w:val="en-US" w:eastAsia="zh-CN" w:bidi="ar"/>
        </w:rPr>
        <w:t>下跌</w:t>
      </w:r>
      <w:r>
        <w:rPr>
          <w:rFonts w:eastAsia="楷体_GB2312" w:cs="Calibri" w:hint="eastAsia"/>
          <w:sz w:val="20"/>
          <w:szCs w:val="20"/>
          <w:lang w:val="en-US" w:eastAsia="zh-CN" w:bidi="ar"/>
        </w:rPr>
        <w:t>2.83%</w:t>
      </w:r>
      <w:r>
        <w:rPr>
          <w:rFonts w:eastAsia="楷体_GB2312" w:cs="Calibri" w:hint="eastAsia"/>
          <w:sz w:val="20"/>
          <w:szCs w:val="20"/>
          <w:lang w:val="en-US" w:eastAsia="zh-CN" w:bidi="ar"/>
        </w:rPr>
        <w:t>，可选消费</w:t>
      </w:r>
      <w:r>
        <w:rPr>
          <w:rFonts w:eastAsia="楷体_GB2312" w:cs="Calibri" w:hint="eastAsia"/>
          <w:sz w:val="20"/>
          <w:szCs w:val="20"/>
          <w:lang w:val="en-US" w:eastAsia="zh-CN" w:bidi="ar"/>
        </w:rPr>
        <w:t>YTD -7.57%</w:t>
      </w:r>
      <w:r w:rsidR="00650AD1">
        <w:rPr>
          <w:rFonts w:eastAsia="楷体_GB2312" w:cs="Calibri" w:hint="eastAsia"/>
          <w:sz w:val="20"/>
          <w:szCs w:val="20"/>
          <w:lang w:val="en-US" w:eastAsia="zh-CN" w:bidi="ar"/>
        </w:rPr>
        <w:t>，关注</w:t>
      </w:r>
      <w:r w:rsidR="00AA35AB">
        <w:rPr>
          <w:rFonts w:eastAsia="楷体_GB2312" w:cs="Calibri" w:hint="eastAsia"/>
          <w:sz w:val="20"/>
          <w:szCs w:val="20"/>
          <w:lang w:val="en-US" w:eastAsia="zh-CN" w:bidi="ar"/>
        </w:rPr>
        <w:t>具备韧性的龙头标的。</w:t>
      </w:r>
    </w:p>
    <w:p w14:paraId="73716549" w14:textId="792A30E7" w:rsidR="00FE4092" w:rsidRPr="00FE4092" w:rsidRDefault="00FE4092" w:rsidP="006C43C1">
      <w:pPr>
        <w:overflowPunct w:val="0"/>
        <w:spacing w:afterLines="50" w:after="120"/>
        <w:jc w:val="both"/>
        <w:rPr>
          <w:rFonts w:eastAsia="楷体_GB2312" w:cs="Calibri"/>
          <w:b/>
          <w:bCs/>
          <w:color w:val="1F497D" w:themeColor="text2"/>
          <w:sz w:val="22"/>
          <w:szCs w:val="22"/>
          <w:lang w:val="en-US" w:eastAsia="zh-CN"/>
        </w:rPr>
      </w:pPr>
      <w:r>
        <w:rPr>
          <w:rFonts w:eastAsia="楷体_GB2312" w:cs="Calibri" w:hint="eastAsia"/>
          <w:b/>
          <w:bCs/>
          <w:color w:val="1F497D" w:themeColor="text2"/>
          <w:sz w:val="22"/>
          <w:szCs w:val="22"/>
          <w:lang w:val="en-US" w:eastAsia="zh-CN"/>
        </w:rPr>
        <w:t>二、</w:t>
      </w:r>
      <w:r>
        <w:rPr>
          <w:rFonts w:eastAsia="楷体_GB2312" w:cs="Calibri"/>
          <w:b/>
          <w:bCs/>
          <w:color w:val="1F497D" w:themeColor="text2"/>
          <w:sz w:val="22"/>
          <w:szCs w:val="22"/>
          <w:lang w:val="en-US" w:eastAsia="zh-CN"/>
        </w:rPr>
        <w:t xml:space="preserve"> </w:t>
      </w:r>
      <w:r>
        <w:rPr>
          <w:rFonts w:eastAsia="楷体_GB2312" w:cs="Calibri" w:hint="eastAsia"/>
          <w:b/>
          <w:bCs/>
          <w:color w:val="1F497D" w:themeColor="text2"/>
          <w:sz w:val="22"/>
          <w:szCs w:val="22"/>
          <w:lang w:val="en-US" w:eastAsia="zh-CN"/>
        </w:rPr>
        <w:t>海外互联网：</w:t>
      </w:r>
      <w:proofErr w:type="gramStart"/>
      <w:r w:rsidR="002D11BD">
        <w:rPr>
          <w:rFonts w:eastAsia="楷体_GB2312" w:cs="Calibri" w:hint="eastAsia"/>
          <w:b/>
          <w:bCs/>
          <w:color w:val="1F497D" w:themeColor="text2"/>
          <w:sz w:val="22"/>
          <w:szCs w:val="22"/>
          <w:lang w:val="en-US" w:eastAsia="zh-CN"/>
        </w:rPr>
        <w:t>港股</w:t>
      </w:r>
      <w:r>
        <w:rPr>
          <w:rFonts w:eastAsia="楷体_GB2312" w:cs="Calibri"/>
          <w:b/>
          <w:bCs/>
          <w:color w:val="1F497D" w:themeColor="text2"/>
          <w:sz w:val="22"/>
          <w:szCs w:val="22"/>
          <w:lang w:eastAsia="zh-CN"/>
        </w:rPr>
        <w:t>腾讯年报</w:t>
      </w:r>
      <w:proofErr w:type="gramEnd"/>
      <w:r>
        <w:rPr>
          <w:rFonts w:eastAsia="楷体_GB2312" w:cs="Calibri"/>
          <w:b/>
          <w:bCs/>
          <w:color w:val="1F497D" w:themeColor="text2"/>
          <w:sz w:val="22"/>
          <w:szCs w:val="22"/>
          <w:lang w:eastAsia="zh-CN"/>
        </w:rPr>
        <w:t>落地，</w:t>
      </w:r>
      <w:r w:rsidR="002D11BD">
        <w:rPr>
          <w:rFonts w:eastAsia="楷体_GB2312" w:cs="Calibri" w:hint="eastAsia"/>
          <w:b/>
          <w:bCs/>
          <w:color w:val="1F497D" w:themeColor="text2"/>
          <w:sz w:val="22"/>
          <w:szCs w:val="22"/>
          <w:lang w:eastAsia="zh-CN"/>
        </w:rPr>
        <w:t>美股</w:t>
      </w:r>
      <w:r>
        <w:rPr>
          <w:rFonts w:eastAsia="楷体_GB2312" w:cs="Calibri"/>
          <w:b/>
          <w:bCs/>
          <w:color w:val="1F497D" w:themeColor="text2"/>
          <w:sz w:val="22"/>
          <w:szCs w:val="22"/>
          <w:lang w:eastAsia="zh-CN"/>
        </w:rPr>
        <w:t>科技板块</w:t>
      </w:r>
      <w:r w:rsidR="002D11BD">
        <w:rPr>
          <w:rFonts w:eastAsia="楷体_GB2312" w:cs="Calibri" w:hint="eastAsia"/>
          <w:b/>
          <w:bCs/>
          <w:color w:val="1F497D" w:themeColor="text2"/>
          <w:sz w:val="22"/>
          <w:szCs w:val="22"/>
          <w:lang w:eastAsia="zh-CN"/>
        </w:rPr>
        <w:t>振荡上行</w:t>
      </w:r>
    </w:p>
    <w:p w14:paraId="2E6F9299" w14:textId="24422B64" w:rsidR="00FE4092" w:rsidRPr="00FE4092" w:rsidRDefault="00FB6539" w:rsidP="006C43C1">
      <w:pPr>
        <w:overflowPunct w:val="0"/>
        <w:spacing w:afterLines="50" w:after="120"/>
        <w:jc w:val="both"/>
        <w:rPr>
          <w:rFonts w:eastAsia="楷体_GB2312" w:cs="Calibri"/>
          <w:sz w:val="20"/>
          <w:szCs w:val="20"/>
          <w:lang w:val="en-US" w:eastAsia="zh-CN" w:bidi="ar"/>
        </w:rPr>
      </w:pPr>
      <w:r>
        <w:rPr>
          <w:rFonts w:eastAsia="楷体_GB2312" w:cs="Calibri"/>
          <w:sz w:val="20"/>
          <w:szCs w:val="20"/>
          <w:lang w:eastAsia="zh-CN" w:bidi="ar"/>
        </w:rPr>
        <w:t>港股互联网：本周恒生科技指数延续反弹，累计上涨</w:t>
      </w:r>
      <w:r>
        <w:rPr>
          <w:rFonts w:eastAsia="楷体_GB2312" w:cs="Calibri"/>
          <w:sz w:val="20"/>
          <w:szCs w:val="20"/>
          <w:lang w:eastAsia="zh-CN" w:bidi="ar"/>
        </w:rPr>
        <w:t>1.24%</w:t>
      </w:r>
      <w:r>
        <w:rPr>
          <w:rFonts w:eastAsia="楷体_GB2312" w:cs="Calibri"/>
          <w:sz w:val="20"/>
          <w:szCs w:val="20"/>
          <w:lang w:eastAsia="zh-CN" w:bidi="ar"/>
        </w:rPr>
        <w:t>，但</w:t>
      </w:r>
      <w:proofErr w:type="gramStart"/>
      <w:r>
        <w:rPr>
          <w:rFonts w:eastAsia="楷体_GB2312" w:cs="Calibri"/>
          <w:sz w:val="20"/>
          <w:szCs w:val="20"/>
          <w:lang w:eastAsia="zh-CN" w:bidi="ar"/>
        </w:rPr>
        <w:t>个股分</w:t>
      </w:r>
      <w:proofErr w:type="gramEnd"/>
      <w:r>
        <w:rPr>
          <w:rFonts w:eastAsia="楷体_GB2312" w:cs="Calibri"/>
          <w:sz w:val="20"/>
          <w:szCs w:val="20"/>
          <w:lang w:eastAsia="zh-CN" w:bidi="ar"/>
        </w:rPr>
        <w:t>化剧烈。</w:t>
      </w:r>
      <w:proofErr w:type="gramStart"/>
      <w:r>
        <w:rPr>
          <w:rFonts w:eastAsia="楷体_GB2312" w:cs="Calibri"/>
          <w:sz w:val="20"/>
          <w:szCs w:val="20"/>
          <w:lang w:eastAsia="zh-CN" w:bidi="ar"/>
        </w:rPr>
        <w:t>腾讯控股</w:t>
      </w:r>
      <w:proofErr w:type="gramEnd"/>
      <w:r>
        <w:rPr>
          <w:rFonts w:eastAsia="楷体_GB2312" w:cs="Calibri"/>
          <w:sz w:val="20"/>
          <w:szCs w:val="20"/>
          <w:lang w:eastAsia="zh-CN" w:bidi="ar"/>
        </w:rPr>
        <w:t>3</w:t>
      </w:r>
      <w:r>
        <w:rPr>
          <w:rFonts w:eastAsia="楷体_GB2312" w:cs="Calibri"/>
          <w:sz w:val="20"/>
          <w:szCs w:val="20"/>
          <w:lang w:eastAsia="zh-CN" w:bidi="ar"/>
        </w:rPr>
        <w:t>月</w:t>
      </w:r>
      <w:r>
        <w:rPr>
          <w:rFonts w:eastAsia="楷体_GB2312" w:cs="Calibri"/>
          <w:sz w:val="20"/>
          <w:szCs w:val="20"/>
          <w:lang w:eastAsia="zh-CN" w:bidi="ar"/>
        </w:rPr>
        <w:t>18</w:t>
      </w:r>
      <w:r>
        <w:rPr>
          <w:rFonts w:eastAsia="楷体_GB2312" w:cs="Calibri"/>
          <w:sz w:val="20"/>
          <w:szCs w:val="20"/>
          <w:lang w:eastAsia="zh-CN" w:bidi="ar"/>
        </w:rPr>
        <w:t>日发布</w:t>
      </w:r>
      <w:r>
        <w:rPr>
          <w:rFonts w:eastAsia="楷体_GB2312" w:cs="Calibri"/>
          <w:sz w:val="20"/>
          <w:szCs w:val="20"/>
          <w:lang w:eastAsia="zh-CN" w:bidi="ar"/>
        </w:rPr>
        <w:t>2025</w:t>
      </w:r>
      <w:r>
        <w:rPr>
          <w:rFonts w:eastAsia="楷体_GB2312" w:cs="Calibri"/>
          <w:sz w:val="20"/>
          <w:szCs w:val="20"/>
          <w:lang w:eastAsia="zh-CN" w:bidi="ar"/>
        </w:rPr>
        <w:t>年年报，业绩整体稳健，但资本开支</w:t>
      </w:r>
      <w:r>
        <w:rPr>
          <w:rFonts w:eastAsia="楷体_GB2312" w:cs="Calibri"/>
          <w:sz w:val="20"/>
          <w:szCs w:val="20"/>
          <w:lang w:eastAsia="zh-CN" w:bidi="ar"/>
        </w:rPr>
        <w:t>792</w:t>
      </w:r>
      <w:r>
        <w:rPr>
          <w:rFonts w:eastAsia="楷体_GB2312" w:cs="Calibri"/>
          <w:sz w:val="20"/>
          <w:szCs w:val="20"/>
          <w:lang w:eastAsia="zh-CN" w:bidi="ar"/>
        </w:rPr>
        <w:t>亿元低于市场预期、</w:t>
      </w:r>
      <w:r>
        <w:rPr>
          <w:rFonts w:eastAsia="楷体_GB2312" w:cs="Calibri"/>
          <w:sz w:val="20"/>
          <w:szCs w:val="20"/>
          <w:lang w:eastAsia="zh-CN" w:bidi="ar"/>
        </w:rPr>
        <w:t>AI</w:t>
      </w:r>
      <w:r>
        <w:rPr>
          <w:rFonts w:eastAsia="楷体_GB2312" w:cs="Calibri"/>
          <w:sz w:val="20"/>
          <w:szCs w:val="20"/>
          <w:lang w:eastAsia="zh-CN" w:bidi="ar"/>
        </w:rPr>
        <w:t>新产品投入</w:t>
      </w:r>
      <w:r>
        <w:rPr>
          <w:rFonts w:eastAsia="楷体_GB2312" w:cs="Calibri"/>
          <w:sz w:val="20"/>
          <w:szCs w:val="20"/>
          <w:lang w:eastAsia="zh-CN" w:bidi="ar"/>
        </w:rPr>
        <w:t>180</w:t>
      </w:r>
      <w:r>
        <w:rPr>
          <w:rFonts w:eastAsia="楷体_GB2312" w:cs="Calibri"/>
          <w:sz w:val="20"/>
          <w:szCs w:val="20"/>
          <w:lang w:eastAsia="zh-CN" w:bidi="ar"/>
        </w:rPr>
        <w:t>亿元且今年将翻倍的指引引发市场对短期利润压力的担忧，</w:t>
      </w:r>
      <w:r>
        <w:rPr>
          <w:rFonts w:eastAsia="楷体_GB2312" w:cs="Calibri"/>
          <w:sz w:val="20"/>
          <w:szCs w:val="20"/>
          <w:lang w:eastAsia="zh-CN" w:bidi="ar"/>
        </w:rPr>
        <w:t>3</w:t>
      </w:r>
      <w:r>
        <w:rPr>
          <w:rFonts w:eastAsia="楷体_GB2312" w:cs="Calibri"/>
          <w:sz w:val="20"/>
          <w:szCs w:val="20"/>
          <w:lang w:eastAsia="zh-CN" w:bidi="ar"/>
        </w:rPr>
        <w:t>月</w:t>
      </w:r>
      <w:r>
        <w:rPr>
          <w:rFonts w:eastAsia="楷体_GB2312" w:cs="Calibri"/>
          <w:sz w:val="20"/>
          <w:szCs w:val="20"/>
          <w:lang w:eastAsia="zh-CN" w:bidi="ar"/>
        </w:rPr>
        <w:t>19</w:t>
      </w:r>
      <w:r>
        <w:rPr>
          <w:rFonts w:eastAsia="楷体_GB2312" w:cs="Calibri"/>
          <w:sz w:val="20"/>
          <w:szCs w:val="20"/>
          <w:lang w:eastAsia="zh-CN" w:bidi="ar"/>
        </w:rPr>
        <w:t>日股价大跌</w:t>
      </w:r>
      <w:r>
        <w:rPr>
          <w:rFonts w:eastAsia="楷体_GB2312" w:cs="Calibri"/>
          <w:sz w:val="20"/>
          <w:szCs w:val="20"/>
          <w:lang w:eastAsia="zh-CN" w:bidi="ar"/>
        </w:rPr>
        <w:t>5.72%</w:t>
      </w:r>
      <w:r w:rsidR="00E67CB9">
        <w:rPr>
          <w:rFonts w:eastAsia="楷体_GB2312" w:cs="Calibri" w:hint="eastAsia"/>
          <w:sz w:val="20"/>
          <w:szCs w:val="20"/>
          <w:lang w:eastAsia="zh-CN" w:bidi="ar"/>
        </w:rPr>
        <w:t>；</w:t>
      </w:r>
      <w:r>
        <w:rPr>
          <w:rFonts w:eastAsia="楷体_GB2312" w:cs="Calibri"/>
          <w:sz w:val="20"/>
          <w:szCs w:val="20"/>
          <w:lang w:eastAsia="zh-CN" w:bidi="ar"/>
        </w:rPr>
        <w:t>美团、小米则表现强劲</w:t>
      </w:r>
      <w:r w:rsidR="00E67CB9">
        <w:rPr>
          <w:rFonts w:eastAsia="楷体_GB2312" w:cs="Calibri" w:hint="eastAsia"/>
          <w:sz w:val="20"/>
          <w:szCs w:val="20"/>
          <w:lang w:eastAsia="zh-CN" w:bidi="ar"/>
        </w:rPr>
        <w:t>；</w:t>
      </w:r>
      <w:r>
        <w:rPr>
          <w:rFonts w:eastAsia="楷体_GB2312" w:cs="Calibri"/>
          <w:sz w:val="20"/>
          <w:szCs w:val="20"/>
          <w:lang w:eastAsia="zh-CN" w:bidi="ar"/>
        </w:rPr>
        <w:t>南向资金本周呈现分化。美股互联网：美联储</w:t>
      </w:r>
      <w:r>
        <w:rPr>
          <w:rFonts w:eastAsia="楷体_GB2312" w:cs="Calibri"/>
          <w:sz w:val="20"/>
          <w:szCs w:val="20"/>
          <w:lang w:eastAsia="zh-CN" w:bidi="ar"/>
        </w:rPr>
        <w:t>3</w:t>
      </w:r>
      <w:r>
        <w:rPr>
          <w:rFonts w:eastAsia="楷体_GB2312" w:cs="Calibri"/>
          <w:sz w:val="20"/>
          <w:szCs w:val="20"/>
          <w:lang w:eastAsia="zh-CN" w:bidi="ar"/>
        </w:rPr>
        <w:t>月</w:t>
      </w:r>
      <w:r>
        <w:rPr>
          <w:rFonts w:eastAsia="楷体_GB2312" w:cs="Calibri"/>
          <w:sz w:val="20"/>
          <w:szCs w:val="20"/>
          <w:lang w:eastAsia="zh-CN" w:bidi="ar"/>
        </w:rPr>
        <w:t>FOMC</w:t>
      </w:r>
      <w:r>
        <w:rPr>
          <w:rFonts w:eastAsia="楷体_GB2312" w:cs="Calibri"/>
          <w:sz w:val="20"/>
          <w:szCs w:val="20"/>
          <w:lang w:eastAsia="zh-CN" w:bidi="ar"/>
        </w:rPr>
        <w:t>维持利率不变，点阵图显示年内两次降息；</w:t>
      </w:r>
      <w:proofErr w:type="gramStart"/>
      <w:r>
        <w:rPr>
          <w:rFonts w:eastAsia="楷体_GB2312" w:cs="Calibri"/>
          <w:sz w:val="20"/>
          <w:szCs w:val="20"/>
          <w:lang w:eastAsia="zh-CN" w:bidi="ar"/>
        </w:rPr>
        <w:t>英伟达</w:t>
      </w:r>
      <w:proofErr w:type="gramEnd"/>
      <w:r>
        <w:rPr>
          <w:rFonts w:eastAsia="楷体_GB2312" w:cs="Calibri"/>
          <w:sz w:val="20"/>
          <w:szCs w:val="20"/>
          <w:lang w:eastAsia="zh-CN" w:bidi="ar"/>
        </w:rPr>
        <w:t>GTC</w:t>
      </w:r>
      <w:r>
        <w:rPr>
          <w:rFonts w:eastAsia="楷体_GB2312" w:cs="Calibri"/>
          <w:sz w:val="20"/>
          <w:szCs w:val="20"/>
          <w:lang w:eastAsia="zh-CN" w:bidi="ar"/>
        </w:rPr>
        <w:t>大会释放</w:t>
      </w:r>
      <w:r>
        <w:rPr>
          <w:rFonts w:eastAsia="楷体_GB2312" w:cs="Calibri"/>
          <w:sz w:val="20"/>
          <w:szCs w:val="20"/>
          <w:lang w:eastAsia="zh-CN" w:bidi="ar"/>
        </w:rPr>
        <w:t>AI</w:t>
      </w:r>
      <w:proofErr w:type="gramStart"/>
      <w:r>
        <w:rPr>
          <w:rFonts w:eastAsia="楷体_GB2312" w:cs="Calibri"/>
          <w:sz w:val="20"/>
          <w:szCs w:val="20"/>
          <w:lang w:eastAsia="zh-CN" w:bidi="ar"/>
        </w:rPr>
        <w:t>算力新</w:t>
      </w:r>
      <w:proofErr w:type="gramEnd"/>
      <w:r>
        <w:rPr>
          <w:rFonts w:eastAsia="楷体_GB2312" w:cs="Calibri"/>
          <w:sz w:val="20"/>
          <w:szCs w:val="20"/>
          <w:lang w:eastAsia="zh-CN" w:bidi="ar"/>
        </w:rPr>
        <w:t>信号。</w:t>
      </w:r>
      <w:r>
        <w:rPr>
          <w:rFonts w:eastAsia="楷体_GB2312" w:cs="Calibri"/>
          <w:sz w:val="20"/>
          <w:szCs w:val="20"/>
          <w:lang w:eastAsia="zh-CN" w:bidi="ar"/>
        </w:rPr>
        <w:t>AI</w:t>
      </w:r>
      <w:r>
        <w:rPr>
          <w:rFonts w:eastAsia="楷体_GB2312" w:cs="Calibri"/>
          <w:sz w:val="20"/>
          <w:szCs w:val="20"/>
          <w:lang w:eastAsia="zh-CN" w:bidi="ar"/>
        </w:rPr>
        <w:t>产业正从技术研发加速向规模化商业落地演进，长期趋势未变。建议逢低布局</w:t>
      </w:r>
      <w:proofErr w:type="gramStart"/>
      <w:r>
        <w:rPr>
          <w:rFonts w:eastAsia="楷体_GB2312" w:cs="Calibri"/>
          <w:sz w:val="20"/>
          <w:szCs w:val="20"/>
          <w:lang w:eastAsia="zh-CN" w:bidi="ar"/>
        </w:rPr>
        <w:t>兼具云基础</w:t>
      </w:r>
      <w:proofErr w:type="gramEnd"/>
      <w:r>
        <w:rPr>
          <w:rFonts w:eastAsia="楷体_GB2312" w:cs="Calibri"/>
          <w:sz w:val="20"/>
          <w:szCs w:val="20"/>
          <w:lang w:eastAsia="zh-CN" w:bidi="ar"/>
        </w:rPr>
        <w:t>设施、数据优势及场景闭环的科技龙头。</w:t>
      </w:r>
    </w:p>
    <w:p w14:paraId="0957D0FA" w14:textId="77777777" w:rsidR="00FE4092" w:rsidRPr="00FE4092" w:rsidRDefault="00FE4092" w:rsidP="006C43C1">
      <w:pPr>
        <w:overflowPunct w:val="0"/>
        <w:spacing w:afterLines="50" w:after="120"/>
        <w:jc w:val="both"/>
        <w:rPr>
          <w:rFonts w:eastAsia="楷体_GB2312" w:cs="Calibri"/>
          <w:b/>
          <w:bCs/>
          <w:color w:val="1F497D" w:themeColor="text2"/>
          <w:sz w:val="22"/>
          <w:szCs w:val="22"/>
          <w:lang w:val="en-US" w:eastAsia="zh-CN"/>
        </w:rPr>
      </w:pPr>
      <w:r>
        <w:rPr>
          <w:rFonts w:eastAsia="楷体_GB2312" w:cs="Calibri" w:hint="eastAsia"/>
          <w:b/>
          <w:bCs/>
          <w:color w:val="1F497D" w:themeColor="text2"/>
          <w:sz w:val="22"/>
          <w:szCs w:val="22"/>
          <w:lang w:val="en-US" w:eastAsia="zh-CN"/>
        </w:rPr>
        <w:t>三、</w:t>
      </w:r>
      <w:r>
        <w:rPr>
          <w:rFonts w:eastAsia="楷体_GB2312" w:cs="Calibri"/>
          <w:b/>
          <w:bCs/>
          <w:color w:val="1F497D" w:themeColor="text2"/>
          <w:sz w:val="22"/>
          <w:szCs w:val="22"/>
          <w:lang w:val="en-US" w:eastAsia="zh-CN"/>
        </w:rPr>
        <w:t xml:space="preserve"> </w:t>
      </w:r>
      <w:r>
        <w:rPr>
          <w:rFonts w:eastAsia="楷体_GB2312" w:cs="Calibri" w:hint="eastAsia"/>
          <w:b/>
          <w:bCs/>
          <w:color w:val="1F497D" w:themeColor="text2"/>
          <w:sz w:val="22"/>
          <w:szCs w:val="22"/>
          <w:lang w:val="en-US" w:eastAsia="zh-CN"/>
        </w:rPr>
        <w:t>通用航空：全球交付稳步增长</w:t>
      </w:r>
    </w:p>
    <w:p w14:paraId="47523B54" w14:textId="79C608FC" w:rsidR="00FE4092" w:rsidRPr="00FE4092" w:rsidRDefault="00FE4092" w:rsidP="006C43C1">
      <w:pPr>
        <w:overflowPunct w:val="0"/>
        <w:spacing w:afterLines="50" w:after="120"/>
        <w:jc w:val="both"/>
        <w:rPr>
          <w:rFonts w:eastAsia="楷体_GB2312" w:cs="Calibri"/>
          <w:sz w:val="20"/>
          <w:szCs w:val="20"/>
          <w:lang w:val="en-US" w:eastAsia="zh-CN" w:bidi="ar"/>
        </w:rPr>
      </w:pPr>
      <w:r>
        <w:rPr>
          <w:rFonts w:eastAsia="楷体_GB2312" w:cs="Calibri" w:hint="eastAsia"/>
          <w:sz w:val="20"/>
          <w:szCs w:val="20"/>
          <w:lang w:val="en-US" w:eastAsia="zh-CN" w:bidi="ar"/>
        </w:rPr>
        <w:t>行业复苏：</w:t>
      </w:r>
      <w:r>
        <w:rPr>
          <w:rFonts w:eastAsia="楷体_GB2312" w:cs="Calibri"/>
          <w:sz w:val="20"/>
          <w:szCs w:val="20"/>
          <w:lang w:val="en-US" w:eastAsia="zh-CN" w:bidi="ar"/>
        </w:rPr>
        <w:t xml:space="preserve"> 2025</w:t>
      </w:r>
      <w:r>
        <w:rPr>
          <w:rFonts w:eastAsia="楷体_GB2312" w:cs="Calibri" w:hint="eastAsia"/>
          <w:sz w:val="20"/>
          <w:szCs w:val="20"/>
          <w:lang w:val="en-US" w:eastAsia="zh-CN" w:bidi="ar"/>
        </w:rPr>
        <w:t>年全球通用航空器交付量达</w:t>
      </w:r>
      <w:r>
        <w:rPr>
          <w:rFonts w:eastAsia="楷体_GB2312" w:cs="Calibri"/>
          <w:sz w:val="20"/>
          <w:szCs w:val="20"/>
          <w:lang w:val="en-US" w:eastAsia="zh-CN" w:bidi="ar"/>
        </w:rPr>
        <w:t>3,230</w:t>
      </w:r>
      <w:r>
        <w:rPr>
          <w:rFonts w:eastAsia="楷体_GB2312" w:cs="Calibri" w:hint="eastAsia"/>
          <w:sz w:val="20"/>
          <w:szCs w:val="20"/>
          <w:lang w:val="en-US" w:eastAsia="zh-CN" w:bidi="ar"/>
        </w:rPr>
        <w:t>架（</w:t>
      </w:r>
      <w:r>
        <w:rPr>
          <w:rFonts w:eastAsia="楷体_GB2312" w:cs="Calibri"/>
          <w:sz w:val="20"/>
          <w:szCs w:val="20"/>
          <w:lang w:val="en-US" w:eastAsia="zh-CN" w:bidi="ar"/>
        </w:rPr>
        <w:t>+3.3%</w:t>
      </w:r>
      <w:r>
        <w:rPr>
          <w:rFonts w:eastAsia="楷体_GB2312" w:cs="Calibri" w:hint="eastAsia"/>
          <w:sz w:val="20"/>
          <w:szCs w:val="20"/>
          <w:lang w:val="en-US" w:eastAsia="zh-CN" w:bidi="ar"/>
        </w:rPr>
        <w:t>），预计</w:t>
      </w:r>
      <w:r>
        <w:rPr>
          <w:rFonts w:eastAsia="楷体_GB2312" w:cs="Calibri"/>
          <w:sz w:val="20"/>
          <w:szCs w:val="20"/>
          <w:lang w:val="en-US" w:eastAsia="zh-CN" w:bidi="ar"/>
        </w:rPr>
        <w:t>2026</w:t>
      </w:r>
      <w:r>
        <w:rPr>
          <w:rFonts w:eastAsia="楷体_GB2312" w:cs="Calibri" w:hint="eastAsia"/>
          <w:sz w:val="20"/>
          <w:szCs w:val="20"/>
          <w:lang w:val="en-US" w:eastAsia="zh-CN" w:bidi="ar"/>
        </w:rPr>
        <w:t>年将进一步增至</w:t>
      </w:r>
      <w:r>
        <w:rPr>
          <w:rFonts w:eastAsia="楷体_GB2312" w:cs="Calibri"/>
          <w:sz w:val="20"/>
          <w:szCs w:val="20"/>
          <w:lang w:val="en-US" w:eastAsia="zh-CN" w:bidi="ar"/>
        </w:rPr>
        <w:t>3,410</w:t>
      </w:r>
      <w:r>
        <w:rPr>
          <w:rFonts w:eastAsia="楷体_GB2312" w:cs="Calibri" w:hint="eastAsia"/>
          <w:sz w:val="20"/>
          <w:szCs w:val="20"/>
          <w:lang w:val="en-US" w:eastAsia="zh-CN" w:bidi="ar"/>
        </w:rPr>
        <w:t>架。公务喷气机交付量显著增长（</w:t>
      </w:r>
      <w:r>
        <w:rPr>
          <w:rFonts w:eastAsia="楷体_GB2312" w:cs="Calibri"/>
          <w:sz w:val="20"/>
          <w:szCs w:val="20"/>
          <w:lang w:val="en-US" w:eastAsia="zh-CN" w:bidi="ar"/>
        </w:rPr>
        <w:t>+11.8%</w:t>
      </w:r>
      <w:r>
        <w:rPr>
          <w:rFonts w:eastAsia="楷体_GB2312" w:cs="Calibri" w:hint="eastAsia"/>
          <w:sz w:val="20"/>
          <w:szCs w:val="20"/>
          <w:lang w:val="en-US" w:eastAsia="zh-CN" w:bidi="ar"/>
        </w:rPr>
        <w:t>），带动交付总价值创历史新高（</w:t>
      </w:r>
      <w:r>
        <w:rPr>
          <w:rFonts w:eastAsia="楷体_GB2312" w:cs="Calibri"/>
          <w:sz w:val="20"/>
          <w:szCs w:val="20"/>
          <w:lang w:val="en-US" w:eastAsia="zh-CN" w:bidi="ar"/>
        </w:rPr>
        <w:t>310</w:t>
      </w:r>
      <w:r>
        <w:rPr>
          <w:rFonts w:eastAsia="楷体_GB2312" w:cs="Calibri" w:hint="eastAsia"/>
          <w:sz w:val="20"/>
          <w:szCs w:val="20"/>
          <w:lang w:val="en-US" w:eastAsia="zh-CN" w:bidi="ar"/>
        </w:rPr>
        <w:t>亿美元）。竞争格局：</w:t>
      </w:r>
      <w:r>
        <w:rPr>
          <w:rFonts w:eastAsia="楷体_GB2312" w:cs="Calibri"/>
          <w:sz w:val="20"/>
          <w:szCs w:val="20"/>
          <w:lang w:val="en-US" w:eastAsia="zh-CN" w:bidi="ar"/>
        </w:rPr>
        <w:t xml:space="preserve"> </w:t>
      </w:r>
      <w:r>
        <w:rPr>
          <w:rFonts w:eastAsia="楷体_GB2312" w:cs="Calibri" w:hint="eastAsia"/>
          <w:sz w:val="20"/>
          <w:szCs w:val="20"/>
          <w:lang w:val="en-US" w:eastAsia="zh-CN" w:bidi="ar"/>
        </w:rPr>
        <w:t>北美市场主导增长。在活塞及喷气式飞机领域，</w:t>
      </w:r>
      <w:proofErr w:type="gramStart"/>
      <w:r>
        <w:rPr>
          <w:rFonts w:eastAsia="楷体_GB2312" w:cs="Calibri" w:hint="eastAsia"/>
          <w:sz w:val="20"/>
          <w:szCs w:val="20"/>
          <w:lang w:val="en-US" w:eastAsia="zh-CN" w:bidi="ar"/>
        </w:rPr>
        <w:t>西锐飞机</w:t>
      </w:r>
      <w:proofErr w:type="gramEnd"/>
      <w:r>
        <w:rPr>
          <w:rFonts w:eastAsia="楷体_GB2312" w:cs="Calibri" w:hint="eastAsia"/>
          <w:sz w:val="20"/>
          <w:szCs w:val="20"/>
          <w:lang w:val="en-US" w:eastAsia="zh-CN" w:bidi="ar"/>
        </w:rPr>
        <w:t>市场份额持续提升，其中活塞</w:t>
      </w:r>
      <w:proofErr w:type="gramStart"/>
      <w:r>
        <w:rPr>
          <w:rFonts w:eastAsia="楷体_GB2312" w:cs="Calibri" w:hint="eastAsia"/>
          <w:sz w:val="20"/>
          <w:szCs w:val="20"/>
          <w:lang w:val="en-US" w:eastAsia="zh-CN" w:bidi="ar"/>
        </w:rPr>
        <w:t>机型市占率</w:t>
      </w:r>
      <w:proofErr w:type="gramEnd"/>
      <w:r>
        <w:rPr>
          <w:rFonts w:eastAsia="楷体_GB2312" w:cs="Calibri" w:hint="eastAsia"/>
          <w:sz w:val="20"/>
          <w:szCs w:val="20"/>
          <w:lang w:val="en-US" w:eastAsia="zh-CN" w:bidi="ar"/>
        </w:rPr>
        <w:t>达</w:t>
      </w:r>
      <w:r>
        <w:rPr>
          <w:rFonts w:eastAsia="楷体_GB2312" w:cs="Calibri"/>
          <w:sz w:val="20"/>
          <w:szCs w:val="20"/>
          <w:lang w:val="en-US" w:eastAsia="zh-CN" w:bidi="ar"/>
        </w:rPr>
        <w:t>37.2%</w:t>
      </w:r>
      <w:r>
        <w:rPr>
          <w:rFonts w:eastAsia="楷体_GB2312" w:cs="Calibri" w:hint="eastAsia"/>
          <w:sz w:val="20"/>
          <w:szCs w:val="20"/>
          <w:lang w:val="en-US" w:eastAsia="zh-CN" w:bidi="ar"/>
        </w:rPr>
        <w:t>稳居榜首。</w:t>
      </w:r>
    </w:p>
    <w:bookmarkEnd w:id="0"/>
    <w:p w14:paraId="7CAF20D2" w14:textId="77777777" w:rsidR="00043BDD" w:rsidRDefault="00A61197">
      <w:pPr>
        <w:overflowPunct w:val="0"/>
        <w:spacing w:afterLines="50" w:after="120" w:line="228" w:lineRule="auto"/>
        <w:jc w:val="both"/>
        <w:rPr>
          <w:rFonts w:eastAsia="楷体_GB2312" w:cs="Calibri"/>
          <w:sz w:val="22"/>
          <w:szCs w:val="22"/>
          <w:lang w:val="en-US" w:eastAsia="zh-CN"/>
        </w:rPr>
      </w:pPr>
      <w:r>
        <w:rPr>
          <w:rFonts w:eastAsia="楷体_GB2312" w:cs="Calibri"/>
          <w:b/>
          <w:bCs/>
          <w:color w:val="1F497D" w:themeColor="text2"/>
          <w:sz w:val="22"/>
          <w:szCs w:val="22"/>
          <w:lang w:val="en-US" w:eastAsia="zh-CN"/>
        </w:rPr>
        <w:t>投资建议：</w:t>
      </w:r>
    </w:p>
    <w:p w14:paraId="67A06570" w14:textId="1337E37D" w:rsidR="00553A79" w:rsidRDefault="00553A79">
      <w:pPr>
        <w:overflowPunct w:val="0"/>
        <w:spacing w:afterLines="50" w:after="120" w:line="228" w:lineRule="auto"/>
        <w:jc w:val="both"/>
        <w:rPr>
          <w:rFonts w:eastAsia="楷体_GB2312" w:cs="Calibri"/>
          <w:sz w:val="20"/>
          <w:szCs w:val="20"/>
          <w:lang w:val="en-US" w:eastAsia="zh-CN" w:bidi="ar"/>
        </w:rPr>
      </w:pPr>
      <w:r>
        <w:rPr>
          <w:rFonts w:eastAsia="楷体_GB2312" w:cs="Calibri" w:hint="eastAsia"/>
          <w:sz w:val="20"/>
          <w:szCs w:val="20"/>
          <w:lang w:val="en-US" w:eastAsia="zh-CN" w:bidi="ar"/>
        </w:rPr>
        <w:t>短期市场受地缘扰动及油价高企影响处于震荡筑底期，但中长期逻辑未变。消费板块关注具备品牌护城河与出海能力的龙头</w:t>
      </w:r>
      <w:r w:rsidR="00AF38AA">
        <w:rPr>
          <w:rFonts w:eastAsia="楷体_GB2312" w:cs="Calibri" w:hint="eastAsia"/>
          <w:sz w:val="20"/>
          <w:szCs w:val="20"/>
          <w:lang w:val="en-US" w:eastAsia="zh-CN" w:bidi="ar"/>
        </w:rPr>
        <w:t>，</w:t>
      </w:r>
      <w:r w:rsidR="00AF38AA">
        <w:rPr>
          <w:rFonts w:eastAsia="楷体_GB2312" w:cs="Calibri" w:hint="eastAsia"/>
          <w:sz w:val="20"/>
          <w:szCs w:val="20"/>
          <w:lang w:val="en-US" w:eastAsia="zh-CN" w:bidi="ar"/>
        </w:rPr>
        <w:t>如</w:t>
      </w:r>
      <w:r w:rsidR="00AF38AA" w:rsidRPr="005053B2">
        <w:rPr>
          <w:rFonts w:eastAsia="楷体_GB2312" w:cs="Calibri"/>
          <w:sz w:val="20"/>
          <w:szCs w:val="20"/>
          <w:lang w:val="en-US" w:eastAsia="zh-CN" w:bidi="ar"/>
        </w:rPr>
        <w:t>L</w:t>
      </w:r>
      <w:proofErr w:type="gramStart"/>
      <w:r w:rsidR="00AF38AA" w:rsidRPr="005053B2">
        <w:rPr>
          <w:rFonts w:eastAsia="楷体_GB2312" w:cs="Calibri"/>
          <w:sz w:val="20"/>
          <w:szCs w:val="20"/>
          <w:lang w:val="en-US" w:eastAsia="zh-CN" w:bidi="ar"/>
        </w:rPr>
        <w:t>’</w:t>
      </w:r>
      <w:proofErr w:type="gramEnd"/>
      <w:r w:rsidR="00AF38AA" w:rsidRPr="005053B2">
        <w:rPr>
          <w:rFonts w:eastAsia="楷体_GB2312" w:cs="Calibri"/>
          <w:sz w:val="20"/>
          <w:szCs w:val="20"/>
          <w:lang w:val="en-US" w:eastAsia="zh-CN" w:bidi="ar"/>
        </w:rPr>
        <w:t>Oreal</w:t>
      </w:r>
      <w:r w:rsidR="00AF38AA">
        <w:rPr>
          <w:rFonts w:eastAsia="楷体_GB2312" w:cs="Calibri" w:hint="eastAsia"/>
          <w:sz w:val="20"/>
          <w:szCs w:val="20"/>
          <w:lang w:val="en-US" w:eastAsia="zh-CN" w:bidi="ar"/>
        </w:rPr>
        <w:t>，</w:t>
      </w:r>
      <w:r w:rsidR="00AF38AA" w:rsidRPr="00FF2228">
        <w:rPr>
          <w:rFonts w:eastAsia="楷体_GB2312" w:cs="Calibri"/>
          <w:sz w:val="20"/>
          <w:szCs w:val="20"/>
          <w:lang w:val="en-US" w:eastAsia="zh-CN" w:bidi="ar"/>
        </w:rPr>
        <w:t>Ulta Beauty</w:t>
      </w:r>
      <w:r w:rsidR="00AF38AA">
        <w:rPr>
          <w:rFonts w:eastAsia="楷体_GB2312" w:cs="Calibri" w:hint="eastAsia"/>
          <w:sz w:val="20"/>
          <w:szCs w:val="20"/>
          <w:lang w:val="en-US" w:eastAsia="zh-CN" w:bidi="ar"/>
        </w:rPr>
        <w:t>，</w:t>
      </w:r>
      <w:r w:rsidR="00AF38AA" w:rsidRPr="00AF3EF6">
        <w:rPr>
          <w:rFonts w:eastAsia="楷体_GB2312" w:cs="Calibri"/>
          <w:sz w:val="20"/>
          <w:szCs w:val="20"/>
          <w:lang w:val="en-US" w:eastAsia="zh-CN"/>
        </w:rPr>
        <w:t>Costco</w:t>
      </w:r>
      <w:r w:rsidR="00AF38AA">
        <w:rPr>
          <w:rFonts w:eastAsia="楷体_GB2312" w:cs="Calibri" w:hint="eastAsia"/>
          <w:sz w:val="20"/>
          <w:szCs w:val="20"/>
          <w:lang w:val="en-US" w:eastAsia="zh-CN"/>
        </w:rPr>
        <w:t>，</w:t>
      </w:r>
      <w:r w:rsidR="00AF38AA">
        <w:rPr>
          <w:rFonts w:eastAsia="楷体_GB2312" w:cs="Calibri" w:hint="eastAsia"/>
          <w:sz w:val="20"/>
          <w:szCs w:val="20"/>
          <w:lang w:val="en-US" w:eastAsia="zh-CN"/>
        </w:rPr>
        <w:t>P&amp;G</w:t>
      </w:r>
      <w:r w:rsidR="00AF38AA">
        <w:rPr>
          <w:rFonts w:eastAsia="楷体_GB2312" w:cs="Calibri" w:hint="eastAsia"/>
          <w:sz w:val="20"/>
          <w:szCs w:val="20"/>
          <w:lang w:val="en-US" w:eastAsia="zh-CN" w:bidi="ar"/>
        </w:rPr>
        <w:t>等</w:t>
      </w:r>
      <w:r>
        <w:rPr>
          <w:rFonts w:eastAsia="楷体_GB2312" w:cs="Calibri" w:hint="eastAsia"/>
          <w:sz w:val="20"/>
          <w:szCs w:val="20"/>
          <w:lang w:val="en-US" w:eastAsia="zh-CN" w:bidi="ar"/>
        </w:rPr>
        <w:t>；互联网科技板</w:t>
      </w:r>
      <w:r w:rsidR="00932291">
        <w:rPr>
          <w:rFonts w:eastAsia="楷体_GB2312" w:cs="Calibri" w:hint="eastAsia"/>
          <w:sz w:val="20"/>
          <w:szCs w:val="20"/>
          <w:lang w:val="en-US" w:eastAsia="zh-CN" w:bidi="ar"/>
        </w:rPr>
        <w:t>，</w:t>
      </w:r>
      <w:r w:rsidR="00932291">
        <w:rPr>
          <w:rFonts w:eastAsia="楷体_GB2312" w:cs="Calibri" w:hint="eastAsia"/>
          <w:sz w:val="20"/>
          <w:szCs w:val="20"/>
          <w:lang w:val="en-US" w:eastAsia="zh-CN" w:bidi="ar"/>
        </w:rPr>
        <w:t>美联储</w:t>
      </w:r>
      <w:r w:rsidR="00932291">
        <w:rPr>
          <w:rFonts w:eastAsia="楷体_GB2312" w:cs="Calibri"/>
          <w:sz w:val="20"/>
          <w:szCs w:val="20"/>
          <w:lang w:val="en-US" w:eastAsia="zh-CN" w:bidi="ar"/>
        </w:rPr>
        <w:t>3</w:t>
      </w:r>
      <w:r w:rsidR="00932291">
        <w:rPr>
          <w:rFonts w:eastAsia="楷体_GB2312" w:cs="Calibri" w:hint="eastAsia"/>
          <w:sz w:val="20"/>
          <w:szCs w:val="20"/>
          <w:lang w:val="en-US" w:eastAsia="zh-CN" w:bidi="ar"/>
        </w:rPr>
        <w:t>月</w:t>
      </w:r>
      <w:r w:rsidR="00932291">
        <w:rPr>
          <w:rFonts w:eastAsia="楷体_GB2312" w:cs="Calibri"/>
          <w:sz w:val="20"/>
          <w:szCs w:val="20"/>
          <w:lang w:val="en-US" w:eastAsia="zh-CN" w:bidi="ar"/>
        </w:rPr>
        <w:t>FOMC</w:t>
      </w:r>
      <w:r w:rsidR="00932291">
        <w:rPr>
          <w:rFonts w:eastAsia="楷体_GB2312" w:cs="Calibri" w:hint="eastAsia"/>
          <w:sz w:val="20"/>
          <w:szCs w:val="20"/>
          <w:lang w:val="en-US" w:eastAsia="zh-CN" w:bidi="ar"/>
        </w:rPr>
        <w:t>维持利率</w:t>
      </w:r>
      <w:proofErr w:type="gramStart"/>
      <w:r w:rsidR="00932291">
        <w:rPr>
          <w:rFonts w:eastAsia="楷体_GB2312" w:cs="Calibri" w:hint="eastAsia"/>
          <w:sz w:val="20"/>
          <w:szCs w:val="20"/>
          <w:lang w:val="en-US" w:eastAsia="zh-CN" w:bidi="ar"/>
        </w:rPr>
        <w:t>不变但</w:t>
      </w:r>
      <w:proofErr w:type="gramEnd"/>
      <w:r w:rsidR="00932291">
        <w:rPr>
          <w:rFonts w:eastAsia="楷体_GB2312" w:cs="Calibri" w:hint="eastAsia"/>
          <w:sz w:val="20"/>
          <w:szCs w:val="20"/>
          <w:lang w:val="en-US" w:eastAsia="zh-CN" w:bidi="ar"/>
        </w:rPr>
        <w:t>点阵图仍指向年内两次降息，</w:t>
      </w:r>
      <w:proofErr w:type="gramStart"/>
      <w:r w:rsidR="00932291">
        <w:rPr>
          <w:rFonts w:eastAsia="楷体_GB2312" w:cs="Calibri" w:hint="eastAsia"/>
          <w:sz w:val="20"/>
          <w:szCs w:val="20"/>
          <w:lang w:val="en-US" w:eastAsia="zh-CN" w:bidi="ar"/>
        </w:rPr>
        <w:t>叠加腾讯等</w:t>
      </w:r>
      <w:proofErr w:type="gramEnd"/>
      <w:r w:rsidR="00932291">
        <w:rPr>
          <w:rFonts w:eastAsia="楷体_GB2312" w:cs="Calibri" w:hint="eastAsia"/>
          <w:sz w:val="20"/>
          <w:szCs w:val="20"/>
          <w:lang w:val="en-US" w:eastAsia="zh-CN" w:bidi="ar"/>
        </w:rPr>
        <w:t>龙头年报验证</w:t>
      </w:r>
      <w:r w:rsidR="00932291">
        <w:rPr>
          <w:rFonts w:eastAsia="楷体_GB2312" w:cs="Calibri"/>
          <w:sz w:val="20"/>
          <w:szCs w:val="20"/>
          <w:lang w:val="en-US" w:eastAsia="zh-CN" w:bidi="ar"/>
        </w:rPr>
        <w:t>AI</w:t>
      </w:r>
      <w:r w:rsidR="00932291">
        <w:rPr>
          <w:rFonts w:eastAsia="楷体_GB2312" w:cs="Calibri" w:hint="eastAsia"/>
          <w:sz w:val="20"/>
          <w:szCs w:val="20"/>
          <w:lang w:val="en-US" w:eastAsia="zh-CN" w:bidi="ar"/>
        </w:rPr>
        <w:t>商业化推进，中长期配置价值凸显。</w:t>
      </w:r>
      <w:r>
        <w:rPr>
          <w:rFonts w:eastAsia="楷体_GB2312" w:cs="Calibri" w:hint="eastAsia"/>
          <w:sz w:val="20"/>
          <w:szCs w:val="20"/>
          <w:lang w:val="en-US" w:eastAsia="zh-CN" w:bidi="ar"/>
        </w:rPr>
        <w:t>坚定看好</w:t>
      </w:r>
      <w:r>
        <w:rPr>
          <w:rFonts w:eastAsia="楷体_GB2312" w:cs="Calibri"/>
          <w:sz w:val="20"/>
          <w:szCs w:val="20"/>
          <w:lang w:val="en-US" w:eastAsia="zh-CN" w:bidi="ar"/>
        </w:rPr>
        <w:t>AI</w:t>
      </w:r>
      <w:r>
        <w:rPr>
          <w:rFonts w:eastAsia="楷体_GB2312" w:cs="Calibri" w:hint="eastAsia"/>
          <w:sz w:val="20"/>
          <w:szCs w:val="20"/>
          <w:lang w:val="en-US" w:eastAsia="zh-CN" w:bidi="ar"/>
        </w:rPr>
        <w:t>向商业落地转化</w:t>
      </w:r>
      <w:r w:rsidR="00932291">
        <w:rPr>
          <w:rFonts w:eastAsia="楷体_GB2312" w:cs="Calibri" w:hint="eastAsia"/>
          <w:sz w:val="20"/>
          <w:szCs w:val="20"/>
          <w:lang w:val="en-US" w:eastAsia="zh-CN" w:bidi="ar"/>
        </w:rPr>
        <w:t>，</w:t>
      </w:r>
      <w:r w:rsidR="00932291">
        <w:rPr>
          <w:rFonts w:eastAsia="楷体_GB2312" w:cs="Calibri" w:hint="eastAsia"/>
          <w:sz w:val="20"/>
          <w:szCs w:val="20"/>
          <w:lang w:val="en-US" w:eastAsia="zh-CN" w:bidi="ar"/>
        </w:rPr>
        <w:t>建议关注阿里巴巴、</w:t>
      </w:r>
      <w:r w:rsidR="00932291" w:rsidRPr="009D68E9">
        <w:rPr>
          <w:rFonts w:eastAsia="楷体_GB2312" w:cs="Calibri" w:hint="eastAsia"/>
          <w:sz w:val="20"/>
          <w:szCs w:val="20"/>
          <w:lang w:val="en-US" w:eastAsia="zh-CN"/>
        </w:rPr>
        <w:t>微软、亚马逊及</w:t>
      </w:r>
      <w:r w:rsidR="00932291" w:rsidRPr="009D68E9">
        <w:rPr>
          <w:rFonts w:eastAsia="楷体_GB2312" w:cs="Calibri"/>
          <w:sz w:val="20"/>
          <w:szCs w:val="20"/>
          <w:lang w:val="en-US" w:eastAsia="zh-CN"/>
        </w:rPr>
        <w:t>Alphabet</w:t>
      </w:r>
      <w:r w:rsidR="00932291">
        <w:rPr>
          <w:rFonts w:eastAsia="楷体_GB2312" w:cs="Calibri" w:hint="eastAsia"/>
          <w:sz w:val="20"/>
          <w:szCs w:val="20"/>
          <w:lang w:val="en-US" w:eastAsia="zh-CN"/>
        </w:rPr>
        <w:t>等</w:t>
      </w:r>
      <w:r>
        <w:rPr>
          <w:rFonts w:eastAsia="楷体_GB2312" w:cs="Calibri" w:hint="eastAsia"/>
          <w:sz w:val="20"/>
          <w:szCs w:val="20"/>
          <w:lang w:val="en-US" w:eastAsia="zh-CN" w:bidi="ar"/>
        </w:rPr>
        <w:t>；通用航空领域，关注市场份额持续扩张的高端制造龙头。</w:t>
      </w:r>
    </w:p>
    <w:p w14:paraId="0964F1F0" w14:textId="0E0B6EA5" w:rsidR="00043BDD" w:rsidRDefault="00A61197">
      <w:pPr>
        <w:overflowPunct w:val="0"/>
        <w:spacing w:afterLines="50" w:after="120" w:line="228" w:lineRule="auto"/>
        <w:jc w:val="both"/>
        <w:rPr>
          <w:rFonts w:eastAsia="楷体_GB2312" w:cs="Calibri"/>
          <w:b/>
          <w:bCs/>
          <w:color w:val="1F497D" w:themeColor="text2"/>
          <w:sz w:val="22"/>
          <w:szCs w:val="22"/>
          <w:lang w:val="en-US" w:eastAsia="zh-CN"/>
        </w:rPr>
      </w:pPr>
      <w:r>
        <w:rPr>
          <w:rFonts w:eastAsia="楷体_GB2312" w:cs="Calibri"/>
          <w:b/>
          <w:bCs/>
          <w:color w:val="1F497D" w:themeColor="text2"/>
          <w:sz w:val="22"/>
          <w:szCs w:val="22"/>
          <w:lang w:val="en-US" w:eastAsia="zh-CN"/>
        </w:rPr>
        <w:t>风险提示：</w:t>
      </w:r>
    </w:p>
    <w:p w14:paraId="00A2459B" w14:textId="4D6E1195" w:rsidR="00043BDD" w:rsidRDefault="00A17FE5">
      <w:pPr>
        <w:overflowPunct w:val="0"/>
        <w:spacing w:afterLines="50" w:after="120" w:line="228" w:lineRule="auto"/>
        <w:jc w:val="both"/>
        <w:rPr>
          <w:rFonts w:eastAsia="楷体_GB2312" w:cs="Calibri"/>
          <w:lang w:eastAsia="zh-CN"/>
        </w:rPr>
        <w:sectPr w:rsidR="00043BDD">
          <w:headerReference w:type="default" r:id="rId9"/>
          <w:footerReference w:type="default" r:id="rId10"/>
          <w:pgSz w:w="11909" w:h="16834"/>
          <w:pgMar w:top="1134" w:right="851" w:bottom="1321" w:left="851" w:header="284" w:footer="1157" w:gutter="0"/>
          <w:cols w:space="720"/>
          <w:docGrid w:linePitch="360"/>
        </w:sectPr>
      </w:pPr>
      <w:r>
        <w:rPr>
          <w:rFonts w:eastAsia="楷体_GB2312" w:cs="Calibri" w:hint="eastAsia"/>
          <w:sz w:val="20"/>
          <w:szCs w:val="20"/>
          <w:lang w:val="en-US" w:eastAsia="zh-CN"/>
        </w:rPr>
        <w:t>地缘政治风险加剧；宏观经济复苏不及预期；</w:t>
      </w:r>
      <w:r>
        <w:rPr>
          <w:rFonts w:eastAsia="楷体_GB2312" w:cs="Calibri"/>
          <w:sz w:val="20"/>
          <w:szCs w:val="20"/>
          <w:lang w:val="en-US" w:eastAsia="zh-CN"/>
        </w:rPr>
        <w:t>AI</w:t>
      </w:r>
      <w:r>
        <w:rPr>
          <w:rFonts w:eastAsia="楷体_GB2312" w:cs="Calibri" w:hint="eastAsia"/>
          <w:sz w:val="20"/>
          <w:szCs w:val="20"/>
          <w:lang w:val="en-US" w:eastAsia="zh-CN"/>
        </w:rPr>
        <w:t>商业化落地受阻；政策与贸易不确定性。</w:t>
      </w:r>
    </w:p>
    <w:p w14:paraId="6C54EE5F" w14:textId="77777777" w:rsidR="00043BDD" w:rsidRDefault="00043BDD">
      <w:pPr>
        <w:overflowPunct w:val="0"/>
        <w:jc w:val="both"/>
        <w:rPr>
          <w:rFonts w:eastAsia="楷体_GB2312" w:cs="Calibri"/>
          <w:sz w:val="20"/>
          <w:szCs w:val="20"/>
          <w:lang w:val="en-US" w:eastAsia="zh-CN"/>
        </w:rPr>
      </w:pPr>
      <w:bookmarkStart w:id="1" w:name="_Toc145691341"/>
      <w:bookmarkStart w:id="2" w:name="_Toc145713253"/>
      <w:bookmarkStart w:id="3" w:name="_Toc185497681"/>
      <w:bookmarkStart w:id="4" w:name="_Toc2091320906"/>
    </w:p>
    <w:sdt>
      <w:sdtPr>
        <w:rPr>
          <w:rFonts w:eastAsia="楷体_GB2312" w:cs="Calibri"/>
          <w:sz w:val="21"/>
        </w:rPr>
        <w:id w:val="147451266"/>
        <w15:color w:val="DBDBDB"/>
        <w:docPartObj>
          <w:docPartGallery w:val="Table of Contents"/>
          <w:docPartUnique/>
        </w:docPartObj>
      </w:sdtPr>
      <w:sdtEndPr>
        <w:rPr>
          <w:sz w:val="16"/>
          <w:lang w:eastAsia="zh-CN"/>
        </w:rPr>
      </w:sdtEndPr>
      <w:sdtContent>
        <w:p w14:paraId="1149B305" w14:textId="77777777" w:rsidR="00043BDD" w:rsidRDefault="00A61197">
          <w:pPr>
            <w:jc w:val="center"/>
            <w:rPr>
              <w:rFonts w:eastAsia="楷体_GB2312" w:cs="Calibri"/>
              <w:b/>
              <w:bCs/>
              <w:color w:val="1F497D" w:themeColor="text2"/>
              <w:sz w:val="22"/>
              <w:szCs w:val="22"/>
              <w:lang w:val="en-US" w:eastAsia="zh-CN"/>
            </w:rPr>
          </w:pPr>
          <w:r>
            <w:rPr>
              <w:rFonts w:eastAsia="楷体_GB2312" w:cs="Calibri"/>
              <w:b/>
              <w:bCs/>
              <w:color w:val="1F497D" w:themeColor="text2"/>
              <w:sz w:val="22"/>
              <w:szCs w:val="22"/>
              <w:lang w:val="en-US" w:eastAsia="zh-CN"/>
            </w:rPr>
            <w:t>目录</w:t>
          </w:r>
        </w:p>
        <w:p w14:paraId="4A0243A2" w14:textId="27CF13F1" w:rsidR="004D21CE" w:rsidRPr="008309D9" w:rsidRDefault="00A61197">
          <w:pPr>
            <w:pStyle w:val="TOC1"/>
            <w:ind w:left="2080"/>
            <w:rPr>
              <w:rFonts w:asciiTheme="minorHAnsi" w:eastAsiaTheme="minorEastAsia" w:hAnsiTheme="minorHAnsi" w:cstheme="minorBidi"/>
              <w:noProof/>
              <w:sz w:val="22"/>
              <w14:ligatures w14:val="standardContextual"/>
            </w:rPr>
          </w:pPr>
          <w:r>
            <w:rPr>
              <w:rFonts w:ascii="Calibri" w:hAnsi="Calibri" w:cs="Calibri"/>
              <w:snapToGrid w:val="0"/>
              <w:sz w:val="16"/>
              <w:szCs w:val="16"/>
              <w:lang w:val="en-GB"/>
            </w:rPr>
            <w:fldChar w:fldCharType="begin"/>
          </w:r>
          <w:r>
            <w:rPr>
              <w:rFonts w:ascii="Calibri" w:hAnsi="Calibri" w:cs="Calibri"/>
              <w:snapToGrid w:val="0"/>
              <w:sz w:val="16"/>
              <w:szCs w:val="16"/>
              <w:lang w:val="en-GB"/>
            </w:rPr>
            <w:instrText xml:space="preserve">TOC \o "1-3" \h \u </w:instrText>
          </w:r>
          <w:r>
            <w:rPr>
              <w:rFonts w:ascii="Calibri" w:hAnsi="Calibri" w:cs="Calibri"/>
              <w:snapToGrid w:val="0"/>
              <w:sz w:val="16"/>
              <w:szCs w:val="16"/>
              <w:lang w:val="en-GB"/>
            </w:rPr>
            <w:fldChar w:fldCharType="separate"/>
          </w:r>
          <w:hyperlink w:anchor="_Toc223546882" w:history="1">
            <w:r>
              <w:rPr>
                <w:rStyle w:val="afa"/>
                <w:rFonts w:cs="Calibri" w:hint="eastAsia"/>
                <w:noProof/>
              </w:rPr>
              <w:t>一、海外消费板块表现回顾</w:t>
            </w:r>
            <w:r>
              <w:rPr>
                <w:rFonts w:hint="eastAsia"/>
                <w:noProof/>
              </w:rPr>
              <w:tab/>
            </w:r>
            <w:r>
              <w:rPr>
                <w:rFonts w:hint="eastAsia"/>
                <w:noProof/>
              </w:rPr>
              <w:fldChar w:fldCharType="begin"/>
            </w:r>
            <w:r>
              <w:rPr>
                <w:noProof/>
              </w:rPr>
              <w:instrText>PAGEREF _Toc223546882 \h</w:instrText>
            </w:r>
            <w:r>
              <w:rPr>
                <w:rFonts w:hint="eastAsia"/>
                <w:noProof/>
              </w:rPr>
            </w:r>
            <w:r>
              <w:rPr>
                <w:rFonts w:hint="eastAsia"/>
                <w:noProof/>
              </w:rPr>
              <w:fldChar w:fldCharType="separate"/>
            </w:r>
            <w:r>
              <w:rPr>
                <w:noProof/>
              </w:rPr>
              <w:t>3</w:t>
            </w:r>
            <w:r>
              <w:rPr>
                <w:rFonts w:hint="eastAsia"/>
                <w:noProof/>
              </w:rPr>
              <w:fldChar w:fldCharType="end"/>
            </w:r>
          </w:hyperlink>
        </w:p>
        <w:p w14:paraId="53E97897" w14:textId="0C891DE8" w:rsidR="004D21CE" w:rsidRPr="008309D9" w:rsidRDefault="004D21CE">
          <w:pPr>
            <w:pStyle w:val="TOC2"/>
            <w:ind w:left="2400"/>
            <w:rPr>
              <w:rFonts w:asciiTheme="minorHAnsi" w:eastAsiaTheme="minorEastAsia" w:hAnsiTheme="minorHAnsi" w:cstheme="minorBidi"/>
              <w:noProof/>
              <w:sz w:val="22"/>
              <w14:ligatures w14:val="standardContextual"/>
            </w:rPr>
          </w:pPr>
          <w:hyperlink w:anchor="_Toc223546883" w:history="1">
            <w:r>
              <w:rPr>
                <w:rStyle w:val="afa"/>
                <w:rFonts w:cs="Calibri" w:hint="eastAsia"/>
                <w:noProof/>
              </w:rPr>
              <w:t>（一）港股市场回顾</w:t>
            </w:r>
            <w:r>
              <w:rPr>
                <w:rFonts w:hint="eastAsia"/>
                <w:noProof/>
              </w:rPr>
              <w:tab/>
            </w:r>
            <w:r>
              <w:rPr>
                <w:rFonts w:hint="eastAsia"/>
                <w:noProof/>
              </w:rPr>
              <w:fldChar w:fldCharType="begin"/>
            </w:r>
            <w:r>
              <w:rPr>
                <w:noProof/>
              </w:rPr>
              <w:instrText>PAGEREF _Toc223546883 \h</w:instrText>
            </w:r>
            <w:r>
              <w:rPr>
                <w:rFonts w:hint="eastAsia"/>
                <w:noProof/>
              </w:rPr>
            </w:r>
            <w:r>
              <w:rPr>
                <w:rFonts w:hint="eastAsia"/>
                <w:noProof/>
              </w:rPr>
              <w:fldChar w:fldCharType="separate"/>
            </w:r>
            <w:r>
              <w:rPr>
                <w:noProof/>
              </w:rPr>
              <w:t>3</w:t>
            </w:r>
            <w:r>
              <w:rPr>
                <w:rFonts w:hint="eastAsia"/>
                <w:noProof/>
              </w:rPr>
              <w:fldChar w:fldCharType="end"/>
            </w:r>
          </w:hyperlink>
        </w:p>
        <w:p w14:paraId="3EC4116C" w14:textId="3AF231DC" w:rsidR="004D21CE" w:rsidRPr="008309D9" w:rsidRDefault="004D21CE">
          <w:pPr>
            <w:pStyle w:val="TOC2"/>
            <w:ind w:left="2400"/>
            <w:rPr>
              <w:rFonts w:asciiTheme="minorHAnsi" w:eastAsiaTheme="minorEastAsia" w:hAnsiTheme="minorHAnsi" w:cstheme="minorBidi"/>
              <w:noProof/>
              <w:sz w:val="22"/>
              <w14:ligatures w14:val="standardContextual"/>
            </w:rPr>
          </w:pPr>
          <w:hyperlink w:anchor="_Toc223546884" w:history="1">
            <w:r>
              <w:rPr>
                <w:rStyle w:val="afa"/>
                <w:rFonts w:cs="Calibri" w:hint="eastAsia"/>
                <w:noProof/>
              </w:rPr>
              <w:t>（二）美股市场回顾</w:t>
            </w:r>
            <w:r>
              <w:rPr>
                <w:rFonts w:hint="eastAsia"/>
                <w:noProof/>
              </w:rPr>
              <w:tab/>
            </w:r>
            <w:r>
              <w:rPr>
                <w:rFonts w:hint="eastAsia"/>
                <w:noProof/>
              </w:rPr>
              <w:fldChar w:fldCharType="begin"/>
            </w:r>
            <w:r>
              <w:rPr>
                <w:noProof/>
              </w:rPr>
              <w:instrText>PAGEREF _Toc223546884 \h</w:instrText>
            </w:r>
            <w:r>
              <w:rPr>
                <w:rFonts w:hint="eastAsia"/>
                <w:noProof/>
              </w:rPr>
            </w:r>
            <w:r>
              <w:rPr>
                <w:rFonts w:hint="eastAsia"/>
                <w:noProof/>
              </w:rPr>
              <w:fldChar w:fldCharType="separate"/>
            </w:r>
            <w:r>
              <w:rPr>
                <w:noProof/>
              </w:rPr>
              <w:t>3</w:t>
            </w:r>
            <w:r>
              <w:rPr>
                <w:rFonts w:hint="eastAsia"/>
                <w:noProof/>
              </w:rPr>
              <w:fldChar w:fldCharType="end"/>
            </w:r>
          </w:hyperlink>
        </w:p>
        <w:p w14:paraId="02DD2A8A" w14:textId="6992B0E6" w:rsidR="004D21CE" w:rsidRPr="008309D9" w:rsidRDefault="004D21CE">
          <w:pPr>
            <w:pStyle w:val="TOC1"/>
            <w:ind w:left="2080"/>
            <w:rPr>
              <w:rFonts w:asciiTheme="minorHAnsi" w:eastAsiaTheme="minorEastAsia" w:hAnsiTheme="minorHAnsi" w:cstheme="minorBidi"/>
              <w:noProof/>
              <w:sz w:val="22"/>
              <w14:ligatures w14:val="standardContextual"/>
            </w:rPr>
          </w:pPr>
          <w:hyperlink w:anchor="_Toc223546885" w:history="1">
            <w:r>
              <w:rPr>
                <w:rStyle w:val="afa"/>
                <w:rFonts w:cs="Calibri" w:hint="eastAsia"/>
                <w:noProof/>
              </w:rPr>
              <w:t>二、海外互联网板块表现回顾</w:t>
            </w:r>
            <w:r>
              <w:rPr>
                <w:rFonts w:hint="eastAsia"/>
                <w:noProof/>
              </w:rPr>
              <w:tab/>
            </w:r>
            <w:r>
              <w:rPr>
                <w:rFonts w:hint="eastAsia"/>
                <w:noProof/>
              </w:rPr>
              <w:fldChar w:fldCharType="begin"/>
            </w:r>
            <w:r>
              <w:rPr>
                <w:noProof/>
              </w:rPr>
              <w:instrText>PAGEREF _Toc223546885 \h</w:instrText>
            </w:r>
            <w:r>
              <w:rPr>
                <w:rFonts w:hint="eastAsia"/>
                <w:noProof/>
              </w:rPr>
            </w:r>
            <w:r>
              <w:rPr>
                <w:rFonts w:hint="eastAsia"/>
                <w:noProof/>
              </w:rPr>
              <w:fldChar w:fldCharType="separate"/>
            </w:r>
            <w:r>
              <w:rPr>
                <w:noProof/>
              </w:rPr>
              <w:t>5</w:t>
            </w:r>
            <w:r>
              <w:rPr>
                <w:rFonts w:hint="eastAsia"/>
                <w:noProof/>
              </w:rPr>
              <w:fldChar w:fldCharType="end"/>
            </w:r>
          </w:hyperlink>
        </w:p>
        <w:p w14:paraId="79B59C7D" w14:textId="022C48D5" w:rsidR="004D21CE" w:rsidRPr="008309D9" w:rsidRDefault="004D21CE">
          <w:pPr>
            <w:pStyle w:val="TOC2"/>
            <w:ind w:left="2400"/>
            <w:rPr>
              <w:rFonts w:asciiTheme="minorHAnsi" w:eastAsiaTheme="minorEastAsia" w:hAnsiTheme="minorHAnsi" w:cstheme="minorBidi"/>
              <w:noProof/>
              <w:sz w:val="22"/>
              <w14:ligatures w14:val="standardContextual"/>
            </w:rPr>
          </w:pPr>
          <w:hyperlink w:anchor="_Toc223546886" w:history="1">
            <w:r>
              <w:rPr>
                <w:rStyle w:val="afa"/>
                <w:rFonts w:cs="Calibri" w:hint="eastAsia"/>
                <w:noProof/>
              </w:rPr>
              <w:t>（一）港股市场回顾</w:t>
            </w:r>
            <w:r>
              <w:rPr>
                <w:rFonts w:hint="eastAsia"/>
                <w:noProof/>
              </w:rPr>
              <w:tab/>
            </w:r>
            <w:r>
              <w:rPr>
                <w:rFonts w:hint="eastAsia"/>
                <w:noProof/>
              </w:rPr>
              <w:fldChar w:fldCharType="begin"/>
            </w:r>
            <w:r>
              <w:rPr>
                <w:noProof/>
              </w:rPr>
              <w:instrText>PAGEREF _Toc223546886 \h</w:instrText>
            </w:r>
            <w:r>
              <w:rPr>
                <w:rFonts w:hint="eastAsia"/>
                <w:noProof/>
              </w:rPr>
            </w:r>
            <w:r>
              <w:rPr>
                <w:rFonts w:hint="eastAsia"/>
                <w:noProof/>
              </w:rPr>
              <w:fldChar w:fldCharType="separate"/>
            </w:r>
            <w:r>
              <w:rPr>
                <w:noProof/>
              </w:rPr>
              <w:t>5</w:t>
            </w:r>
            <w:r>
              <w:rPr>
                <w:rFonts w:hint="eastAsia"/>
                <w:noProof/>
              </w:rPr>
              <w:fldChar w:fldCharType="end"/>
            </w:r>
          </w:hyperlink>
        </w:p>
        <w:p w14:paraId="474155A2" w14:textId="372E17F5" w:rsidR="004D21CE" w:rsidRPr="008309D9" w:rsidRDefault="004D21CE">
          <w:pPr>
            <w:pStyle w:val="TOC2"/>
            <w:ind w:left="2400"/>
            <w:rPr>
              <w:rFonts w:asciiTheme="minorHAnsi" w:eastAsiaTheme="minorEastAsia" w:hAnsiTheme="minorHAnsi" w:cstheme="minorBidi"/>
              <w:noProof/>
              <w:sz w:val="22"/>
              <w14:ligatures w14:val="standardContextual"/>
            </w:rPr>
          </w:pPr>
          <w:hyperlink w:anchor="_Toc223546887" w:history="1">
            <w:r>
              <w:rPr>
                <w:rStyle w:val="afa"/>
                <w:rFonts w:cs="Calibri" w:hint="eastAsia"/>
                <w:noProof/>
              </w:rPr>
              <w:t>（二）美股市场回顾</w:t>
            </w:r>
            <w:r>
              <w:rPr>
                <w:rFonts w:hint="eastAsia"/>
                <w:noProof/>
              </w:rPr>
              <w:tab/>
            </w:r>
            <w:r>
              <w:rPr>
                <w:rFonts w:hint="eastAsia"/>
                <w:noProof/>
              </w:rPr>
              <w:fldChar w:fldCharType="begin"/>
            </w:r>
            <w:r>
              <w:rPr>
                <w:noProof/>
              </w:rPr>
              <w:instrText>PAGEREF _Toc223546887 \h</w:instrText>
            </w:r>
            <w:r>
              <w:rPr>
                <w:rFonts w:hint="eastAsia"/>
                <w:noProof/>
              </w:rPr>
            </w:r>
            <w:r>
              <w:rPr>
                <w:rFonts w:hint="eastAsia"/>
                <w:noProof/>
              </w:rPr>
              <w:fldChar w:fldCharType="separate"/>
            </w:r>
            <w:r>
              <w:rPr>
                <w:noProof/>
              </w:rPr>
              <w:t>6</w:t>
            </w:r>
            <w:r>
              <w:rPr>
                <w:rFonts w:hint="eastAsia"/>
                <w:noProof/>
              </w:rPr>
              <w:fldChar w:fldCharType="end"/>
            </w:r>
          </w:hyperlink>
        </w:p>
        <w:p w14:paraId="307EF9C0" w14:textId="5BBC4380" w:rsidR="004D21CE" w:rsidRPr="008309D9" w:rsidRDefault="004D21CE">
          <w:pPr>
            <w:pStyle w:val="TOC1"/>
            <w:ind w:left="2080"/>
            <w:rPr>
              <w:rFonts w:asciiTheme="minorHAnsi" w:eastAsiaTheme="minorEastAsia" w:hAnsiTheme="minorHAnsi" w:cstheme="minorBidi"/>
              <w:noProof/>
              <w:sz w:val="22"/>
              <w14:ligatures w14:val="standardContextual"/>
            </w:rPr>
          </w:pPr>
          <w:hyperlink w:anchor="_Toc223546888" w:history="1">
            <w:r>
              <w:rPr>
                <w:rStyle w:val="afa"/>
                <w:rFonts w:cs="Calibri" w:hint="eastAsia"/>
                <w:noProof/>
              </w:rPr>
              <w:t>三、通用航空</w:t>
            </w:r>
            <w:r>
              <w:rPr>
                <w:rFonts w:hint="eastAsia"/>
                <w:noProof/>
              </w:rPr>
              <w:tab/>
            </w:r>
            <w:r>
              <w:rPr>
                <w:rFonts w:hint="eastAsia"/>
                <w:noProof/>
              </w:rPr>
              <w:fldChar w:fldCharType="begin"/>
            </w:r>
            <w:r>
              <w:rPr>
                <w:noProof/>
              </w:rPr>
              <w:instrText>PAGEREF _Toc223546888 \h</w:instrText>
            </w:r>
            <w:r>
              <w:rPr>
                <w:rFonts w:hint="eastAsia"/>
                <w:noProof/>
              </w:rPr>
            </w:r>
            <w:r>
              <w:rPr>
                <w:rFonts w:hint="eastAsia"/>
                <w:noProof/>
              </w:rPr>
              <w:fldChar w:fldCharType="separate"/>
            </w:r>
            <w:r>
              <w:rPr>
                <w:noProof/>
              </w:rPr>
              <w:t>7</w:t>
            </w:r>
            <w:r>
              <w:rPr>
                <w:rFonts w:hint="eastAsia"/>
                <w:noProof/>
              </w:rPr>
              <w:fldChar w:fldCharType="end"/>
            </w:r>
          </w:hyperlink>
        </w:p>
        <w:p w14:paraId="124002AF" w14:textId="3A0BC912" w:rsidR="004D21CE" w:rsidRPr="008309D9" w:rsidRDefault="004D21CE">
          <w:pPr>
            <w:pStyle w:val="TOC2"/>
            <w:ind w:left="2400"/>
            <w:rPr>
              <w:rFonts w:asciiTheme="minorHAnsi" w:eastAsiaTheme="minorEastAsia" w:hAnsiTheme="minorHAnsi" w:cstheme="minorBidi"/>
              <w:noProof/>
              <w:sz w:val="22"/>
              <w14:ligatures w14:val="standardContextual"/>
            </w:rPr>
          </w:pPr>
          <w:hyperlink w:anchor="_Toc223546889" w:history="1">
            <w:r>
              <w:rPr>
                <w:rStyle w:val="afa"/>
                <w:rFonts w:cs="Calibri" w:hint="eastAsia"/>
                <w:noProof/>
              </w:rPr>
              <w:t>（一）本周核心标的表现</w:t>
            </w:r>
            <w:r>
              <w:rPr>
                <w:rFonts w:hint="eastAsia"/>
                <w:noProof/>
              </w:rPr>
              <w:tab/>
            </w:r>
            <w:r>
              <w:rPr>
                <w:rFonts w:hint="eastAsia"/>
                <w:noProof/>
              </w:rPr>
              <w:fldChar w:fldCharType="begin"/>
            </w:r>
            <w:r>
              <w:rPr>
                <w:noProof/>
              </w:rPr>
              <w:instrText>PAGEREF _Toc223546889 \h</w:instrText>
            </w:r>
            <w:r>
              <w:rPr>
                <w:rFonts w:hint="eastAsia"/>
                <w:noProof/>
              </w:rPr>
            </w:r>
            <w:r>
              <w:rPr>
                <w:rFonts w:hint="eastAsia"/>
                <w:noProof/>
              </w:rPr>
              <w:fldChar w:fldCharType="separate"/>
            </w:r>
            <w:r>
              <w:rPr>
                <w:noProof/>
              </w:rPr>
              <w:t>7</w:t>
            </w:r>
            <w:r>
              <w:rPr>
                <w:rFonts w:hint="eastAsia"/>
                <w:noProof/>
              </w:rPr>
              <w:fldChar w:fldCharType="end"/>
            </w:r>
          </w:hyperlink>
        </w:p>
        <w:p w14:paraId="3CB3B570" w14:textId="7891718D" w:rsidR="004D21CE" w:rsidRDefault="004D21CE">
          <w:pPr>
            <w:pStyle w:val="TOC2"/>
            <w:ind w:left="2400"/>
            <w:rPr>
              <w:rFonts w:asciiTheme="minorHAnsi" w:eastAsiaTheme="minorEastAsia" w:hAnsiTheme="minorHAnsi" w:cstheme="minorBidi"/>
              <w:noProof/>
              <w:sz w:val="22"/>
              <w14:ligatures w14:val="standardContextual"/>
            </w:rPr>
          </w:pPr>
          <w:hyperlink w:anchor="_Toc223546890" w:history="1">
            <w:r>
              <w:rPr>
                <w:rStyle w:val="afa"/>
                <w:rFonts w:cs="Calibri" w:hint="eastAsia"/>
                <w:noProof/>
              </w:rPr>
              <w:t>（二）行业交付量跟踪</w:t>
            </w:r>
            <w:r>
              <w:rPr>
                <w:rFonts w:hint="eastAsia"/>
                <w:noProof/>
              </w:rPr>
              <w:tab/>
            </w:r>
            <w:r>
              <w:rPr>
                <w:rFonts w:hint="eastAsia"/>
                <w:noProof/>
              </w:rPr>
              <w:fldChar w:fldCharType="begin"/>
            </w:r>
            <w:r>
              <w:rPr>
                <w:noProof/>
              </w:rPr>
              <w:instrText>PAGEREF _Toc223546890 \h</w:instrText>
            </w:r>
            <w:r>
              <w:rPr>
                <w:rFonts w:hint="eastAsia"/>
                <w:noProof/>
              </w:rPr>
            </w:r>
            <w:r>
              <w:rPr>
                <w:rFonts w:hint="eastAsia"/>
                <w:noProof/>
              </w:rPr>
              <w:fldChar w:fldCharType="separate"/>
            </w:r>
            <w:r>
              <w:rPr>
                <w:noProof/>
              </w:rPr>
              <w:t>7</w:t>
            </w:r>
            <w:r>
              <w:rPr>
                <w:rFonts w:hint="eastAsia"/>
                <w:noProof/>
              </w:rPr>
              <w:fldChar w:fldCharType="end"/>
            </w:r>
          </w:hyperlink>
        </w:p>
        <w:p w14:paraId="429E566B" w14:textId="55445690" w:rsidR="00043BDD" w:rsidRDefault="00A61197">
          <w:pPr>
            <w:rPr>
              <w:rFonts w:eastAsia="楷体_GB2312" w:cs="Calibri"/>
              <w:b/>
              <w:bCs/>
              <w:color w:val="1F497D" w:themeColor="text2"/>
              <w:sz w:val="28"/>
              <w:szCs w:val="28"/>
              <w:lang w:val="en-US" w:eastAsia="zh-CN"/>
            </w:rPr>
          </w:pPr>
          <w:r>
            <w:rPr>
              <w:rFonts w:eastAsia="楷体_GB2312" w:cs="Calibri"/>
              <w:lang w:eastAsia="zh-CN"/>
            </w:rPr>
            <w:fldChar w:fldCharType="end"/>
          </w:r>
        </w:p>
      </w:sdtContent>
    </w:sdt>
    <w:p w14:paraId="4F661702" w14:textId="77777777" w:rsidR="00043BDD" w:rsidRDefault="00A61197">
      <w:pPr>
        <w:rPr>
          <w:rFonts w:eastAsia="楷体_GB2312" w:cs="Calibri"/>
          <w:b/>
          <w:bCs/>
          <w:color w:val="1F497D" w:themeColor="text2"/>
          <w:sz w:val="28"/>
          <w:szCs w:val="28"/>
          <w:lang w:val="en-US" w:eastAsia="zh-CN"/>
        </w:rPr>
      </w:pPr>
      <w:r>
        <w:rPr>
          <w:rFonts w:eastAsia="楷体_GB2312" w:cs="Calibri"/>
          <w:b/>
          <w:bCs/>
          <w:color w:val="1F497D" w:themeColor="text2"/>
          <w:sz w:val="28"/>
          <w:szCs w:val="28"/>
          <w:lang w:val="en-US" w:eastAsia="zh-CN"/>
        </w:rPr>
        <w:br w:type="page"/>
      </w:r>
    </w:p>
    <w:p w14:paraId="1A8D7880" w14:textId="79224558" w:rsidR="00043BDD" w:rsidRDefault="00A61197">
      <w:pPr>
        <w:overflowPunct w:val="0"/>
        <w:ind w:leftChars="2000" w:left="3200"/>
        <w:jc w:val="both"/>
        <w:outlineLvl w:val="0"/>
        <w:rPr>
          <w:rFonts w:eastAsia="楷体_GB2312" w:cs="Calibri"/>
          <w:b/>
          <w:bCs/>
          <w:color w:val="1F497D" w:themeColor="text2"/>
          <w:sz w:val="28"/>
          <w:szCs w:val="28"/>
          <w:lang w:val="en-US" w:eastAsia="zh-CN"/>
        </w:rPr>
      </w:pPr>
      <w:bookmarkStart w:id="5" w:name="_Toc223546882"/>
      <w:r>
        <w:rPr>
          <w:rFonts w:eastAsia="楷体_GB2312" w:cs="Calibri"/>
          <w:b/>
          <w:bCs/>
          <w:color w:val="1F497D" w:themeColor="text2"/>
          <w:sz w:val="28"/>
          <w:szCs w:val="28"/>
          <w:lang w:val="en-US" w:eastAsia="zh-CN"/>
        </w:rPr>
        <w:lastRenderedPageBreak/>
        <w:t>一、</w:t>
      </w:r>
      <w:bookmarkEnd w:id="1"/>
      <w:bookmarkEnd w:id="2"/>
      <w:r>
        <w:rPr>
          <w:rFonts w:eastAsia="楷体_GB2312" w:cs="Calibri" w:hint="eastAsia"/>
          <w:b/>
          <w:bCs/>
          <w:color w:val="1F497D" w:themeColor="text2"/>
          <w:sz w:val="28"/>
          <w:szCs w:val="28"/>
          <w:lang w:val="en-US" w:eastAsia="zh-CN"/>
        </w:rPr>
        <w:t>海外消费板块表现</w:t>
      </w:r>
      <w:r>
        <w:rPr>
          <w:rFonts w:eastAsia="楷体_GB2312" w:cs="Calibri"/>
          <w:b/>
          <w:bCs/>
          <w:color w:val="1F497D" w:themeColor="text2"/>
          <w:sz w:val="28"/>
          <w:szCs w:val="28"/>
          <w:lang w:val="en-US" w:eastAsia="zh-CN"/>
        </w:rPr>
        <w:t>回顾</w:t>
      </w:r>
      <w:bookmarkEnd w:id="3"/>
      <w:bookmarkEnd w:id="4"/>
      <w:bookmarkEnd w:id="5"/>
    </w:p>
    <w:p w14:paraId="07A5FF2A" w14:textId="4F46C96A" w:rsidR="00D27E71" w:rsidRDefault="00D27E71" w:rsidP="00D27E71">
      <w:pPr>
        <w:overflowPunct w:val="0"/>
        <w:ind w:leftChars="2000" w:left="3200"/>
        <w:jc w:val="both"/>
        <w:outlineLvl w:val="1"/>
        <w:rPr>
          <w:rFonts w:eastAsia="楷体_GB2312" w:cs="Calibri"/>
          <w:b/>
          <w:bCs/>
          <w:color w:val="1F497D" w:themeColor="text2"/>
          <w:sz w:val="24"/>
          <w:szCs w:val="24"/>
          <w:lang w:val="en-US" w:eastAsia="zh-CN"/>
        </w:rPr>
      </w:pPr>
      <w:hyperlink w:anchor="_Toc192787046" w:history="1">
        <w:bookmarkStart w:id="6" w:name="_Toc223546883"/>
        <w:r>
          <w:rPr>
            <w:rFonts w:eastAsia="楷体_GB2312" w:cs="Calibri"/>
            <w:b/>
            <w:bCs/>
            <w:color w:val="1F497D" w:themeColor="text2"/>
            <w:sz w:val="24"/>
            <w:szCs w:val="24"/>
            <w:lang w:val="en-US" w:eastAsia="zh-CN"/>
          </w:rPr>
          <w:t>（一）</w:t>
        </w:r>
        <w:r>
          <w:rPr>
            <w:rFonts w:eastAsia="楷体_GB2312" w:cs="Calibri" w:hint="eastAsia"/>
            <w:b/>
            <w:bCs/>
            <w:color w:val="1F497D" w:themeColor="text2"/>
            <w:sz w:val="24"/>
            <w:szCs w:val="24"/>
            <w:lang w:val="en-US" w:eastAsia="zh-CN"/>
          </w:rPr>
          <w:t>港股市场回顾</w:t>
        </w:r>
        <w:bookmarkEnd w:id="6"/>
      </w:hyperlink>
    </w:p>
    <w:p w14:paraId="087E47F4" w14:textId="1056D336" w:rsidR="00043BDD" w:rsidRDefault="00957CB1" w:rsidP="005D4F80">
      <w:pPr>
        <w:overflowPunct w:val="0"/>
        <w:ind w:leftChars="2000" w:left="3200"/>
        <w:jc w:val="both"/>
        <w:rPr>
          <w:rFonts w:eastAsia="楷体_GB2312" w:cs="Calibri"/>
          <w:sz w:val="20"/>
          <w:szCs w:val="20"/>
          <w:lang w:val="en-US" w:eastAsia="zh-CN"/>
        </w:rPr>
      </w:pPr>
      <w:r>
        <w:rPr>
          <w:rFonts w:eastAsia="楷体_GB2312" w:cs="Calibri" w:hint="eastAsia"/>
          <w:b/>
          <w:bCs/>
          <w:sz w:val="20"/>
          <w:szCs w:val="20"/>
          <w:lang w:val="en-US" w:eastAsia="zh-CN"/>
        </w:rPr>
        <w:t>本周港股消费板块震荡，延续超跌修复行情。</w:t>
      </w:r>
      <w:r>
        <w:rPr>
          <w:rFonts w:eastAsia="楷体_GB2312" w:cs="Calibri" w:hint="eastAsia"/>
          <w:sz w:val="20"/>
          <w:szCs w:val="20"/>
          <w:lang w:val="en-US" w:eastAsia="zh-CN"/>
        </w:rPr>
        <w:t>中证港股</w:t>
      </w:r>
      <w:proofErr w:type="gramStart"/>
      <w:r>
        <w:rPr>
          <w:rFonts w:eastAsia="楷体_GB2312" w:cs="Calibri" w:hint="eastAsia"/>
          <w:sz w:val="20"/>
          <w:szCs w:val="20"/>
          <w:lang w:val="en-US" w:eastAsia="zh-CN"/>
        </w:rPr>
        <w:t>通消费</w:t>
      </w:r>
      <w:proofErr w:type="gramEnd"/>
      <w:r>
        <w:rPr>
          <w:rFonts w:eastAsia="楷体_GB2312" w:cs="Calibri" w:hint="eastAsia"/>
          <w:sz w:val="20"/>
          <w:szCs w:val="20"/>
          <w:lang w:val="en-US" w:eastAsia="zh-CN"/>
        </w:rPr>
        <w:t>主题指数（</w:t>
      </w:r>
      <w:r>
        <w:rPr>
          <w:rFonts w:eastAsia="楷体_GB2312" w:cs="Calibri"/>
          <w:sz w:val="20"/>
          <w:szCs w:val="20"/>
          <w:lang w:val="en-US" w:eastAsia="zh-CN"/>
        </w:rPr>
        <w:t>931454</w:t>
      </w:r>
      <w:r>
        <w:rPr>
          <w:rFonts w:eastAsia="楷体_GB2312" w:cs="Calibri" w:hint="eastAsia"/>
          <w:sz w:val="20"/>
          <w:szCs w:val="20"/>
          <w:lang w:val="en-US" w:eastAsia="zh-CN"/>
        </w:rPr>
        <w:t>）本周</w:t>
      </w:r>
      <w:r w:rsidR="000C02AE">
        <w:rPr>
          <w:rFonts w:eastAsia="楷体_GB2312" w:cs="Calibri" w:hint="eastAsia"/>
          <w:sz w:val="20"/>
          <w:szCs w:val="20"/>
          <w:lang w:val="en-US" w:eastAsia="zh-CN"/>
        </w:rPr>
        <w:t>下跌</w:t>
      </w:r>
      <w:r w:rsidR="000C02AE">
        <w:rPr>
          <w:rFonts w:eastAsia="楷体_GB2312" w:cs="Calibri" w:hint="eastAsia"/>
          <w:sz w:val="20"/>
          <w:szCs w:val="20"/>
          <w:lang w:val="en-US" w:eastAsia="zh-CN"/>
        </w:rPr>
        <w:t>0.</w:t>
      </w:r>
      <w:r w:rsidR="006F1F73">
        <w:rPr>
          <w:rFonts w:eastAsia="楷体_GB2312" w:cs="Calibri" w:hint="eastAsia"/>
          <w:sz w:val="20"/>
          <w:szCs w:val="20"/>
          <w:lang w:val="en-US" w:eastAsia="zh-CN"/>
        </w:rPr>
        <w:t>0</w:t>
      </w:r>
      <w:r w:rsidR="00E5109F">
        <w:rPr>
          <w:rFonts w:eastAsia="楷体_GB2312" w:cs="Calibri" w:hint="eastAsia"/>
          <w:sz w:val="20"/>
          <w:szCs w:val="20"/>
          <w:lang w:val="en-US" w:eastAsia="zh-CN"/>
        </w:rPr>
        <w:t>25</w:t>
      </w:r>
      <w:r>
        <w:rPr>
          <w:rFonts w:eastAsia="楷体_GB2312" w:cs="Calibri"/>
          <w:sz w:val="20"/>
          <w:szCs w:val="20"/>
          <w:lang w:val="en-US" w:eastAsia="zh-CN"/>
        </w:rPr>
        <w:t>%</w:t>
      </w:r>
      <w:r>
        <w:rPr>
          <w:rFonts w:eastAsia="楷体_GB2312" w:cs="Calibri" w:hint="eastAsia"/>
          <w:sz w:val="20"/>
          <w:szCs w:val="20"/>
          <w:lang w:val="en-US" w:eastAsia="zh-CN"/>
        </w:rPr>
        <w:t>（截至</w:t>
      </w:r>
      <w:r>
        <w:rPr>
          <w:rFonts w:eastAsia="楷体_GB2312" w:cs="Calibri"/>
          <w:sz w:val="20"/>
          <w:szCs w:val="20"/>
          <w:lang w:val="en-US" w:eastAsia="zh-CN"/>
        </w:rPr>
        <w:t>3/</w:t>
      </w:r>
      <w:r w:rsidR="00F75118">
        <w:rPr>
          <w:rFonts w:eastAsia="楷体_GB2312" w:cs="Calibri" w:hint="eastAsia"/>
          <w:sz w:val="20"/>
          <w:szCs w:val="20"/>
          <w:lang w:val="en-US" w:eastAsia="zh-CN"/>
        </w:rPr>
        <w:t>19</w:t>
      </w:r>
      <w:r>
        <w:rPr>
          <w:rFonts w:eastAsia="楷体_GB2312" w:cs="Calibri" w:hint="eastAsia"/>
          <w:sz w:val="20"/>
          <w:szCs w:val="20"/>
          <w:lang w:val="en-US" w:eastAsia="zh-CN"/>
        </w:rPr>
        <w:t>），</w:t>
      </w:r>
      <w:r w:rsidR="00B6278F">
        <w:rPr>
          <w:rFonts w:eastAsia="楷体_GB2312" w:cs="Calibri" w:hint="eastAsia"/>
          <w:sz w:val="20"/>
          <w:szCs w:val="20"/>
          <w:lang w:val="en-US" w:eastAsia="zh-CN"/>
        </w:rPr>
        <w:t>与大盘走势趋同</w:t>
      </w:r>
      <w:r>
        <w:rPr>
          <w:rFonts w:eastAsia="楷体_GB2312" w:cs="Calibri" w:hint="eastAsia"/>
          <w:sz w:val="20"/>
          <w:szCs w:val="20"/>
          <w:lang w:val="en-US" w:eastAsia="zh-CN"/>
        </w:rPr>
        <w:t>（恒生指数本周</w:t>
      </w:r>
      <w:r w:rsidR="00B6278F">
        <w:rPr>
          <w:rFonts w:eastAsia="楷体_GB2312" w:cs="Calibri" w:hint="eastAsia"/>
          <w:sz w:val="20"/>
          <w:szCs w:val="20"/>
          <w:lang w:val="en-US" w:eastAsia="zh-CN"/>
        </w:rPr>
        <w:t>+</w:t>
      </w:r>
      <w:r w:rsidR="00407335">
        <w:rPr>
          <w:rFonts w:eastAsia="楷体_GB2312" w:cs="Calibri" w:hint="eastAsia"/>
          <w:sz w:val="20"/>
          <w:szCs w:val="20"/>
          <w:lang w:val="en-US" w:eastAsia="zh-CN"/>
        </w:rPr>
        <w:t>0.</w:t>
      </w:r>
      <w:r w:rsidR="00B6278F">
        <w:rPr>
          <w:rFonts w:eastAsia="楷体_GB2312" w:cs="Calibri" w:hint="eastAsia"/>
          <w:sz w:val="20"/>
          <w:szCs w:val="20"/>
          <w:lang w:val="en-US" w:eastAsia="zh-CN"/>
        </w:rPr>
        <w:t>14</w:t>
      </w:r>
      <w:r>
        <w:rPr>
          <w:rFonts w:eastAsia="楷体_GB2312" w:cs="Calibri"/>
          <w:sz w:val="20"/>
          <w:szCs w:val="20"/>
          <w:lang w:val="en-US" w:eastAsia="zh-CN"/>
        </w:rPr>
        <w:t>%</w:t>
      </w:r>
      <w:r>
        <w:rPr>
          <w:rFonts w:eastAsia="楷体_GB2312" w:cs="Calibri" w:hint="eastAsia"/>
          <w:sz w:val="20"/>
          <w:szCs w:val="20"/>
          <w:lang w:val="en-US" w:eastAsia="zh-CN"/>
        </w:rPr>
        <w:t>）。宏观层面，尽管中东局势仍未明朗（伊朗</w:t>
      </w:r>
      <w:proofErr w:type="gramStart"/>
      <w:r>
        <w:rPr>
          <w:rFonts w:eastAsia="楷体_GB2312" w:cs="Calibri" w:hint="eastAsia"/>
          <w:sz w:val="20"/>
          <w:szCs w:val="20"/>
          <w:lang w:val="en-US" w:eastAsia="zh-CN"/>
        </w:rPr>
        <w:t>新最高</w:t>
      </w:r>
      <w:proofErr w:type="gramEnd"/>
      <w:r>
        <w:rPr>
          <w:rFonts w:eastAsia="楷体_GB2312" w:cs="Calibri" w:hint="eastAsia"/>
          <w:sz w:val="20"/>
          <w:szCs w:val="20"/>
          <w:lang w:val="en-US" w:eastAsia="zh-CN"/>
        </w:rPr>
        <w:t>领袖穆杰塔巴上台后释放强硬信号、霍尔木兹海峡航运受阻持续），油价维持</w:t>
      </w:r>
      <w:r>
        <w:rPr>
          <w:rFonts w:eastAsia="楷体_GB2312" w:cs="Calibri"/>
          <w:sz w:val="20"/>
          <w:szCs w:val="20"/>
          <w:lang w:val="en-US" w:eastAsia="zh-CN"/>
        </w:rPr>
        <w:t>100</w:t>
      </w:r>
      <w:r>
        <w:rPr>
          <w:rFonts w:eastAsia="楷体_GB2312" w:cs="Calibri" w:hint="eastAsia"/>
          <w:sz w:val="20"/>
          <w:szCs w:val="20"/>
          <w:lang w:val="en-US" w:eastAsia="zh-CN"/>
        </w:rPr>
        <w:t>美元上方高位运行，但市场对地缘风险已有较充分定价，前期超跌的消费板块迎来</w:t>
      </w:r>
      <w:r w:rsidR="00407335">
        <w:rPr>
          <w:rFonts w:eastAsia="楷体_GB2312" w:cs="Calibri" w:hint="eastAsia"/>
          <w:sz w:val="20"/>
          <w:szCs w:val="20"/>
          <w:lang w:val="en-US" w:eastAsia="zh-CN"/>
        </w:rPr>
        <w:t>一定程度</w:t>
      </w:r>
      <w:r>
        <w:rPr>
          <w:rFonts w:eastAsia="楷体_GB2312" w:cs="Calibri" w:hint="eastAsia"/>
          <w:sz w:val="20"/>
          <w:szCs w:val="20"/>
          <w:lang w:val="en-US" w:eastAsia="zh-CN"/>
        </w:rPr>
        <w:t>修复。截至本周，中证港股</w:t>
      </w:r>
      <w:proofErr w:type="gramStart"/>
      <w:r>
        <w:rPr>
          <w:rFonts w:eastAsia="楷体_GB2312" w:cs="Calibri" w:hint="eastAsia"/>
          <w:sz w:val="20"/>
          <w:szCs w:val="20"/>
          <w:lang w:val="en-US" w:eastAsia="zh-CN"/>
        </w:rPr>
        <w:t>通消费</w:t>
      </w:r>
      <w:proofErr w:type="gramEnd"/>
      <w:r>
        <w:rPr>
          <w:rFonts w:eastAsia="楷体_GB2312" w:cs="Calibri" w:hint="eastAsia"/>
          <w:sz w:val="20"/>
          <w:szCs w:val="20"/>
          <w:lang w:val="en-US" w:eastAsia="zh-CN"/>
        </w:rPr>
        <w:t>主题指数（</w:t>
      </w:r>
      <w:r>
        <w:rPr>
          <w:rFonts w:eastAsia="楷体_GB2312" w:cs="Calibri"/>
          <w:sz w:val="20"/>
          <w:szCs w:val="20"/>
          <w:lang w:val="en-US" w:eastAsia="zh-CN"/>
        </w:rPr>
        <w:t>931454</w:t>
      </w:r>
      <w:r>
        <w:rPr>
          <w:rFonts w:eastAsia="楷体_GB2312" w:cs="Calibri" w:hint="eastAsia"/>
          <w:sz w:val="20"/>
          <w:szCs w:val="20"/>
          <w:lang w:val="en-US" w:eastAsia="zh-CN"/>
        </w:rPr>
        <w:t>）市盈率（</w:t>
      </w:r>
      <w:r>
        <w:rPr>
          <w:rFonts w:eastAsia="楷体_GB2312" w:cs="Calibri"/>
          <w:sz w:val="20"/>
          <w:szCs w:val="20"/>
          <w:lang w:val="en-US" w:eastAsia="zh-CN"/>
        </w:rPr>
        <w:t>P/E</w:t>
      </w:r>
      <w:r w:rsidR="008666C0">
        <w:rPr>
          <w:rFonts w:eastAsia="楷体_GB2312" w:cs="Calibri" w:hint="eastAsia"/>
          <w:sz w:val="20"/>
          <w:szCs w:val="20"/>
          <w:lang w:val="en-US" w:eastAsia="zh-CN"/>
        </w:rPr>
        <w:t>2</w:t>
      </w:r>
      <w:r>
        <w:rPr>
          <w:rFonts w:eastAsia="楷体_GB2312" w:cs="Calibri" w:hint="eastAsia"/>
          <w:sz w:val="20"/>
          <w:szCs w:val="20"/>
          <w:lang w:val="en-US" w:eastAsia="zh-CN"/>
        </w:rPr>
        <w:t>）为</w:t>
      </w:r>
      <w:r w:rsidR="00F247DE" w:rsidRPr="00F247DE">
        <w:rPr>
          <w:rFonts w:eastAsia="楷体_GB2312" w:cs="Calibri"/>
          <w:sz w:val="20"/>
          <w:szCs w:val="20"/>
          <w:lang w:val="en-US" w:eastAsia="zh-CN"/>
        </w:rPr>
        <w:t>25.59</w:t>
      </w:r>
      <w:r>
        <w:rPr>
          <w:rFonts w:eastAsia="楷体_GB2312" w:cs="Calibri" w:hint="eastAsia"/>
          <w:sz w:val="20"/>
          <w:szCs w:val="20"/>
          <w:lang w:val="en-US" w:eastAsia="zh-CN"/>
        </w:rPr>
        <w:t>倍，估值仍具安全边际。</w:t>
      </w:r>
    </w:p>
    <w:p w14:paraId="7E90362B" w14:textId="77777777" w:rsidR="00A4226D" w:rsidRDefault="00A4226D" w:rsidP="00A4226D">
      <w:pPr>
        <w:overflowPunct w:val="0"/>
        <w:ind w:leftChars="2000" w:left="3200"/>
        <w:jc w:val="both"/>
        <w:rPr>
          <w:rFonts w:eastAsia="楷体_GB2312" w:cs="Calibri"/>
          <w:sz w:val="20"/>
          <w:szCs w:val="20"/>
          <w:lang w:val="en-US" w:eastAsia="zh-CN"/>
        </w:rPr>
      </w:pPr>
    </w:p>
    <w:tbl>
      <w:tblPr>
        <w:tblW w:w="10490" w:type="dxa"/>
        <w:jc w:val="right"/>
        <w:tblLayout w:type="fixed"/>
        <w:tblLook w:val="04A0" w:firstRow="1" w:lastRow="0" w:firstColumn="1" w:lastColumn="0" w:noHBand="0" w:noVBand="1"/>
      </w:tblPr>
      <w:tblGrid>
        <w:gridCol w:w="5103"/>
        <w:gridCol w:w="238"/>
        <w:gridCol w:w="5149"/>
      </w:tblGrid>
      <w:tr w:rsidR="00A4226D" w14:paraId="03D0CD32" w14:textId="77777777" w:rsidTr="00744D6A">
        <w:trPr>
          <w:trHeight w:val="202"/>
          <w:jc w:val="right"/>
        </w:trPr>
        <w:tc>
          <w:tcPr>
            <w:tcW w:w="5103" w:type="dxa"/>
            <w:tcBorders>
              <w:top w:val="nil"/>
              <w:left w:val="nil"/>
              <w:bottom w:val="single" w:sz="4" w:space="0" w:color="auto"/>
              <w:right w:val="nil"/>
            </w:tcBorders>
            <w:tcMar>
              <w:top w:w="0" w:type="dxa"/>
              <w:left w:w="0" w:type="dxa"/>
              <w:bottom w:w="0" w:type="dxa"/>
              <w:right w:w="28" w:type="dxa"/>
            </w:tcMar>
          </w:tcPr>
          <w:p w14:paraId="7D7B0DCC" w14:textId="69245256" w:rsidR="00A4226D" w:rsidRDefault="00A4226D" w:rsidP="00744D6A">
            <w:pPr>
              <w:overflowPunct w:val="0"/>
              <w:rPr>
                <w:rFonts w:eastAsia="楷体_GB2312" w:cs="Calibri"/>
                <w:b/>
                <w:color w:val="000000"/>
                <w:szCs w:val="20"/>
                <w:lang w:eastAsia="zh-CN"/>
              </w:rPr>
            </w:pPr>
            <w:r>
              <w:rPr>
                <w:rFonts w:eastAsia="楷体_GB2312" w:cs="Calibri"/>
                <w:b/>
                <w:sz w:val="18"/>
                <w:szCs w:val="18"/>
                <w:lang w:eastAsia="zh-CN"/>
              </w:rPr>
              <w:t>图</w:t>
            </w:r>
            <w:r>
              <w:rPr>
                <w:rFonts w:eastAsia="楷体_GB2312" w:cs="Calibri"/>
                <w:b/>
                <w:sz w:val="18"/>
                <w:szCs w:val="18"/>
                <w:lang w:eastAsia="zh-CN"/>
              </w:rPr>
              <w:t>1</w:t>
            </w:r>
            <w:r>
              <w:rPr>
                <w:rFonts w:eastAsia="楷体_GB2312" w:cs="Calibri"/>
                <w:b/>
                <w:sz w:val="18"/>
                <w:szCs w:val="18"/>
                <w:lang w:eastAsia="zh-CN"/>
              </w:rPr>
              <w:t>：</w:t>
            </w:r>
            <w:r>
              <w:rPr>
                <w:rFonts w:eastAsia="楷体_GB2312" w:cs="Calibri" w:hint="eastAsia"/>
                <w:b/>
                <w:sz w:val="18"/>
                <w:szCs w:val="18"/>
                <w:lang w:eastAsia="zh-CN"/>
              </w:rPr>
              <w:t>中证港股</w:t>
            </w:r>
            <w:proofErr w:type="gramStart"/>
            <w:r>
              <w:rPr>
                <w:rFonts w:eastAsia="楷体_GB2312" w:cs="Calibri" w:hint="eastAsia"/>
                <w:b/>
                <w:sz w:val="18"/>
                <w:szCs w:val="18"/>
                <w:lang w:eastAsia="zh-CN"/>
              </w:rPr>
              <w:t>通消费</w:t>
            </w:r>
            <w:proofErr w:type="gramEnd"/>
            <w:r>
              <w:rPr>
                <w:rFonts w:eastAsia="楷体_GB2312" w:cs="Calibri" w:hint="eastAsia"/>
                <w:b/>
                <w:sz w:val="18"/>
                <w:szCs w:val="18"/>
                <w:lang w:eastAsia="zh-CN"/>
              </w:rPr>
              <w:t>主题指数表现</w:t>
            </w:r>
            <w:r w:rsidR="00E571C1">
              <w:rPr>
                <w:rFonts w:eastAsia="楷体_GB2312" w:cs="Calibri" w:hint="eastAsia"/>
                <w:b/>
                <w:sz w:val="18"/>
                <w:szCs w:val="18"/>
                <w:lang w:eastAsia="zh-CN"/>
              </w:rPr>
              <w:t>（</w:t>
            </w:r>
            <w:r w:rsidR="00E571C1">
              <w:rPr>
                <w:rFonts w:eastAsia="楷体_GB2312" w:cs="Calibri" w:hint="eastAsia"/>
                <w:b/>
                <w:sz w:val="18"/>
                <w:szCs w:val="18"/>
                <w:lang w:eastAsia="zh-CN"/>
              </w:rPr>
              <w:t>YTD</w:t>
            </w:r>
            <w:r w:rsidR="00E571C1">
              <w:rPr>
                <w:rFonts w:eastAsia="楷体_GB2312" w:cs="Calibri" w:hint="eastAsia"/>
                <w:b/>
                <w:sz w:val="18"/>
                <w:szCs w:val="18"/>
                <w:lang w:eastAsia="zh-CN"/>
              </w:rPr>
              <w:t>）</w:t>
            </w:r>
          </w:p>
        </w:tc>
        <w:tc>
          <w:tcPr>
            <w:tcW w:w="238" w:type="dxa"/>
            <w:tcBorders>
              <w:top w:val="nil"/>
              <w:left w:val="nil"/>
              <w:bottom w:val="nil"/>
              <w:right w:val="nil"/>
            </w:tcBorders>
            <w:tcMar>
              <w:top w:w="0" w:type="dxa"/>
              <w:left w:w="0" w:type="dxa"/>
              <w:bottom w:w="0" w:type="dxa"/>
              <w:right w:w="28" w:type="dxa"/>
            </w:tcMar>
          </w:tcPr>
          <w:p w14:paraId="74CD46D0" w14:textId="77777777" w:rsidR="00A4226D" w:rsidRDefault="00A4226D" w:rsidP="00744D6A">
            <w:pPr>
              <w:overflowPunct w:val="0"/>
              <w:spacing w:beforeLines="20" w:before="48" w:afterLines="20" w:after="48"/>
              <w:rPr>
                <w:rFonts w:eastAsia="楷体_GB2312" w:cs="Calibri"/>
                <w:szCs w:val="20"/>
                <w:lang w:eastAsia="zh-CN"/>
              </w:rPr>
            </w:pPr>
            <w:r>
              <w:rPr>
                <w:rFonts w:eastAsia="楷体_GB2312" w:cs="Calibri"/>
                <w:szCs w:val="20"/>
                <w:lang w:eastAsia="zh-CN"/>
              </w:rPr>
              <w:t xml:space="preserve">         </w:t>
            </w:r>
          </w:p>
        </w:tc>
        <w:tc>
          <w:tcPr>
            <w:tcW w:w="5149" w:type="dxa"/>
            <w:tcBorders>
              <w:top w:val="nil"/>
              <w:left w:val="nil"/>
              <w:bottom w:val="single" w:sz="4" w:space="0" w:color="auto"/>
              <w:right w:val="nil"/>
            </w:tcBorders>
            <w:tcMar>
              <w:top w:w="0" w:type="dxa"/>
              <w:left w:w="0" w:type="dxa"/>
              <w:bottom w:w="0" w:type="dxa"/>
              <w:right w:w="28" w:type="dxa"/>
            </w:tcMar>
          </w:tcPr>
          <w:p w14:paraId="02229593" w14:textId="29624682" w:rsidR="00A4226D" w:rsidRDefault="00A4226D" w:rsidP="00744D6A">
            <w:pPr>
              <w:overflowPunct w:val="0"/>
              <w:rPr>
                <w:rFonts w:eastAsia="楷体_GB2312" w:cs="Calibri"/>
                <w:b/>
                <w:szCs w:val="20"/>
                <w:lang w:eastAsia="zh-CN"/>
              </w:rPr>
            </w:pPr>
            <w:r>
              <w:rPr>
                <w:rFonts w:eastAsia="楷体_GB2312" w:cs="Calibri"/>
                <w:b/>
                <w:sz w:val="18"/>
                <w:szCs w:val="18"/>
                <w:lang w:eastAsia="zh-CN"/>
              </w:rPr>
              <w:t>图</w:t>
            </w:r>
            <w:r>
              <w:rPr>
                <w:rFonts w:eastAsia="楷体_GB2312" w:cs="Calibri"/>
                <w:b/>
                <w:sz w:val="18"/>
                <w:szCs w:val="18"/>
                <w:lang w:eastAsia="zh-CN"/>
              </w:rPr>
              <w:t>2</w:t>
            </w:r>
            <w:r>
              <w:rPr>
                <w:rFonts w:eastAsia="楷体_GB2312" w:cs="Calibri"/>
                <w:b/>
                <w:sz w:val="18"/>
                <w:szCs w:val="18"/>
                <w:lang w:eastAsia="zh-CN"/>
              </w:rPr>
              <w:t>：</w:t>
            </w:r>
            <w:r>
              <w:rPr>
                <w:rFonts w:eastAsia="楷体_GB2312" w:cs="Calibri" w:hint="eastAsia"/>
                <w:b/>
                <w:sz w:val="18"/>
                <w:szCs w:val="18"/>
                <w:lang w:eastAsia="zh-CN"/>
              </w:rPr>
              <w:t>中证港股</w:t>
            </w:r>
            <w:proofErr w:type="gramStart"/>
            <w:r>
              <w:rPr>
                <w:rFonts w:eastAsia="楷体_GB2312" w:cs="Calibri" w:hint="eastAsia"/>
                <w:b/>
                <w:sz w:val="18"/>
                <w:szCs w:val="18"/>
                <w:lang w:eastAsia="zh-CN"/>
              </w:rPr>
              <w:t>通消费</w:t>
            </w:r>
            <w:proofErr w:type="gramEnd"/>
            <w:r>
              <w:rPr>
                <w:rFonts w:eastAsia="楷体_GB2312" w:cs="Calibri" w:hint="eastAsia"/>
                <w:b/>
                <w:sz w:val="18"/>
                <w:szCs w:val="18"/>
                <w:lang w:eastAsia="zh-CN"/>
              </w:rPr>
              <w:t>前十权重股涨跌幅</w:t>
            </w:r>
            <w:r w:rsidR="00E571C1">
              <w:rPr>
                <w:rFonts w:eastAsia="楷体_GB2312" w:cs="Calibri" w:hint="eastAsia"/>
                <w:b/>
                <w:sz w:val="18"/>
                <w:szCs w:val="18"/>
                <w:lang w:eastAsia="zh-CN"/>
              </w:rPr>
              <w:t>（</w:t>
            </w:r>
            <w:r w:rsidR="00E571C1">
              <w:rPr>
                <w:rFonts w:eastAsia="楷体_GB2312" w:cs="Calibri" w:hint="eastAsia"/>
                <w:b/>
                <w:sz w:val="18"/>
                <w:szCs w:val="18"/>
                <w:lang w:eastAsia="zh-CN"/>
              </w:rPr>
              <w:t>3/16-3/1</w:t>
            </w:r>
            <w:r w:rsidR="003C0ECB">
              <w:rPr>
                <w:rFonts w:eastAsia="楷体_GB2312" w:cs="Calibri" w:hint="eastAsia"/>
                <w:b/>
                <w:sz w:val="18"/>
                <w:szCs w:val="18"/>
                <w:lang w:eastAsia="zh-CN"/>
              </w:rPr>
              <w:t>9</w:t>
            </w:r>
            <w:r w:rsidR="00E571C1">
              <w:rPr>
                <w:rFonts w:eastAsia="楷体_GB2312" w:cs="Calibri" w:hint="eastAsia"/>
                <w:b/>
                <w:sz w:val="18"/>
                <w:szCs w:val="18"/>
                <w:lang w:eastAsia="zh-CN"/>
              </w:rPr>
              <w:t>）</w:t>
            </w:r>
          </w:p>
        </w:tc>
      </w:tr>
      <w:tr w:rsidR="00A4226D" w14:paraId="68774F0D" w14:textId="77777777" w:rsidTr="00E571C1">
        <w:trPr>
          <w:trHeight w:val="3109"/>
          <w:jc w:val="right"/>
        </w:trPr>
        <w:tc>
          <w:tcPr>
            <w:tcW w:w="5103" w:type="dxa"/>
            <w:tcBorders>
              <w:top w:val="single" w:sz="4" w:space="0" w:color="auto"/>
              <w:left w:val="nil"/>
              <w:bottom w:val="single" w:sz="4" w:space="0" w:color="auto"/>
              <w:right w:val="nil"/>
            </w:tcBorders>
            <w:vAlign w:val="center"/>
          </w:tcPr>
          <w:p w14:paraId="7C5CB1C2" w14:textId="0F871AC2" w:rsidR="00A4226D" w:rsidRDefault="00E571C1" w:rsidP="00744D6A">
            <w:pPr>
              <w:overflowPunct w:val="0"/>
              <w:spacing w:beforeLines="20" w:before="48" w:afterLines="20" w:after="48"/>
              <w:textAlignment w:val="center"/>
              <w:rPr>
                <w:rFonts w:eastAsia="楷体_GB2312" w:cs="Calibri"/>
                <w:b/>
                <w:color w:val="000000"/>
                <w:sz w:val="15"/>
                <w:szCs w:val="15"/>
                <w:lang w:eastAsia="zh-CN"/>
              </w:rPr>
            </w:pPr>
            <w:r>
              <w:rPr>
                <w:noProof/>
                <w:snapToGrid/>
              </w:rPr>
              <w:drawing>
                <wp:inline distT="0" distB="0" distL="0" distR="0" wp14:anchorId="4D1A3D32" wp14:editId="02AA9444">
                  <wp:extent cx="3103245" cy="1861820"/>
                  <wp:effectExtent l="0" t="0" r="1905" b="5080"/>
                  <wp:docPr id="531737955" name="图表 1">
                    <a:extLst xmlns:a="http://schemas.openxmlformats.org/drawingml/2006/main">
                      <a:ext uri="{FF2B5EF4-FFF2-40B4-BE49-F238E27FC236}">
                        <a16:creationId xmlns:a16="http://schemas.microsoft.com/office/drawing/2014/main" id="{70B03997-3806-7A0F-17C4-6139D99165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238" w:type="dxa"/>
            <w:tcBorders>
              <w:top w:val="nil"/>
              <w:left w:val="nil"/>
              <w:bottom w:val="nil"/>
              <w:right w:val="nil"/>
            </w:tcBorders>
          </w:tcPr>
          <w:p w14:paraId="0B1C51F6" w14:textId="77777777" w:rsidR="00A4226D" w:rsidRDefault="00A4226D" w:rsidP="00744D6A">
            <w:pPr>
              <w:overflowPunct w:val="0"/>
              <w:spacing w:beforeLines="20" w:before="48" w:afterLines="20" w:after="48"/>
              <w:rPr>
                <w:rFonts w:eastAsia="楷体_GB2312" w:cs="Calibri"/>
                <w:sz w:val="15"/>
                <w:szCs w:val="15"/>
              </w:rPr>
            </w:pPr>
          </w:p>
        </w:tc>
        <w:tc>
          <w:tcPr>
            <w:tcW w:w="5149" w:type="dxa"/>
            <w:tcBorders>
              <w:top w:val="single" w:sz="4" w:space="0" w:color="auto"/>
              <w:left w:val="nil"/>
              <w:bottom w:val="single" w:sz="4" w:space="0" w:color="auto"/>
              <w:right w:val="nil"/>
            </w:tcBorders>
          </w:tcPr>
          <w:p w14:paraId="588103B0" w14:textId="61489538" w:rsidR="00A4226D" w:rsidRDefault="00AB6566" w:rsidP="00744D6A">
            <w:pPr>
              <w:overflowPunct w:val="0"/>
              <w:spacing w:beforeLines="20" w:before="48" w:afterLines="20" w:after="48"/>
              <w:rPr>
                <w:rFonts w:eastAsia="楷体_GB2312" w:cs="Calibri"/>
                <w:b/>
                <w:sz w:val="15"/>
                <w:szCs w:val="15"/>
                <w:lang w:eastAsia="zh-CN"/>
              </w:rPr>
            </w:pPr>
            <w:r>
              <w:rPr>
                <w:noProof/>
                <w:snapToGrid/>
              </w:rPr>
              <w:drawing>
                <wp:inline distT="0" distB="0" distL="0" distR="0" wp14:anchorId="38918014" wp14:editId="3DA07AF1">
                  <wp:extent cx="3132455" cy="1879600"/>
                  <wp:effectExtent l="0" t="0" r="0" b="6350"/>
                  <wp:docPr id="179958614" name="图表 1">
                    <a:extLst xmlns:a="http://schemas.openxmlformats.org/drawingml/2006/main">
                      <a:ext uri="{FF2B5EF4-FFF2-40B4-BE49-F238E27FC236}">
                        <a16:creationId xmlns:a16="http://schemas.microsoft.com/office/drawing/2014/main" id="{3B0CB8D3-3EFA-69E4-44B8-81E08D1B6E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A4226D" w14:paraId="7729F8AC" w14:textId="77777777" w:rsidTr="00744D6A">
        <w:trPr>
          <w:jc w:val="right"/>
        </w:trPr>
        <w:tc>
          <w:tcPr>
            <w:tcW w:w="5103" w:type="dxa"/>
            <w:tcBorders>
              <w:top w:val="single" w:sz="4" w:space="0" w:color="auto"/>
              <w:left w:val="nil"/>
              <w:bottom w:val="nil"/>
              <w:right w:val="nil"/>
            </w:tcBorders>
            <w:tcMar>
              <w:top w:w="0" w:type="dxa"/>
              <w:left w:w="0" w:type="dxa"/>
              <w:bottom w:w="0" w:type="dxa"/>
              <w:right w:w="28" w:type="dxa"/>
            </w:tcMar>
            <w:vAlign w:val="center"/>
          </w:tcPr>
          <w:p w14:paraId="442096F0" w14:textId="20F7E270" w:rsidR="00A4226D" w:rsidRPr="00AB6566" w:rsidRDefault="00A4226D" w:rsidP="00744D6A">
            <w:pPr>
              <w:overflowPunct w:val="0"/>
              <w:spacing w:beforeLines="20" w:before="48" w:afterLines="20" w:after="48"/>
              <w:textAlignment w:val="center"/>
              <w:rPr>
                <w:rFonts w:eastAsia="楷体_GB2312" w:cs="Calibri"/>
                <w:b/>
                <w:bCs/>
                <w:sz w:val="10"/>
                <w:szCs w:val="10"/>
              </w:rPr>
            </w:pPr>
            <w:r w:rsidRPr="00AB6566">
              <w:rPr>
                <w:rFonts w:eastAsia="楷体_GB2312" w:cs="Calibri"/>
                <w:b/>
                <w:bCs/>
                <w:lang w:val="zh-CN"/>
              </w:rPr>
              <w:t>资料来源：</w:t>
            </w:r>
            <w:r w:rsidRPr="00AB6566">
              <w:rPr>
                <w:rFonts w:eastAsia="楷体_GB2312" w:cs="Calibri" w:hint="eastAsia"/>
                <w:b/>
                <w:bCs/>
                <w:lang w:val="zh-CN" w:eastAsia="zh-CN"/>
              </w:rPr>
              <w:t>CSI</w:t>
            </w:r>
            <w:r w:rsidRPr="00AB6566">
              <w:rPr>
                <w:rFonts w:eastAsia="楷体_GB2312" w:cs="Calibri"/>
                <w:b/>
                <w:bCs/>
                <w:lang w:val="zh-CN"/>
              </w:rPr>
              <w:t>，</w:t>
            </w:r>
            <w:r w:rsidRPr="00AB6566">
              <w:rPr>
                <w:rFonts w:eastAsia="楷体_GB2312" w:cs="Calibri"/>
                <w:b/>
                <w:bCs/>
                <w:lang w:val="zh-CN"/>
              </w:rPr>
              <w:t>HFI</w:t>
            </w:r>
          </w:p>
        </w:tc>
        <w:tc>
          <w:tcPr>
            <w:tcW w:w="238" w:type="dxa"/>
            <w:tcBorders>
              <w:top w:val="nil"/>
              <w:left w:val="nil"/>
              <w:bottom w:val="nil"/>
              <w:right w:val="nil"/>
            </w:tcBorders>
            <w:tcMar>
              <w:top w:w="0" w:type="dxa"/>
              <w:left w:w="0" w:type="dxa"/>
              <w:bottom w:w="0" w:type="dxa"/>
              <w:right w:w="28" w:type="dxa"/>
            </w:tcMar>
          </w:tcPr>
          <w:p w14:paraId="314B60A3" w14:textId="77777777" w:rsidR="00A4226D" w:rsidRDefault="00A4226D" w:rsidP="00744D6A">
            <w:pPr>
              <w:overflowPunct w:val="0"/>
              <w:spacing w:beforeLines="20" w:before="48" w:afterLines="20" w:after="48"/>
              <w:rPr>
                <w:rFonts w:eastAsia="楷体_GB2312" w:cs="Calibri"/>
                <w:sz w:val="15"/>
                <w:szCs w:val="15"/>
              </w:rPr>
            </w:pPr>
          </w:p>
        </w:tc>
        <w:tc>
          <w:tcPr>
            <w:tcW w:w="5149" w:type="dxa"/>
            <w:tcBorders>
              <w:top w:val="single" w:sz="4" w:space="0" w:color="auto"/>
              <w:left w:val="nil"/>
              <w:bottom w:val="nil"/>
              <w:right w:val="nil"/>
            </w:tcBorders>
            <w:tcMar>
              <w:top w:w="0" w:type="dxa"/>
              <w:left w:w="0" w:type="dxa"/>
              <w:bottom w:w="0" w:type="dxa"/>
              <w:right w:w="28" w:type="dxa"/>
            </w:tcMar>
          </w:tcPr>
          <w:p w14:paraId="33C712D3" w14:textId="15656161" w:rsidR="00A4226D" w:rsidRPr="00AB6566" w:rsidRDefault="00A4226D" w:rsidP="00744D6A">
            <w:pPr>
              <w:overflowPunct w:val="0"/>
              <w:spacing w:beforeLines="20" w:before="48" w:afterLines="20" w:after="48"/>
              <w:textAlignment w:val="center"/>
              <w:rPr>
                <w:rFonts w:eastAsia="楷体_GB2312" w:cs="Calibri"/>
                <w:b/>
                <w:bCs/>
                <w:sz w:val="10"/>
                <w:szCs w:val="10"/>
              </w:rPr>
            </w:pPr>
            <w:r w:rsidRPr="00AB6566">
              <w:rPr>
                <w:rFonts w:eastAsia="楷体_GB2312" w:cs="Calibri"/>
                <w:b/>
                <w:bCs/>
                <w:lang w:val="zh-CN"/>
              </w:rPr>
              <w:t>资料来源：</w:t>
            </w:r>
            <w:r w:rsidR="00AB6566" w:rsidRPr="00AB6566">
              <w:rPr>
                <w:rFonts w:eastAsia="楷体_GB2312" w:cs="Calibri" w:hint="eastAsia"/>
                <w:b/>
                <w:bCs/>
                <w:lang w:val="zh-CN" w:eastAsia="zh-CN"/>
              </w:rPr>
              <w:t>Investing</w:t>
            </w:r>
            <w:r w:rsidR="00AB6566" w:rsidRPr="00AB6566">
              <w:rPr>
                <w:rFonts w:eastAsia="楷体_GB2312" w:cs="Calibri" w:hint="eastAsia"/>
                <w:b/>
                <w:bCs/>
                <w:lang w:val="zh-CN" w:eastAsia="zh-CN"/>
              </w:rPr>
              <w:t>，</w:t>
            </w:r>
            <w:r w:rsidRPr="00AB6566">
              <w:rPr>
                <w:rFonts w:eastAsia="楷体_GB2312" w:cs="Calibri"/>
                <w:b/>
                <w:bCs/>
                <w:lang w:val="zh-CN"/>
              </w:rPr>
              <w:t>HFI</w:t>
            </w:r>
          </w:p>
        </w:tc>
      </w:tr>
    </w:tbl>
    <w:p w14:paraId="246F9D37" w14:textId="77777777" w:rsidR="00A4226D" w:rsidRDefault="00A4226D" w:rsidP="005D4F80">
      <w:pPr>
        <w:overflowPunct w:val="0"/>
        <w:ind w:leftChars="2000" w:left="3200"/>
        <w:jc w:val="both"/>
        <w:rPr>
          <w:rFonts w:eastAsia="楷体_GB2312" w:cs="Calibri"/>
          <w:sz w:val="20"/>
          <w:szCs w:val="20"/>
          <w:lang w:val="en-US" w:eastAsia="zh-CN"/>
        </w:rPr>
      </w:pPr>
    </w:p>
    <w:p w14:paraId="0501F4F9" w14:textId="2C39E976" w:rsidR="006C4236" w:rsidRDefault="00EC532A" w:rsidP="005D4F80">
      <w:pPr>
        <w:overflowPunct w:val="0"/>
        <w:ind w:leftChars="2000" w:left="3200"/>
        <w:jc w:val="both"/>
        <w:rPr>
          <w:rFonts w:eastAsia="楷体_GB2312" w:cs="Calibri"/>
          <w:sz w:val="20"/>
          <w:szCs w:val="20"/>
          <w:lang w:val="en-US" w:eastAsia="zh-CN"/>
        </w:rPr>
      </w:pPr>
      <w:r>
        <w:rPr>
          <w:rFonts w:eastAsia="楷体_GB2312" w:cs="Calibri" w:hint="eastAsia"/>
          <w:b/>
          <w:bCs/>
          <w:sz w:val="20"/>
          <w:szCs w:val="20"/>
          <w:lang w:val="en-US" w:eastAsia="zh-CN"/>
        </w:rPr>
        <w:t>展望</w:t>
      </w:r>
      <w:r>
        <w:rPr>
          <w:rFonts w:eastAsia="楷体_GB2312" w:cs="Calibri"/>
          <w:b/>
          <w:bCs/>
          <w:sz w:val="20"/>
          <w:szCs w:val="20"/>
          <w:lang w:val="en-US" w:eastAsia="zh-CN"/>
        </w:rPr>
        <w:t>2026</w:t>
      </w:r>
      <w:r>
        <w:rPr>
          <w:rFonts w:eastAsia="楷体_GB2312" w:cs="Calibri" w:hint="eastAsia"/>
          <w:b/>
          <w:bCs/>
          <w:sz w:val="20"/>
          <w:szCs w:val="20"/>
          <w:lang w:val="en-US" w:eastAsia="zh-CN"/>
        </w:rPr>
        <w:t>年港股消费板块，我们认为其韧性将持续凸显并迎来结构性修复拐点，在政策持续加码、内需企稳回暖及反内卷环境下，板块有望从估值修复转向盈利驱动的中期上行行情。</w:t>
      </w:r>
      <w:r>
        <w:rPr>
          <w:rFonts w:eastAsia="楷体_GB2312" w:cs="Calibri" w:hint="eastAsia"/>
          <w:sz w:val="20"/>
          <w:szCs w:val="20"/>
          <w:lang w:val="en-US" w:eastAsia="zh-CN"/>
        </w:rPr>
        <w:t>当前消费板块估值仍处历史低位（恒生消费品及服务指数市盈率约</w:t>
      </w:r>
      <w:r>
        <w:rPr>
          <w:rFonts w:eastAsia="楷体_GB2312" w:cs="Calibri"/>
          <w:sz w:val="20"/>
          <w:szCs w:val="20"/>
          <w:lang w:val="en-US" w:eastAsia="zh-CN"/>
        </w:rPr>
        <w:t>12-14</w:t>
      </w:r>
      <w:r>
        <w:rPr>
          <w:rFonts w:eastAsia="楷体_GB2312" w:cs="Calibri" w:hint="eastAsia"/>
          <w:sz w:val="20"/>
          <w:szCs w:val="20"/>
          <w:lang w:val="en-US" w:eastAsia="zh-CN"/>
        </w:rPr>
        <w:t>倍），</w:t>
      </w:r>
      <w:r w:rsidR="008666C0" w:rsidRPr="008666C0">
        <w:rPr>
          <w:rFonts w:eastAsia="楷体_GB2312" w:cs="Calibri"/>
          <w:sz w:val="20"/>
          <w:szCs w:val="20"/>
          <w:lang w:eastAsia="zh-CN"/>
        </w:rPr>
        <w:t>叠加南向资</w:t>
      </w:r>
      <w:r w:rsidR="008666C0">
        <w:rPr>
          <w:rFonts w:eastAsia="楷体_GB2312" w:cs="Calibri" w:hint="eastAsia"/>
          <w:sz w:val="20"/>
          <w:szCs w:val="20"/>
          <w:lang w:eastAsia="zh-CN"/>
        </w:rPr>
        <w:t>金</w:t>
      </w:r>
      <w:r w:rsidR="00F247DE" w:rsidRPr="00F247DE">
        <w:rPr>
          <w:rFonts w:eastAsia="楷体_GB2312" w:cs="Calibri"/>
          <w:sz w:val="20"/>
          <w:szCs w:val="20"/>
          <w:lang w:eastAsia="zh-CN"/>
        </w:rPr>
        <w:t>年初至今累计净</w:t>
      </w:r>
      <w:proofErr w:type="gramStart"/>
      <w:r w:rsidR="00F247DE" w:rsidRPr="00F247DE">
        <w:rPr>
          <w:rFonts w:eastAsia="楷体_GB2312" w:cs="Calibri"/>
          <w:sz w:val="20"/>
          <w:szCs w:val="20"/>
          <w:lang w:eastAsia="zh-CN"/>
        </w:rPr>
        <w:t>买入仍</w:t>
      </w:r>
      <w:proofErr w:type="gramEnd"/>
      <w:r w:rsidR="00F247DE" w:rsidRPr="00F247DE">
        <w:rPr>
          <w:rFonts w:eastAsia="楷体_GB2312" w:cs="Calibri"/>
          <w:sz w:val="20"/>
          <w:szCs w:val="20"/>
          <w:lang w:eastAsia="zh-CN"/>
        </w:rPr>
        <w:t>超</w:t>
      </w:r>
      <w:r w:rsidR="00F247DE" w:rsidRPr="00F247DE">
        <w:rPr>
          <w:rFonts w:eastAsia="楷体_GB2312" w:cs="Calibri"/>
          <w:sz w:val="20"/>
          <w:szCs w:val="20"/>
          <w:lang w:eastAsia="zh-CN"/>
        </w:rPr>
        <w:t>1800</w:t>
      </w:r>
      <w:r w:rsidR="00F247DE" w:rsidRPr="00F247DE">
        <w:rPr>
          <w:rFonts w:eastAsia="楷体_GB2312" w:cs="Calibri"/>
          <w:sz w:val="20"/>
          <w:szCs w:val="20"/>
          <w:lang w:eastAsia="zh-CN"/>
        </w:rPr>
        <w:t>亿港元</w:t>
      </w:r>
      <w:r>
        <w:rPr>
          <w:rFonts w:eastAsia="楷体_GB2312" w:cs="Calibri" w:hint="eastAsia"/>
          <w:sz w:val="20"/>
          <w:szCs w:val="20"/>
          <w:lang w:val="en-US" w:eastAsia="zh-CN"/>
        </w:rPr>
        <w:t>、春节消费数据分化向好（高端餐饮、体育用品、珠宝及新消费如泡泡</w:t>
      </w:r>
      <w:proofErr w:type="gramStart"/>
      <w:r>
        <w:rPr>
          <w:rFonts w:eastAsia="楷体_GB2312" w:cs="Calibri" w:hint="eastAsia"/>
          <w:sz w:val="20"/>
          <w:szCs w:val="20"/>
          <w:lang w:val="en-US" w:eastAsia="zh-CN"/>
        </w:rPr>
        <w:t>玛</w:t>
      </w:r>
      <w:proofErr w:type="gramEnd"/>
      <w:r>
        <w:rPr>
          <w:rFonts w:eastAsia="楷体_GB2312" w:cs="Calibri" w:hint="eastAsia"/>
          <w:sz w:val="20"/>
          <w:szCs w:val="20"/>
          <w:lang w:val="en-US" w:eastAsia="zh-CN"/>
        </w:rPr>
        <w:t>特、谷子经济、银发经济表现亮眼），以及中央“以旧换新”补贴扩容、地产负面冲击减弱等多重催化，预计可选项消费与必需消费将呈现</w:t>
      </w:r>
      <w:r>
        <w:rPr>
          <w:rFonts w:eastAsia="楷体_GB2312" w:cs="Calibri"/>
          <w:sz w:val="20"/>
          <w:szCs w:val="20"/>
          <w:lang w:val="en-US" w:eastAsia="zh-CN"/>
        </w:rPr>
        <w:t>K</w:t>
      </w:r>
      <w:r>
        <w:rPr>
          <w:rFonts w:eastAsia="楷体_GB2312" w:cs="Calibri" w:hint="eastAsia"/>
          <w:sz w:val="20"/>
          <w:szCs w:val="20"/>
          <w:lang w:val="en-US" w:eastAsia="zh-CN"/>
        </w:rPr>
        <w:t>型复苏格局，餐饮链、运动服饰及新兴消费业态盈利弹性最为突出。短期地缘风险或带来扰动，但中期随着</w:t>
      </w:r>
      <w:proofErr w:type="gramStart"/>
      <w:r>
        <w:rPr>
          <w:rFonts w:eastAsia="楷体_GB2312" w:cs="Calibri" w:hint="eastAsia"/>
          <w:sz w:val="20"/>
          <w:szCs w:val="20"/>
          <w:lang w:val="en-US" w:eastAsia="zh-CN"/>
        </w:rPr>
        <w:t>十五五</w:t>
      </w:r>
      <w:proofErr w:type="gramEnd"/>
      <w:r>
        <w:rPr>
          <w:rFonts w:eastAsia="楷体_GB2312" w:cs="Calibri" w:hint="eastAsia"/>
          <w:sz w:val="20"/>
          <w:szCs w:val="20"/>
          <w:lang w:val="en-US" w:eastAsia="zh-CN"/>
        </w:rPr>
        <w:t>规划内需导向明确及企业盈利实质改善，板块配置价值将显著提升，建议投资者重点布局兼具品牌护城河与出海能力的龙头。</w:t>
      </w:r>
    </w:p>
    <w:p w14:paraId="0BF9DD12" w14:textId="77777777" w:rsidR="00A533FB" w:rsidRDefault="00A533FB" w:rsidP="005D4F80">
      <w:pPr>
        <w:overflowPunct w:val="0"/>
        <w:ind w:leftChars="2000" w:left="3200"/>
        <w:jc w:val="both"/>
        <w:rPr>
          <w:rFonts w:eastAsia="楷体_GB2312" w:cs="Calibri"/>
          <w:b/>
          <w:bCs/>
          <w:sz w:val="20"/>
          <w:szCs w:val="20"/>
          <w:lang w:val="en-US" w:eastAsia="zh-CN"/>
        </w:rPr>
      </w:pPr>
    </w:p>
    <w:p w14:paraId="0CD5D9A7" w14:textId="030B8183" w:rsidR="00AB1F0D" w:rsidRPr="009345FB" w:rsidRDefault="00AB1F0D" w:rsidP="009345FB">
      <w:pPr>
        <w:overflowPunct w:val="0"/>
        <w:ind w:leftChars="2000" w:left="3200"/>
        <w:jc w:val="both"/>
        <w:outlineLvl w:val="1"/>
        <w:rPr>
          <w:rFonts w:eastAsia="楷体_GB2312" w:cs="Calibri"/>
          <w:b/>
          <w:bCs/>
          <w:color w:val="1F497D" w:themeColor="text2"/>
          <w:sz w:val="24"/>
          <w:szCs w:val="24"/>
          <w:lang w:val="en-US" w:eastAsia="zh-CN"/>
        </w:rPr>
      </w:pPr>
      <w:hyperlink w:anchor="_Toc192787046" w:history="1">
        <w:bookmarkStart w:id="7" w:name="_Toc223546884"/>
        <w:r>
          <w:rPr>
            <w:rFonts w:eastAsia="楷体_GB2312" w:cs="Calibri"/>
            <w:b/>
            <w:bCs/>
            <w:color w:val="1F497D" w:themeColor="text2"/>
            <w:sz w:val="24"/>
            <w:szCs w:val="24"/>
            <w:lang w:val="en-US" w:eastAsia="zh-CN"/>
          </w:rPr>
          <w:t>（</w:t>
        </w:r>
        <w:r>
          <w:rPr>
            <w:rFonts w:eastAsia="楷体_GB2312" w:cs="Calibri" w:hint="eastAsia"/>
            <w:b/>
            <w:bCs/>
            <w:color w:val="1F497D" w:themeColor="text2"/>
            <w:sz w:val="24"/>
            <w:szCs w:val="24"/>
            <w:lang w:val="en-US" w:eastAsia="zh-CN"/>
          </w:rPr>
          <w:t>二</w:t>
        </w:r>
        <w:r>
          <w:rPr>
            <w:rFonts w:eastAsia="楷体_GB2312" w:cs="Calibri"/>
            <w:b/>
            <w:bCs/>
            <w:color w:val="1F497D" w:themeColor="text2"/>
            <w:sz w:val="24"/>
            <w:szCs w:val="24"/>
            <w:lang w:val="en-US" w:eastAsia="zh-CN"/>
          </w:rPr>
          <w:t>）</w:t>
        </w:r>
        <w:r>
          <w:rPr>
            <w:rFonts w:eastAsia="楷体_GB2312" w:cs="Calibri" w:hint="eastAsia"/>
            <w:b/>
            <w:bCs/>
            <w:color w:val="1F497D" w:themeColor="text2"/>
            <w:sz w:val="24"/>
            <w:szCs w:val="24"/>
            <w:lang w:val="en-US" w:eastAsia="zh-CN"/>
          </w:rPr>
          <w:t>美股市场回顾</w:t>
        </w:r>
        <w:bookmarkEnd w:id="7"/>
      </w:hyperlink>
    </w:p>
    <w:p w14:paraId="5648AE42" w14:textId="3695B414" w:rsidR="00DD465E" w:rsidRDefault="00957CB1">
      <w:pPr>
        <w:overflowPunct w:val="0"/>
        <w:ind w:leftChars="2000" w:left="3200"/>
        <w:jc w:val="both"/>
        <w:rPr>
          <w:rFonts w:eastAsia="楷体_GB2312" w:cs="Calibri"/>
          <w:sz w:val="20"/>
          <w:szCs w:val="20"/>
          <w:lang w:val="en-US" w:eastAsia="zh-CN"/>
        </w:rPr>
      </w:pPr>
      <w:r>
        <w:rPr>
          <w:rFonts w:eastAsia="楷体_GB2312" w:cs="Calibri" w:hint="eastAsia"/>
          <w:b/>
          <w:bCs/>
          <w:sz w:val="20"/>
          <w:szCs w:val="20"/>
          <w:lang w:val="en-US" w:eastAsia="zh-CN"/>
        </w:rPr>
        <w:t>本周美</w:t>
      </w:r>
      <w:proofErr w:type="gramStart"/>
      <w:r>
        <w:rPr>
          <w:rFonts w:eastAsia="楷体_GB2312" w:cs="Calibri" w:hint="eastAsia"/>
          <w:b/>
          <w:bCs/>
          <w:sz w:val="20"/>
          <w:szCs w:val="20"/>
          <w:lang w:val="en-US" w:eastAsia="zh-CN"/>
        </w:rPr>
        <w:t>股消费</w:t>
      </w:r>
      <w:proofErr w:type="gramEnd"/>
      <w:r>
        <w:rPr>
          <w:rFonts w:eastAsia="楷体_GB2312" w:cs="Calibri" w:hint="eastAsia"/>
          <w:b/>
          <w:bCs/>
          <w:sz w:val="20"/>
          <w:szCs w:val="20"/>
          <w:lang w:val="en-US" w:eastAsia="zh-CN"/>
        </w:rPr>
        <w:t>板块整体承压回调，必需消费品与可选消费同步走弱。</w:t>
      </w:r>
      <w:r>
        <w:rPr>
          <w:rFonts w:eastAsia="楷体_GB2312" w:cs="Calibri" w:hint="eastAsia"/>
          <w:sz w:val="20"/>
          <w:szCs w:val="20"/>
          <w:lang w:val="en-US" w:eastAsia="zh-CN"/>
        </w:rPr>
        <w:t>必需消费品板块（</w:t>
      </w:r>
      <w:r>
        <w:rPr>
          <w:rFonts w:eastAsia="楷体_GB2312" w:cs="Calibri"/>
          <w:sz w:val="20"/>
          <w:szCs w:val="20"/>
          <w:lang w:val="en-US" w:eastAsia="zh-CN"/>
        </w:rPr>
        <w:t>SPLRCS</w:t>
      </w:r>
      <w:r>
        <w:rPr>
          <w:rFonts w:eastAsia="楷体_GB2312" w:cs="Calibri" w:hint="eastAsia"/>
          <w:sz w:val="20"/>
          <w:szCs w:val="20"/>
          <w:lang w:val="en-US" w:eastAsia="zh-CN"/>
        </w:rPr>
        <w:t>）本周下跌</w:t>
      </w:r>
      <w:r>
        <w:rPr>
          <w:rFonts w:eastAsia="楷体_GB2312" w:cs="Calibri"/>
          <w:sz w:val="20"/>
          <w:szCs w:val="20"/>
          <w:lang w:val="en-US" w:eastAsia="zh-CN"/>
        </w:rPr>
        <w:t>2.83%</w:t>
      </w:r>
      <w:r>
        <w:rPr>
          <w:rFonts w:eastAsia="楷体_GB2312" w:cs="Calibri" w:hint="eastAsia"/>
          <w:sz w:val="20"/>
          <w:szCs w:val="20"/>
          <w:lang w:val="en-US" w:eastAsia="zh-CN"/>
        </w:rPr>
        <w:t>，但年初至今累计涨幅仍达</w:t>
      </w:r>
      <w:r>
        <w:rPr>
          <w:rFonts w:eastAsia="楷体_GB2312" w:cs="Calibri"/>
          <w:sz w:val="20"/>
          <w:szCs w:val="20"/>
          <w:lang w:val="en-US" w:eastAsia="zh-CN"/>
        </w:rPr>
        <w:t>7.08%</w:t>
      </w:r>
      <w:r>
        <w:rPr>
          <w:rFonts w:eastAsia="楷体_GB2312" w:cs="Calibri" w:hint="eastAsia"/>
          <w:sz w:val="20"/>
          <w:szCs w:val="20"/>
          <w:lang w:val="en-US" w:eastAsia="zh-CN"/>
        </w:rPr>
        <w:t>，防御属性在中长期维度依然凸显。可选消费板块年初至今累计下跌</w:t>
      </w:r>
      <w:r>
        <w:rPr>
          <w:rFonts w:eastAsia="楷体_GB2312" w:cs="Calibri"/>
          <w:sz w:val="20"/>
          <w:szCs w:val="20"/>
          <w:lang w:val="en-US" w:eastAsia="zh-CN"/>
        </w:rPr>
        <w:t>7.57%</w:t>
      </w:r>
      <w:r>
        <w:rPr>
          <w:rFonts w:eastAsia="楷体_GB2312" w:cs="Calibri" w:hint="eastAsia"/>
          <w:sz w:val="20"/>
          <w:szCs w:val="20"/>
          <w:lang w:val="en-US" w:eastAsia="zh-CN"/>
        </w:rPr>
        <w:t>，</w:t>
      </w:r>
      <w:proofErr w:type="gramStart"/>
      <w:r>
        <w:rPr>
          <w:rFonts w:eastAsia="楷体_GB2312" w:cs="Calibri" w:hint="eastAsia"/>
          <w:sz w:val="20"/>
          <w:szCs w:val="20"/>
          <w:lang w:val="en-US" w:eastAsia="zh-CN"/>
        </w:rPr>
        <w:t>持续跑输大盘</w:t>
      </w:r>
      <w:proofErr w:type="gramEnd"/>
      <w:r>
        <w:rPr>
          <w:rFonts w:eastAsia="楷体_GB2312" w:cs="Calibri" w:hint="eastAsia"/>
          <w:sz w:val="20"/>
          <w:szCs w:val="20"/>
          <w:lang w:val="en-US" w:eastAsia="zh-CN"/>
        </w:rPr>
        <w:t>。油价维持高位（</w:t>
      </w:r>
      <w:r>
        <w:rPr>
          <w:rFonts w:eastAsia="楷体_GB2312" w:cs="Calibri"/>
          <w:sz w:val="20"/>
          <w:szCs w:val="20"/>
          <w:lang w:val="en-US" w:eastAsia="zh-CN"/>
        </w:rPr>
        <w:t>WTI</w:t>
      </w:r>
      <w:r>
        <w:rPr>
          <w:rFonts w:eastAsia="楷体_GB2312" w:cs="Calibri" w:hint="eastAsia"/>
          <w:sz w:val="20"/>
          <w:szCs w:val="20"/>
          <w:lang w:val="en-US" w:eastAsia="zh-CN"/>
        </w:rPr>
        <w:t>突破</w:t>
      </w:r>
      <w:r>
        <w:rPr>
          <w:rFonts w:eastAsia="楷体_GB2312" w:cs="Calibri"/>
          <w:sz w:val="20"/>
          <w:szCs w:val="20"/>
          <w:lang w:val="en-US" w:eastAsia="zh-CN"/>
        </w:rPr>
        <w:t>100</w:t>
      </w:r>
      <w:r>
        <w:rPr>
          <w:rFonts w:eastAsia="楷体_GB2312" w:cs="Calibri" w:hint="eastAsia"/>
          <w:sz w:val="20"/>
          <w:szCs w:val="20"/>
          <w:lang w:val="en-US" w:eastAsia="zh-CN"/>
        </w:rPr>
        <w:t>美元、布伦</w:t>
      </w:r>
      <w:proofErr w:type="gramStart"/>
      <w:r>
        <w:rPr>
          <w:rFonts w:eastAsia="楷体_GB2312" w:cs="Calibri" w:hint="eastAsia"/>
          <w:sz w:val="20"/>
          <w:szCs w:val="20"/>
          <w:lang w:val="en-US" w:eastAsia="zh-CN"/>
        </w:rPr>
        <w:t>特</w:t>
      </w:r>
      <w:proofErr w:type="gramEnd"/>
      <w:r>
        <w:rPr>
          <w:rFonts w:eastAsia="楷体_GB2312" w:cs="Calibri" w:hint="eastAsia"/>
          <w:sz w:val="20"/>
          <w:szCs w:val="20"/>
          <w:lang w:val="en-US" w:eastAsia="zh-CN"/>
        </w:rPr>
        <w:t>原油升至</w:t>
      </w:r>
      <w:r>
        <w:rPr>
          <w:rFonts w:eastAsia="楷体_GB2312" w:cs="Calibri"/>
          <w:sz w:val="20"/>
          <w:szCs w:val="20"/>
          <w:lang w:val="en-US" w:eastAsia="zh-CN"/>
        </w:rPr>
        <w:t>102</w:t>
      </w:r>
      <w:r>
        <w:rPr>
          <w:rFonts w:eastAsia="楷体_GB2312" w:cs="Calibri" w:hint="eastAsia"/>
          <w:sz w:val="20"/>
          <w:szCs w:val="20"/>
          <w:lang w:val="en-US" w:eastAsia="zh-CN"/>
        </w:rPr>
        <w:t>美元），霍尔木兹海峡航运受阻风险持续推升输入性通胀压力。美联储</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19</w:t>
      </w:r>
      <w:r>
        <w:rPr>
          <w:rFonts w:eastAsia="楷体_GB2312" w:cs="Calibri" w:hint="eastAsia"/>
          <w:sz w:val="20"/>
          <w:szCs w:val="20"/>
          <w:lang w:val="en-US" w:eastAsia="zh-CN"/>
        </w:rPr>
        <w:t>日凌晨</w:t>
      </w:r>
      <w:r>
        <w:rPr>
          <w:rFonts w:eastAsia="楷体_GB2312" w:cs="Calibri"/>
          <w:sz w:val="20"/>
          <w:szCs w:val="20"/>
          <w:lang w:val="en-US" w:eastAsia="zh-CN"/>
        </w:rPr>
        <w:t>FOMC</w:t>
      </w:r>
      <w:r>
        <w:rPr>
          <w:rFonts w:eastAsia="楷体_GB2312" w:cs="Calibri" w:hint="eastAsia"/>
          <w:sz w:val="20"/>
          <w:szCs w:val="20"/>
          <w:lang w:val="en-US" w:eastAsia="zh-CN"/>
        </w:rPr>
        <w:t>会议维持利率</w:t>
      </w:r>
      <w:r>
        <w:rPr>
          <w:rFonts w:eastAsia="楷体_GB2312" w:cs="Calibri"/>
          <w:sz w:val="20"/>
          <w:szCs w:val="20"/>
          <w:lang w:val="en-US" w:eastAsia="zh-CN"/>
        </w:rPr>
        <w:t>3.50%-3.75%</w:t>
      </w:r>
      <w:r>
        <w:rPr>
          <w:rFonts w:eastAsia="楷体_GB2312" w:cs="Calibri" w:hint="eastAsia"/>
          <w:sz w:val="20"/>
          <w:szCs w:val="20"/>
          <w:lang w:val="en-US" w:eastAsia="zh-CN"/>
        </w:rPr>
        <w:t>不变，</w:t>
      </w:r>
      <w:r>
        <w:rPr>
          <w:rFonts w:eastAsia="楷体_GB2312" w:cs="Calibri" w:hint="eastAsia"/>
          <w:sz w:val="20"/>
          <w:szCs w:val="20"/>
          <w:lang w:val="en-US" w:eastAsia="zh-CN"/>
        </w:rPr>
        <w:lastRenderedPageBreak/>
        <w:t>但点阵图仍显示年内两次降息预期，同时上调核心通胀预期</w:t>
      </w:r>
      <w:r>
        <w:rPr>
          <w:rFonts w:eastAsia="楷体_GB2312" w:cs="Calibri"/>
          <w:sz w:val="20"/>
          <w:szCs w:val="20"/>
          <w:lang w:val="en-US" w:eastAsia="zh-CN"/>
        </w:rPr>
        <w:t>0.3</w:t>
      </w:r>
      <w:r>
        <w:rPr>
          <w:rFonts w:eastAsia="楷体_GB2312" w:cs="Calibri" w:hint="eastAsia"/>
          <w:sz w:val="20"/>
          <w:szCs w:val="20"/>
          <w:lang w:val="en-US" w:eastAsia="zh-CN"/>
        </w:rPr>
        <w:t>个百分点至</w:t>
      </w:r>
      <w:r>
        <w:rPr>
          <w:rFonts w:eastAsia="楷体_GB2312" w:cs="Calibri"/>
          <w:sz w:val="20"/>
          <w:szCs w:val="20"/>
          <w:lang w:val="en-US" w:eastAsia="zh-CN"/>
        </w:rPr>
        <w:t>2.8%</w:t>
      </w:r>
      <w:r>
        <w:rPr>
          <w:rFonts w:eastAsia="楷体_GB2312" w:cs="Calibri" w:hint="eastAsia"/>
          <w:sz w:val="20"/>
          <w:szCs w:val="20"/>
          <w:lang w:val="en-US" w:eastAsia="zh-CN"/>
        </w:rPr>
        <w:t>、下调</w:t>
      </w:r>
      <w:r>
        <w:rPr>
          <w:rFonts w:eastAsia="楷体_GB2312" w:cs="Calibri"/>
          <w:sz w:val="20"/>
          <w:szCs w:val="20"/>
          <w:lang w:val="en-US" w:eastAsia="zh-CN"/>
        </w:rPr>
        <w:t>2026</w:t>
      </w:r>
      <w:r>
        <w:rPr>
          <w:rFonts w:eastAsia="楷体_GB2312" w:cs="Calibri" w:hint="eastAsia"/>
          <w:sz w:val="20"/>
          <w:szCs w:val="20"/>
          <w:lang w:val="en-US" w:eastAsia="zh-CN"/>
        </w:rPr>
        <w:t>年</w:t>
      </w:r>
      <w:r>
        <w:rPr>
          <w:rFonts w:eastAsia="楷体_GB2312" w:cs="Calibri"/>
          <w:sz w:val="20"/>
          <w:szCs w:val="20"/>
          <w:lang w:val="en-US" w:eastAsia="zh-CN"/>
        </w:rPr>
        <w:t>GDP</w:t>
      </w:r>
      <w:r>
        <w:rPr>
          <w:rFonts w:eastAsia="楷体_GB2312" w:cs="Calibri" w:hint="eastAsia"/>
          <w:sz w:val="20"/>
          <w:szCs w:val="20"/>
          <w:lang w:val="en-US" w:eastAsia="zh-CN"/>
        </w:rPr>
        <w:t>增长预期至</w:t>
      </w:r>
      <w:r>
        <w:rPr>
          <w:rFonts w:eastAsia="楷体_GB2312" w:cs="Calibri"/>
          <w:sz w:val="20"/>
          <w:szCs w:val="20"/>
          <w:lang w:val="en-US" w:eastAsia="zh-CN"/>
        </w:rPr>
        <w:t>1.7%</w:t>
      </w:r>
      <w:r>
        <w:rPr>
          <w:rFonts w:eastAsia="楷体_GB2312" w:cs="Calibri" w:hint="eastAsia"/>
          <w:sz w:val="20"/>
          <w:szCs w:val="20"/>
          <w:lang w:val="en-US" w:eastAsia="zh-CN"/>
        </w:rPr>
        <w:t>。</w:t>
      </w:r>
      <w:r>
        <w:rPr>
          <w:rFonts w:eastAsia="楷体_GB2312" w:cs="Calibri"/>
          <w:sz w:val="20"/>
          <w:szCs w:val="20"/>
          <w:lang w:val="en-US" w:eastAsia="zh-CN"/>
        </w:rPr>
        <w:t>Walmart</w:t>
      </w:r>
      <w:r>
        <w:rPr>
          <w:rFonts w:eastAsia="楷体_GB2312" w:cs="Calibri" w:hint="eastAsia"/>
          <w:sz w:val="20"/>
          <w:szCs w:val="20"/>
          <w:lang w:val="en-US" w:eastAsia="zh-CN"/>
        </w:rPr>
        <w:t>、</w:t>
      </w:r>
      <w:r>
        <w:rPr>
          <w:rFonts w:eastAsia="楷体_GB2312" w:cs="Calibri"/>
          <w:sz w:val="20"/>
          <w:szCs w:val="20"/>
          <w:lang w:val="en-US" w:eastAsia="zh-CN"/>
        </w:rPr>
        <w:t>Costco</w:t>
      </w:r>
      <w:r>
        <w:rPr>
          <w:rFonts w:eastAsia="楷体_GB2312" w:cs="Calibri" w:hint="eastAsia"/>
          <w:sz w:val="20"/>
          <w:szCs w:val="20"/>
          <w:lang w:val="en-US" w:eastAsia="zh-CN"/>
        </w:rPr>
        <w:t>、</w:t>
      </w:r>
      <w:r>
        <w:rPr>
          <w:rFonts w:eastAsia="楷体_GB2312" w:cs="Calibri"/>
          <w:sz w:val="20"/>
          <w:szCs w:val="20"/>
          <w:lang w:val="en-US" w:eastAsia="zh-CN"/>
        </w:rPr>
        <w:t>Procter &amp; Gamble</w:t>
      </w:r>
      <w:r>
        <w:rPr>
          <w:rFonts w:eastAsia="楷体_GB2312" w:cs="Calibri" w:hint="eastAsia"/>
          <w:sz w:val="20"/>
          <w:szCs w:val="20"/>
          <w:lang w:val="en-US" w:eastAsia="zh-CN"/>
        </w:rPr>
        <w:t>等龙头韧性仍存。</w:t>
      </w:r>
    </w:p>
    <w:p w14:paraId="1F8AD795" w14:textId="77777777" w:rsidR="00415073" w:rsidRDefault="00415073">
      <w:pPr>
        <w:overflowPunct w:val="0"/>
        <w:ind w:leftChars="2000" w:left="3200"/>
        <w:jc w:val="both"/>
        <w:rPr>
          <w:rFonts w:eastAsia="楷体_GB2312" w:cs="Calibri" w:hint="eastAsia"/>
          <w:b/>
          <w:bCs/>
          <w:sz w:val="20"/>
          <w:szCs w:val="20"/>
          <w:lang w:val="en-US" w:eastAsia="zh-CN"/>
        </w:rPr>
      </w:pPr>
    </w:p>
    <w:tbl>
      <w:tblPr>
        <w:tblStyle w:val="af6"/>
        <w:tblW w:w="7454" w:type="dxa"/>
        <w:tblInd w:w="3247" w:type="dxa"/>
        <w:tblBorders>
          <w:top w:val="none" w:sz="0" w:space="0" w:color="auto"/>
          <w:left w:val="none" w:sz="0" w:space="0" w:color="auto"/>
          <w:bottom w:val="none" w:sz="0" w:space="0" w:color="auto"/>
          <w:right w:val="none" w:sz="0" w:space="0" w:color="auto"/>
          <w:insideH w:val="none" w:sz="0" w:space="0" w:color="auto"/>
          <w:insideV w:val="single" w:sz="12" w:space="0" w:color="auto"/>
        </w:tblBorders>
        <w:tblLayout w:type="fixed"/>
        <w:tblCellMar>
          <w:left w:w="0" w:type="dxa"/>
          <w:right w:w="0" w:type="dxa"/>
        </w:tblCellMar>
        <w:tblLook w:val="04A0" w:firstRow="1" w:lastRow="0" w:firstColumn="1" w:lastColumn="0" w:noHBand="0" w:noVBand="1"/>
      </w:tblPr>
      <w:tblGrid>
        <w:gridCol w:w="7454"/>
      </w:tblGrid>
      <w:tr w:rsidR="00676E38" w14:paraId="334CEA27" w14:textId="77777777" w:rsidTr="00744D6A">
        <w:trPr>
          <w:trHeight w:val="2946"/>
        </w:trPr>
        <w:tc>
          <w:tcPr>
            <w:tcW w:w="7454" w:type="dxa"/>
            <w:tcBorders>
              <w:bottom w:val="single" w:sz="4" w:space="0" w:color="auto"/>
            </w:tcBorders>
          </w:tcPr>
          <w:p w14:paraId="765DA8CD" w14:textId="55816A98" w:rsidR="00676E38" w:rsidRDefault="00676E38" w:rsidP="001473CF">
            <w:pPr>
              <w:pBdr>
                <w:bottom w:val="single" w:sz="4" w:space="1" w:color="auto"/>
              </w:pBdr>
              <w:overflowPunct w:val="0"/>
              <w:rPr>
                <w:rFonts w:eastAsia="楷体_GB2312" w:cs="Calibri"/>
                <w:b/>
                <w:sz w:val="18"/>
                <w:szCs w:val="18"/>
                <w:lang w:eastAsia="zh-CN"/>
              </w:rPr>
            </w:pPr>
            <w:r>
              <w:rPr>
                <w:rFonts w:eastAsia="楷体_GB2312" w:cs="Calibri" w:hint="eastAsia"/>
                <w:b/>
                <w:sz w:val="18"/>
                <w:szCs w:val="18"/>
                <w:lang w:eastAsia="zh-CN"/>
              </w:rPr>
              <w:t>图</w:t>
            </w:r>
            <w:r>
              <w:rPr>
                <w:rFonts w:eastAsia="楷体_GB2312" w:cs="Calibri" w:hint="eastAsia"/>
                <w:b/>
                <w:sz w:val="18"/>
                <w:szCs w:val="18"/>
                <w:lang w:eastAsia="zh-CN"/>
              </w:rPr>
              <w:t>3</w:t>
            </w:r>
            <w:r>
              <w:rPr>
                <w:rFonts w:eastAsia="楷体_GB2312" w:cs="Calibri"/>
                <w:b/>
                <w:sz w:val="18"/>
                <w:szCs w:val="18"/>
                <w:lang w:eastAsia="zh-CN"/>
              </w:rPr>
              <w:t>：</w:t>
            </w:r>
            <w:r>
              <w:rPr>
                <w:rFonts w:eastAsia="楷体_GB2312" w:cs="Calibri" w:hint="eastAsia"/>
                <w:b/>
                <w:sz w:val="18"/>
                <w:szCs w:val="18"/>
                <w:lang w:eastAsia="zh-CN"/>
              </w:rPr>
              <w:t>美国零售额环比增速（不含汽油及汽油）</w:t>
            </w:r>
          </w:p>
          <w:p w14:paraId="7261F6FB" w14:textId="1BD842D6" w:rsidR="00A65D1B" w:rsidRPr="00A65D1B" w:rsidRDefault="009E3A86" w:rsidP="00744D6A">
            <w:pPr>
              <w:overflowPunct w:val="0"/>
              <w:rPr>
                <w:rFonts w:eastAsia="楷体_GB2312" w:cs="Calibri"/>
                <w:b/>
                <w:sz w:val="17"/>
                <w:lang w:eastAsia="zh-CN"/>
              </w:rPr>
            </w:pPr>
            <w:r>
              <w:rPr>
                <w:noProof/>
                <w:snapToGrid/>
              </w:rPr>
              <w:drawing>
                <wp:inline distT="0" distB="0" distL="0" distR="0" wp14:anchorId="5288C8F5" wp14:editId="23650A90">
                  <wp:extent cx="4733290" cy="2175979"/>
                  <wp:effectExtent l="0" t="0" r="0" b="0"/>
                  <wp:docPr id="1444144163" name="图表 1">
                    <a:extLst xmlns:a="http://schemas.openxmlformats.org/drawingml/2006/main">
                      <a:ext uri="{FF2B5EF4-FFF2-40B4-BE49-F238E27FC236}">
                        <a16:creationId xmlns:a16="http://schemas.microsoft.com/office/drawing/2014/main" id="{327DC0A3-7D6B-4971-9F49-4672404AE4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676E38" w14:paraId="5D7AC19F" w14:textId="77777777" w:rsidTr="00744D6A">
        <w:tblPrEx>
          <w:tblCellMar>
            <w:left w:w="108" w:type="dxa"/>
            <w:right w:w="108" w:type="dxa"/>
          </w:tblCellMar>
        </w:tblPrEx>
        <w:trPr>
          <w:trHeight w:val="309"/>
        </w:trPr>
        <w:tc>
          <w:tcPr>
            <w:tcW w:w="7454" w:type="dxa"/>
            <w:tcBorders>
              <w:top w:val="single" w:sz="4" w:space="0" w:color="auto"/>
              <w:bottom w:val="nil"/>
            </w:tcBorders>
          </w:tcPr>
          <w:p w14:paraId="28BFB475" w14:textId="00DE728F" w:rsidR="00676E38" w:rsidRDefault="00676E38" w:rsidP="00744D6A">
            <w:pPr>
              <w:overflowPunct w:val="0"/>
              <w:rPr>
                <w:rFonts w:eastAsia="楷体_GB2312" w:cs="Calibri"/>
                <w:sz w:val="10"/>
              </w:rPr>
            </w:pPr>
            <w:r>
              <w:rPr>
                <w:rFonts w:eastAsia="楷体_GB2312" w:cs="Calibri"/>
              </w:rPr>
              <w:t>资料来源：</w:t>
            </w:r>
            <w:r>
              <w:rPr>
                <w:rFonts w:eastAsia="楷体_GB2312" w:cs="Calibri" w:hint="eastAsia"/>
                <w:lang w:eastAsia="zh-CN"/>
              </w:rPr>
              <w:t xml:space="preserve">Wind, </w:t>
            </w:r>
            <w:r>
              <w:rPr>
                <w:rFonts w:eastAsia="楷体_GB2312" w:cs="Calibri"/>
              </w:rPr>
              <w:t>HFI</w:t>
            </w:r>
            <w:r>
              <w:rPr>
                <w:rFonts w:eastAsia="楷体_GB2312" w:cs="Calibri"/>
              </w:rPr>
              <w:fldChar w:fldCharType="begin"/>
            </w:r>
            <w:r>
              <w:rPr>
                <w:rFonts w:eastAsia="楷体_GB2312" w:cs="Calibri"/>
              </w:rPr>
              <w:instrText xml:space="preserve"> INCLUDEPICTURE "https://ir.eia.gov/ngs/ngs.gif" \* MERGEFORMATINET </w:instrText>
            </w:r>
            <w:r>
              <w:rPr>
                <w:rFonts w:eastAsia="楷体_GB2312" w:cs="Calibri"/>
              </w:rPr>
              <w:fldChar w:fldCharType="end"/>
            </w:r>
          </w:p>
        </w:tc>
      </w:tr>
    </w:tbl>
    <w:p w14:paraId="7557BF65" w14:textId="77777777" w:rsidR="00676E38" w:rsidRDefault="00676E38">
      <w:pPr>
        <w:overflowPunct w:val="0"/>
        <w:ind w:leftChars="2000" w:left="3200"/>
        <w:jc w:val="both"/>
        <w:rPr>
          <w:rFonts w:eastAsia="楷体_GB2312" w:cs="Calibri"/>
          <w:b/>
          <w:bCs/>
          <w:sz w:val="20"/>
          <w:szCs w:val="20"/>
          <w:lang w:val="en-US" w:eastAsia="zh-CN"/>
        </w:rPr>
      </w:pPr>
    </w:p>
    <w:tbl>
      <w:tblPr>
        <w:tblStyle w:val="af6"/>
        <w:tblW w:w="7454" w:type="dxa"/>
        <w:tblInd w:w="3247" w:type="dxa"/>
        <w:tblBorders>
          <w:top w:val="none" w:sz="0" w:space="0" w:color="auto"/>
          <w:left w:val="none" w:sz="0" w:space="0" w:color="auto"/>
          <w:bottom w:val="none" w:sz="0" w:space="0" w:color="auto"/>
          <w:right w:val="none" w:sz="0" w:space="0" w:color="auto"/>
          <w:insideH w:val="none" w:sz="0" w:space="0" w:color="auto"/>
          <w:insideV w:val="single" w:sz="12" w:space="0" w:color="auto"/>
        </w:tblBorders>
        <w:tblLayout w:type="fixed"/>
        <w:tblCellMar>
          <w:left w:w="0" w:type="dxa"/>
          <w:right w:w="0" w:type="dxa"/>
        </w:tblCellMar>
        <w:tblLook w:val="04A0" w:firstRow="1" w:lastRow="0" w:firstColumn="1" w:lastColumn="0" w:noHBand="0" w:noVBand="1"/>
      </w:tblPr>
      <w:tblGrid>
        <w:gridCol w:w="7454"/>
      </w:tblGrid>
      <w:tr w:rsidR="00ED40AB" w:rsidRPr="00A65D1B" w14:paraId="428416A6" w14:textId="77777777" w:rsidTr="00744D6A">
        <w:trPr>
          <w:trHeight w:val="2946"/>
        </w:trPr>
        <w:tc>
          <w:tcPr>
            <w:tcW w:w="7454" w:type="dxa"/>
            <w:tcBorders>
              <w:bottom w:val="single" w:sz="4" w:space="0" w:color="auto"/>
            </w:tcBorders>
          </w:tcPr>
          <w:p w14:paraId="385DD60A" w14:textId="3DAEB7A5" w:rsidR="00ED40AB" w:rsidRDefault="00ED40AB" w:rsidP="001473CF">
            <w:pPr>
              <w:pBdr>
                <w:bottom w:val="single" w:sz="4" w:space="1" w:color="auto"/>
              </w:pBdr>
              <w:overflowPunct w:val="0"/>
              <w:rPr>
                <w:rFonts w:eastAsia="楷体_GB2312" w:cs="Calibri"/>
                <w:b/>
                <w:sz w:val="18"/>
                <w:szCs w:val="18"/>
                <w:lang w:eastAsia="zh-CN"/>
              </w:rPr>
            </w:pPr>
            <w:r>
              <w:rPr>
                <w:rFonts w:eastAsia="楷体_GB2312" w:cs="Calibri" w:hint="eastAsia"/>
                <w:b/>
                <w:sz w:val="18"/>
                <w:szCs w:val="18"/>
                <w:lang w:eastAsia="zh-CN"/>
              </w:rPr>
              <w:t>图</w:t>
            </w:r>
            <w:r>
              <w:rPr>
                <w:rFonts w:eastAsia="楷体_GB2312" w:cs="Calibri" w:hint="eastAsia"/>
                <w:b/>
                <w:sz w:val="18"/>
                <w:szCs w:val="18"/>
                <w:lang w:eastAsia="zh-CN"/>
              </w:rPr>
              <w:t>4</w:t>
            </w:r>
            <w:r>
              <w:rPr>
                <w:rFonts w:eastAsia="楷体_GB2312" w:cs="Calibri"/>
                <w:b/>
                <w:sz w:val="18"/>
                <w:szCs w:val="18"/>
                <w:lang w:eastAsia="zh-CN"/>
              </w:rPr>
              <w:t>：</w:t>
            </w:r>
            <w:r>
              <w:rPr>
                <w:rFonts w:eastAsia="楷体_GB2312" w:cs="Calibri" w:hint="eastAsia"/>
                <w:b/>
                <w:sz w:val="18"/>
                <w:szCs w:val="18"/>
                <w:lang w:eastAsia="zh-CN"/>
              </w:rPr>
              <w:t>美国主要零售商</w:t>
            </w:r>
            <w:r>
              <w:rPr>
                <w:rFonts w:eastAsia="楷体_GB2312" w:cs="Calibri" w:hint="eastAsia"/>
                <w:b/>
                <w:sz w:val="18"/>
                <w:szCs w:val="18"/>
                <w:lang w:eastAsia="zh-CN"/>
              </w:rPr>
              <w:t>SKU</w:t>
            </w:r>
            <w:r>
              <w:rPr>
                <w:rFonts w:eastAsia="楷体_GB2312" w:cs="Calibri" w:hint="eastAsia"/>
                <w:b/>
                <w:sz w:val="18"/>
                <w:szCs w:val="18"/>
                <w:lang w:eastAsia="zh-CN"/>
              </w:rPr>
              <w:t>份额变化</w:t>
            </w:r>
          </w:p>
          <w:p w14:paraId="02E912D5" w14:textId="745C02E7" w:rsidR="00ED40AB" w:rsidRPr="00A65D1B" w:rsidRDefault="00ED40AB" w:rsidP="00744D6A">
            <w:pPr>
              <w:overflowPunct w:val="0"/>
              <w:rPr>
                <w:rFonts w:eastAsia="楷体_GB2312" w:cs="Calibri"/>
                <w:b/>
                <w:sz w:val="17"/>
                <w:lang w:eastAsia="zh-CN"/>
              </w:rPr>
            </w:pPr>
            <w:r>
              <w:rPr>
                <w:noProof/>
                <w:snapToGrid/>
              </w:rPr>
              <w:drawing>
                <wp:inline distT="0" distB="0" distL="0" distR="0" wp14:anchorId="08E85294" wp14:editId="53B4B894">
                  <wp:extent cx="4733290" cy="2341245"/>
                  <wp:effectExtent l="0" t="0" r="0" b="1905"/>
                  <wp:docPr id="1933760564" name="图表 1">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ED40AB" w14:paraId="3750E365" w14:textId="77777777" w:rsidTr="00744D6A">
        <w:tblPrEx>
          <w:tblCellMar>
            <w:left w:w="108" w:type="dxa"/>
            <w:right w:w="108" w:type="dxa"/>
          </w:tblCellMar>
        </w:tblPrEx>
        <w:trPr>
          <w:trHeight w:val="309"/>
        </w:trPr>
        <w:tc>
          <w:tcPr>
            <w:tcW w:w="7454" w:type="dxa"/>
            <w:tcBorders>
              <w:top w:val="single" w:sz="4" w:space="0" w:color="auto"/>
              <w:bottom w:val="nil"/>
            </w:tcBorders>
          </w:tcPr>
          <w:p w14:paraId="6065AAA8" w14:textId="77777777" w:rsidR="00ED40AB" w:rsidRDefault="00ED40AB" w:rsidP="00744D6A">
            <w:pPr>
              <w:overflowPunct w:val="0"/>
              <w:rPr>
                <w:rFonts w:eastAsia="楷体_GB2312" w:cs="Calibri"/>
                <w:sz w:val="10"/>
              </w:rPr>
            </w:pPr>
            <w:r>
              <w:rPr>
                <w:rFonts w:eastAsia="楷体_GB2312" w:cs="Calibri"/>
              </w:rPr>
              <w:t>资料来源：</w:t>
            </w:r>
            <w:r>
              <w:rPr>
                <w:rFonts w:eastAsia="楷体_GB2312" w:cs="Calibri" w:hint="eastAsia"/>
                <w:lang w:eastAsia="zh-CN"/>
              </w:rPr>
              <w:t xml:space="preserve">Wind, </w:t>
            </w:r>
            <w:r>
              <w:rPr>
                <w:rFonts w:eastAsia="楷体_GB2312" w:cs="Calibri"/>
              </w:rPr>
              <w:t>HFI</w:t>
            </w:r>
            <w:r>
              <w:rPr>
                <w:rFonts w:eastAsia="楷体_GB2312" w:cs="Calibri"/>
              </w:rPr>
              <w:fldChar w:fldCharType="begin"/>
            </w:r>
            <w:r>
              <w:rPr>
                <w:rFonts w:eastAsia="楷体_GB2312" w:cs="Calibri"/>
              </w:rPr>
              <w:instrText xml:space="preserve"> INCLUDEPICTURE "https://ir.eia.gov/ngs/ngs.gif" \* MERGEFORMATINET </w:instrText>
            </w:r>
            <w:r>
              <w:rPr>
                <w:rFonts w:eastAsia="楷体_GB2312" w:cs="Calibri"/>
              </w:rPr>
              <w:fldChar w:fldCharType="end"/>
            </w:r>
          </w:p>
        </w:tc>
      </w:tr>
    </w:tbl>
    <w:p w14:paraId="48CD9B1E" w14:textId="77777777" w:rsidR="00ED40AB" w:rsidRDefault="00ED40AB">
      <w:pPr>
        <w:overflowPunct w:val="0"/>
        <w:ind w:leftChars="2000" w:left="3200"/>
        <w:jc w:val="both"/>
        <w:rPr>
          <w:rFonts w:eastAsia="楷体_GB2312" w:cs="Calibri"/>
          <w:b/>
          <w:bCs/>
          <w:sz w:val="20"/>
          <w:szCs w:val="20"/>
          <w:lang w:val="en-US" w:eastAsia="zh-CN"/>
        </w:rPr>
      </w:pPr>
    </w:p>
    <w:p w14:paraId="1EBF9FB0" w14:textId="77777777" w:rsidR="00ED40AB" w:rsidRDefault="00ED40AB">
      <w:pPr>
        <w:overflowPunct w:val="0"/>
        <w:ind w:leftChars="2000" w:left="3200"/>
        <w:jc w:val="both"/>
        <w:rPr>
          <w:rFonts w:eastAsia="楷体_GB2312" w:cs="Calibri"/>
          <w:b/>
          <w:bCs/>
          <w:sz w:val="20"/>
          <w:szCs w:val="20"/>
          <w:lang w:val="en-US" w:eastAsia="zh-CN"/>
        </w:rPr>
      </w:pPr>
    </w:p>
    <w:p w14:paraId="211A6C7C" w14:textId="7CC03037" w:rsidR="00A4226D" w:rsidRPr="00FC0A81" w:rsidRDefault="00FC0A81">
      <w:pPr>
        <w:overflowPunct w:val="0"/>
        <w:ind w:leftChars="2000" w:left="3200"/>
        <w:jc w:val="both"/>
        <w:rPr>
          <w:rFonts w:eastAsia="楷体_GB2312" w:cs="Calibri"/>
          <w:sz w:val="20"/>
          <w:szCs w:val="20"/>
          <w:lang w:val="en-US" w:eastAsia="zh-CN"/>
        </w:rPr>
      </w:pPr>
      <w:r>
        <w:rPr>
          <w:rFonts w:eastAsia="楷体_GB2312" w:cs="Calibri" w:hint="eastAsia"/>
          <w:b/>
          <w:bCs/>
          <w:sz w:val="20"/>
          <w:szCs w:val="20"/>
          <w:lang w:val="en-US" w:eastAsia="zh-CN"/>
        </w:rPr>
        <w:t>我们认为美国消费的韧性将持续凸显并迎来盈利驱动的温和复苏行情，在美联储降息周期延续、消费者信心回暖及零售数字化与</w:t>
      </w:r>
      <w:r>
        <w:rPr>
          <w:rFonts w:eastAsia="楷体_GB2312" w:cs="Calibri"/>
          <w:b/>
          <w:bCs/>
          <w:sz w:val="20"/>
          <w:szCs w:val="20"/>
          <w:lang w:val="en-US" w:eastAsia="zh-CN"/>
        </w:rPr>
        <w:t>AI</w:t>
      </w:r>
      <w:r>
        <w:rPr>
          <w:rFonts w:eastAsia="楷体_GB2312" w:cs="Calibri" w:hint="eastAsia"/>
          <w:b/>
          <w:bCs/>
          <w:sz w:val="20"/>
          <w:szCs w:val="20"/>
          <w:lang w:val="en-US" w:eastAsia="zh-CN"/>
        </w:rPr>
        <w:t>应用加速的背景下，板块有望从估值修复转向业绩增长的中期上行轨道。</w:t>
      </w:r>
      <w:r>
        <w:rPr>
          <w:rFonts w:eastAsia="楷体_GB2312" w:cs="Calibri" w:hint="eastAsia"/>
          <w:sz w:val="20"/>
          <w:szCs w:val="20"/>
          <w:lang w:val="en-US" w:eastAsia="zh-CN"/>
        </w:rPr>
        <w:t>当前消费板块估值仍具吸引力（</w:t>
      </w:r>
      <w:proofErr w:type="gramStart"/>
      <w:r>
        <w:rPr>
          <w:rFonts w:eastAsia="楷体_GB2312" w:cs="Calibri" w:hint="eastAsia"/>
          <w:sz w:val="20"/>
          <w:szCs w:val="20"/>
          <w:lang w:val="en-US" w:eastAsia="zh-CN"/>
        </w:rPr>
        <w:t>标普</w:t>
      </w:r>
      <w:proofErr w:type="gramEnd"/>
      <w:r>
        <w:rPr>
          <w:rFonts w:eastAsia="楷体_GB2312" w:cs="Calibri"/>
          <w:sz w:val="20"/>
          <w:szCs w:val="20"/>
          <w:lang w:val="en-US" w:eastAsia="zh-CN"/>
        </w:rPr>
        <w:t>500</w:t>
      </w:r>
      <w:r>
        <w:rPr>
          <w:rFonts w:eastAsia="楷体_GB2312" w:cs="Calibri" w:hint="eastAsia"/>
          <w:sz w:val="20"/>
          <w:szCs w:val="20"/>
          <w:lang w:val="en-US" w:eastAsia="zh-CN"/>
        </w:rPr>
        <w:t>可选消费指数市盈率约</w:t>
      </w:r>
      <w:r>
        <w:rPr>
          <w:rFonts w:eastAsia="楷体_GB2312" w:cs="Calibri"/>
          <w:sz w:val="20"/>
          <w:szCs w:val="20"/>
          <w:lang w:val="en-US" w:eastAsia="zh-CN"/>
        </w:rPr>
        <w:t>20-22</w:t>
      </w:r>
      <w:r>
        <w:rPr>
          <w:rFonts w:eastAsia="楷体_GB2312" w:cs="Calibri" w:hint="eastAsia"/>
          <w:sz w:val="20"/>
          <w:szCs w:val="20"/>
          <w:lang w:val="en-US" w:eastAsia="zh-CN"/>
        </w:rPr>
        <w:t>倍，必需消费指数约</w:t>
      </w:r>
      <w:r>
        <w:rPr>
          <w:rFonts w:eastAsia="楷体_GB2312" w:cs="Calibri"/>
          <w:sz w:val="20"/>
          <w:szCs w:val="20"/>
          <w:lang w:val="en-US" w:eastAsia="zh-CN"/>
        </w:rPr>
        <w:t>18</w:t>
      </w:r>
      <w:r>
        <w:rPr>
          <w:rFonts w:eastAsia="楷体_GB2312" w:cs="Calibri" w:hint="eastAsia"/>
          <w:sz w:val="20"/>
          <w:szCs w:val="20"/>
          <w:lang w:val="en-US" w:eastAsia="zh-CN"/>
        </w:rPr>
        <w:t>倍），叠加最新零售销售数据稳健（</w:t>
      </w:r>
      <w:r>
        <w:rPr>
          <w:rFonts w:eastAsia="楷体_GB2312" w:cs="Calibri"/>
          <w:sz w:val="20"/>
          <w:szCs w:val="20"/>
          <w:lang w:val="en-US" w:eastAsia="zh-CN"/>
        </w:rPr>
        <w:t>2026</w:t>
      </w:r>
      <w:r>
        <w:rPr>
          <w:rFonts w:eastAsia="楷体_GB2312" w:cs="Calibri" w:hint="eastAsia"/>
          <w:sz w:val="20"/>
          <w:szCs w:val="20"/>
          <w:lang w:val="en-US" w:eastAsia="zh-CN"/>
        </w:rPr>
        <w:t>年</w:t>
      </w:r>
      <w:r>
        <w:rPr>
          <w:rFonts w:eastAsia="楷体_GB2312" w:cs="Calibri"/>
          <w:sz w:val="20"/>
          <w:szCs w:val="20"/>
          <w:lang w:val="en-US" w:eastAsia="zh-CN"/>
        </w:rPr>
        <w:t>1-2</w:t>
      </w:r>
      <w:r>
        <w:rPr>
          <w:rFonts w:eastAsia="楷体_GB2312" w:cs="Calibri" w:hint="eastAsia"/>
          <w:sz w:val="20"/>
          <w:szCs w:val="20"/>
          <w:lang w:val="en-US" w:eastAsia="zh-CN"/>
        </w:rPr>
        <w:t>月同比</w:t>
      </w:r>
      <w:proofErr w:type="gramStart"/>
      <w:r>
        <w:rPr>
          <w:rFonts w:eastAsia="楷体_GB2312" w:cs="Calibri" w:hint="eastAsia"/>
          <w:sz w:val="20"/>
          <w:szCs w:val="20"/>
          <w:lang w:val="en-US" w:eastAsia="zh-CN"/>
        </w:rPr>
        <w:t>增速超</w:t>
      </w:r>
      <w:proofErr w:type="gramEnd"/>
      <w:r>
        <w:rPr>
          <w:rFonts w:eastAsia="楷体_GB2312" w:cs="Calibri" w:hint="eastAsia"/>
          <w:sz w:val="20"/>
          <w:szCs w:val="20"/>
          <w:lang w:val="en-US" w:eastAsia="zh-CN"/>
        </w:rPr>
        <w:t>预期）、实际工资增长支撑可支配收入、以及电商与体验式消费回暖等多重催化，预计可选消费（如</w:t>
      </w:r>
      <w:r>
        <w:rPr>
          <w:rFonts w:eastAsia="楷体_GB2312" w:cs="Calibri"/>
          <w:sz w:val="20"/>
          <w:szCs w:val="20"/>
          <w:lang w:val="en-US" w:eastAsia="zh-CN"/>
        </w:rPr>
        <w:t>Nike</w:t>
      </w:r>
      <w:r>
        <w:rPr>
          <w:rFonts w:eastAsia="楷体_GB2312" w:cs="Calibri" w:hint="eastAsia"/>
          <w:sz w:val="20"/>
          <w:szCs w:val="20"/>
          <w:lang w:val="en-US" w:eastAsia="zh-CN"/>
        </w:rPr>
        <w:t>、</w:t>
      </w:r>
      <w:r>
        <w:rPr>
          <w:rFonts w:eastAsia="楷体_GB2312" w:cs="Calibri"/>
          <w:sz w:val="20"/>
          <w:szCs w:val="20"/>
          <w:lang w:val="en-US" w:eastAsia="zh-CN"/>
        </w:rPr>
        <w:t>Starbucks</w:t>
      </w:r>
      <w:r>
        <w:rPr>
          <w:rFonts w:eastAsia="楷体_GB2312" w:cs="Calibri" w:hint="eastAsia"/>
          <w:sz w:val="20"/>
          <w:szCs w:val="20"/>
          <w:lang w:val="en-US" w:eastAsia="zh-CN"/>
        </w:rPr>
        <w:t>）与必需消费（如</w:t>
      </w:r>
      <w:r>
        <w:rPr>
          <w:rFonts w:eastAsia="楷体_GB2312" w:cs="Calibri"/>
          <w:sz w:val="20"/>
          <w:szCs w:val="20"/>
          <w:lang w:val="en-US" w:eastAsia="zh-CN"/>
        </w:rPr>
        <w:t>Procter &amp; Gamble</w:t>
      </w:r>
      <w:r>
        <w:rPr>
          <w:rFonts w:eastAsia="楷体_GB2312" w:cs="Calibri" w:hint="eastAsia"/>
          <w:sz w:val="20"/>
          <w:szCs w:val="20"/>
          <w:lang w:val="en-US" w:eastAsia="zh-CN"/>
        </w:rPr>
        <w:t>、</w:t>
      </w:r>
      <w:r>
        <w:rPr>
          <w:rFonts w:eastAsia="楷体_GB2312" w:cs="Calibri"/>
          <w:sz w:val="20"/>
          <w:szCs w:val="20"/>
          <w:lang w:val="en-US" w:eastAsia="zh-CN"/>
        </w:rPr>
        <w:t>Coca-Cola</w:t>
      </w:r>
      <w:r>
        <w:rPr>
          <w:rFonts w:eastAsia="楷体_GB2312" w:cs="Calibri" w:hint="eastAsia"/>
          <w:sz w:val="20"/>
          <w:szCs w:val="20"/>
          <w:lang w:val="en-US" w:eastAsia="zh-CN"/>
        </w:rPr>
        <w:t>、</w:t>
      </w:r>
      <w:r>
        <w:rPr>
          <w:rFonts w:eastAsia="楷体_GB2312" w:cs="Calibri"/>
          <w:sz w:val="20"/>
          <w:szCs w:val="20"/>
          <w:lang w:val="en-US" w:eastAsia="zh-CN"/>
        </w:rPr>
        <w:t>Walmart</w:t>
      </w:r>
      <w:r>
        <w:rPr>
          <w:rFonts w:eastAsia="楷体_GB2312" w:cs="Calibri" w:hint="eastAsia"/>
          <w:sz w:val="20"/>
          <w:szCs w:val="20"/>
          <w:lang w:val="en-US" w:eastAsia="zh-CN"/>
        </w:rPr>
        <w:t>）将呈现渐进式复苏格局，电商、休闲娱乐及高端品牌盈利弹性最为突出。短期地缘风险（油价波动）或带来阶段性扰动，但中期随着美联</w:t>
      </w:r>
      <w:r>
        <w:rPr>
          <w:rFonts w:eastAsia="楷体_GB2312" w:cs="Calibri" w:hint="eastAsia"/>
          <w:sz w:val="20"/>
          <w:szCs w:val="20"/>
          <w:lang w:val="en-US" w:eastAsia="zh-CN"/>
        </w:rPr>
        <w:lastRenderedPageBreak/>
        <w:t>储政策宽松落地及企业盈利实质改善，板块配置价值将显著提升，建议投资者重点布局兼具数字化护城河、品牌优势与供应链韧性的龙头企业。</w:t>
      </w:r>
    </w:p>
    <w:p w14:paraId="0C4E273D" w14:textId="77777777" w:rsidR="00DD465E" w:rsidRDefault="00DD465E">
      <w:pPr>
        <w:overflowPunct w:val="0"/>
        <w:ind w:leftChars="2000" w:left="3200"/>
        <w:jc w:val="both"/>
        <w:rPr>
          <w:rFonts w:eastAsia="楷体_GB2312" w:cs="Calibri"/>
          <w:b/>
          <w:bCs/>
          <w:sz w:val="20"/>
          <w:szCs w:val="20"/>
          <w:lang w:val="en-US" w:eastAsia="zh-CN"/>
        </w:rPr>
      </w:pPr>
    </w:p>
    <w:p w14:paraId="6E3F18DB" w14:textId="1713C598" w:rsidR="00E9729E" w:rsidRDefault="00DD465E" w:rsidP="00E9729E">
      <w:pPr>
        <w:overflowPunct w:val="0"/>
        <w:ind w:leftChars="2000" w:left="3200"/>
        <w:jc w:val="both"/>
        <w:outlineLvl w:val="0"/>
        <w:rPr>
          <w:rFonts w:eastAsia="楷体_GB2312" w:cs="Calibri"/>
          <w:b/>
          <w:bCs/>
          <w:color w:val="1F497D" w:themeColor="text2"/>
          <w:sz w:val="28"/>
          <w:szCs w:val="28"/>
          <w:lang w:val="en-US" w:eastAsia="zh-CN"/>
        </w:rPr>
      </w:pPr>
      <w:bookmarkStart w:id="8" w:name="_Toc223546885"/>
      <w:r>
        <w:rPr>
          <w:rFonts w:eastAsia="楷体_GB2312" w:cs="Calibri" w:hint="eastAsia"/>
          <w:b/>
          <w:bCs/>
          <w:color w:val="1F497D" w:themeColor="text2"/>
          <w:sz w:val="28"/>
          <w:szCs w:val="28"/>
          <w:lang w:val="en-US" w:eastAsia="zh-CN"/>
        </w:rPr>
        <w:t>二</w:t>
      </w:r>
      <w:r>
        <w:rPr>
          <w:rFonts w:eastAsia="楷体_GB2312" w:cs="Calibri"/>
          <w:b/>
          <w:bCs/>
          <w:color w:val="1F497D" w:themeColor="text2"/>
          <w:sz w:val="28"/>
          <w:szCs w:val="28"/>
          <w:lang w:val="en-US" w:eastAsia="zh-CN"/>
        </w:rPr>
        <w:t>、</w:t>
      </w:r>
      <w:r>
        <w:rPr>
          <w:rFonts w:eastAsia="楷体_GB2312" w:cs="Calibri" w:hint="eastAsia"/>
          <w:b/>
          <w:bCs/>
          <w:color w:val="1F497D" w:themeColor="text2"/>
          <w:sz w:val="28"/>
          <w:szCs w:val="28"/>
          <w:lang w:val="en-US" w:eastAsia="zh-CN"/>
        </w:rPr>
        <w:t>海外互联网板</w:t>
      </w:r>
      <w:proofErr w:type="gramStart"/>
      <w:r>
        <w:rPr>
          <w:rFonts w:eastAsia="楷体_GB2312" w:cs="Calibri" w:hint="eastAsia"/>
          <w:b/>
          <w:bCs/>
          <w:color w:val="1F497D" w:themeColor="text2"/>
          <w:sz w:val="28"/>
          <w:szCs w:val="28"/>
          <w:lang w:val="en-US" w:eastAsia="zh-CN"/>
        </w:rPr>
        <w:t>块表现</w:t>
      </w:r>
      <w:proofErr w:type="gramEnd"/>
      <w:r>
        <w:rPr>
          <w:rFonts w:eastAsia="楷体_GB2312" w:cs="Calibri"/>
          <w:b/>
          <w:bCs/>
          <w:color w:val="1F497D" w:themeColor="text2"/>
          <w:sz w:val="28"/>
          <w:szCs w:val="28"/>
          <w:lang w:val="en-US" w:eastAsia="zh-CN"/>
        </w:rPr>
        <w:t>回顾</w:t>
      </w:r>
      <w:bookmarkEnd w:id="8"/>
    </w:p>
    <w:p w14:paraId="68ABD9BE" w14:textId="57303DA3" w:rsidR="004B3EC7" w:rsidRPr="009345FB" w:rsidRDefault="00AB1F0D" w:rsidP="009345FB">
      <w:pPr>
        <w:overflowPunct w:val="0"/>
        <w:ind w:leftChars="2000" w:left="3200"/>
        <w:jc w:val="both"/>
        <w:outlineLvl w:val="1"/>
        <w:rPr>
          <w:rFonts w:eastAsia="楷体_GB2312" w:cs="Calibri"/>
          <w:b/>
          <w:bCs/>
          <w:color w:val="1F497D" w:themeColor="text2"/>
          <w:sz w:val="24"/>
          <w:szCs w:val="24"/>
          <w:lang w:val="en-US" w:eastAsia="zh-CN"/>
        </w:rPr>
      </w:pPr>
      <w:hyperlink w:anchor="_Toc192787046" w:history="1">
        <w:bookmarkStart w:id="9" w:name="_Toc223082595"/>
        <w:bookmarkStart w:id="10" w:name="_Toc223546886"/>
        <w:r>
          <w:rPr>
            <w:rFonts w:eastAsia="楷体_GB2312" w:cs="Calibri"/>
            <w:b/>
            <w:bCs/>
            <w:color w:val="1F497D" w:themeColor="text2"/>
            <w:sz w:val="24"/>
            <w:szCs w:val="24"/>
            <w:lang w:val="en-US" w:eastAsia="zh-CN"/>
          </w:rPr>
          <w:t>（一）</w:t>
        </w:r>
        <w:bookmarkEnd w:id="9"/>
        <w:r>
          <w:rPr>
            <w:rFonts w:eastAsia="楷体_GB2312" w:cs="Calibri" w:hint="eastAsia"/>
            <w:b/>
            <w:bCs/>
            <w:color w:val="1F497D" w:themeColor="text2"/>
            <w:sz w:val="24"/>
            <w:szCs w:val="24"/>
            <w:lang w:val="en-US" w:eastAsia="zh-CN"/>
          </w:rPr>
          <w:t>港股市场回顾</w:t>
        </w:r>
        <w:bookmarkEnd w:id="10"/>
      </w:hyperlink>
    </w:p>
    <w:p w14:paraId="13F925AB" w14:textId="25C5985F" w:rsidR="00E9729E" w:rsidRDefault="00957CB1">
      <w:pPr>
        <w:overflowPunct w:val="0"/>
        <w:ind w:leftChars="2000" w:left="3200"/>
        <w:jc w:val="both"/>
        <w:rPr>
          <w:rFonts w:eastAsia="楷体_GB2312" w:cs="Calibri"/>
          <w:sz w:val="20"/>
          <w:szCs w:val="20"/>
          <w:lang w:val="en-US" w:eastAsia="zh-CN"/>
        </w:rPr>
      </w:pPr>
      <w:r>
        <w:rPr>
          <w:rFonts w:eastAsia="楷体_GB2312" w:cs="Calibri" w:hint="eastAsia"/>
          <w:sz w:val="20"/>
          <w:szCs w:val="20"/>
          <w:lang w:val="en-US" w:eastAsia="zh-CN"/>
        </w:rPr>
        <w:t>本周港股互联网板块（以恒生科技指数为代表）延续超跌反弹，累计上涨</w:t>
      </w:r>
      <w:r>
        <w:rPr>
          <w:rFonts w:eastAsia="楷体_GB2312" w:cs="Calibri"/>
          <w:sz w:val="20"/>
          <w:szCs w:val="20"/>
          <w:lang w:val="en-US" w:eastAsia="zh-CN"/>
        </w:rPr>
        <w:t>1.24%</w:t>
      </w:r>
      <w:r>
        <w:rPr>
          <w:rFonts w:eastAsia="楷体_GB2312" w:cs="Calibri" w:hint="eastAsia"/>
          <w:sz w:val="20"/>
          <w:szCs w:val="20"/>
          <w:lang w:val="en-US" w:eastAsia="zh-CN"/>
        </w:rPr>
        <w:t>，但</w:t>
      </w:r>
      <w:proofErr w:type="gramStart"/>
      <w:r>
        <w:rPr>
          <w:rFonts w:eastAsia="楷体_GB2312" w:cs="Calibri" w:hint="eastAsia"/>
          <w:sz w:val="20"/>
          <w:szCs w:val="20"/>
          <w:lang w:val="en-US" w:eastAsia="zh-CN"/>
        </w:rPr>
        <w:t>个股分</w:t>
      </w:r>
      <w:proofErr w:type="gramEnd"/>
      <w:r>
        <w:rPr>
          <w:rFonts w:eastAsia="楷体_GB2312" w:cs="Calibri" w:hint="eastAsia"/>
          <w:sz w:val="20"/>
          <w:szCs w:val="20"/>
          <w:lang w:val="en-US" w:eastAsia="zh-CN"/>
        </w:rPr>
        <w:t>化剧烈。周一（</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16</w:t>
      </w:r>
      <w:r>
        <w:rPr>
          <w:rFonts w:eastAsia="楷体_GB2312" w:cs="Calibri" w:hint="eastAsia"/>
          <w:sz w:val="20"/>
          <w:szCs w:val="20"/>
          <w:lang w:val="en-US" w:eastAsia="zh-CN"/>
        </w:rPr>
        <w:t>日）板块大幅反弹，恒生科技指数单日涨</w:t>
      </w:r>
      <w:r>
        <w:rPr>
          <w:rFonts w:eastAsia="楷体_GB2312" w:cs="Calibri"/>
          <w:sz w:val="20"/>
          <w:szCs w:val="20"/>
          <w:lang w:val="en-US" w:eastAsia="zh-CN"/>
        </w:rPr>
        <w:t>2.69%</w:t>
      </w:r>
      <w:r>
        <w:rPr>
          <w:rFonts w:eastAsia="楷体_GB2312" w:cs="Calibri" w:hint="eastAsia"/>
          <w:sz w:val="20"/>
          <w:szCs w:val="20"/>
          <w:lang w:val="en-US" w:eastAsia="zh-CN"/>
        </w:rPr>
        <w:t>，大型科技股集体回暖；周二至周三（</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17-18</w:t>
      </w:r>
      <w:r>
        <w:rPr>
          <w:rFonts w:eastAsia="楷体_GB2312" w:cs="Calibri" w:hint="eastAsia"/>
          <w:sz w:val="20"/>
          <w:szCs w:val="20"/>
          <w:lang w:val="en-US" w:eastAsia="zh-CN"/>
        </w:rPr>
        <w:t>日）指数窄幅震荡，</w:t>
      </w:r>
      <w:proofErr w:type="gramStart"/>
      <w:r>
        <w:rPr>
          <w:rFonts w:eastAsia="楷体_GB2312" w:cs="Calibri" w:hint="eastAsia"/>
          <w:sz w:val="20"/>
          <w:szCs w:val="20"/>
          <w:lang w:val="en-US" w:eastAsia="zh-CN"/>
        </w:rPr>
        <w:t>恒科分别</w:t>
      </w:r>
      <w:proofErr w:type="gramEnd"/>
      <w:r>
        <w:rPr>
          <w:rFonts w:eastAsia="楷体_GB2312" w:cs="Calibri" w:hint="eastAsia"/>
          <w:sz w:val="20"/>
          <w:szCs w:val="20"/>
          <w:lang w:val="en-US" w:eastAsia="zh-CN"/>
        </w:rPr>
        <w:t>录得</w:t>
      </w:r>
      <w:r>
        <w:rPr>
          <w:rFonts w:eastAsia="楷体_GB2312" w:cs="Calibri"/>
          <w:sz w:val="20"/>
          <w:szCs w:val="20"/>
          <w:lang w:val="en-US" w:eastAsia="zh-CN"/>
        </w:rPr>
        <w:t>-0.08%</w:t>
      </w:r>
      <w:r>
        <w:rPr>
          <w:rFonts w:eastAsia="楷体_GB2312" w:cs="Calibri" w:hint="eastAsia"/>
          <w:sz w:val="20"/>
          <w:szCs w:val="20"/>
          <w:lang w:val="en-US" w:eastAsia="zh-CN"/>
        </w:rPr>
        <w:t>和</w:t>
      </w:r>
      <w:r>
        <w:rPr>
          <w:rFonts w:eastAsia="楷体_GB2312" w:cs="Calibri"/>
          <w:sz w:val="20"/>
          <w:szCs w:val="20"/>
          <w:lang w:val="en-US" w:eastAsia="zh-CN"/>
        </w:rPr>
        <w:t>+0.01%</w:t>
      </w:r>
      <w:r>
        <w:rPr>
          <w:rFonts w:eastAsia="楷体_GB2312" w:cs="Calibri" w:hint="eastAsia"/>
          <w:sz w:val="20"/>
          <w:szCs w:val="20"/>
          <w:lang w:val="en-US" w:eastAsia="zh-CN"/>
        </w:rPr>
        <w:t>；周四（</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19</w:t>
      </w:r>
      <w:r>
        <w:rPr>
          <w:rFonts w:eastAsia="楷体_GB2312" w:cs="Calibri" w:hint="eastAsia"/>
          <w:sz w:val="20"/>
          <w:szCs w:val="20"/>
          <w:lang w:val="en-US" w:eastAsia="zh-CN"/>
        </w:rPr>
        <w:t>日）</w:t>
      </w:r>
      <w:proofErr w:type="gramStart"/>
      <w:r>
        <w:rPr>
          <w:rFonts w:eastAsia="楷体_GB2312" w:cs="Calibri" w:hint="eastAsia"/>
          <w:sz w:val="20"/>
          <w:szCs w:val="20"/>
          <w:lang w:val="en-US" w:eastAsia="zh-CN"/>
        </w:rPr>
        <w:t>受腾讯</w:t>
      </w:r>
      <w:proofErr w:type="gramEnd"/>
      <w:r>
        <w:rPr>
          <w:rFonts w:eastAsia="楷体_GB2312" w:cs="Calibri" w:hint="eastAsia"/>
          <w:sz w:val="20"/>
          <w:szCs w:val="20"/>
          <w:lang w:val="en-US" w:eastAsia="zh-CN"/>
        </w:rPr>
        <w:t>年报盘后发布影响，恒科大幅回落</w:t>
      </w:r>
      <w:r>
        <w:rPr>
          <w:rFonts w:eastAsia="楷体_GB2312" w:cs="Calibri"/>
          <w:sz w:val="20"/>
          <w:szCs w:val="20"/>
          <w:lang w:val="en-US" w:eastAsia="zh-CN"/>
        </w:rPr>
        <w:t>1.34%</w:t>
      </w:r>
      <w:r>
        <w:rPr>
          <w:rFonts w:eastAsia="楷体_GB2312" w:cs="Calibri" w:hint="eastAsia"/>
          <w:sz w:val="20"/>
          <w:szCs w:val="20"/>
          <w:lang w:val="en-US" w:eastAsia="zh-CN"/>
        </w:rPr>
        <w:t>。南向资金本周呈现显著分化：</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16</w:t>
      </w:r>
      <w:r>
        <w:rPr>
          <w:rFonts w:eastAsia="楷体_GB2312" w:cs="Calibri" w:hint="eastAsia"/>
          <w:sz w:val="20"/>
          <w:szCs w:val="20"/>
          <w:lang w:val="en-US" w:eastAsia="zh-CN"/>
        </w:rPr>
        <w:t>日净卖出</w:t>
      </w:r>
      <w:r>
        <w:rPr>
          <w:rFonts w:eastAsia="楷体_GB2312" w:cs="Calibri"/>
          <w:sz w:val="20"/>
          <w:szCs w:val="20"/>
          <w:lang w:val="en-US" w:eastAsia="zh-CN"/>
        </w:rPr>
        <w:t>12.50</w:t>
      </w:r>
      <w:r>
        <w:rPr>
          <w:rFonts w:eastAsia="楷体_GB2312" w:cs="Calibri" w:hint="eastAsia"/>
          <w:sz w:val="20"/>
          <w:szCs w:val="20"/>
          <w:lang w:val="en-US" w:eastAsia="zh-CN"/>
        </w:rPr>
        <w:t>亿港元，</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17</w:t>
      </w:r>
      <w:r>
        <w:rPr>
          <w:rFonts w:eastAsia="楷体_GB2312" w:cs="Calibri" w:hint="eastAsia"/>
          <w:sz w:val="20"/>
          <w:szCs w:val="20"/>
          <w:lang w:val="en-US" w:eastAsia="zh-CN"/>
        </w:rPr>
        <w:t>日大幅净卖出</w:t>
      </w:r>
      <w:r>
        <w:rPr>
          <w:rFonts w:eastAsia="楷体_GB2312" w:cs="Calibri"/>
          <w:sz w:val="20"/>
          <w:szCs w:val="20"/>
          <w:lang w:val="en-US" w:eastAsia="zh-CN"/>
        </w:rPr>
        <w:t>114.80</w:t>
      </w:r>
      <w:r>
        <w:rPr>
          <w:rFonts w:eastAsia="楷体_GB2312" w:cs="Calibri" w:hint="eastAsia"/>
          <w:sz w:val="20"/>
          <w:szCs w:val="20"/>
          <w:lang w:val="en-US" w:eastAsia="zh-CN"/>
        </w:rPr>
        <w:t>亿港元，</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18</w:t>
      </w:r>
      <w:r>
        <w:rPr>
          <w:rFonts w:eastAsia="楷体_GB2312" w:cs="Calibri" w:hint="eastAsia"/>
          <w:sz w:val="20"/>
          <w:szCs w:val="20"/>
          <w:lang w:val="en-US" w:eastAsia="zh-CN"/>
        </w:rPr>
        <w:t>日转为净买入</w:t>
      </w:r>
      <w:r>
        <w:rPr>
          <w:rFonts w:eastAsia="楷体_GB2312" w:cs="Calibri"/>
          <w:sz w:val="20"/>
          <w:szCs w:val="20"/>
          <w:lang w:val="en-US" w:eastAsia="zh-CN"/>
        </w:rPr>
        <w:t>12.17</w:t>
      </w:r>
      <w:r>
        <w:rPr>
          <w:rFonts w:eastAsia="楷体_GB2312" w:cs="Calibri" w:hint="eastAsia"/>
          <w:sz w:val="20"/>
          <w:szCs w:val="20"/>
          <w:lang w:val="en-US" w:eastAsia="zh-CN"/>
        </w:rPr>
        <w:t>亿港元，反映市场在反弹过程中多空分歧加剧。</w:t>
      </w:r>
    </w:p>
    <w:p w14:paraId="61AEC8B9" w14:textId="77777777" w:rsidR="001C7739" w:rsidRDefault="001C7739">
      <w:pPr>
        <w:overflowPunct w:val="0"/>
        <w:ind w:leftChars="2000" w:left="3200"/>
        <w:jc w:val="both"/>
        <w:rPr>
          <w:rFonts w:eastAsia="楷体_GB2312" w:cs="Calibri" w:hint="eastAsia"/>
          <w:sz w:val="20"/>
          <w:szCs w:val="20"/>
          <w:lang w:val="en-US" w:eastAsia="zh-CN"/>
        </w:rPr>
      </w:pPr>
    </w:p>
    <w:tbl>
      <w:tblPr>
        <w:tblStyle w:val="af6"/>
        <w:tblW w:w="7454" w:type="dxa"/>
        <w:tblInd w:w="3247" w:type="dxa"/>
        <w:tblBorders>
          <w:top w:val="none" w:sz="0" w:space="0" w:color="auto"/>
          <w:left w:val="none" w:sz="0" w:space="0" w:color="auto"/>
          <w:bottom w:val="none" w:sz="0" w:space="0" w:color="auto"/>
          <w:right w:val="none" w:sz="0" w:space="0" w:color="auto"/>
          <w:insideH w:val="none" w:sz="0" w:space="0" w:color="auto"/>
          <w:insideV w:val="single" w:sz="12" w:space="0" w:color="auto"/>
        </w:tblBorders>
        <w:tblLayout w:type="fixed"/>
        <w:tblLook w:val="04A0" w:firstRow="1" w:lastRow="0" w:firstColumn="1" w:lastColumn="0" w:noHBand="0" w:noVBand="1"/>
      </w:tblPr>
      <w:tblGrid>
        <w:gridCol w:w="7454"/>
      </w:tblGrid>
      <w:tr w:rsidR="006C6F7D" w:rsidRPr="00A65D1B" w14:paraId="7B5BF8EF" w14:textId="77777777" w:rsidTr="006C6F7D">
        <w:trPr>
          <w:trHeight w:val="2946"/>
        </w:trPr>
        <w:tc>
          <w:tcPr>
            <w:tcW w:w="7454" w:type="dxa"/>
            <w:tcBorders>
              <w:bottom w:val="single" w:sz="4" w:space="0" w:color="auto"/>
            </w:tcBorders>
          </w:tcPr>
          <w:p w14:paraId="1115F46F" w14:textId="59AAEC30" w:rsidR="006C6F7D" w:rsidRDefault="006C6F7D" w:rsidP="0074099E">
            <w:pPr>
              <w:pBdr>
                <w:bottom w:val="single" w:sz="4" w:space="1" w:color="auto"/>
              </w:pBdr>
              <w:overflowPunct w:val="0"/>
              <w:rPr>
                <w:rFonts w:eastAsia="楷体_GB2312" w:cs="Calibri"/>
                <w:b/>
                <w:sz w:val="18"/>
                <w:szCs w:val="18"/>
                <w:lang w:eastAsia="zh-CN"/>
              </w:rPr>
            </w:pPr>
            <w:r>
              <w:rPr>
                <w:rFonts w:eastAsia="楷体_GB2312" w:cs="Calibri" w:hint="eastAsia"/>
                <w:b/>
                <w:sz w:val="18"/>
                <w:szCs w:val="18"/>
                <w:lang w:eastAsia="zh-CN"/>
              </w:rPr>
              <w:t>图</w:t>
            </w:r>
            <w:r>
              <w:rPr>
                <w:rFonts w:eastAsia="楷体_GB2312" w:cs="Calibri" w:hint="eastAsia"/>
                <w:b/>
                <w:sz w:val="18"/>
                <w:szCs w:val="18"/>
                <w:lang w:eastAsia="zh-CN"/>
              </w:rPr>
              <w:t>5</w:t>
            </w:r>
            <w:r>
              <w:rPr>
                <w:rFonts w:eastAsia="楷体_GB2312" w:cs="Calibri"/>
                <w:b/>
                <w:sz w:val="18"/>
                <w:szCs w:val="18"/>
                <w:lang w:eastAsia="zh-CN"/>
              </w:rPr>
              <w:t>：</w:t>
            </w:r>
            <w:proofErr w:type="gramStart"/>
            <w:r>
              <w:rPr>
                <w:rFonts w:eastAsia="楷体_GB2312" w:cs="Calibri" w:hint="eastAsia"/>
                <w:b/>
                <w:sz w:val="18"/>
                <w:szCs w:val="18"/>
                <w:lang w:eastAsia="zh-CN"/>
              </w:rPr>
              <w:t>恒科指数</w:t>
            </w:r>
            <w:proofErr w:type="gramEnd"/>
            <w:r>
              <w:rPr>
                <w:rFonts w:eastAsia="楷体_GB2312" w:cs="Calibri" w:hint="eastAsia"/>
                <w:b/>
                <w:sz w:val="18"/>
                <w:szCs w:val="18"/>
                <w:lang w:eastAsia="zh-CN"/>
              </w:rPr>
              <w:t>表现（</w:t>
            </w:r>
            <w:r>
              <w:rPr>
                <w:rFonts w:eastAsia="楷体_GB2312" w:cs="Calibri" w:hint="eastAsia"/>
                <w:b/>
                <w:sz w:val="18"/>
                <w:szCs w:val="18"/>
                <w:lang w:eastAsia="zh-CN"/>
              </w:rPr>
              <w:t>YTD</w:t>
            </w:r>
            <w:r>
              <w:rPr>
                <w:rFonts w:eastAsia="楷体_GB2312" w:cs="Calibri" w:hint="eastAsia"/>
                <w:b/>
                <w:sz w:val="18"/>
                <w:szCs w:val="18"/>
                <w:lang w:eastAsia="zh-CN"/>
              </w:rPr>
              <w:t>）</w:t>
            </w:r>
          </w:p>
          <w:p w14:paraId="124EFD66" w14:textId="00EDFF14" w:rsidR="006C6F7D" w:rsidRPr="00A65D1B" w:rsidRDefault="006C6F7D" w:rsidP="0074099E">
            <w:pPr>
              <w:overflowPunct w:val="0"/>
              <w:rPr>
                <w:rFonts w:eastAsia="楷体_GB2312" w:cs="Calibri"/>
                <w:b/>
                <w:sz w:val="17"/>
                <w:lang w:eastAsia="zh-CN"/>
              </w:rPr>
            </w:pPr>
            <w:r>
              <w:rPr>
                <w:noProof/>
                <w:snapToGrid/>
              </w:rPr>
              <w:drawing>
                <wp:inline distT="0" distB="0" distL="0" distR="0" wp14:anchorId="455F5691" wp14:editId="7588CA45">
                  <wp:extent cx="4572000" cy="2743200"/>
                  <wp:effectExtent l="0" t="0" r="0" b="0"/>
                  <wp:docPr id="1430349285" name="图表 1">
                    <a:extLst xmlns:a="http://schemas.openxmlformats.org/drawingml/2006/main">
                      <a:ext uri="{FF2B5EF4-FFF2-40B4-BE49-F238E27FC236}">
                        <a16:creationId xmlns:a16="http://schemas.microsoft.com/office/drawing/2014/main" id="{73DE31F9-3B28-6D0E-B87A-D4D84AF6CE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6C6F7D" w14:paraId="03264E6A" w14:textId="77777777" w:rsidTr="0074099E">
        <w:trPr>
          <w:trHeight w:val="309"/>
        </w:trPr>
        <w:tc>
          <w:tcPr>
            <w:tcW w:w="7454" w:type="dxa"/>
            <w:tcBorders>
              <w:top w:val="single" w:sz="4" w:space="0" w:color="auto"/>
              <w:bottom w:val="nil"/>
            </w:tcBorders>
          </w:tcPr>
          <w:p w14:paraId="1269E296" w14:textId="77777777" w:rsidR="006C6F7D" w:rsidRDefault="006C6F7D" w:rsidP="0074099E">
            <w:pPr>
              <w:overflowPunct w:val="0"/>
              <w:rPr>
                <w:rFonts w:eastAsia="楷体_GB2312" w:cs="Calibri"/>
                <w:sz w:val="10"/>
              </w:rPr>
            </w:pPr>
            <w:r>
              <w:rPr>
                <w:rFonts w:eastAsia="楷体_GB2312" w:cs="Calibri"/>
              </w:rPr>
              <w:t>资料来源：</w:t>
            </w:r>
            <w:r>
              <w:rPr>
                <w:rFonts w:eastAsia="楷体_GB2312" w:cs="Calibri" w:hint="eastAsia"/>
                <w:lang w:eastAsia="zh-CN"/>
              </w:rPr>
              <w:t xml:space="preserve">Wind, </w:t>
            </w:r>
            <w:r>
              <w:rPr>
                <w:rFonts w:eastAsia="楷体_GB2312" w:cs="Calibri"/>
              </w:rPr>
              <w:t>HFI</w:t>
            </w:r>
            <w:r>
              <w:rPr>
                <w:rFonts w:eastAsia="楷体_GB2312" w:cs="Calibri"/>
              </w:rPr>
              <w:fldChar w:fldCharType="begin"/>
            </w:r>
            <w:r>
              <w:rPr>
                <w:rFonts w:eastAsia="楷体_GB2312" w:cs="Calibri"/>
              </w:rPr>
              <w:instrText xml:space="preserve"> INCLUDEPICTURE "https://ir.eia.gov/ngs/ngs.gif" \* MERGEFORMATINET </w:instrText>
            </w:r>
            <w:r>
              <w:rPr>
                <w:rFonts w:eastAsia="楷体_GB2312" w:cs="Calibri"/>
              </w:rPr>
              <w:fldChar w:fldCharType="end"/>
            </w:r>
          </w:p>
        </w:tc>
      </w:tr>
    </w:tbl>
    <w:p w14:paraId="4B4F05B1" w14:textId="678A2605" w:rsidR="002E3F60" w:rsidRDefault="002E3F60" w:rsidP="006C6F7D">
      <w:pPr>
        <w:overflowPunct w:val="0"/>
        <w:jc w:val="both"/>
        <w:rPr>
          <w:rFonts w:eastAsia="楷体_GB2312" w:cs="Calibri"/>
          <w:sz w:val="20"/>
          <w:szCs w:val="20"/>
          <w:lang w:val="en-US" w:eastAsia="zh-CN"/>
        </w:rPr>
      </w:pPr>
    </w:p>
    <w:p w14:paraId="04059C20" w14:textId="671E583A" w:rsidR="002E3F60" w:rsidRPr="00957CB1" w:rsidRDefault="00957CB1">
      <w:pPr>
        <w:overflowPunct w:val="0"/>
        <w:ind w:leftChars="2000" w:left="3200"/>
        <w:jc w:val="both"/>
        <w:rPr>
          <w:rFonts w:eastAsia="楷体_GB2312" w:cs="Calibri"/>
          <w:sz w:val="20"/>
          <w:szCs w:val="20"/>
          <w:lang w:val="en-US" w:eastAsia="zh-CN"/>
        </w:rPr>
      </w:pPr>
      <w:r>
        <w:rPr>
          <w:rFonts w:eastAsia="楷体_GB2312" w:cs="Calibri" w:hint="eastAsia"/>
          <w:sz w:val="20"/>
          <w:szCs w:val="20"/>
          <w:lang w:val="en-US" w:eastAsia="zh-CN"/>
        </w:rPr>
        <w:t>个股层面，</w:t>
      </w:r>
      <w:proofErr w:type="gramStart"/>
      <w:r>
        <w:rPr>
          <w:rFonts w:eastAsia="楷体_GB2312" w:cs="Calibri" w:hint="eastAsia"/>
          <w:sz w:val="20"/>
          <w:szCs w:val="20"/>
          <w:lang w:val="en-US" w:eastAsia="zh-CN"/>
        </w:rPr>
        <w:t>腾讯本周</w:t>
      </w:r>
      <w:proofErr w:type="gramEnd"/>
      <w:r>
        <w:rPr>
          <w:rFonts w:eastAsia="楷体_GB2312" w:cs="Calibri" w:hint="eastAsia"/>
          <w:sz w:val="20"/>
          <w:szCs w:val="20"/>
          <w:lang w:val="en-US" w:eastAsia="zh-CN"/>
        </w:rPr>
        <w:t>因年报发布后市场分歧加剧而大幅回调，美团、小米则表现强劲。</w:t>
      </w:r>
      <w:proofErr w:type="gramStart"/>
      <w:r>
        <w:rPr>
          <w:rFonts w:eastAsia="楷体_GB2312" w:cs="Calibri" w:hint="eastAsia"/>
          <w:sz w:val="20"/>
          <w:szCs w:val="20"/>
          <w:lang w:val="en-US" w:eastAsia="zh-CN"/>
        </w:rPr>
        <w:t>腾讯控股</w:t>
      </w:r>
      <w:proofErr w:type="gramEnd"/>
      <w:r>
        <w:rPr>
          <w:rFonts w:eastAsia="楷体_GB2312" w:cs="Calibri" w:hint="eastAsia"/>
          <w:sz w:val="20"/>
          <w:szCs w:val="20"/>
          <w:lang w:val="en-US" w:eastAsia="zh-CN"/>
        </w:rPr>
        <w:t>（</w:t>
      </w:r>
      <w:r>
        <w:rPr>
          <w:rFonts w:eastAsia="楷体_GB2312" w:cs="Calibri"/>
          <w:sz w:val="20"/>
          <w:szCs w:val="20"/>
          <w:lang w:val="en-US" w:eastAsia="zh-CN"/>
        </w:rPr>
        <w:t>00700.HK</w:t>
      </w:r>
      <w:r>
        <w:rPr>
          <w:rFonts w:eastAsia="楷体_GB2312" w:cs="Calibri" w:hint="eastAsia"/>
          <w:sz w:val="20"/>
          <w:szCs w:val="20"/>
          <w:lang w:val="en-US" w:eastAsia="zh-CN"/>
        </w:rPr>
        <w:t>）本周累计下跌</w:t>
      </w:r>
      <w:r>
        <w:rPr>
          <w:rFonts w:eastAsia="楷体_GB2312" w:cs="Calibri"/>
          <w:sz w:val="20"/>
          <w:szCs w:val="20"/>
          <w:lang w:val="en-US" w:eastAsia="zh-CN"/>
        </w:rPr>
        <w:t>5.21%</w:t>
      </w:r>
      <w:r>
        <w:rPr>
          <w:rFonts w:eastAsia="楷体_GB2312" w:cs="Calibri" w:hint="eastAsia"/>
          <w:sz w:val="20"/>
          <w:szCs w:val="20"/>
          <w:lang w:val="en-US" w:eastAsia="zh-CN"/>
        </w:rPr>
        <w:t>，</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18</w:t>
      </w:r>
      <w:r>
        <w:rPr>
          <w:rFonts w:eastAsia="楷体_GB2312" w:cs="Calibri" w:hint="eastAsia"/>
          <w:sz w:val="20"/>
          <w:szCs w:val="20"/>
          <w:lang w:val="en-US" w:eastAsia="zh-CN"/>
        </w:rPr>
        <w:t>日盘后发布</w:t>
      </w:r>
      <w:r>
        <w:rPr>
          <w:rFonts w:eastAsia="楷体_GB2312" w:cs="Calibri"/>
          <w:sz w:val="20"/>
          <w:szCs w:val="20"/>
          <w:lang w:val="en-US" w:eastAsia="zh-CN"/>
        </w:rPr>
        <w:t>2025</w:t>
      </w:r>
      <w:r>
        <w:rPr>
          <w:rFonts w:eastAsia="楷体_GB2312" w:cs="Calibri" w:hint="eastAsia"/>
          <w:sz w:val="20"/>
          <w:szCs w:val="20"/>
          <w:lang w:val="en-US" w:eastAsia="zh-CN"/>
        </w:rPr>
        <w:t>年年报：全年营收</w:t>
      </w:r>
      <w:r>
        <w:rPr>
          <w:rFonts w:eastAsia="楷体_GB2312" w:cs="Calibri"/>
          <w:sz w:val="20"/>
          <w:szCs w:val="20"/>
          <w:lang w:val="en-US" w:eastAsia="zh-CN"/>
        </w:rPr>
        <w:t>7518</w:t>
      </w:r>
      <w:r>
        <w:rPr>
          <w:rFonts w:eastAsia="楷体_GB2312" w:cs="Calibri" w:hint="eastAsia"/>
          <w:sz w:val="20"/>
          <w:szCs w:val="20"/>
          <w:lang w:val="en-US" w:eastAsia="zh-CN"/>
        </w:rPr>
        <w:t>亿元，同比增长</w:t>
      </w:r>
      <w:r>
        <w:rPr>
          <w:rFonts w:eastAsia="楷体_GB2312" w:cs="Calibri"/>
          <w:sz w:val="20"/>
          <w:szCs w:val="20"/>
          <w:lang w:val="en-US" w:eastAsia="zh-CN"/>
        </w:rPr>
        <w:t>14%</w:t>
      </w:r>
      <w:r>
        <w:rPr>
          <w:rFonts w:eastAsia="楷体_GB2312" w:cs="Calibri" w:hint="eastAsia"/>
          <w:sz w:val="20"/>
          <w:szCs w:val="20"/>
          <w:lang w:val="en-US" w:eastAsia="zh-CN"/>
        </w:rPr>
        <w:t>；</w:t>
      </w:r>
      <w:r>
        <w:rPr>
          <w:rFonts w:eastAsia="楷体_GB2312" w:cs="Calibri"/>
          <w:sz w:val="20"/>
          <w:szCs w:val="20"/>
          <w:lang w:val="en-US" w:eastAsia="zh-CN"/>
        </w:rPr>
        <w:t>Non-IFRS</w:t>
      </w:r>
      <w:r>
        <w:rPr>
          <w:rFonts w:eastAsia="楷体_GB2312" w:cs="Calibri" w:hint="eastAsia"/>
          <w:sz w:val="20"/>
          <w:szCs w:val="20"/>
          <w:lang w:val="en-US" w:eastAsia="zh-CN"/>
        </w:rPr>
        <w:t>经营利润</w:t>
      </w:r>
      <w:r>
        <w:rPr>
          <w:rFonts w:eastAsia="楷体_GB2312" w:cs="Calibri"/>
          <w:sz w:val="20"/>
          <w:szCs w:val="20"/>
          <w:lang w:val="en-US" w:eastAsia="zh-CN"/>
        </w:rPr>
        <w:t>2807</w:t>
      </w:r>
      <w:r>
        <w:rPr>
          <w:rFonts w:eastAsia="楷体_GB2312" w:cs="Calibri" w:hint="eastAsia"/>
          <w:sz w:val="20"/>
          <w:szCs w:val="20"/>
          <w:lang w:val="en-US" w:eastAsia="zh-CN"/>
        </w:rPr>
        <w:t>亿元，同比增长</w:t>
      </w:r>
      <w:r>
        <w:rPr>
          <w:rFonts w:eastAsia="楷体_GB2312" w:cs="Calibri"/>
          <w:sz w:val="20"/>
          <w:szCs w:val="20"/>
          <w:lang w:val="en-US" w:eastAsia="zh-CN"/>
        </w:rPr>
        <w:t>18%</w:t>
      </w:r>
      <w:r>
        <w:rPr>
          <w:rFonts w:eastAsia="楷体_GB2312" w:cs="Calibri" w:hint="eastAsia"/>
          <w:sz w:val="20"/>
          <w:szCs w:val="20"/>
          <w:lang w:val="en-US" w:eastAsia="zh-CN"/>
        </w:rPr>
        <w:t>；游戏、广告、</w:t>
      </w:r>
      <w:proofErr w:type="gramStart"/>
      <w:r>
        <w:rPr>
          <w:rFonts w:eastAsia="楷体_GB2312" w:cs="Calibri" w:hint="eastAsia"/>
          <w:sz w:val="20"/>
          <w:szCs w:val="20"/>
          <w:lang w:val="en-US" w:eastAsia="zh-CN"/>
        </w:rPr>
        <w:t>云服务</w:t>
      </w:r>
      <w:proofErr w:type="gramEnd"/>
      <w:r>
        <w:rPr>
          <w:rFonts w:eastAsia="楷体_GB2312" w:cs="Calibri" w:hint="eastAsia"/>
          <w:sz w:val="20"/>
          <w:szCs w:val="20"/>
          <w:lang w:val="en-US" w:eastAsia="zh-CN"/>
        </w:rPr>
        <w:t>三大板块均实现双位数增长，</w:t>
      </w:r>
      <w:proofErr w:type="gramStart"/>
      <w:r>
        <w:rPr>
          <w:rFonts w:eastAsia="楷体_GB2312" w:cs="Calibri" w:hint="eastAsia"/>
          <w:sz w:val="20"/>
          <w:szCs w:val="20"/>
          <w:lang w:val="en-US" w:eastAsia="zh-CN"/>
        </w:rPr>
        <w:t>腾讯云</w:t>
      </w:r>
      <w:proofErr w:type="gramEnd"/>
      <w:r>
        <w:rPr>
          <w:rFonts w:eastAsia="楷体_GB2312" w:cs="Calibri" w:hint="eastAsia"/>
          <w:sz w:val="20"/>
          <w:szCs w:val="20"/>
          <w:lang w:val="en-US" w:eastAsia="zh-CN"/>
        </w:rPr>
        <w:t>全年实现规模化盈利。然而，全年资本开支</w:t>
      </w:r>
      <w:r>
        <w:rPr>
          <w:rFonts w:eastAsia="楷体_GB2312" w:cs="Calibri"/>
          <w:sz w:val="20"/>
          <w:szCs w:val="20"/>
          <w:lang w:val="en-US" w:eastAsia="zh-CN"/>
        </w:rPr>
        <w:t>792</w:t>
      </w:r>
      <w:r>
        <w:rPr>
          <w:rFonts w:eastAsia="楷体_GB2312" w:cs="Calibri" w:hint="eastAsia"/>
          <w:sz w:val="20"/>
          <w:szCs w:val="20"/>
          <w:lang w:val="en-US" w:eastAsia="zh-CN"/>
        </w:rPr>
        <w:t>亿元低于市场预期，且管理层表示</w:t>
      </w:r>
      <w:r>
        <w:rPr>
          <w:rFonts w:eastAsia="楷体_GB2312" w:cs="Calibri"/>
          <w:sz w:val="20"/>
          <w:szCs w:val="20"/>
          <w:lang w:val="en-US" w:eastAsia="zh-CN"/>
        </w:rPr>
        <w:t>AI</w:t>
      </w:r>
      <w:r>
        <w:rPr>
          <w:rFonts w:eastAsia="楷体_GB2312" w:cs="Calibri" w:hint="eastAsia"/>
          <w:sz w:val="20"/>
          <w:szCs w:val="20"/>
          <w:lang w:val="en-US" w:eastAsia="zh-CN"/>
        </w:rPr>
        <w:t>新产品投入</w:t>
      </w:r>
      <w:r>
        <w:rPr>
          <w:rFonts w:eastAsia="楷体_GB2312" w:cs="Calibri"/>
          <w:sz w:val="20"/>
          <w:szCs w:val="20"/>
          <w:lang w:val="en-US" w:eastAsia="zh-CN"/>
        </w:rPr>
        <w:t>180</w:t>
      </w:r>
      <w:r>
        <w:rPr>
          <w:rFonts w:eastAsia="楷体_GB2312" w:cs="Calibri" w:hint="eastAsia"/>
          <w:sz w:val="20"/>
          <w:szCs w:val="20"/>
          <w:lang w:val="en-US" w:eastAsia="zh-CN"/>
        </w:rPr>
        <w:t>亿元、</w:t>
      </w:r>
      <w:r>
        <w:rPr>
          <w:rFonts w:eastAsia="楷体_GB2312" w:cs="Calibri"/>
          <w:sz w:val="20"/>
          <w:szCs w:val="20"/>
          <w:lang w:val="en-US" w:eastAsia="zh-CN"/>
        </w:rPr>
        <w:t>2026</w:t>
      </w:r>
      <w:r>
        <w:rPr>
          <w:rFonts w:eastAsia="楷体_GB2312" w:cs="Calibri" w:hint="eastAsia"/>
          <w:sz w:val="20"/>
          <w:szCs w:val="20"/>
          <w:lang w:val="en-US" w:eastAsia="zh-CN"/>
        </w:rPr>
        <w:t>年将至少翻倍，市场担忧短期利润增速承压，</w:t>
      </w:r>
      <w:r>
        <w:rPr>
          <w:rFonts w:eastAsia="楷体_GB2312" w:cs="Calibri"/>
          <w:sz w:val="20"/>
          <w:szCs w:val="20"/>
          <w:lang w:val="en-US" w:eastAsia="zh-CN"/>
        </w:rPr>
        <w:t>ADR</w:t>
      </w:r>
      <w:r>
        <w:rPr>
          <w:rFonts w:eastAsia="楷体_GB2312" w:cs="Calibri" w:hint="eastAsia"/>
          <w:sz w:val="20"/>
          <w:szCs w:val="20"/>
          <w:lang w:val="en-US" w:eastAsia="zh-CN"/>
        </w:rPr>
        <w:t>盘后大跌</w:t>
      </w:r>
      <w:r>
        <w:rPr>
          <w:rFonts w:eastAsia="楷体_GB2312" w:cs="Calibri"/>
          <w:sz w:val="20"/>
          <w:szCs w:val="20"/>
          <w:lang w:val="en-US" w:eastAsia="zh-CN"/>
        </w:rPr>
        <w:t>4.62%</w:t>
      </w:r>
      <w:r>
        <w:rPr>
          <w:rFonts w:eastAsia="楷体_GB2312" w:cs="Calibri" w:hint="eastAsia"/>
          <w:sz w:val="20"/>
          <w:szCs w:val="20"/>
          <w:lang w:val="en-US" w:eastAsia="zh-CN"/>
        </w:rPr>
        <w:t>，</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19</w:t>
      </w:r>
      <w:r>
        <w:rPr>
          <w:rFonts w:eastAsia="楷体_GB2312" w:cs="Calibri" w:hint="eastAsia"/>
          <w:sz w:val="20"/>
          <w:szCs w:val="20"/>
          <w:lang w:val="en-US" w:eastAsia="zh-CN"/>
        </w:rPr>
        <w:t>日港股跌</w:t>
      </w:r>
      <w:r>
        <w:rPr>
          <w:rFonts w:eastAsia="楷体_GB2312" w:cs="Calibri"/>
          <w:sz w:val="20"/>
          <w:szCs w:val="20"/>
          <w:lang w:val="en-US" w:eastAsia="zh-CN"/>
        </w:rPr>
        <w:t>5.72%</w:t>
      </w:r>
      <w:r>
        <w:rPr>
          <w:rFonts w:eastAsia="楷体_GB2312" w:cs="Calibri" w:hint="eastAsia"/>
          <w:sz w:val="20"/>
          <w:szCs w:val="20"/>
          <w:lang w:val="en-US" w:eastAsia="zh-CN"/>
        </w:rPr>
        <w:t>。</w:t>
      </w:r>
      <w:proofErr w:type="gramStart"/>
      <w:r>
        <w:rPr>
          <w:rFonts w:eastAsia="楷体_GB2312" w:cs="Calibri" w:hint="eastAsia"/>
          <w:sz w:val="20"/>
          <w:szCs w:val="20"/>
          <w:lang w:val="en-US" w:eastAsia="zh-CN"/>
        </w:rPr>
        <w:t>美团</w:t>
      </w:r>
      <w:proofErr w:type="gramEnd"/>
      <w:r>
        <w:rPr>
          <w:rFonts w:eastAsia="楷体_GB2312" w:cs="Calibri"/>
          <w:sz w:val="20"/>
          <w:szCs w:val="20"/>
          <w:lang w:val="en-US" w:eastAsia="zh-CN"/>
        </w:rPr>
        <w:t>-W</w:t>
      </w:r>
      <w:r>
        <w:rPr>
          <w:rFonts w:eastAsia="楷体_GB2312" w:cs="Calibri" w:hint="eastAsia"/>
          <w:sz w:val="20"/>
          <w:szCs w:val="20"/>
          <w:lang w:val="en-US" w:eastAsia="zh-CN"/>
        </w:rPr>
        <w:t>（</w:t>
      </w:r>
      <w:r>
        <w:rPr>
          <w:rFonts w:eastAsia="楷体_GB2312" w:cs="Calibri"/>
          <w:sz w:val="20"/>
          <w:szCs w:val="20"/>
          <w:lang w:val="en-US" w:eastAsia="zh-CN"/>
        </w:rPr>
        <w:t>03690.HK</w:t>
      </w:r>
      <w:r>
        <w:rPr>
          <w:rFonts w:eastAsia="楷体_GB2312" w:cs="Calibri" w:hint="eastAsia"/>
          <w:sz w:val="20"/>
          <w:szCs w:val="20"/>
          <w:lang w:val="en-US" w:eastAsia="zh-CN"/>
        </w:rPr>
        <w:t>）本周上涨</w:t>
      </w:r>
      <w:r>
        <w:rPr>
          <w:rFonts w:eastAsia="楷体_GB2312" w:cs="Calibri"/>
          <w:sz w:val="20"/>
          <w:szCs w:val="20"/>
          <w:lang w:val="en-US" w:eastAsia="zh-CN"/>
        </w:rPr>
        <w:t>6.78%</w:t>
      </w:r>
      <w:r>
        <w:rPr>
          <w:rFonts w:eastAsia="楷体_GB2312" w:cs="Calibri" w:hint="eastAsia"/>
          <w:sz w:val="20"/>
          <w:szCs w:val="20"/>
          <w:lang w:val="en-US" w:eastAsia="zh-CN"/>
        </w:rPr>
        <w:t>，受益于本地生活竞争格局改善预期及超跌反弹；小米集团</w:t>
      </w:r>
      <w:r>
        <w:rPr>
          <w:rFonts w:eastAsia="楷体_GB2312" w:cs="Calibri"/>
          <w:sz w:val="20"/>
          <w:szCs w:val="20"/>
          <w:lang w:val="en-US" w:eastAsia="zh-CN"/>
        </w:rPr>
        <w:t>-W</w:t>
      </w:r>
      <w:r>
        <w:rPr>
          <w:rFonts w:eastAsia="楷体_GB2312" w:cs="Calibri" w:hint="eastAsia"/>
          <w:sz w:val="20"/>
          <w:szCs w:val="20"/>
          <w:lang w:val="en-US" w:eastAsia="zh-CN"/>
        </w:rPr>
        <w:t>（</w:t>
      </w:r>
      <w:r>
        <w:rPr>
          <w:rFonts w:eastAsia="楷体_GB2312" w:cs="Calibri"/>
          <w:sz w:val="20"/>
          <w:szCs w:val="20"/>
          <w:lang w:val="en-US" w:eastAsia="zh-CN"/>
        </w:rPr>
        <w:t>01810.HK</w:t>
      </w:r>
      <w:r>
        <w:rPr>
          <w:rFonts w:eastAsia="楷体_GB2312" w:cs="Calibri" w:hint="eastAsia"/>
          <w:sz w:val="20"/>
          <w:szCs w:val="20"/>
          <w:lang w:val="en-US" w:eastAsia="zh-CN"/>
        </w:rPr>
        <w:t>）本周大涨</w:t>
      </w:r>
      <w:r>
        <w:rPr>
          <w:rFonts w:eastAsia="楷体_GB2312" w:cs="Calibri"/>
          <w:sz w:val="20"/>
          <w:szCs w:val="20"/>
          <w:lang w:val="en-US" w:eastAsia="zh-CN"/>
        </w:rPr>
        <w:t>9.18%</w:t>
      </w:r>
      <w:r>
        <w:rPr>
          <w:rFonts w:eastAsia="楷体_GB2312" w:cs="Calibri" w:hint="eastAsia"/>
          <w:sz w:val="20"/>
          <w:szCs w:val="20"/>
          <w:lang w:val="en-US" w:eastAsia="zh-CN"/>
        </w:rPr>
        <w:t>，新能源汽车交付持续放量及消费电子</w:t>
      </w:r>
      <w:r>
        <w:rPr>
          <w:rFonts w:eastAsia="楷体_GB2312" w:cs="Calibri"/>
          <w:sz w:val="20"/>
          <w:szCs w:val="20"/>
          <w:lang w:val="en-US" w:eastAsia="zh-CN"/>
        </w:rPr>
        <w:t>AI</w:t>
      </w:r>
      <w:r>
        <w:rPr>
          <w:rFonts w:eastAsia="楷体_GB2312" w:cs="Calibri" w:hint="eastAsia"/>
          <w:sz w:val="20"/>
          <w:szCs w:val="20"/>
          <w:lang w:val="en-US" w:eastAsia="zh-CN"/>
        </w:rPr>
        <w:t>化预期提振估值。值得注意的是，阿里巴巴</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16</w:t>
      </w:r>
      <w:r>
        <w:rPr>
          <w:rFonts w:eastAsia="楷体_GB2312" w:cs="Calibri" w:hint="eastAsia"/>
          <w:sz w:val="20"/>
          <w:szCs w:val="20"/>
          <w:lang w:val="en-US" w:eastAsia="zh-CN"/>
        </w:rPr>
        <w:t>日正式成立</w:t>
      </w:r>
      <w:r>
        <w:rPr>
          <w:rFonts w:eastAsia="楷体_GB2312" w:cs="Calibri"/>
          <w:sz w:val="20"/>
          <w:szCs w:val="20"/>
          <w:lang w:val="en-US" w:eastAsia="zh-CN"/>
        </w:rPr>
        <w:t>Alibaba Token Hub</w:t>
      </w:r>
      <w:r>
        <w:rPr>
          <w:rFonts w:eastAsia="楷体_GB2312" w:cs="Calibri" w:hint="eastAsia"/>
          <w:sz w:val="20"/>
          <w:szCs w:val="20"/>
          <w:lang w:val="en-US" w:eastAsia="zh-CN"/>
        </w:rPr>
        <w:t>（</w:t>
      </w:r>
      <w:r>
        <w:rPr>
          <w:rFonts w:eastAsia="楷体_GB2312" w:cs="Calibri"/>
          <w:sz w:val="20"/>
          <w:szCs w:val="20"/>
          <w:lang w:val="en-US" w:eastAsia="zh-CN"/>
        </w:rPr>
        <w:t>ATH</w:t>
      </w:r>
      <w:r>
        <w:rPr>
          <w:rFonts w:eastAsia="楷体_GB2312" w:cs="Calibri" w:hint="eastAsia"/>
          <w:sz w:val="20"/>
          <w:szCs w:val="20"/>
          <w:lang w:val="en-US" w:eastAsia="zh-CN"/>
        </w:rPr>
        <w:t>）事业群，由</w:t>
      </w:r>
      <w:r>
        <w:rPr>
          <w:rFonts w:eastAsia="楷体_GB2312" w:cs="Calibri"/>
          <w:sz w:val="20"/>
          <w:szCs w:val="20"/>
          <w:lang w:val="en-US" w:eastAsia="zh-CN"/>
        </w:rPr>
        <w:t>CEO</w:t>
      </w:r>
      <w:proofErr w:type="gramStart"/>
      <w:r>
        <w:rPr>
          <w:rFonts w:eastAsia="楷体_GB2312" w:cs="Calibri" w:hint="eastAsia"/>
          <w:sz w:val="20"/>
          <w:szCs w:val="20"/>
          <w:lang w:val="en-US" w:eastAsia="zh-CN"/>
        </w:rPr>
        <w:t>吴泳铭直接</w:t>
      </w:r>
      <w:proofErr w:type="gramEnd"/>
      <w:r>
        <w:rPr>
          <w:rFonts w:eastAsia="楷体_GB2312" w:cs="Calibri" w:hint="eastAsia"/>
          <w:sz w:val="20"/>
          <w:szCs w:val="20"/>
          <w:lang w:val="en-US" w:eastAsia="zh-CN"/>
        </w:rPr>
        <w:t>负责，市场对互联网巨头</w:t>
      </w:r>
      <w:r>
        <w:rPr>
          <w:rFonts w:eastAsia="楷体_GB2312" w:cs="Calibri"/>
          <w:sz w:val="20"/>
          <w:szCs w:val="20"/>
          <w:lang w:val="en-US" w:eastAsia="zh-CN"/>
        </w:rPr>
        <w:t>AI</w:t>
      </w:r>
      <w:r>
        <w:rPr>
          <w:rFonts w:eastAsia="楷体_GB2312" w:cs="Calibri" w:hint="eastAsia"/>
          <w:sz w:val="20"/>
          <w:szCs w:val="20"/>
          <w:lang w:val="en-US" w:eastAsia="zh-CN"/>
        </w:rPr>
        <w:t>组织架构升级的关注度持续提升。</w:t>
      </w:r>
    </w:p>
    <w:p w14:paraId="19A1B59B" w14:textId="77777777" w:rsidR="006C5DF3" w:rsidRDefault="006C5DF3">
      <w:pPr>
        <w:overflowPunct w:val="0"/>
        <w:ind w:leftChars="2000" w:left="3200"/>
        <w:jc w:val="both"/>
        <w:rPr>
          <w:rFonts w:eastAsia="楷体_GB2312" w:cs="Calibri"/>
          <w:sz w:val="20"/>
          <w:szCs w:val="20"/>
          <w:lang w:val="en-US" w:eastAsia="zh-CN"/>
        </w:rPr>
      </w:pPr>
    </w:p>
    <w:p w14:paraId="01E3CE2F" w14:textId="77777777" w:rsidR="00251638" w:rsidRDefault="00251638" w:rsidP="00251638">
      <w:pPr>
        <w:overflowPunct w:val="0"/>
        <w:ind w:leftChars="2000" w:left="3200"/>
        <w:jc w:val="both"/>
        <w:rPr>
          <w:rFonts w:eastAsia="楷体_GB2312" w:cs="Calibri"/>
          <w:sz w:val="20"/>
          <w:szCs w:val="20"/>
          <w:lang w:val="en-US" w:eastAsia="zh-CN"/>
        </w:rPr>
      </w:pPr>
      <w:r>
        <w:rPr>
          <w:rFonts w:eastAsia="楷体_GB2312" w:cs="Calibri" w:hint="eastAsia"/>
          <w:b/>
          <w:bCs/>
          <w:sz w:val="20"/>
          <w:szCs w:val="20"/>
          <w:lang w:val="en-US" w:eastAsia="zh-CN"/>
        </w:rPr>
        <w:t>我们认为，</w:t>
      </w:r>
      <w:r>
        <w:rPr>
          <w:rFonts w:eastAsia="楷体_GB2312" w:cs="Calibri"/>
          <w:b/>
          <w:bCs/>
          <w:sz w:val="20"/>
          <w:szCs w:val="20"/>
          <w:lang w:val="en-US" w:eastAsia="zh-CN"/>
        </w:rPr>
        <w:t>2026</w:t>
      </w:r>
      <w:r>
        <w:rPr>
          <w:rFonts w:eastAsia="楷体_GB2312" w:cs="Calibri" w:hint="eastAsia"/>
          <w:b/>
          <w:bCs/>
          <w:sz w:val="20"/>
          <w:szCs w:val="20"/>
          <w:lang w:val="en-US" w:eastAsia="zh-CN"/>
        </w:rPr>
        <w:t>年</w:t>
      </w:r>
      <w:r>
        <w:rPr>
          <w:rFonts w:eastAsia="楷体_GB2312" w:cs="Calibri"/>
          <w:b/>
          <w:bCs/>
          <w:sz w:val="20"/>
          <w:szCs w:val="20"/>
          <w:lang w:val="en-US" w:eastAsia="zh-CN"/>
        </w:rPr>
        <w:t>AI</w:t>
      </w:r>
      <w:r>
        <w:rPr>
          <w:rFonts w:eastAsia="楷体_GB2312" w:cs="Calibri" w:hint="eastAsia"/>
          <w:b/>
          <w:bCs/>
          <w:sz w:val="20"/>
          <w:szCs w:val="20"/>
          <w:lang w:val="en-US" w:eastAsia="zh-CN"/>
        </w:rPr>
        <w:t>产业核心趋势并未改变，反而正从技术研发阶段加速迈向规模化商业落地，这一演进将为港股互联网板</w:t>
      </w:r>
      <w:proofErr w:type="gramStart"/>
      <w:r>
        <w:rPr>
          <w:rFonts w:eastAsia="楷体_GB2312" w:cs="Calibri" w:hint="eastAsia"/>
          <w:b/>
          <w:bCs/>
          <w:sz w:val="20"/>
          <w:szCs w:val="20"/>
          <w:lang w:val="en-US" w:eastAsia="zh-CN"/>
        </w:rPr>
        <w:t>块提供</w:t>
      </w:r>
      <w:proofErr w:type="gramEnd"/>
      <w:r>
        <w:rPr>
          <w:rFonts w:eastAsia="楷体_GB2312" w:cs="Calibri" w:hint="eastAsia"/>
          <w:b/>
          <w:bCs/>
          <w:sz w:val="20"/>
          <w:szCs w:val="20"/>
          <w:lang w:val="en-US" w:eastAsia="zh-CN"/>
        </w:rPr>
        <w:t>多重催化剂。</w:t>
      </w:r>
      <w:r>
        <w:rPr>
          <w:rFonts w:eastAsia="楷体_GB2312" w:cs="Calibri" w:hint="eastAsia"/>
          <w:sz w:val="20"/>
          <w:szCs w:val="20"/>
          <w:lang w:val="en-US" w:eastAsia="zh-CN"/>
        </w:rPr>
        <w:t>首先，</w:t>
      </w:r>
      <w:r>
        <w:rPr>
          <w:rFonts w:eastAsia="楷体_GB2312" w:cs="Calibri"/>
          <w:sz w:val="20"/>
          <w:szCs w:val="20"/>
          <w:lang w:val="en-US" w:eastAsia="zh-CN"/>
        </w:rPr>
        <w:t>DeepSeek</w:t>
      </w:r>
      <w:r>
        <w:rPr>
          <w:rFonts w:eastAsia="楷体_GB2312" w:cs="Calibri" w:hint="eastAsia"/>
          <w:sz w:val="20"/>
          <w:szCs w:val="20"/>
          <w:lang w:val="en-US" w:eastAsia="zh-CN"/>
        </w:rPr>
        <w:t>、智谱</w:t>
      </w:r>
      <w:r>
        <w:rPr>
          <w:rFonts w:eastAsia="楷体_GB2312" w:cs="Calibri"/>
          <w:sz w:val="20"/>
          <w:szCs w:val="20"/>
          <w:lang w:val="en-US" w:eastAsia="zh-CN"/>
        </w:rPr>
        <w:t>AI</w:t>
      </w:r>
      <w:r>
        <w:rPr>
          <w:rFonts w:eastAsia="楷体_GB2312" w:cs="Calibri" w:hint="eastAsia"/>
          <w:sz w:val="20"/>
          <w:szCs w:val="20"/>
          <w:lang w:val="en-US" w:eastAsia="zh-CN"/>
        </w:rPr>
        <w:t>、</w:t>
      </w:r>
      <w:proofErr w:type="spellStart"/>
      <w:r>
        <w:rPr>
          <w:rFonts w:eastAsia="楷体_GB2312" w:cs="Calibri"/>
          <w:sz w:val="20"/>
          <w:szCs w:val="20"/>
          <w:lang w:val="en-US" w:eastAsia="zh-CN"/>
        </w:rPr>
        <w:t>MiniMax</w:t>
      </w:r>
      <w:proofErr w:type="spellEnd"/>
      <w:r>
        <w:rPr>
          <w:rFonts w:eastAsia="楷体_GB2312" w:cs="Calibri" w:hint="eastAsia"/>
          <w:sz w:val="20"/>
          <w:szCs w:val="20"/>
          <w:lang w:val="en-US" w:eastAsia="zh-CN"/>
        </w:rPr>
        <w:t>等专业模型厂商的调用量持续攀升与产品迭代（如</w:t>
      </w:r>
      <w:r>
        <w:rPr>
          <w:rFonts w:eastAsia="楷体_GB2312" w:cs="Calibri"/>
          <w:sz w:val="20"/>
          <w:szCs w:val="20"/>
          <w:lang w:val="en-US" w:eastAsia="zh-CN"/>
        </w:rPr>
        <w:t>DeepSeek V4</w:t>
      </w:r>
      <w:r>
        <w:rPr>
          <w:rFonts w:eastAsia="楷体_GB2312" w:cs="Calibri" w:hint="eastAsia"/>
          <w:sz w:val="20"/>
          <w:szCs w:val="20"/>
          <w:lang w:val="en-US" w:eastAsia="zh-CN"/>
        </w:rPr>
        <w:t>潜在发布），将通过生态开放与</w:t>
      </w:r>
      <w:r>
        <w:rPr>
          <w:rFonts w:eastAsia="楷体_GB2312" w:cs="Calibri"/>
          <w:sz w:val="20"/>
          <w:szCs w:val="20"/>
          <w:lang w:val="en-US" w:eastAsia="zh-CN"/>
        </w:rPr>
        <w:t>API</w:t>
      </w:r>
      <w:r>
        <w:rPr>
          <w:rFonts w:eastAsia="楷体_GB2312" w:cs="Calibri" w:hint="eastAsia"/>
          <w:sz w:val="20"/>
          <w:szCs w:val="20"/>
          <w:lang w:val="en-US" w:eastAsia="zh-CN"/>
        </w:rPr>
        <w:t>合作，直接赋能港股互联网巨头的</w:t>
      </w:r>
      <w:r>
        <w:rPr>
          <w:rFonts w:eastAsia="楷体_GB2312" w:cs="Calibri"/>
          <w:sz w:val="20"/>
          <w:szCs w:val="20"/>
          <w:lang w:val="en-US" w:eastAsia="zh-CN"/>
        </w:rPr>
        <w:t>AI</w:t>
      </w:r>
      <w:r>
        <w:rPr>
          <w:rFonts w:eastAsia="楷体_GB2312" w:cs="Calibri" w:hint="eastAsia"/>
          <w:sz w:val="20"/>
          <w:szCs w:val="20"/>
          <w:lang w:val="en-US" w:eastAsia="zh-CN"/>
        </w:rPr>
        <w:t>应用落地。其次，建议重点配置兼具资源、数据、场景闭环的港股互联网及科技龙头。中国</w:t>
      </w:r>
      <w:r>
        <w:rPr>
          <w:rFonts w:eastAsia="楷体_GB2312" w:cs="Calibri"/>
          <w:sz w:val="20"/>
          <w:szCs w:val="20"/>
          <w:lang w:val="en-US" w:eastAsia="zh-CN"/>
        </w:rPr>
        <w:t>AI</w:t>
      </w:r>
      <w:r>
        <w:rPr>
          <w:rFonts w:eastAsia="楷体_GB2312" w:cs="Calibri" w:hint="eastAsia"/>
          <w:sz w:val="20"/>
          <w:szCs w:val="20"/>
          <w:lang w:val="en-US" w:eastAsia="zh-CN"/>
        </w:rPr>
        <w:t>全球化进程正重塑全球竞争格局，并为港股互联网板</w:t>
      </w:r>
      <w:proofErr w:type="gramStart"/>
      <w:r>
        <w:rPr>
          <w:rFonts w:eastAsia="楷体_GB2312" w:cs="Calibri" w:hint="eastAsia"/>
          <w:sz w:val="20"/>
          <w:szCs w:val="20"/>
          <w:lang w:val="en-US" w:eastAsia="zh-CN"/>
        </w:rPr>
        <w:t>块带来从</w:t>
      </w:r>
      <w:proofErr w:type="gramEnd"/>
      <w:r>
        <w:rPr>
          <w:rFonts w:eastAsia="楷体_GB2312" w:cs="Calibri" w:hint="eastAsia"/>
          <w:sz w:val="20"/>
          <w:szCs w:val="20"/>
          <w:lang w:val="en-US" w:eastAsia="zh-CN"/>
        </w:rPr>
        <w:t>基础设施到应用落地全链条的投资机会。随着</w:t>
      </w:r>
      <w:r>
        <w:rPr>
          <w:rFonts w:eastAsia="楷体_GB2312" w:cs="Calibri"/>
          <w:sz w:val="20"/>
          <w:szCs w:val="20"/>
          <w:lang w:val="en-US" w:eastAsia="zh-CN"/>
        </w:rPr>
        <w:t>Agentic AI</w:t>
      </w:r>
      <w:r>
        <w:rPr>
          <w:rFonts w:eastAsia="楷体_GB2312" w:cs="Calibri" w:hint="eastAsia"/>
          <w:sz w:val="20"/>
          <w:szCs w:val="20"/>
          <w:lang w:val="en-US" w:eastAsia="zh-CN"/>
        </w:rPr>
        <w:t>与企业智能化转型深化，以及国家集成</w:t>
      </w:r>
      <w:proofErr w:type="gramStart"/>
      <w:r>
        <w:rPr>
          <w:rFonts w:eastAsia="楷体_GB2312" w:cs="Calibri" w:hint="eastAsia"/>
          <w:sz w:val="20"/>
          <w:szCs w:val="20"/>
          <w:lang w:val="en-US" w:eastAsia="zh-CN"/>
        </w:rPr>
        <w:t>算力网络</w:t>
      </w:r>
      <w:proofErr w:type="gramEnd"/>
      <w:r>
        <w:rPr>
          <w:rFonts w:eastAsia="楷体_GB2312" w:cs="Calibri" w:hint="eastAsia"/>
          <w:sz w:val="20"/>
          <w:szCs w:val="20"/>
          <w:lang w:val="en-US" w:eastAsia="zh-CN"/>
        </w:rPr>
        <w:t>的完善，相关港股龙头的业绩弹性与估值溢价有望在</w:t>
      </w:r>
      <w:r>
        <w:rPr>
          <w:rFonts w:eastAsia="楷体_GB2312" w:cs="Calibri"/>
          <w:sz w:val="20"/>
          <w:szCs w:val="20"/>
          <w:lang w:val="en-US" w:eastAsia="zh-CN"/>
        </w:rPr>
        <w:t>2026</w:t>
      </w:r>
      <w:r>
        <w:rPr>
          <w:rFonts w:eastAsia="楷体_GB2312" w:cs="Calibri" w:hint="eastAsia"/>
          <w:sz w:val="20"/>
          <w:szCs w:val="20"/>
          <w:lang w:val="en-US" w:eastAsia="zh-CN"/>
        </w:rPr>
        <w:t>年持续释放。</w:t>
      </w:r>
    </w:p>
    <w:p w14:paraId="38601B96" w14:textId="77777777" w:rsidR="001473CF" w:rsidRDefault="001473CF" w:rsidP="006C6F7D">
      <w:pPr>
        <w:overflowPunct w:val="0"/>
        <w:jc w:val="both"/>
        <w:rPr>
          <w:rFonts w:eastAsia="楷体_GB2312" w:cs="Calibri"/>
          <w:b/>
          <w:bCs/>
          <w:sz w:val="20"/>
          <w:szCs w:val="20"/>
          <w:lang w:val="en-US" w:eastAsia="zh-CN"/>
        </w:rPr>
      </w:pPr>
    </w:p>
    <w:tbl>
      <w:tblPr>
        <w:tblStyle w:val="af6"/>
        <w:tblW w:w="7454" w:type="dxa"/>
        <w:tblInd w:w="3247" w:type="dxa"/>
        <w:tblBorders>
          <w:top w:val="none" w:sz="0" w:space="0" w:color="auto"/>
          <w:left w:val="none" w:sz="0" w:space="0" w:color="auto"/>
          <w:bottom w:val="none" w:sz="0" w:space="0" w:color="auto"/>
          <w:right w:val="none" w:sz="0" w:space="0" w:color="auto"/>
          <w:insideH w:val="none" w:sz="0" w:space="0" w:color="auto"/>
          <w:insideV w:val="single" w:sz="12" w:space="0" w:color="auto"/>
        </w:tblBorders>
        <w:tblLayout w:type="fixed"/>
        <w:tblCellMar>
          <w:left w:w="0" w:type="dxa"/>
          <w:right w:w="0" w:type="dxa"/>
        </w:tblCellMar>
        <w:tblLook w:val="04A0" w:firstRow="1" w:lastRow="0" w:firstColumn="1" w:lastColumn="0" w:noHBand="0" w:noVBand="1"/>
      </w:tblPr>
      <w:tblGrid>
        <w:gridCol w:w="7454"/>
      </w:tblGrid>
      <w:tr w:rsidR="001473CF" w:rsidRPr="00A65D1B" w14:paraId="5DBE5298" w14:textId="77777777" w:rsidTr="008C2039">
        <w:trPr>
          <w:trHeight w:val="2946"/>
        </w:trPr>
        <w:tc>
          <w:tcPr>
            <w:tcW w:w="7454" w:type="dxa"/>
            <w:tcBorders>
              <w:bottom w:val="single" w:sz="4" w:space="0" w:color="auto"/>
            </w:tcBorders>
          </w:tcPr>
          <w:p w14:paraId="5A0F22A8" w14:textId="0A912332" w:rsidR="001473CF" w:rsidRDefault="001473CF" w:rsidP="00870ED2">
            <w:pPr>
              <w:overflowPunct w:val="0"/>
              <w:rPr>
                <w:rFonts w:eastAsia="楷体_GB2312" w:cs="Calibri"/>
                <w:b/>
                <w:sz w:val="18"/>
                <w:szCs w:val="18"/>
                <w:lang w:eastAsia="zh-CN"/>
              </w:rPr>
            </w:pPr>
            <w:r>
              <w:rPr>
                <w:rFonts w:eastAsia="楷体_GB2312" w:cs="Calibri" w:hint="eastAsia"/>
                <w:b/>
                <w:sz w:val="18"/>
                <w:szCs w:val="18"/>
                <w:lang w:eastAsia="zh-CN"/>
              </w:rPr>
              <w:t>图</w:t>
            </w:r>
            <w:r w:rsidR="006C6F7D">
              <w:rPr>
                <w:rFonts w:eastAsia="楷体_GB2312" w:cs="Calibri" w:hint="eastAsia"/>
                <w:b/>
                <w:sz w:val="18"/>
                <w:szCs w:val="18"/>
                <w:lang w:eastAsia="zh-CN"/>
              </w:rPr>
              <w:t>6</w:t>
            </w:r>
            <w:r>
              <w:rPr>
                <w:rFonts w:eastAsia="楷体_GB2312" w:cs="Calibri"/>
                <w:b/>
                <w:sz w:val="18"/>
                <w:szCs w:val="18"/>
                <w:lang w:eastAsia="zh-CN"/>
              </w:rPr>
              <w:t>：</w:t>
            </w:r>
            <w:r>
              <w:rPr>
                <w:rFonts w:eastAsia="楷体_GB2312" w:cs="Calibri"/>
                <w:b/>
                <w:sz w:val="18"/>
                <w:szCs w:val="18"/>
                <w:lang w:eastAsia="zh-CN"/>
              </w:rPr>
              <w:t>AI Model Rankings</w:t>
            </w:r>
          </w:p>
          <w:p w14:paraId="11B166B8" w14:textId="15A5AA59" w:rsidR="001473CF" w:rsidRPr="00A65D1B" w:rsidRDefault="00E571C1" w:rsidP="008C2039">
            <w:pPr>
              <w:overflowPunct w:val="0"/>
              <w:rPr>
                <w:rFonts w:eastAsia="楷体_GB2312" w:cs="Calibri"/>
                <w:b/>
                <w:sz w:val="17"/>
                <w:lang w:eastAsia="zh-CN"/>
              </w:rPr>
            </w:pPr>
            <w:r>
              <w:rPr>
                <w:noProof/>
                <w:snapToGrid/>
              </w:rPr>
              <w:drawing>
                <wp:inline distT="0" distB="0" distL="0" distR="0" wp14:anchorId="0F84D8B3" wp14:editId="7679FFA0">
                  <wp:extent cx="4733290" cy="1848485"/>
                  <wp:effectExtent l="0" t="0" r="0" b="0"/>
                  <wp:docPr id="1936568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8195" name=""/>
                          <pic:cNvPicPr/>
                        </pic:nvPicPr>
                        <pic:blipFill>
                          <a:blip r:embed="rId16"/>
                          <a:stretch>
                            <a:fillRect/>
                          </a:stretch>
                        </pic:blipFill>
                        <pic:spPr>
                          <a:xfrm>
                            <a:off x="0" y="0"/>
                            <a:ext cx="4733290" cy="1848485"/>
                          </a:xfrm>
                          <a:prstGeom prst="rect">
                            <a:avLst/>
                          </a:prstGeom>
                        </pic:spPr>
                      </pic:pic>
                    </a:graphicData>
                  </a:graphic>
                </wp:inline>
              </w:drawing>
            </w:r>
          </w:p>
        </w:tc>
      </w:tr>
      <w:tr w:rsidR="001473CF" w14:paraId="0F5FC7C6" w14:textId="77777777" w:rsidTr="008C2039">
        <w:tblPrEx>
          <w:tblCellMar>
            <w:left w:w="108" w:type="dxa"/>
            <w:right w:w="108" w:type="dxa"/>
          </w:tblCellMar>
        </w:tblPrEx>
        <w:trPr>
          <w:trHeight w:val="309"/>
        </w:trPr>
        <w:tc>
          <w:tcPr>
            <w:tcW w:w="7454" w:type="dxa"/>
            <w:tcBorders>
              <w:top w:val="single" w:sz="4" w:space="0" w:color="auto"/>
              <w:bottom w:val="nil"/>
            </w:tcBorders>
          </w:tcPr>
          <w:p w14:paraId="6973826F" w14:textId="1E939EEB" w:rsidR="001473CF" w:rsidRDefault="001473CF" w:rsidP="008C2039">
            <w:pPr>
              <w:overflowPunct w:val="0"/>
              <w:rPr>
                <w:rFonts w:eastAsia="楷体_GB2312" w:cs="Calibri"/>
                <w:sz w:val="10"/>
              </w:rPr>
            </w:pPr>
            <w:r>
              <w:rPr>
                <w:rFonts w:eastAsia="楷体_GB2312" w:cs="Calibri"/>
              </w:rPr>
              <w:t>资料来源：</w:t>
            </w:r>
            <w:proofErr w:type="spellStart"/>
            <w:r>
              <w:rPr>
                <w:rFonts w:eastAsia="楷体_GB2312" w:cs="Calibri" w:hint="eastAsia"/>
                <w:lang w:eastAsia="zh-CN"/>
              </w:rPr>
              <w:t>O</w:t>
            </w:r>
            <w:r>
              <w:rPr>
                <w:rFonts w:eastAsia="楷体_GB2312" w:cs="Calibri"/>
              </w:rPr>
              <w:t>penrouter</w:t>
            </w:r>
            <w:proofErr w:type="spellEnd"/>
            <w:r>
              <w:rPr>
                <w:rFonts w:eastAsia="楷体_GB2312" w:cs="Calibri" w:hint="eastAsia"/>
                <w:lang w:eastAsia="zh-CN"/>
              </w:rPr>
              <w:t xml:space="preserve">, </w:t>
            </w:r>
            <w:r>
              <w:rPr>
                <w:rFonts w:eastAsia="楷体_GB2312" w:cs="Calibri"/>
              </w:rPr>
              <w:t>HFI</w:t>
            </w:r>
          </w:p>
        </w:tc>
      </w:tr>
    </w:tbl>
    <w:p w14:paraId="5D8D5DB2" w14:textId="77777777" w:rsidR="006C5DF3" w:rsidRDefault="006C5DF3">
      <w:pPr>
        <w:overflowPunct w:val="0"/>
        <w:ind w:leftChars="2000" w:left="3200"/>
        <w:jc w:val="both"/>
        <w:rPr>
          <w:rFonts w:eastAsia="楷体_GB2312" w:cs="Calibri"/>
          <w:sz w:val="20"/>
          <w:szCs w:val="20"/>
          <w:lang w:val="en-US" w:eastAsia="zh-CN"/>
        </w:rPr>
      </w:pPr>
    </w:p>
    <w:p w14:paraId="7362DBC6" w14:textId="0345E021" w:rsidR="00AB1F0D" w:rsidRPr="009345FB" w:rsidRDefault="00AB1F0D" w:rsidP="009345FB">
      <w:pPr>
        <w:overflowPunct w:val="0"/>
        <w:ind w:leftChars="2000" w:left="3200"/>
        <w:jc w:val="both"/>
        <w:outlineLvl w:val="1"/>
        <w:rPr>
          <w:rFonts w:eastAsia="楷体_GB2312" w:cs="Calibri"/>
          <w:b/>
          <w:bCs/>
          <w:color w:val="1F497D" w:themeColor="text2"/>
          <w:sz w:val="24"/>
          <w:szCs w:val="24"/>
          <w:lang w:val="en-US" w:eastAsia="zh-CN"/>
        </w:rPr>
      </w:pPr>
      <w:hyperlink w:anchor="_Toc192787046" w:history="1">
        <w:bookmarkStart w:id="11" w:name="_Toc223546887"/>
        <w:r>
          <w:rPr>
            <w:rFonts w:eastAsia="楷体_GB2312" w:cs="Calibri"/>
            <w:b/>
            <w:bCs/>
            <w:color w:val="1F497D" w:themeColor="text2"/>
            <w:sz w:val="24"/>
            <w:szCs w:val="24"/>
            <w:lang w:val="en-US" w:eastAsia="zh-CN"/>
          </w:rPr>
          <w:t>（</w:t>
        </w:r>
        <w:r>
          <w:rPr>
            <w:rFonts w:eastAsia="楷体_GB2312" w:cs="Calibri" w:hint="eastAsia"/>
            <w:b/>
            <w:bCs/>
            <w:color w:val="1F497D" w:themeColor="text2"/>
            <w:sz w:val="24"/>
            <w:szCs w:val="24"/>
            <w:lang w:val="en-US" w:eastAsia="zh-CN"/>
          </w:rPr>
          <w:t>二</w:t>
        </w:r>
        <w:r>
          <w:rPr>
            <w:rFonts w:eastAsia="楷体_GB2312" w:cs="Calibri"/>
            <w:b/>
            <w:bCs/>
            <w:color w:val="1F497D" w:themeColor="text2"/>
            <w:sz w:val="24"/>
            <w:szCs w:val="24"/>
            <w:lang w:val="en-US" w:eastAsia="zh-CN"/>
          </w:rPr>
          <w:t>）</w:t>
        </w:r>
        <w:r>
          <w:rPr>
            <w:rFonts w:eastAsia="楷体_GB2312" w:cs="Calibri" w:hint="eastAsia"/>
            <w:b/>
            <w:bCs/>
            <w:color w:val="1F497D" w:themeColor="text2"/>
            <w:sz w:val="24"/>
            <w:szCs w:val="24"/>
            <w:lang w:val="en-US" w:eastAsia="zh-CN"/>
          </w:rPr>
          <w:t>美股市场回顾</w:t>
        </w:r>
        <w:bookmarkEnd w:id="11"/>
      </w:hyperlink>
    </w:p>
    <w:p w14:paraId="60EC834A" w14:textId="15FE079F" w:rsidR="00E9729E" w:rsidRPr="00957CB1" w:rsidRDefault="00957CB1">
      <w:pPr>
        <w:overflowPunct w:val="0"/>
        <w:ind w:leftChars="2000" w:left="3200"/>
        <w:jc w:val="both"/>
        <w:rPr>
          <w:rFonts w:eastAsia="楷体_GB2312" w:cs="Calibri"/>
          <w:sz w:val="20"/>
          <w:szCs w:val="20"/>
          <w:lang w:val="en-US" w:eastAsia="zh-CN"/>
        </w:rPr>
      </w:pPr>
      <w:r>
        <w:rPr>
          <w:rFonts w:eastAsia="楷体_GB2312" w:cs="Calibri" w:hint="eastAsia"/>
          <w:sz w:val="20"/>
          <w:szCs w:val="20"/>
          <w:lang w:val="en-US" w:eastAsia="zh-CN"/>
        </w:rPr>
        <w:t>本周美股互联网及科技板块先扬后抑，截至</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18</w:t>
      </w:r>
      <w:r>
        <w:rPr>
          <w:rFonts w:eastAsia="楷体_GB2312" w:cs="Calibri" w:hint="eastAsia"/>
          <w:sz w:val="20"/>
          <w:szCs w:val="20"/>
          <w:lang w:val="en-US" w:eastAsia="zh-CN"/>
        </w:rPr>
        <w:t>日，纳斯达克综合指数本周累计上涨</w:t>
      </w:r>
      <w:r>
        <w:rPr>
          <w:rFonts w:eastAsia="楷体_GB2312" w:cs="Calibri"/>
          <w:sz w:val="20"/>
          <w:szCs w:val="20"/>
          <w:lang w:val="en-US" w:eastAsia="zh-CN"/>
        </w:rPr>
        <w:t>0.21%</w:t>
      </w:r>
      <w:r>
        <w:rPr>
          <w:rFonts w:eastAsia="楷体_GB2312" w:cs="Calibri" w:hint="eastAsia"/>
          <w:sz w:val="20"/>
          <w:szCs w:val="20"/>
          <w:lang w:val="en-US" w:eastAsia="zh-CN"/>
        </w:rPr>
        <w:t>，</w:t>
      </w:r>
      <w:proofErr w:type="gramStart"/>
      <w:r>
        <w:rPr>
          <w:rFonts w:eastAsia="楷体_GB2312" w:cs="Calibri" w:hint="eastAsia"/>
          <w:sz w:val="20"/>
          <w:szCs w:val="20"/>
          <w:lang w:val="en-US" w:eastAsia="zh-CN"/>
        </w:rPr>
        <w:t>标普</w:t>
      </w:r>
      <w:proofErr w:type="gramEnd"/>
      <w:r>
        <w:rPr>
          <w:rFonts w:eastAsia="楷体_GB2312" w:cs="Calibri"/>
          <w:sz w:val="20"/>
          <w:szCs w:val="20"/>
          <w:lang w:val="en-US" w:eastAsia="zh-CN"/>
        </w:rPr>
        <w:t>500</w:t>
      </w:r>
      <w:r>
        <w:rPr>
          <w:rFonts w:eastAsia="楷体_GB2312" w:cs="Calibri" w:hint="eastAsia"/>
          <w:sz w:val="20"/>
          <w:szCs w:val="20"/>
          <w:lang w:val="en-US" w:eastAsia="zh-CN"/>
        </w:rPr>
        <w:t>下跌</w:t>
      </w:r>
      <w:r>
        <w:rPr>
          <w:rFonts w:eastAsia="楷体_GB2312" w:cs="Calibri"/>
          <w:sz w:val="20"/>
          <w:szCs w:val="20"/>
          <w:lang w:val="en-US" w:eastAsia="zh-CN"/>
        </w:rPr>
        <w:t>0.11%</w:t>
      </w:r>
      <w:r>
        <w:rPr>
          <w:rFonts w:eastAsia="楷体_GB2312" w:cs="Calibri" w:hint="eastAsia"/>
          <w:sz w:val="20"/>
          <w:szCs w:val="20"/>
          <w:lang w:val="en-US" w:eastAsia="zh-CN"/>
        </w:rPr>
        <w:t>，道琼斯指数下跌</w:t>
      </w:r>
      <w:r>
        <w:rPr>
          <w:rFonts w:eastAsia="楷体_GB2312" w:cs="Calibri"/>
          <w:sz w:val="20"/>
          <w:szCs w:val="20"/>
          <w:lang w:val="en-US" w:eastAsia="zh-CN"/>
        </w:rPr>
        <w:t>0.72%</w:t>
      </w:r>
      <w:r>
        <w:rPr>
          <w:rFonts w:eastAsia="楷体_GB2312" w:cs="Calibri" w:hint="eastAsia"/>
          <w:sz w:val="20"/>
          <w:szCs w:val="20"/>
          <w:lang w:val="en-US" w:eastAsia="zh-CN"/>
        </w:rPr>
        <w:t>。周一至周二市场延续反弹（</w:t>
      </w:r>
      <w:proofErr w:type="gramStart"/>
      <w:r>
        <w:rPr>
          <w:rFonts w:eastAsia="楷体_GB2312" w:cs="Calibri" w:hint="eastAsia"/>
          <w:sz w:val="20"/>
          <w:szCs w:val="20"/>
          <w:lang w:val="en-US" w:eastAsia="zh-CN"/>
        </w:rPr>
        <w:t>纳指周一</w:t>
      </w:r>
      <w:proofErr w:type="gramEnd"/>
      <w:r>
        <w:rPr>
          <w:rFonts w:eastAsia="楷体_GB2312" w:cs="Calibri"/>
          <w:sz w:val="20"/>
          <w:szCs w:val="20"/>
          <w:lang w:val="en-US" w:eastAsia="zh-CN"/>
        </w:rPr>
        <w:t>+1.22%</w:t>
      </w:r>
      <w:r>
        <w:rPr>
          <w:rFonts w:eastAsia="楷体_GB2312" w:cs="Calibri" w:hint="eastAsia"/>
          <w:sz w:val="20"/>
          <w:szCs w:val="20"/>
          <w:lang w:val="en-US" w:eastAsia="zh-CN"/>
        </w:rPr>
        <w:t>、周二</w:t>
      </w:r>
      <w:r>
        <w:rPr>
          <w:rFonts w:eastAsia="楷体_GB2312" w:cs="Calibri"/>
          <w:sz w:val="20"/>
          <w:szCs w:val="20"/>
          <w:lang w:val="en-US" w:eastAsia="zh-CN"/>
        </w:rPr>
        <w:t>+0.47%</w:t>
      </w:r>
      <w:r>
        <w:rPr>
          <w:rFonts w:eastAsia="楷体_GB2312" w:cs="Calibri" w:hint="eastAsia"/>
          <w:sz w:val="20"/>
          <w:szCs w:val="20"/>
          <w:lang w:val="en-US" w:eastAsia="zh-CN"/>
        </w:rPr>
        <w:t>），但周三受</w:t>
      </w:r>
      <w:r>
        <w:rPr>
          <w:rFonts w:eastAsia="楷体_GB2312" w:cs="Calibri"/>
          <w:sz w:val="20"/>
          <w:szCs w:val="20"/>
          <w:lang w:val="en-US" w:eastAsia="zh-CN"/>
        </w:rPr>
        <w:t>FOMC</w:t>
      </w:r>
      <w:r>
        <w:rPr>
          <w:rFonts w:eastAsia="楷体_GB2312" w:cs="Calibri" w:hint="eastAsia"/>
          <w:sz w:val="20"/>
          <w:szCs w:val="20"/>
          <w:lang w:val="en-US" w:eastAsia="zh-CN"/>
        </w:rPr>
        <w:t>会议前避险情绪及油价飙升影响，</w:t>
      </w:r>
      <w:proofErr w:type="gramStart"/>
      <w:r>
        <w:rPr>
          <w:rFonts w:eastAsia="楷体_GB2312" w:cs="Calibri" w:hint="eastAsia"/>
          <w:sz w:val="20"/>
          <w:szCs w:val="20"/>
          <w:lang w:val="en-US" w:eastAsia="zh-CN"/>
        </w:rPr>
        <w:t>纳指大跌</w:t>
      </w:r>
      <w:proofErr w:type="gramEnd"/>
      <w:r>
        <w:rPr>
          <w:rFonts w:eastAsia="楷体_GB2312" w:cs="Calibri"/>
          <w:sz w:val="20"/>
          <w:szCs w:val="20"/>
          <w:lang w:val="en-US" w:eastAsia="zh-CN"/>
        </w:rPr>
        <w:t>1.46%</w:t>
      </w:r>
      <w:r>
        <w:rPr>
          <w:rFonts w:eastAsia="楷体_GB2312" w:cs="Calibri" w:hint="eastAsia"/>
          <w:sz w:val="20"/>
          <w:szCs w:val="20"/>
          <w:lang w:val="en-US" w:eastAsia="zh-CN"/>
        </w:rPr>
        <w:t>，回吐此前涨幅。市场焦点集中在两大事件：一是美联储</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19</w:t>
      </w:r>
      <w:r>
        <w:rPr>
          <w:rFonts w:eastAsia="楷体_GB2312" w:cs="Calibri" w:hint="eastAsia"/>
          <w:sz w:val="20"/>
          <w:szCs w:val="20"/>
          <w:lang w:val="en-US" w:eastAsia="zh-CN"/>
        </w:rPr>
        <w:t>日凌晨</w:t>
      </w:r>
      <w:r>
        <w:rPr>
          <w:rFonts w:eastAsia="楷体_GB2312" w:cs="Calibri"/>
          <w:sz w:val="20"/>
          <w:szCs w:val="20"/>
          <w:lang w:val="en-US" w:eastAsia="zh-CN"/>
        </w:rPr>
        <w:t>FOMC</w:t>
      </w:r>
      <w:r>
        <w:rPr>
          <w:rFonts w:eastAsia="楷体_GB2312" w:cs="Calibri" w:hint="eastAsia"/>
          <w:sz w:val="20"/>
          <w:szCs w:val="20"/>
          <w:lang w:val="en-US" w:eastAsia="zh-CN"/>
        </w:rPr>
        <w:t>利率决议，维持</w:t>
      </w:r>
      <w:r>
        <w:rPr>
          <w:rFonts w:eastAsia="楷体_GB2312" w:cs="Calibri"/>
          <w:sz w:val="20"/>
          <w:szCs w:val="20"/>
          <w:lang w:val="en-US" w:eastAsia="zh-CN"/>
        </w:rPr>
        <w:t>3.50%-3.75%</w:t>
      </w:r>
      <w:r>
        <w:rPr>
          <w:rFonts w:eastAsia="楷体_GB2312" w:cs="Calibri" w:hint="eastAsia"/>
          <w:sz w:val="20"/>
          <w:szCs w:val="20"/>
          <w:lang w:val="en-US" w:eastAsia="zh-CN"/>
        </w:rPr>
        <w:t>不变，点阵图仍指向年内两次降息，但上调通胀预期、下调</w:t>
      </w:r>
      <w:r>
        <w:rPr>
          <w:rFonts w:eastAsia="楷体_GB2312" w:cs="Calibri"/>
          <w:sz w:val="20"/>
          <w:szCs w:val="20"/>
          <w:lang w:val="en-US" w:eastAsia="zh-CN"/>
        </w:rPr>
        <w:t>GDP</w:t>
      </w:r>
      <w:r>
        <w:rPr>
          <w:rFonts w:eastAsia="楷体_GB2312" w:cs="Calibri" w:hint="eastAsia"/>
          <w:sz w:val="20"/>
          <w:szCs w:val="20"/>
          <w:lang w:val="en-US" w:eastAsia="zh-CN"/>
        </w:rPr>
        <w:t>预期，市场解读偏鸽，</w:t>
      </w:r>
      <w:r>
        <w:rPr>
          <w:rFonts w:eastAsia="楷体_GB2312" w:cs="Calibri"/>
          <w:sz w:val="20"/>
          <w:szCs w:val="20"/>
          <w:lang w:val="en-US" w:eastAsia="zh-CN"/>
        </w:rPr>
        <w:t>FOMC</w:t>
      </w:r>
      <w:r>
        <w:rPr>
          <w:rFonts w:eastAsia="楷体_GB2312" w:cs="Calibri" w:hint="eastAsia"/>
          <w:sz w:val="20"/>
          <w:szCs w:val="20"/>
          <w:lang w:val="en-US" w:eastAsia="zh-CN"/>
        </w:rPr>
        <w:t>决议公布后美股盘后走高，</w:t>
      </w:r>
      <w:proofErr w:type="gramStart"/>
      <w:r>
        <w:rPr>
          <w:rFonts w:eastAsia="楷体_GB2312" w:cs="Calibri" w:hint="eastAsia"/>
          <w:sz w:val="20"/>
          <w:szCs w:val="20"/>
          <w:lang w:val="en-US" w:eastAsia="zh-CN"/>
        </w:rPr>
        <w:t>纳指一度</w:t>
      </w:r>
      <w:proofErr w:type="gramEnd"/>
      <w:r>
        <w:rPr>
          <w:rFonts w:eastAsia="楷体_GB2312" w:cs="Calibri" w:hint="eastAsia"/>
          <w:sz w:val="20"/>
          <w:szCs w:val="20"/>
          <w:lang w:val="en-US" w:eastAsia="zh-CN"/>
        </w:rPr>
        <w:t>大涨超</w:t>
      </w:r>
      <w:r>
        <w:rPr>
          <w:rFonts w:eastAsia="楷体_GB2312" w:cs="Calibri"/>
          <w:sz w:val="20"/>
          <w:szCs w:val="20"/>
          <w:lang w:val="en-US" w:eastAsia="zh-CN"/>
        </w:rPr>
        <w:t>2%</w:t>
      </w:r>
      <w:r>
        <w:rPr>
          <w:rFonts w:eastAsia="楷体_GB2312" w:cs="Calibri" w:hint="eastAsia"/>
          <w:sz w:val="20"/>
          <w:szCs w:val="20"/>
          <w:lang w:val="en-US" w:eastAsia="zh-CN"/>
        </w:rPr>
        <w:t>；二是</w:t>
      </w:r>
      <w:proofErr w:type="gramStart"/>
      <w:r>
        <w:rPr>
          <w:rFonts w:eastAsia="楷体_GB2312" w:cs="Calibri" w:hint="eastAsia"/>
          <w:sz w:val="20"/>
          <w:szCs w:val="20"/>
          <w:lang w:val="en-US" w:eastAsia="zh-CN"/>
        </w:rPr>
        <w:t>英伟达</w:t>
      </w:r>
      <w:proofErr w:type="gramEnd"/>
      <w:r>
        <w:rPr>
          <w:rFonts w:eastAsia="楷体_GB2312" w:cs="Calibri"/>
          <w:sz w:val="20"/>
          <w:szCs w:val="20"/>
          <w:lang w:val="en-US" w:eastAsia="zh-CN"/>
        </w:rPr>
        <w:t>GTC</w:t>
      </w:r>
      <w:r>
        <w:rPr>
          <w:rFonts w:eastAsia="楷体_GB2312" w:cs="Calibri" w:hint="eastAsia"/>
          <w:sz w:val="20"/>
          <w:szCs w:val="20"/>
          <w:lang w:val="en-US" w:eastAsia="zh-CN"/>
        </w:rPr>
        <w:t>大会（</w:t>
      </w:r>
      <w:r>
        <w:rPr>
          <w:rFonts w:eastAsia="楷体_GB2312" w:cs="Calibri"/>
          <w:sz w:val="20"/>
          <w:szCs w:val="20"/>
          <w:lang w:val="en-US" w:eastAsia="zh-CN"/>
        </w:rPr>
        <w:t>3</w:t>
      </w:r>
      <w:r>
        <w:rPr>
          <w:rFonts w:eastAsia="楷体_GB2312" w:cs="Calibri" w:hint="eastAsia"/>
          <w:sz w:val="20"/>
          <w:szCs w:val="20"/>
          <w:lang w:val="en-US" w:eastAsia="zh-CN"/>
        </w:rPr>
        <w:t>月</w:t>
      </w:r>
      <w:r>
        <w:rPr>
          <w:rFonts w:eastAsia="楷体_GB2312" w:cs="Calibri"/>
          <w:sz w:val="20"/>
          <w:szCs w:val="20"/>
          <w:lang w:val="en-US" w:eastAsia="zh-CN"/>
        </w:rPr>
        <w:t>17-21</w:t>
      </w:r>
      <w:r>
        <w:rPr>
          <w:rFonts w:eastAsia="楷体_GB2312" w:cs="Calibri" w:hint="eastAsia"/>
          <w:sz w:val="20"/>
          <w:szCs w:val="20"/>
          <w:lang w:val="en-US" w:eastAsia="zh-CN"/>
        </w:rPr>
        <w:t>日），黄</w:t>
      </w:r>
      <w:proofErr w:type="gramStart"/>
      <w:r>
        <w:rPr>
          <w:rFonts w:eastAsia="楷体_GB2312" w:cs="Calibri" w:hint="eastAsia"/>
          <w:sz w:val="20"/>
          <w:szCs w:val="20"/>
          <w:lang w:val="en-US" w:eastAsia="zh-CN"/>
        </w:rPr>
        <w:t>仁勋发布</w:t>
      </w:r>
      <w:proofErr w:type="gramEnd"/>
      <w:r>
        <w:rPr>
          <w:rFonts w:eastAsia="楷体_GB2312" w:cs="Calibri" w:hint="eastAsia"/>
          <w:sz w:val="20"/>
          <w:szCs w:val="20"/>
          <w:lang w:val="en-US" w:eastAsia="zh-CN"/>
        </w:rPr>
        <w:t>新一代</w:t>
      </w:r>
      <w:r>
        <w:rPr>
          <w:rFonts w:eastAsia="楷体_GB2312" w:cs="Calibri"/>
          <w:sz w:val="20"/>
          <w:szCs w:val="20"/>
          <w:lang w:val="en-US" w:eastAsia="zh-CN"/>
        </w:rPr>
        <w:t>AI</w:t>
      </w:r>
      <w:r>
        <w:rPr>
          <w:rFonts w:eastAsia="楷体_GB2312" w:cs="Calibri" w:hint="eastAsia"/>
          <w:sz w:val="20"/>
          <w:szCs w:val="20"/>
          <w:lang w:val="en-US" w:eastAsia="zh-CN"/>
        </w:rPr>
        <w:t>平台及芯片产品线，半导体</w:t>
      </w:r>
      <w:proofErr w:type="gramStart"/>
      <w:r>
        <w:rPr>
          <w:rFonts w:eastAsia="楷体_GB2312" w:cs="Calibri" w:hint="eastAsia"/>
          <w:sz w:val="20"/>
          <w:szCs w:val="20"/>
          <w:lang w:val="en-US" w:eastAsia="zh-CN"/>
        </w:rPr>
        <w:t>板块获</w:t>
      </w:r>
      <w:proofErr w:type="gramEnd"/>
      <w:r>
        <w:rPr>
          <w:rFonts w:eastAsia="楷体_GB2312" w:cs="Calibri" w:hint="eastAsia"/>
          <w:sz w:val="20"/>
          <w:szCs w:val="20"/>
          <w:lang w:val="en-US" w:eastAsia="zh-CN"/>
        </w:rPr>
        <w:t>短期提振。</w:t>
      </w:r>
    </w:p>
    <w:p w14:paraId="4B2C7007" w14:textId="77777777" w:rsidR="001473CF" w:rsidRDefault="001473CF" w:rsidP="00A466BC">
      <w:pPr>
        <w:overflowPunct w:val="0"/>
        <w:ind w:leftChars="2000" w:left="3200"/>
        <w:jc w:val="both"/>
        <w:rPr>
          <w:rFonts w:eastAsia="楷体_GB2312" w:cs="Calibri"/>
          <w:sz w:val="20"/>
          <w:szCs w:val="20"/>
          <w:lang w:val="en-US" w:eastAsia="zh-CN"/>
        </w:rPr>
      </w:pPr>
    </w:p>
    <w:tbl>
      <w:tblPr>
        <w:tblStyle w:val="af6"/>
        <w:tblW w:w="7454" w:type="dxa"/>
        <w:tblInd w:w="3247" w:type="dxa"/>
        <w:tblBorders>
          <w:top w:val="none" w:sz="0" w:space="0" w:color="auto"/>
          <w:left w:val="none" w:sz="0" w:space="0" w:color="auto"/>
          <w:bottom w:val="none" w:sz="0" w:space="0" w:color="auto"/>
          <w:right w:val="none" w:sz="0" w:space="0" w:color="auto"/>
          <w:insideH w:val="none" w:sz="0" w:space="0" w:color="auto"/>
          <w:insideV w:val="single" w:sz="12" w:space="0" w:color="auto"/>
        </w:tblBorders>
        <w:tblLayout w:type="fixed"/>
        <w:tblLook w:val="04A0" w:firstRow="1" w:lastRow="0" w:firstColumn="1" w:lastColumn="0" w:noHBand="0" w:noVBand="1"/>
      </w:tblPr>
      <w:tblGrid>
        <w:gridCol w:w="7454"/>
      </w:tblGrid>
      <w:tr w:rsidR="001473CF" w:rsidRPr="00A65D1B" w14:paraId="72CA81D5" w14:textId="77777777" w:rsidTr="00E571C1">
        <w:trPr>
          <w:trHeight w:val="2946"/>
        </w:trPr>
        <w:tc>
          <w:tcPr>
            <w:tcW w:w="7454" w:type="dxa"/>
            <w:tcBorders>
              <w:bottom w:val="single" w:sz="4" w:space="0" w:color="auto"/>
            </w:tcBorders>
          </w:tcPr>
          <w:p w14:paraId="510FFDC4" w14:textId="49242091" w:rsidR="001473CF" w:rsidRDefault="001473CF" w:rsidP="008C2039">
            <w:pPr>
              <w:pBdr>
                <w:bottom w:val="single" w:sz="4" w:space="1" w:color="auto"/>
              </w:pBdr>
              <w:overflowPunct w:val="0"/>
              <w:rPr>
                <w:rFonts w:eastAsia="楷体_GB2312" w:cs="Calibri"/>
                <w:b/>
                <w:sz w:val="18"/>
                <w:szCs w:val="18"/>
                <w:lang w:eastAsia="zh-CN"/>
              </w:rPr>
            </w:pPr>
            <w:r>
              <w:rPr>
                <w:rFonts w:eastAsia="楷体_GB2312" w:cs="Calibri" w:hint="eastAsia"/>
                <w:b/>
                <w:sz w:val="18"/>
                <w:szCs w:val="18"/>
                <w:lang w:eastAsia="zh-CN"/>
              </w:rPr>
              <w:lastRenderedPageBreak/>
              <w:t>图</w:t>
            </w:r>
            <w:r w:rsidR="006C6F7D">
              <w:rPr>
                <w:rFonts w:eastAsia="楷体_GB2312" w:cs="Calibri" w:hint="eastAsia"/>
                <w:b/>
                <w:sz w:val="18"/>
                <w:szCs w:val="18"/>
                <w:lang w:eastAsia="zh-CN"/>
              </w:rPr>
              <w:t>7</w:t>
            </w:r>
            <w:r>
              <w:rPr>
                <w:rFonts w:eastAsia="楷体_GB2312" w:cs="Calibri"/>
                <w:b/>
                <w:sz w:val="18"/>
                <w:szCs w:val="18"/>
                <w:lang w:eastAsia="zh-CN"/>
              </w:rPr>
              <w:t>：</w:t>
            </w:r>
            <w:r>
              <w:rPr>
                <w:rFonts w:eastAsia="楷体_GB2312" w:cs="Calibri" w:hint="eastAsia"/>
                <w:b/>
                <w:sz w:val="18"/>
                <w:szCs w:val="18"/>
                <w:lang w:eastAsia="zh-CN"/>
              </w:rPr>
              <w:t>纳斯达克</w:t>
            </w:r>
            <w:r>
              <w:rPr>
                <w:rFonts w:eastAsia="楷体_GB2312" w:cs="Calibri" w:hint="eastAsia"/>
                <w:b/>
                <w:sz w:val="18"/>
                <w:szCs w:val="18"/>
                <w:lang w:eastAsia="zh-CN"/>
              </w:rPr>
              <w:t>YTD</w:t>
            </w:r>
            <w:r>
              <w:rPr>
                <w:rFonts w:eastAsia="楷体_GB2312" w:cs="Calibri" w:hint="eastAsia"/>
                <w:b/>
                <w:sz w:val="18"/>
                <w:szCs w:val="18"/>
                <w:lang w:eastAsia="zh-CN"/>
              </w:rPr>
              <w:t>表现回顾（截止</w:t>
            </w:r>
            <w:r>
              <w:rPr>
                <w:rFonts w:eastAsia="楷体_GB2312" w:cs="Calibri" w:hint="eastAsia"/>
                <w:b/>
                <w:sz w:val="18"/>
                <w:szCs w:val="18"/>
                <w:lang w:eastAsia="zh-CN"/>
              </w:rPr>
              <w:t>3/1</w:t>
            </w:r>
            <w:r w:rsidR="008666C0">
              <w:rPr>
                <w:rFonts w:eastAsia="楷体_GB2312" w:cs="Calibri" w:hint="eastAsia"/>
                <w:b/>
                <w:sz w:val="18"/>
                <w:szCs w:val="18"/>
                <w:lang w:eastAsia="zh-CN"/>
              </w:rPr>
              <w:t>8</w:t>
            </w:r>
            <w:r>
              <w:rPr>
                <w:rFonts w:eastAsia="楷体_GB2312" w:cs="Calibri" w:hint="eastAsia"/>
                <w:b/>
                <w:sz w:val="18"/>
                <w:szCs w:val="18"/>
                <w:lang w:eastAsia="zh-CN"/>
              </w:rPr>
              <w:t>）</w:t>
            </w:r>
          </w:p>
          <w:p w14:paraId="6D8718AC" w14:textId="0F25958F" w:rsidR="001473CF" w:rsidRPr="00A65D1B" w:rsidRDefault="00E571C1" w:rsidP="008C2039">
            <w:pPr>
              <w:overflowPunct w:val="0"/>
              <w:rPr>
                <w:rFonts w:eastAsia="楷体_GB2312" w:cs="Calibri"/>
                <w:b/>
                <w:sz w:val="17"/>
                <w:lang w:eastAsia="zh-CN"/>
              </w:rPr>
            </w:pPr>
            <w:r>
              <w:rPr>
                <w:noProof/>
                <w:snapToGrid/>
              </w:rPr>
              <w:drawing>
                <wp:inline distT="0" distB="0" distL="0" distR="0" wp14:anchorId="2FE7535C" wp14:editId="5875C40A">
                  <wp:extent cx="4572000" cy="2786743"/>
                  <wp:effectExtent l="0" t="0" r="0" b="0"/>
                  <wp:docPr id="1724110217" name="图表 1">
                    <a:extLst xmlns:a="http://schemas.openxmlformats.org/drawingml/2006/main">
                      <a:ext uri="{FF2B5EF4-FFF2-40B4-BE49-F238E27FC236}">
                        <a16:creationId xmlns:a16="http://schemas.microsoft.com/office/drawing/2014/main" id="{24AA2F27-666D-5C78-8864-B2C374F719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1473CF" w14:paraId="033A346B" w14:textId="77777777" w:rsidTr="008C2039">
        <w:trPr>
          <w:trHeight w:val="309"/>
        </w:trPr>
        <w:tc>
          <w:tcPr>
            <w:tcW w:w="7454" w:type="dxa"/>
            <w:tcBorders>
              <w:top w:val="single" w:sz="4" w:space="0" w:color="auto"/>
              <w:bottom w:val="nil"/>
            </w:tcBorders>
          </w:tcPr>
          <w:p w14:paraId="5DE3B240" w14:textId="3CB16FFF" w:rsidR="001473CF" w:rsidRDefault="001473CF" w:rsidP="008C2039">
            <w:pPr>
              <w:overflowPunct w:val="0"/>
              <w:rPr>
                <w:rFonts w:eastAsia="楷体_GB2312" w:cs="Calibri"/>
                <w:sz w:val="10"/>
              </w:rPr>
            </w:pPr>
            <w:r>
              <w:rPr>
                <w:rFonts w:eastAsia="楷体_GB2312" w:cs="Calibri"/>
              </w:rPr>
              <w:t>资料来源：</w:t>
            </w:r>
            <w:r w:rsidR="00E571C1">
              <w:rPr>
                <w:rFonts w:eastAsia="楷体_GB2312" w:cs="Calibri" w:hint="eastAsia"/>
                <w:lang w:eastAsia="zh-CN"/>
              </w:rPr>
              <w:t>Yahoo</w:t>
            </w:r>
            <w:r>
              <w:rPr>
                <w:rFonts w:eastAsia="楷体_GB2312" w:cs="Calibri" w:hint="eastAsia"/>
                <w:lang w:eastAsia="zh-CN"/>
              </w:rPr>
              <w:t xml:space="preserve">, </w:t>
            </w:r>
            <w:r>
              <w:rPr>
                <w:rFonts w:eastAsia="楷体_GB2312" w:cs="Calibri"/>
              </w:rPr>
              <w:t>HFI</w:t>
            </w:r>
          </w:p>
        </w:tc>
      </w:tr>
    </w:tbl>
    <w:p w14:paraId="33457CDA" w14:textId="77777777" w:rsidR="001473CF" w:rsidRDefault="001473CF" w:rsidP="006C6F7D">
      <w:pPr>
        <w:overflowPunct w:val="0"/>
        <w:jc w:val="both"/>
        <w:rPr>
          <w:rFonts w:eastAsia="楷体_GB2312" w:cs="Calibri"/>
          <w:sz w:val="20"/>
          <w:szCs w:val="20"/>
          <w:u w:val="single"/>
          <w:lang w:val="en-US" w:eastAsia="zh-CN"/>
        </w:rPr>
      </w:pPr>
    </w:p>
    <w:p w14:paraId="2463CA90" w14:textId="77777777" w:rsidR="00957CB1" w:rsidRDefault="00642189" w:rsidP="00C30902">
      <w:pPr>
        <w:overflowPunct w:val="0"/>
        <w:ind w:leftChars="2000" w:left="3200"/>
        <w:jc w:val="both"/>
        <w:rPr>
          <w:rFonts w:eastAsia="楷体_GB2312" w:cs="Calibri"/>
          <w:sz w:val="20"/>
          <w:szCs w:val="20"/>
          <w:lang w:eastAsia="zh-CN"/>
        </w:rPr>
      </w:pPr>
      <w:r>
        <w:rPr>
          <w:rFonts w:eastAsia="楷体_GB2312" w:cs="Calibri"/>
          <w:b/>
          <w:bCs/>
          <w:sz w:val="20"/>
          <w:szCs w:val="20"/>
          <w:u w:val="single"/>
          <w:lang w:eastAsia="zh-CN"/>
        </w:rPr>
        <w:t>驱动本周修复的核心因素包括三方面：</w:t>
      </w:r>
      <w:r>
        <w:rPr>
          <w:rFonts w:eastAsia="楷体_GB2312" w:cs="Calibri"/>
          <w:sz w:val="20"/>
          <w:szCs w:val="20"/>
          <w:u w:val="single"/>
          <w:lang w:eastAsia="zh-CN"/>
        </w:rPr>
        <w:t xml:space="preserve"> </w:t>
      </w:r>
      <w:r>
        <w:rPr>
          <w:rFonts w:eastAsia="楷体_GB2312" w:cs="Calibri" w:hint="eastAsia"/>
          <w:sz w:val="20"/>
          <w:szCs w:val="20"/>
          <w:lang w:eastAsia="zh-CN"/>
        </w:rPr>
        <w:t>一是美联储</w:t>
      </w:r>
      <w:r>
        <w:rPr>
          <w:rFonts w:eastAsia="楷体_GB2312" w:cs="Calibri"/>
          <w:sz w:val="20"/>
          <w:szCs w:val="20"/>
          <w:lang w:eastAsia="zh-CN"/>
        </w:rPr>
        <w:t>FOMC</w:t>
      </w:r>
      <w:r>
        <w:rPr>
          <w:rFonts w:eastAsia="楷体_GB2312" w:cs="Calibri" w:hint="eastAsia"/>
          <w:sz w:val="20"/>
          <w:szCs w:val="20"/>
          <w:lang w:eastAsia="zh-CN"/>
        </w:rPr>
        <w:t>释放鸽派信号，维持利率</w:t>
      </w:r>
      <w:proofErr w:type="gramStart"/>
      <w:r>
        <w:rPr>
          <w:rFonts w:eastAsia="楷体_GB2312" w:cs="Calibri" w:hint="eastAsia"/>
          <w:sz w:val="20"/>
          <w:szCs w:val="20"/>
          <w:lang w:eastAsia="zh-CN"/>
        </w:rPr>
        <w:t>不变但</w:t>
      </w:r>
      <w:proofErr w:type="gramEnd"/>
      <w:r>
        <w:rPr>
          <w:rFonts w:eastAsia="楷体_GB2312" w:cs="Calibri" w:hint="eastAsia"/>
          <w:sz w:val="20"/>
          <w:szCs w:val="20"/>
          <w:lang w:eastAsia="zh-CN"/>
        </w:rPr>
        <w:t>点阵图保留年内两次降息预期，经济增长担忧加剧推动市场定价年内三次降息（最早</w:t>
      </w:r>
      <w:r>
        <w:rPr>
          <w:rFonts w:eastAsia="楷体_GB2312" w:cs="Calibri"/>
          <w:sz w:val="20"/>
          <w:szCs w:val="20"/>
          <w:lang w:eastAsia="zh-CN"/>
        </w:rPr>
        <w:t>6</w:t>
      </w:r>
      <w:r>
        <w:rPr>
          <w:rFonts w:eastAsia="楷体_GB2312" w:cs="Calibri" w:hint="eastAsia"/>
          <w:sz w:val="20"/>
          <w:szCs w:val="20"/>
          <w:lang w:eastAsia="zh-CN"/>
        </w:rPr>
        <w:t>月），风险资产估值压力边际缓解；二是</w:t>
      </w:r>
      <w:proofErr w:type="gramStart"/>
      <w:r>
        <w:rPr>
          <w:rFonts w:eastAsia="楷体_GB2312" w:cs="Calibri" w:hint="eastAsia"/>
          <w:sz w:val="20"/>
          <w:szCs w:val="20"/>
          <w:lang w:eastAsia="zh-CN"/>
        </w:rPr>
        <w:t>英伟达</w:t>
      </w:r>
      <w:proofErr w:type="gramEnd"/>
      <w:r>
        <w:rPr>
          <w:rFonts w:eastAsia="楷体_GB2312" w:cs="Calibri"/>
          <w:sz w:val="20"/>
          <w:szCs w:val="20"/>
          <w:lang w:eastAsia="zh-CN"/>
        </w:rPr>
        <w:t>GTC</w:t>
      </w:r>
      <w:r>
        <w:rPr>
          <w:rFonts w:eastAsia="楷体_GB2312" w:cs="Calibri" w:hint="eastAsia"/>
          <w:sz w:val="20"/>
          <w:szCs w:val="20"/>
          <w:lang w:eastAsia="zh-CN"/>
        </w:rPr>
        <w:t>大会持续释放</w:t>
      </w:r>
      <w:r>
        <w:rPr>
          <w:rFonts w:eastAsia="楷体_GB2312" w:cs="Calibri"/>
          <w:sz w:val="20"/>
          <w:szCs w:val="20"/>
          <w:lang w:eastAsia="zh-CN"/>
        </w:rPr>
        <w:t>AI</w:t>
      </w:r>
      <w:proofErr w:type="gramStart"/>
      <w:r>
        <w:rPr>
          <w:rFonts w:eastAsia="楷体_GB2312" w:cs="Calibri" w:hint="eastAsia"/>
          <w:sz w:val="20"/>
          <w:szCs w:val="20"/>
          <w:lang w:eastAsia="zh-CN"/>
        </w:rPr>
        <w:t>算力需求</w:t>
      </w:r>
      <w:proofErr w:type="gramEnd"/>
      <w:r>
        <w:rPr>
          <w:rFonts w:eastAsia="楷体_GB2312" w:cs="Calibri" w:hint="eastAsia"/>
          <w:sz w:val="20"/>
          <w:szCs w:val="20"/>
          <w:lang w:eastAsia="zh-CN"/>
        </w:rPr>
        <w:t>信号，半导体及</w:t>
      </w:r>
      <w:r>
        <w:rPr>
          <w:rFonts w:eastAsia="楷体_GB2312" w:cs="Calibri"/>
          <w:sz w:val="20"/>
          <w:szCs w:val="20"/>
          <w:lang w:eastAsia="zh-CN"/>
        </w:rPr>
        <w:t>AI</w:t>
      </w:r>
      <w:r>
        <w:rPr>
          <w:rFonts w:eastAsia="楷体_GB2312" w:cs="Calibri" w:hint="eastAsia"/>
          <w:sz w:val="20"/>
          <w:szCs w:val="20"/>
          <w:lang w:eastAsia="zh-CN"/>
        </w:rPr>
        <w:t>基础设施</w:t>
      </w:r>
      <w:proofErr w:type="gramStart"/>
      <w:r>
        <w:rPr>
          <w:rFonts w:eastAsia="楷体_GB2312" w:cs="Calibri" w:hint="eastAsia"/>
          <w:sz w:val="20"/>
          <w:szCs w:val="20"/>
          <w:lang w:eastAsia="zh-CN"/>
        </w:rPr>
        <w:t>板块获</w:t>
      </w:r>
      <w:proofErr w:type="gramEnd"/>
      <w:r>
        <w:rPr>
          <w:rFonts w:eastAsia="楷体_GB2312" w:cs="Calibri" w:hint="eastAsia"/>
          <w:sz w:val="20"/>
          <w:szCs w:val="20"/>
          <w:lang w:eastAsia="zh-CN"/>
        </w:rPr>
        <w:t>结构性支撑；三是油价突破</w:t>
      </w:r>
      <w:r>
        <w:rPr>
          <w:rFonts w:eastAsia="楷体_GB2312" w:cs="Calibri"/>
          <w:sz w:val="20"/>
          <w:szCs w:val="20"/>
          <w:lang w:eastAsia="zh-CN"/>
        </w:rPr>
        <w:t>100</w:t>
      </w:r>
      <w:r>
        <w:rPr>
          <w:rFonts w:eastAsia="楷体_GB2312" w:cs="Calibri" w:hint="eastAsia"/>
          <w:sz w:val="20"/>
          <w:szCs w:val="20"/>
          <w:lang w:eastAsia="zh-CN"/>
        </w:rPr>
        <w:t>美元关口对成本端的压制仍在延续，能源与科技板块间的风格轮动持续，波动率维持高位。</w:t>
      </w:r>
    </w:p>
    <w:p w14:paraId="03E64210" w14:textId="77777777" w:rsidR="00957CB1" w:rsidRDefault="00957CB1" w:rsidP="00C30902">
      <w:pPr>
        <w:overflowPunct w:val="0"/>
        <w:ind w:leftChars="2000" w:left="3200"/>
        <w:jc w:val="both"/>
        <w:rPr>
          <w:rFonts w:eastAsia="楷体_GB2312" w:cs="Calibri"/>
          <w:b/>
          <w:bCs/>
          <w:sz w:val="20"/>
          <w:szCs w:val="20"/>
          <w:lang w:val="en-US" w:eastAsia="zh-CN"/>
        </w:rPr>
      </w:pPr>
    </w:p>
    <w:p w14:paraId="2C7C08C7" w14:textId="235EB8DA" w:rsidR="00043BDD" w:rsidRDefault="009D68E9" w:rsidP="00C30902">
      <w:pPr>
        <w:overflowPunct w:val="0"/>
        <w:ind w:leftChars="2000" w:left="3200"/>
        <w:jc w:val="both"/>
        <w:rPr>
          <w:rFonts w:eastAsia="楷体_GB2312" w:cs="Calibri"/>
          <w:sz w:val="20"/>
          <w:szCs w:val="20"/>
          <w:lang w:val="en-US" w:eastAsia="zh-CN"/>
        </w:rPr>
      </w:pPr>
      <w:r>
        <w:rPr>
          <w:rFonts w:eastAsia="楷体_GB2312" w:cs="Calibri" w:hint="eastAsia"/>
          <w:b/>
          <w:bCs/>
          <w:sz w:val="20"/>
          <w:szCs w:val="20"/>
          <w:lang w:val="en-US" w:eastAsia="zh-CN"/>
        </w:rPr>
        <w:t>我们维持对美股互联网板块的中长期乐观判断，认为当前调整属于</w:t>
      </w:r>
      <w:r>
        <w:rPr>
          <w:rFonts w:eastAsia="楷体_GB2312" w:cs="Calibri"/>
          <w:b/>
          <w:bCs/>
          <w:sz w:val="20"/>
          <w:szCs w:val="20"/>
          <w:lang w:val="en-US" w:eastAsia="zh-CN"/>
        </w:rPr>
        <w:t>AI</w:t>
      </w:r>
      <w:r>
        <w:rPr>
          <w:rFonts w:eastAsia="楷体_GB2312" w:cs="Calibri" w:hint="eastAsia"/>
          <w:b/>
          <w:bCs/>
          <w:sz w:val="20"/>
          <w:szCs w:val="20"/>
          <w:lang w:val="en-US" w:eastAsia="zh-CN"/>
        </w:rPr>
        <w:t>产业从技术</w:t>
      </w:r>
      <w:proofErr w:type="gramStart"/>
      <w:r>
        <w:rPr>
          <w:rFonts w:eastAsia="楷体_GB2312" w:cs="Calibri" w:hint="eastAsia"/>
          <w:b/>
          <w:bCs/>
          <w:sz w:val="20"/>
          <w:szCs w:val="20"/>
          <w:lang w:val="en-US" w:eastAsia="zh-CN"/>
        </w:rPr>
        <w:t>狂热向</w:t>
      </w:r>
      <w:proofErr w:type="gramEnd"/>
      <w:r>
        <w:rPr>
          <w:rFonts w:eastAsia="楷体_GB2312" w:cs="Calibri" w:hint="eastAsia"/>
          <w:b/>
          <w:bCs/>
          <w:sz w:val="20"/>
          <w:szCs w:val="20"/>
          <w:lang w:val="en-US" w:eastAsia="zh-CN"/>
        </w:rPr>
        <w:t>规模化落地过渡的正常波动。</w:t>
      </w:r>
      <w:r>
        <w:rPr>
          <w:rFonts w:eastAsia="楷体_GB2312" w:cs="Calibri" w:hint="eastAsia"/>
          <w:sz w:val="20"/>
          <w:szCs w:val="20"/>
          <w:lang w:val="en-US" w:eastAsia="zh-CN"/>
        </w:rPr>
        <w:t>建议重点关注兼具强大</w:t>
      </w:r>
      <w:proofErr w:type="gramStart"/>
      <w:r>
        <w:rPr>
          <w:rFonts w:eastAsia="楷体_GB2312" w:cs="Calibri" w:hint="eastAsia"/>
          <w:sz w:val="20"/>
          <w:szCs w:val="20"/>
          <w:lang w:val="en-US" w:eastAsia="zh-CN"/>
        </w:rPr>
        <w:t>云基础</w:t>
      </w:r>
      <w:proofErr w:type="gramEnd"/>
      <w:r>
        <w:rPr>
          <w:rFonts w:eastAsia="楷体_GB2312" w:cs="Calibri" w:hint="eastAsia"/>
          <w:sz w:val="20"/>
          <w:szCs w:val="20"/>
          <w:lang w:val="en-US" w:eastAsia="zh-CN"/>
        </w:rPr>
        <w:t>设施、丰富企业场景及估值已有所消化的优质标的，如微软、亚马逊及</w:t>
      </w:r>
      <w:r>
        <w:rPr>
          <w:rFonts w:eastAsia="楷体_GB2312" w:cs="Calibri"/>
          <w:sz w:val="20"/>
          <w:szCs w:val="20"/>
          <w:lang w:val="en-US" w:eastAsia="zh-CN"/>
        </w:rPr>
        <w:t>Alphabet</w:t>
      </w:r>
      <w:r>
        <w:rPr>
          <w:rFonts w:eastAsia="楷体_GB2312" w:cs="Calibri" w:hint="eastAsia"/>
          <w:sz w:val="20"/>
          <w:szCs w:val="20"/>
          <w:lang w:val="en-US" w:eastAsia="zh-CN"/>
        </w:rPr>
        <w:t>等。这些公司有望受益于中美</w:t>
      </w:r>
      <w:r>
        <w:rPr>
          <w:rFonts w:eastAsia="楷体_GB2312" w:cs="Calibri"/>
          <w:sz w:val="20"/>
          <w:szCs w:val="20"/>
          <w:lang w:val="en-US" w:eastAsia="zh-CN"/>
        </w:rPr>
        <w:t>AI</w:t>
      </w:r>
      <w:r>
        <w:rPr>
          <w:rFonts w:eastAsia="楷体_GB2312" w:cs="Calibri" w:hint="eastAsia"/>
          <w:sz w:val="20"/>
          <w:szCs w:val="20"/>
          <w:lang w:val="en-US" w:eastAsia="zh-CN"/>
        </w:rPr>
        <w:t>技术双轮驱动，在全球市场竞争中维持领先地位。</w:t>
      </w:r>
    </w:p>
    <w:p w14:paraId="3897CFAB" w14:textId="77777777" w:rsidR="00C30902" w:rsidRDefault="00C30902" w:rsidP="00C30902">
      <w:pPr>
        <w:overflowPunct w:val="0"/>
        <w:ind w:leftChars="2000" w:left="3200"/>
        <w:jc w:val="both"/>
        <w:rPr>
          <w:rFonts w:eastAsia="楷体_GB2312" w:cs="Calibri"/>
          <w:sz w:val="20"/>
          <w:szCs w:val="20"/>
          <w:lang w:val="en-US" w:eastAsia="zh-CN"/>
        </w:rPr>
      </w:pPr>
    </w:p>
    <w:p w14:paraId="1C92C4CE" w14:textId="523B0BFC" w:rsidR="00043BDD" w:rsidRDefault="001473CF">
      <w:pPr>
        <w:overflowPunct w:val="0"/>
        <w:ind w:leftChars="2000" w:left="3200"/>
        <w:jc w:val="both"/>
        <w:outlineLvl w:val="0"/>
        <w:rPr>
          <w:rFonts w:eastAsia="楷体_GB2312" w:cs="Calibri"/>
          <w:b/>
          <w:bCs/>
          <w:color w:val="1F497D" w:themeColor="text2"/>
          <w:sz w:val="24"/>
          <w:szCs w:val="24"/>
          <w:lang w:val="en-US" w:eastAsia="zh-CN"/>
        </w:rPr>
      </w:pPr>
      <w:hyperlink w:anchor="_Toc192787055" w:history="1">
        <w:bookmarkStart w:id="12" w:name="_Toc2082544423"/>
        <w:bookmarkStart w:id="13" w:name="_Toc223546888"/>
        <w:r>
          <w:rPr>
            <w:rFonts w:eastAsia="楷体_GB2312" w:cs="Calibri" w:hint="eastAsia"/>
            <w:b/>
            <w:bCs/>
            <w:color w:val="1F497D" w:themeColor="text2"/>
            <w:sz w:val="24"/>
            <w:szCs w:val="24"/>
            <w:lang w:val="en-US" w:eastAsia="zh-CN"/>
          </w:rPr>
          <w:t>三</w:t>
        </w:r>
        <w:r>
          <w:rPr>
            <w:rFonts w:eastAsia="楷体_GB2312" w:cs="Calibri"/>
            <w:b/>
            <w:bCs/>
            <w:color w:val="1F497D" w:themeColor="text2"/>
            <w:sz w:val="24"/>
            <w:szCs w:val="24"/>
            <w:lang w:val="en-US" w:eastAsia="zh-CN"/>
          </w:rPr>
          <w:t>、</w:t>
        </w:r>
        <w:bookmarkEnd w:id="12"/>
        <w:r>
          <w:rPr>
            <w:rFonts w:eastAsia="楷体_GB2312" w:cs="Calibri" w:hint="eastAsia"/>
            <w:b/>
            <w:bCs/>
            <w:color w:val="1F497D" w:themeColor="text2"/>
            <w:sz w:val="24"/>
            <w:szCs w:val="24"/>
            <w:lang w:val="en-US" w:eastAsia="zh-CN"/>
          </w:rPr>
          <w:t>通用航空</w:t>
        </w:r>
        <w:bookmarkEnd w:id="13"/>
      </w:hyperlink>
      <w:bookmarkStart w:id="14" w:name="_Toc1635638555"/>
      <w:r>
        <w:rPr>
          <w:rFonts w:eastAsia="楷体_GB2312" w:cs="Calibri" w:hint="eastAsia"/>
          <w:b/>
          <w:bCs/>
          <w:color w:val="1F497D" w:themeColor="text2"/>
          <w:sz w:val="24"/>
          <w:szCs w:val="24"/>
          <w:lang w:val="en-US" w:eastAsia="zh-CN"/>
        </w:rPr>
        <w:t>板块表现</w:t>
      </w:r>
    </w:p>
    <w:bookmarkEnd w:id="14"/>
    <w:p w14:paraId="2734B270" w14:textId="75126AAB" w:rsidR="001473CF" w:rsidRPr="004D21CE" w:rsidRDefault="00FC6CC8" w:rsidP="004D21CE">
      <w:pPr>
        <w:overflowPunct w:val="0"/>
        <w:ind w:leftChars="2000" w:left="3200"/>
        <w:jc w:val="both"/>
        <w:outlineLvl w:val="1"/>
        <w:rPr>
          <w:rFonts w:eastAsia="楷体_GB2312" w:cs="Calibri"/>
          <w:b/>
          <w:bCs/>
          <w:color w:val="1F497D" w:themeColor="text2"/>
          <w:sz w:val="24"/>
          <w:szCs w:val="24"/>
          <w:lang w:val="en-US" w:eastAsia="zh-CN"/>
        </w:rPr>
      </w:pPr>
      <w:r>
        <w:rPr>
          <w:rFonts w:eastAsia="楷体_GB2312" w:cs="Calibri"/>
          <w:b/>
          <w:bCs/>
          <w:color w:val="1F497D" w:themeColor="text2"/>
          <w:sz w:val="24"/>
          <w:szCs w:val="24"/>
          <w:lang w:val="en-US" w:eastAsia="zh-CN"/>
        </w:rPr>
        <w:fldChar w:fldCharType="begin"/>
      </w:r>
      <w:r>
        <w:rPr>
          <w:rFonts w:eastAsia="楷体_GB2312" w:cs="Calibri"/>
          <w:b/>
          <w:bCs/>
          <w:color w:val="1F497D" w:themeColor="text2"/>
          <w:sz w:val="24"/>
          <w:szCs w:val="24"/>
          <w:lang w:val="en-US" w:eastAsia="zh-CN"/>
        </w:rPr>
        <w:instrText>HYPERLINK \l "_Toc192787046"</w:instrText>
      </w:r>
      <w:r>
        <w:rPr>
          <w:rFonts w:eastAsia="楷体_GB2312" w:cs="Calibri"/>
          <w:b/>
          <w:bCs/>
          <w:color w:val="1F497D" w:themeColor="text2"/>
          <w:sz w:val="24"/>
          <w:szCs w:val="24"/>
          <w:lang w:val="en-US" w:eastAsia="zh-CN"/>
        </w:rPr>
      </w:r>
      <w:r>
        <w:rPr>
          <w:rFonts w:eastAsia="楷体_GB2312" w:cs="Calibri"/>
          <w:b/>
          <w:bCs/>
          <w:color w:val="1F497D" w:themeColor="text2"/>
          <w:sz w:val="24"/>
          <w:szCs w:val="24"/>
          <w:lang w:val="en-US" w:eastAsia="zh-CN"/>
        </w:rPr>
        <w:fldChar w:fldCharType="separate"/>
      </w:r>
      <w:bookmarkStart w:id="15" w:name="_Toc223546889"/>
      <w:r>
        <w:rPr>
          <w:rFonts w:eastAsia="楷体_GB2312" w:cs="Calibri"/>
          <w:b/>
          <w:bCs/>
          <w:color w:val="1F497D" w:themeColor="text2"/>
          <w:sz w:val="24"/>
          <w:szCs w:val="24"/>
          <w:lang w:val="en-US" w:eastAsia="zh-CN"/>
        </w:rPr>
        <w:t>（一）</w:t>
      </w:r>
      <w:r>
        <w:rPr>
          <w:rFonts w:eastAsia="楷体_GB2312" w:cs="Calibri" w:hint="eastAsia"/>
          <w:b/>
          <w:bCs/>
          <w:color w:val="1F497D" w:themeColor="text2"/>
          <w:sz w:val="24"/>
          <w:szCs w:val="24"/>
          <w:lang w:val="en-US" w:eastAsia="zh-CN"/>
        </w:rPr>
        <w:t>本周核心标的表现</w:t>
      </w:r>
      <w:bookmarkEnd w:id="15"/>
      <w:r>
        <w:rPr>
          <w:rFonts w:eastAsia="楷体_GB2312" w:cs="Calibri"/>
          <w:b/>
          <w:bCs/>
          <w:color w:val="1F497D" w:themeColor="text2"/>
          <w:sz w:val="24"/>
          <w:szCs w:val="24"/>
          <w:lang w:val="en-US" w:eastAsia="zh-CN"/>
        </w:rPr>
        <w:fldChar w:fldCharType="end"/>
      </w:r>
    </w:p>
    <w:p w14:paraId="6DC0DA71" w14:textId="5E8A7767" w:rsidR="004D21CE" w:rsidRPr="00957CB1" w:rsidRDefault="00957CB1" w:rsidP="00870ED2">
      <w:pPr>
        <w:overflowPunct w:val="0"/>
        <w:ind w:leftChars="2000" w:left="3200"/>
        <w:jc w:val="both"/>
        <w:rPr>
          <w:rFonts w:eastAsia="楷体_GB2312" w:cs="Calibri"/>
          <w:sz w:val="20"/>
          <w:szCs w:val="20"/>
          <w:lang w:val="en-US" w:eastAsia="zh-CN"/>
        </w:rPr>
      </w:pPr>
      <w:r>
        <w:rPr>
          <w:rFonts w:eastAsia="楷体_GB2312" w:cs="Calibri" w:hint="eastAsia"/>
          <w:b/>
          <w:bCs/>
          <w:sz w:val="20"/>
          <w:szCs w:val="20"/>
          <w:lang w:eastAsia="zh-CN"/>
        </w:rPr>
        <w:t>油价突破</w:t>
      </w:r>
      <w:r>
        <w:rPr>
          <w:rFonts w:eastAsia="楷体_GB2312" w:cs="Calibri"/>
          <w:b/>
          <w:bCs/>
          <w:sz w:val="20"/>
          <w:szCs w:val="20"/>
          <w:lang w:eastAsia="zh-CN"/>
        </w:rPr>
        <w:t>100</w:t>
      </w:r>
      <w:r>
        <w:rPr>
          <w:rFonts w:eastAsia="楷体_GB2312" w:cs="Calibri" w:hint="eastAsia"/>
          <w:b/>
          <w:bCs/>
          <w:sz w:val="20"/>
          <w:szCs w:val="20"/>
          <w:lang w:eastAsia="zh-CN"/>
        </w:rPr>
        <w:t>美元关口持续压制航空板块估值，叠加霍尔木兹海峡航运受阻风险未消，全球航空相关标的表现分化。</w:t>
      </w:r>
      <w:r>
        <w:rPr>
          <w:rFonts w:eastAsia="楷体_GB2312" w:cs="Calibri" w:hint="eastAsia"/>
          <w:sz w:val="20"/>
          <w:szCs w:val="20"/>
          <w:lang w:eastAsia="zh-CN"/>
        </w:rPr>
        <w:t>西锐（</w:t>
      </w:r>
      <w:r>
        <w:rPr>
          <w:rFonts w:eastAsia="楷体_GB2312" w:cs="Calibri"/>
          <w:sz w:val="20"/>
          <w:szCs w:val="20"/>
          <w:lang w:eastAsia="zh-CN"/>
        </w:rPr>
        <w:t>02507.HK</w:t>
      </w:r>
      <w:r>
        <w:rPr>
          <w:rFonts w:eastAsia="楷体_GB2312" w:cs="Calibri" w:hint="eastAsia"/>
          <w:sz w:val="20"/>
          <w:szCs w:val="20"/>
          <w:lang w:eastAsia="zh-CN"/>
        </w:rPr>
        <w:t>）本周下跌</w:t>
      </w:r>
      <w:r w:rsidR="00117BD2">
        <w:rPr>
          <w:rFonts w:eastAsia="楷体_GB2312" w:cs="Calibri" w:hint="eastAsia"/>
          <w:sz w:val="20"/>
          <w:szCs w:val="20"/>
          <w:lang w:eastAsia="zh-CN"/>
        </w:rPr>
        <w:t>4.04</w:t>
      </w:r>
      <w:r>
        <w:rPr>
          <w:rFonts w:eastAsia="楷体_GB2312" w:cs="Calibri"/>
          <w:sz w:val="20"/>
          <w:szCs w:val="20"/>
          <w:lang w:eastAsia="zh-CN"/>
        </w:rPr>
        <w:t>%</w:t>
      </w:r>
      <w:r>
        <w:rPr>
          <w:rFonts w:eastAsia="楷体_GB2312" w:cs="Calibri" w:hint="eastAsia"/>
          <w:sz w:val="20"/>
          <w:szCs w:val="20"/>
          <w:lang w:eastAsia="zh-CN"/>
        </w:rPr>
        <w:t>，中航科工（</w:t>
      </w:r>
      <w:r>
        <w:rPr>
          <w:rFonts w:eastAsia="楷体_GB2312" w:cs="Calibri"/>
          <w:sz w:val="20"/>
          <w:szCs w:val="20"/>
          <w:lang w:eastAsia="zh-CN"/>
        </w:rPr>
        <w:t>02357.HK</w:t>
      </w:r>
      <w:r>
        <w:rPr>
          <w:rFonts w:eastAsia="楷体_GB2312" w:cs="Calibri" w:hint="eastAsia"/>
          <w:sz w:val="20"/>
          <w:szCs w:val="20"/>
          <w:lang w:eastAsia="zh-CN"/>
        </w:rPr>
        <w:t>）本周下跌</w:t>
      </w:r>
      <w:r w:rsidR="00356791">
        <w:rPr>
          <w:rFonts w:eastAsia="楷体_GB2312" w:cs="Calibri" w:hint="eastAsia"/>
          <w:sz w:val="20"/>
          <w:szCs w:val="20"/>
          <w:lang w:eastAsia="zh-CN"/>
        </w:rPr>
        <w:t>5.96</w:t>
      </w:r>
      <w:r>
        <w:rPr>
          <w:rFonts w:eastAsia="楷体_GB2312" w:cs="Calibri"/>
          <w:sz w:val="20"/>
          <w:szCs w:val="20"/>
          <w:lang w:eastAsia="zh-CN"/>
        </w:rPr>
        <w:t>%</w:t>
      </w:r>
      <w:r>
        <w:rPr>
          <w:rFonts w:eastAsia="楷体_GB2312" w:cs="Calibri" w:hint="eastAsia"/>
          <w:sz w:val="20"/>
          <w:szCs w:val="20"/>
          <w:lang w:eastAsia="zh-CN"/>
        </w:rPr>
        <w:t>，成本端压力及地缘不确定性对估值构成压制；大陆航空本周逆势上涨</w:t>
      </w:r>
      <w:r w:rsidR="00356791">
        <w:rPr>
          <w:rFonts w:eastAsia="楷体_GB2312" w:cs="Calibri" w:hint="eastAsia"/>
          <w:sz w:val="20"/>
          <w:szCs w:val="20"/>
          <w:lang w:eastAsia="zh-CN"/>
        </w:rPr>
        <w:t>3.42</w:t>
      </w:r>
      <w:r>
        <w:rPr>
          <w:rFonts w:eastAsia="楷体_GB2312" w:cs="Calibri"/>
          <w:sz w:val="20"/>
          <w:szCs w:val="20"/>
          <w:lang w:eastAsia="zh-CN"/>
        </w:rPr>
        <w:t>%</w:t>
      </w:r>
      <w:r>
        <w:rPr>
          <w:rFonts w:eastAsia="楷体_GB2312" w:cs="Calibri" w:hint="eastAsia"/>
          <w:sz w:val="20"/>
          <w:szCs w:val="20"/>
          <w:lang w:eastAsia="zh-CN"/>
        </w:rPr>
        <w:t>。</w:t>
      </w:r>
    </w:p>
    <w:p w14:paraId="3AC12C20" w14:textId="77777777" w:rsidR="00E2432F" w:rsidRDefault="00E2432F" w:rsidP="00870ED2">
      <w:pPr>
        <w:overflowPunct w:val="0"/>
        <w:ind w:leftChars="2000" w:left="3200"/>
        <w:jc w:val="both"/>
        <w:rPr>
          <w:rFonts w:eastAsia="楷体_GB2312" w:cs="Calibri"/>
          <w:sz w:val="20"/>
          <w:szCs w:val="20"/>
          <w:lang w:val="en-US" w:eastAsia="zh-CN"/>
        </w:rPr>
      </w:pPr>
    </w:p>
    <w:p w14:paraId="48A83353" w14:textId="5856BB82" w:rsidR="004D21CE" w:rsidRPr="004D21CE" w:rsidRDefault="004D21CE" w:rsidP="004D21CE">
      <w:pPr>
        <w:overflowPunct w:val="0"/>
        <w:ind w:leftChars="2000" w:left="3200"/>
        <w:jc w:val="both"/>
        <w:outlineLvl w:val="1"/>
        <w:rPr>
          <w:rFonts w:eastAsia="楷体_GB2312" w:cs="Calibri"/>
          <w:b/>
          <w:bCs/>
          <w:color w:val="1F497D" w:themeColor="text2"/>
          <w:sz w:val="24"/>
          <w:szCs w:val="24"/>
          <w:lang w:val="en-US" w:eastAsia="zh-CN"/>
        </w:rPr>
      </w:pPr>
      <w:hyperlink w:anchor="_Toc192787046" w:history="1">
        <w:bookmarkStart w:id="16" w:name="_Toc223546890"/>
        <w:r>
          <w:rPr>
            <w:rFonts w:eastAsia="楷体_GB2312" w:cs="Calibri"/>
            <w:b/>
            <w:bCs/>
            <w:color w:val="1F497D" w:themeColor="text2"/>
            <w:sz w:val="24"/>
            <w:szCs w:val="24"/>
            <w:lang w:val="en-US" w:eastAsia="zh-CN"/>
          </w:rPr>
          <w:t>（</w:t>
        </w:r>
        <w:r>
          <w:rPr>
            <w:rFonts w:eastAsia="楷体_GB2312" w:cs="Calibri" w:hint="eastAsia"/>
            <w:b/>
            <w:bCs/>
            <w:color w:val="1F497D" w:themeColor="text2"/>
            <w:sz w:val="24"/>
            <w:szCs w:val="24"/>
            <w:lang w:val="en-US" w:eastAsia="zh-CN"/>
          </w:rPr>
          <w:t>二</w:t>
        </w:r>
        <w:r>
          <w:rPr>
            <w:rFonts w:eastAsia="楷体_GB2312" w:cs="Calibri"/>
            <w:b/>
            <w:bCs/>
            <w:color w:val="1F497D" w:themeColor="text2"/>
            <w:sz w:val="24"/>
            <w:szCs w:val="24"/>
            <w:lang w:val="en-US" w:eastAsia="zh-CN"/>
          </w:rPr>
          <w:t>）</w:t>
        </w:r>
        <w:r>
          <w:rPr>
            <w:rFonts w:eastAsia="楷体_GB2312" w:cs="Calibri" w:hint="eastAsia"/>
            <w:b/>
            <w:bCs/>
            <w:color w:val="1F497D" w:themeColor="text2"/>
            <w:sz w:val="24"/>
            <w:szCs w:val="24"/>
            <w:lang w:val="en-US" w:eastAsia="zh-CN"/>
          </w:rPr>
          <w:t>行业交付量跟踪</w:t>
        </w:r>
        <w:bookmarkEnd w:id="16"/>
      </w:hyperlink>
    </w:p>
    <w:p w14:paraId="1A443786" w14:textId="1D6CB0A1" w:rsidR="00043BDD" w:rsidRDefault="00A61197">
      <w:pPr>
        <w:overflowPunct w:val="0"/>
        <w:ind w:leftChars="2000" w:left="3200"/>
        <w:jc w:val="both"/>
        <w:rPr>
          <w:rFonts w:eastAsia="楷体_GB2312" w:cs="Calibri"/>
          <w:sz w:val="20"/>
          <w:szCs w:val="20"/>
          <w:lang w:val="en-US" w:eastAsia="zh-CN"/>
        </w:rPr>
      </w:pPr>
      <w:r>
        <w:rPr>
          <w:rFonts w:eastAsia="楷体_GB2312" w:cs="Calibri"/>
          <w:b/>
          <w:bCs/>
          <w:sz w:val="20"/>
          <w:szCs w:val="20"/>
          <w:lang w:val="en-US" w:eastAsia="zh-CN"/>
        </w:rPr>
        <w:t>全球通用航空器交付量呈现稳步增长态势。</w:t>
      </w:r>
      <w:r>
        <w:rPr>
          <w:rFonts w:eastAsia="楷体_GB2312" w:cs="Calibri"/>
          <w:sz w:val="20"/>
          <w:szCs w:val="20"/>
          <w:lang w:val="en-US" w:eastAsia="zh-CN"/>
        </w:rPr>
        <w:t>2024 </w:t>
      </w:r>
      <w:r>
        <w:rPr>
          <w:rFonts w:eastAsia="楷体_GB2312" w:cs="Calibri"/>
          <w:sz w:val="20"/>
          <w:szCs w:val="20"/>
          <w:lang w:val="en-US" w:eastAsia="zh-CN"/>
        </w:rPr>
        <w:t>年全球通用航空器交付量达到</w:t>
      </w:r>
      <w:r>
        <w:rPr>
          <w:rFonts w:eastAsia="楷体_GB2312" w:cs="Calibri"/>
          <w:sz w:val="20"/>
          <w:szCs w:val="20"/>
          <w:lang w:val="en-US" w:eastAsia="zh-CN"/>
        </w:rPr>
        <w:t> 3,126 </w:t>
      </w:r>
      <w:r>
        <w:rPr>
          <w:rFonts w:eastAsia="楷体_GB2312" w:cs="Calibri"/>
          <w:sz w:val="20"/>
          <w:szCs w:val="20"/>
          <w:lang w:val="en-US" w:eastAsia="zh-CN"/>
        </w:rPr>
        <w:t>架，同比增长</w:t>
      </w:r>
      <w:r>
        <w:rPr>
          <w:rFonts w:eastAsia="楷体_GB2312" w:cs="Calibri"/>
          <w:sz w:val="20"/>
          <w:szCs w:val="20"/>
          <w:lang w:val="en-US" w:eastAsia="zh-CN"/>
        </w:rPr>
        <w:t> 2.5%</w:t>
      </w:r>
      <w:r>
        <w:rPr>
          <w:rFonts w:eastAsia="楷体_GB2312" w:cs="Calibri"/>
          <w:sz w:val="20"/>
          <w:szCs w:val="20"/>
          <w:lang w:val="en-US" w:eastAsia="zh-CN"/>
        </w:rPr>
        <w:t>。</w:t>
      </w:r>
      <w:r>
        <w:rPr>
          <w:rFonts w:eastAsia="楷体_GB2312" w:cs="Calibri"/>
          <w:sz w:val="20"/>
          <w:szCs w:val="20"/>
          <w:lang w:val="en-US" w:eastAsia="zh-CN"/>
        </w:rPr>
        <w:t>2025</w:t>
      </w:r>
      <w:r>
        <w:rPr>
          <w:rFonts w:eastAsia="楷体_GB2312" w:cs="Calibri"/>
          <w:sz w:val="20"/>
          <w:szCs w:val="20"/>
          <w:lang w:val="en-US" w:eastAsia="zh-CN"/>
        </w:rPr>
        <w:t>年实际交付量已达到</w:t>
      </w:r>
      <w:r>
        <w:rPr>
          <w:rFonts w:eastAsia="楷体_GB2312" w:cs="Calibri"/>
          <w:sz w:val="20"/>
          <w:szCs w:val="20"/>
          <w:lang w:val="en-US" w:eastAsia="zh-CN"/>
        </w:rPr>
        <w:t>3,230</w:t>
      </w:r>
      <w:r>
        <w:rPr>
          <w:rFonts w:eastAsia="楷体_GB2312" w:cs="Calibri"/>
          <w:sz w:val="20"/>
          <w:szCs w:val="20"/>
          <w:lang w:val="en-US" w:eastAsia="zh-CN"/>
        </w:rPr>
        <w:t>架，同比增长</w:t>
      </w:r>
      <w:r>
        <w:rPr>
          <w:rFonts w:eastAsia="楷体_GB2312" w:cs="Calibri"/>
          <w:sz w:val="20"/>
          <w:szCs w:val="20"/>
          <w:lang w:val="en-US" w:eastAsia="zh-CN"/>
        </w:rPr>
        <w:t>3.3%</w:t>
      </w:r>
      <w:r>
        <w:rPr>
          <w:rFonts w:eastAsia="楷体_GB2312" w:cs="Calibri"/>
          <w:sz w:val="20"/>
          <w:szCs w:val="20"/>
          <w:lang w:val="en-US" w:eastAsia="zh-CN"/>
        </w:rPr>
        <w:t>；</w:t>
      </w:r>
      <w:r>
        <w:rPr>
          <w:rFonts w:eastAsia="楷体_GB2312" w:cs="Calibri"/>
          <w:sz w:val="20"/>
          <w:szCs w:val="20"/>
          <w:lang w:val="en-US" w:eastAsia="zh-CN"/>
        </w:rPr>
        <w:t>2026 </w:t>
      </w:r>
      <w:r>
        <w:rPr>
          <w:rFonts w:eastAsia="楷体_GB2312" w:cs="Calibri"/>
          <w:sz w:val="20"/>
          <w:szCs w:val="20"/>
          <w:lang w:val="en-US" w:eastAsia="zh-CN"/>
        </w:rPr>
        <w:t>年将进一步上升至</w:t>
      </w:r>
      <w:r>
        <w:rPr>
          <w:rFonts w:eastAsia="楷体_GB2312" w:cs="Calibri"/>
          <w:sz w:val="20"/>
          <w:szCs w:val="20"/>
          <w:lang w:val="en-US" w:eastAsia="zh-CN"/>
        </w:rPr>
        <w:t> 3,410 </w:t>
      </w:r>
      <w:r>
        <w:rPr>
          <w:rFonts w:eastAsia="楷体_GB2312" w:cs="Calibri"/>
          <w:sz w:val="20"/>
          <w:szCs w:val="20"/>
          <w:lang w:val="en-US" w:eastAsia="zh-CN"/>
        </w:rPr>
        <w:t>架，增幅</w:t>
      </w:r>
      <w:r>
        <w:rPr>
          <w:rFonts w:eastAsia="楷体_GB2312" w:cs="Calibri"/>
          <w:sz w:val="20"/>
          <w:szCs w:val="20"/>
          <w:lang w:val="en-US" w:eastAsia="zh-CN"/>
        </w:rPr>
        <w:t> 5.6%</w:t>
      </w:r>
      <w:r>
        <w:rPr>
          <w:rFonts w:eastAsia="楷体_GB2312" w:cs="Calibri"/>
          <w:sz w:val="20"/>
          <w:szCs w:val="20"/>
          <w:lang w:val="en-US" w:eastAsia="zh-CN"/>
        </w:rPr>
        <w:t>；</w:t>
      </w:r>
      <w:r>
        <w:rPr>
          <w:rFonts w:eastAsia="楷体_GB2312" w:cs="Calibri"/>
          <w:sz w:val="20"/>
          <w:szCs w:val="20"/>
          <w:lang w:val="en-US" w:eastAsia="zh-CN"/>
        </w:rPr>
        <w:t>2027 </w:t>
      </w:r>
      <w:r>
        <w:rPr>
          <w:rFonts w:eastAsia="楷体_GB2312" w:cs="Calibri"/>
          <w:sz w:val="20"/>
          <w:szCs w:val="20"/>
          <w:lang w:val="en-US" w:eastAsia="zh-CN"/>
        </w:rPr>
        <w:t>年和</w:t>
      </w:r>
      <w:r>
        <w:rPr>
          <w:rFonts w:eastAsia="楷体_GB2312" w:cs="Calibri"/>
          <w:sz w:val="20"/>
          <w:szCs w:val="20"/>
          <w:lang w:val="en-US" w:eastAsia="zh-CN"/>
        </w:rPr>
        <w:t> 2028 </w:t>
      </w:r>
      <w:r>
        <w:rPr>
          <w:rFonts w:eastAsia="楷体_GB2312" w:cs="Calibri"/>
          <w:sz w:val="20"/>
          <w:szCs w:val="20"/>
          <w:lang w:val="en-US" w:eastAsia="zh-CN"/>
        </w:rPr>
        <w:t>年预计分别达到</w:t>
      </w:r>
      <w:r>
        <w:rPr>
          <w:rFonts w:eastAsia="楷体_GB2312" w:cs="Calibri"/>
          <w:sz w:val="20"/>
          <w:szCs w:val="20"/>
          <w:lang w:val="en-US" w:eastAsia="zh-CN"/>
        </w:rPr>
        <w:t> 3,520 </w:t>
      </w:r>
      <w:r>
        <w:rPr>
          <w:rFonts w:eastAsia="楷体_GB2312" w:cs="Calibri"/>
          <w:sz w:val="20"/>
          <w:szCs w:val="20"/>
          <w:lang w:val="en-US" w:eastAsia="zh-CN"/>
        </w:rPr>
        <w:t>架和</w:t>
      </w:r>
      <w:r>
        <w:rPr>
          <w:rFonts w:eastAsia="楷体_GB2312" w:cs="Calibri"/>
          <w:sz w:val="20"/>
          <w:szCs w:val="20"/>
          <w:lang w:val="en-US" w:eastAsia="zh-CN"/>
        </w:rPr>
        <w:t> 3,650 </w:t>
      </w:r>
      <w:r>
        <w:rPr>
          <w:rFonts w:eastAsia="楷体_GB2312" w:cs="Calibri"/>
          <w:sz w:val="20"/>
          <w:szCs w:val="20"/>
          <w:lang w:val="en-US" w:eastAsia="zh-CN"/>
        </w:rPr>
        <w:lastRenderedPageBreak/>
        <w:t>架，对应增速</w:t>
      </w:r>
      <w:r>
        <w:rPr>
          <w:rFonts w:eastAsia="楷体_GB2312" w:cs="Calibri"/>
          <w:sz w:val="20"/>
          <w:szCs w:val="20"/>
          <w:lang w:val="en-US" w:eastAsia="zh-CN"/>
        </w:rPr>
        <w:t> 3.2% </w:t>
      </w:r>
      <w:r>
        <w:rPr>
          <w:rFonts w:eastAsia="楷体_GB2312" w:cs="Calibri"/>
          <w:sz w:val="20"/>
          <w:szCs w:val="20"/>
          <w:lang w:val="en-US" w:eastAsia="zh-CN"/>
        </w:rPr>
        <w:t>和</w:t>
      </w:r>
      <w:r>
        <w:rPr>
          <w:rFonts w:eastAsia="楷体_GB2312" w:cs="Calibri"/>
          <w:sz w:val="20"/>
          <w:szCs w:val="20"/>
          <w:lang w:val="en-US" w:eastAsia="zh-CN"/>
        </w:rPr>
        <w:t> 3.5%</w:t>
      </w:r>
      <w:r>
        <w:rPr>
          <w:rFonts w:eastAsia="楷体_GB2312" w:cs="Calibri"/>
          <w:sz w:val="20"/>
          <w:szCs w:val="20"/>
          <w:lang w:val="en-US" w:eastAsia="zh-CN"/>
        </w:rPr>
        <w:t>。这一趋势表明，全球通用航空制造业在经历疫情后已实现全面恢复，市场需求持续释放，行业进入稳定增长的新阶段。</w:t>
      </w:r>
    </w:p>
    <w:p w14:paraId="4612DCB5" w14:textId="77777777" w:rsidR="00043BDD" w:rsidRDefault="00043BDD">
      <w:pPr>
        <w:overflowPunct w:val="0"/>
        <w:jc w:val="both"/>
        <w:rPr>
          <w:rFonts w:eastAsia="楷体_GB2312" w:cs="Calibri"/>
          <w:b/>
          <w:bCs/>
          <w:color w:val="1F497D" w:themeColor="text2"/>
          <w:sz w:val="24"/>
          <w:szCs w:val="24"/>
          <w:lang w:eastAsia="zh-CN"/>
        </w:rPr>
      </w:pPr>
    </w:p>
    <w:tbl>
      <w:tblPr>
        <w:tblW w:w="10743" w:type="dxa"/>
        <w:tblLayout w:type="fixed"/>
        <w:tblLook w:val="04A0" w:firstRow="1" w:lastRow="0" w:firstColumn="1" w:lastColumn="0" w:noHBand="0" w:noVBand="1"/>
      </w:tblPr>
      <w:tblGrid>
        <w:gridCol w:w="5306"/>
        <w:gridCol w:w="240"/>
        <w:gridCol w:w="5197"/>
      </w:tblGrid>
      <w:tr w:rsidR="00043BDD" w14:paraId="6F699B41" w14:textId="77777777">
        <w:trPr>
          <w:trHeight w:val="227"/>
        </w:trPr>
        <w:tc>
          <w:tcPr>
            <w:tcW w:w="5306" w:type="dxa"/>
            <w:tcBorders>
              <w:bottom w:val="single" w:sz="4" w:space="0" w:color="auto"/>
            </w:tcBorders>
            <w:tcMar>
              <w:left w:w="0" w:type="dxa"/>
              <w:right w:w="28" w:type="dxa"/>
            </w:tcMar>
          </w:tcPr>
          <w:p w14:paraId="5CA9DB1A" w14:textId="77FB444B" w:rsidR="00043BDD" w:rsidRDefault="00A61197">
            <w:pPr>
              <w:spacing w:beforeLines="20" w:before="48" w:afterLines="20" w:after="48"/>
              <w:textAlignment w:val="center"/>
              <w:rPr>
                <w:rFonts w:eastAsia="楷体_GB2312" w:cs="Calibri"/>
                <w:b/>
                <w:szCs w:val="20"/>
                <w:highlight w:val="yellow"/>
                <w:lang w:eastAsia="zh-CN"/>
              </w:rPr>
            </w:pPr>
            <w:r>
              <w:rPr>
                <w:rFonts w:eastAsia="楷体_GB2312" w:cs="Calibri"/>
                <w:b/>
                <w:sz w:val="18"/>
                <w:szCs w:val="18"/>
                <w:lang w:val="zh-CN" w:eastAsia="zh-CN"/>
              </w:rPr>
              <w:t>图</w:t>
            </w:r>
            <w:r w:rsidR="006C6F7D">
              <w:rPr>
                <w:rFonts w:eastAsia="楷体_GB2312" w:cs="Calibri" w:hint="eastAsia"/>
                <w:b/>
                <w:sz w:val="18"/>
                <w:szCs w:val="18"/>
                <w:lang w:val="zh-CN" w:eastAsia="zh-CN"/>
              </w:rPr>
              <w:t>8</w:t>
            </w:r>
            <w:r>
              <w:rPr>
                <w:rFonts w:eastAsia="楷体_GB2312" w:cs="Calibri"/>
                <w:b/>
                <w:sz w:val="18"/>
                <w:szCs w:val="18"/>
                <w:lang w:val="zh-CN" w:eastAsia="zh-CN"/>
              </w:rPr>
              <w:t>：全球通用航空器交付量（架）</w:t>
            </w:r>
          </w:p>
        </w:tc>
        <w:tc>
          <w:tcPr>
            <w:tcW w:w="240" w:type="dxa"/>
            <w:tcMar>
              <w:left w:w="0" w:type="dxa"/>
              <w:right w:w="28" w:type="dxa"/>
            </w:tcMar>
          </w:tcPr>
          <w:p w14:paraId="7B475BFE" w14:textId="77777777" w:rsidR="00043BDD" w:rsidRDefault="00043BDD">
            <w:pPr>
              <w:spacing w:beforeLines="20" w:before="48" w:afterLines="20" w:after="48"/>
              <w:textAlignment w:val="center"/>
              <w:rPr>
                <w:rFonts w:eastAsia="楷体_GB2312" w:cs="Calibri"/>
                <w:b/>
                <w:sz w:val="18"/>
                <w:szCs w:val="18"/>
                <w:lang w:val="zh-CN" w:eastAsia="zh-CN"/>
              </w:rPr>
            </w:pPr>
          </w:p>
        </w:tc>
        <w:tc>
          <w:tcPr>
            <w:tcW w:w="5197" w:type="dxa"/>
            <w:tcBorders>
              <w:bottom w:val="single" w:sz="4" w:space="0" w:color="auto"/>
            </w:tcBorders>
            <w:tcMar>
              <w:left w:w="0" w:type="dxa"/>
              <w:right w:w="28" w:type="dxa"/>
            </w:tcMar>
          </w:tcPr>
          <w:p w14:paraId="7BA12085" w14:textId="7DD29662" w:rsidR="00043BDD" w:rsidRDefault="00A61197">
            <w:pPr>
              <w:spacing w:beforeLines="20" w:before="48" w:afterLines="20" w:after="48"/>
              <w:textAlignment w:val="center"/>
              <w:rPr>
                <w:rFonts w:eastAsia="楷体_GB2312" w:cs="Calibri"/>
                <w:b/>
                <w:sz w:val="18"/>
                <w:szCs w:val="18"/>
                <w:lang w:val="zh-CN" w:eastAsia="zh-CN"/>
              </w:rPr>
            </w:pPr>
            <w:r>
              <w:rPr>
                <w:rFonts w:eastAsia="楷体_GB2312" w:cs="Calibri"/>
                <w:b/>
                <w:sz w:val="18"/>
                <w:szCs w:val="18"/>
                <w:lang w:val="zh-CN" w:eastAsia="zh-CN"/>
              </w:rPr>
              <w:t>图</w:t>
            </w:r>
            <w:r w:rsidR="006C6F7D">
              <w:rPr>
                <w:rFonts w:eastAsia="楷体_GB2312" w:cs="Calibri" w:hint="eastAsia"/>
                <w:b/>
                <w:sz w:val="18"/>
                <w:szCs w:val="18"/>
                <w:lang w:val="zh-CN" w:eastAsia="zh-CN"/>
              </w:rPr>
              <w:t>9</w:t>
            </w:r>
            <w:r>
              <w:rPr>
                <w:rFonts w:eastAsia="楷体_GB2312" w:cs="Calibri"/>
                <w:b/>
                <w:sz w:val="18"/>
                <w:szCs w:val="18"/>
                <w:lang w:val="zh-CN" w:eastAsia="zh-CN"/>
              </w:rPr>
              <w:t>：全球通用航空器交付量（美元）</w:t>
            </w:r>
          </w:p>
        </w:tc>
      </w:tr>
      <w:tr w:rsidR="00043BDD" w14:paraId="715AEB1A" w14:textId="77777777">
        <w:trPr>
          <w:trHeight w:val="2300"/>
        </w:trPr>
        <w:tc>
          <w:tcPr>
            <w:tcW w:w="5306" w:type="dxa"/>
            <w:tcBorders>
              <w:top w:val="single" w:sz="4" w:space="0" w:color="auto"/>
              <w:bottom w:val="single" w:sz="4" w:space="0" w:color="auto"/>
            </w:tcBorders>
            <w:vAlign w:val="center"/>
          </w:tcPr>
          <w:p w14:paraId="41760014" w14:textId="77777777" w:rsidR="00043BDD" w:rsidRDefault="00A61197">
            <w:pPr>
              <w:spacing w:beforeLines="20" w:before="48" w:afterLines="20" w:after="48"/>
              <w:textAlignment w:val="center"/>
              <w:rPr>
                <w:rFonts w:eastAsia="楷体_GB2312" w:cs="Calibri"/>
                <w:b/>
                <w:color w:val="000000"/>
                <w:szCs w:val="20"/>
                <w:lang w:bidi="ar"/>
              </w:rPr>
            </w:pPr>
            <w:r>
              <w:rPr>
                <w:rFonts w:eastAsia="楷体_GB2312" w:cs="Calibri"/>
                <w:noProof/>
                <w:snapToGrid/>
              </w:rPr>
              <w:drawing>
                <wp:inline distT="0" distB="0" distL="0" distR="0" wp14:anchorId="4E520BC1" wp14:editId="3C99D2AA">
                  <wp:extent cx="3232150" cy="2190750"/>
                  <wp:effectExtent l="0" t="0" r="6350" b="0"/>
                  <wp:docPr id="17467801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240" w:type="dxa"/>
          </w:tcPr>
          <w:p w14:paraId="66EDD5A8" w14:textId="77777777" w:rsidR="00043BDD" w:rsidRDefault="00043BDD">
            <w:pPr>
              <w:spacing w:beforeLines="20" w:before="48" w:afterLines="20" w:after="48"/>
              <w:rPr>
                <w:rFonts w:eastAsia="楷体_GB2312" w:cs="Calibri"/>
                <w:szCs w:val="20"/>
              </w:rPr>
            </w:pPr>
          </w:p>
        </w:tc>
        <w:tc>
          <w:tcPr>
            <w:tcW w:w="5197" w:type="dxa"/>
            <w:tcBorders>
              <w:top w:val="single" w:sz="4" w:space="0" w:color="auto"/>
              <w:bottom w:val="single" w:sz="4" w:space="0" w:color="auto"/>
            </w:tcBorders>
          </w:tcPr>
          <w:p w14:paraId="4D2A786E" w14:textId="77777777" w:rsidR="00043BDD" w:rsidRDefault="00A61197">
            <w:pPr>
              <w:spacing w:beforeLines="20" w:before="48" w:afterLines="20" w:after="48"/>
              <w:rPr>
                <w:rFonts w:eastAsia="楷体_GB2312" w:cs="Calibri"/>
                <w:b/>
                <w:szCs w:val="20"/>
              </w:rPr>
            </w:pPr>
            <w:r>
              <w:rPr>
                <w:rFonts w:eastAsia="楷体_GB2312" w:cs="Calibri"/>
                <w:noProof/>
                <w:snapToGrid/>
              </w:rPr>
              <w:drawing>
                <wp:inline distT="0" distB="0" distL="0" distR="0" wp14:anchorId="74339EA5" wp14:editId="7B5A0671">
                  <wp:extent cx="3162935" cy="2015490"/>
                  <wp:effectExtent l="0" t="0" r="0" b="3810"/>
                  <wp:docPr id="2216255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043BDD" w14:paraId="074C7890" w14:textId="77777777">
        <w:trPr>
          <w:trHeight w:val="227"/>
        </w:trPr>
        <w:tc>
          <w:tcPr>
            <w:tcW w:w="5306" w:type="dxa"/>
            <w:tcBorders>
              <w:top w:val="single" w:sz="4" w:space="0" w:color="auto"/>
            </w:tcBorders>
            <w:tcMar>
              <w:left w:w="0" w:type="dxa"/>
              <w:right w:w="28" w:type="dxa"/>
            </w:tcMar>
            <w:vAlign w:val="center"/>
          </w:tcPr>
          <w:p w14:paraId="47FA27CD" w14:textId="77777777" w:rsidR="00043BDD" w:rsidRDefault="00A61197">
            <w:pPr>
              <w:overflowPunct w:val="0"/>
              <w:rPr>
                <w:rFonts w:eastAsia="楷体_GB2312" w:cs="Calibri"/>
                <w:i/>
                <w:iCs/>
              </w:rPr>
            </w:pPr>
            <w:r>
              <w:rPr>
                <w:rFonts w:eastAsia="楷体_GB2312" w:cs="Calibri"/>
                <w:i/>
                <w:iCs/>
              </w:rPr>
              <w:t>资料来源</w:t>
            </w:r>
            <w:r>
              <w:rPr>
                <w:rFonts w:eastAsia="楷体_GB2312" w:cs="Calibri"/>
                <w:i/>
                <w:iCs/>
              </w:rPr>
              <w:t>: GAMA, Wind, HFI</w:t>
            </w:r>
          </w:p>
        </w:tc>
        <w:tc>
          <w:tcPr>
            <w:tcW w:w="240" w:type="dxa"/>
            <w:tcMar>
              <w:left w:w="0" w:type="dxa"/>
              <w:right w:w="28" w:type="dxa"/>
            </w:tcMar>
          </w:tcPr>
          <w:p w14:paraId="62D5B7EA" w14:textId="77777777" w:rsidR="00043BDD" w:rsidRDefault="00043BDD">
            <w:pPr>
              <w:overflowPunct w:val="0"/>
              <w:rPr>
                <w:rFonts w:eastAsia="楷体_GB2312" w:cs="Calibri"/>
                <w:i/>
                <w:iCs/>
              </w:rPr>
            </w:pPr>
          </w:p>
        </w:tc>
        <w:tc>
          <w:tcPr>
            <w:tcW w:w="5197" w:type="dxa"/>
            <w:tcBorders>
              <w:top w:val="single" w:sz="4" w:space="0" w:color="auto"/>
            </w:tcBorders>
            <w:tcMar>
              <w:left w:w="0" w:type="dxa"/>
              <w:right w:w="28" w:type="dxa"/>
            </w:tcMar>
          </w:tcPr>
          <w:p w14:paraId="3BFD810C" w14:textId="77777777" w:rsidR="00043BDD" w:rsidRDefault="00A61197">
            <w:pPr>
              <w:overflowPunct w:val="0"/>
              <w:rPr>
                <w:rFonts w:eastAsia="楷体_GB2312" w:cs="Calibri"/>
                <w:i/>
                <w:iCs/>
              </w:rPr>
            </w:pPr>
            <w:r>
              <w:rPr>
                <w:rFonts w:eastAsia="楷体_GB2312" w:cs="Calibri"/>
                <w:i/>
                <w:iCs/>
              </w:rPr>
              <w:t>资料来源</w:t>
            </w:r>
            <w:r>
              <w:rPr>
                <w:rFonts w:eastAsia="楷体_GB2312" w:cs="Calibri"/>
                <w:i/>
                <w:iCs/>
              </w:rPr>
              <w:t xml:space="preserve">: GAMA, </w:t>
            </w:r>
            <w:proofErr w:type="spellStart"/>
            <w:r>
              <w:rPr>
                <w:rFonts w:eastAsia="楷体_GB2312" w:cs="Calibri"/>
                <w:i/>
                <w:iCs/>
              </w:rPr>
              <w:t>Wind,HFI</w:t>
            </w:r>
            <w:proofErr w:type="spellEnd"/>
          </w:p>
        </w:tc>
      </w:tr>
    </w:tbl>
    <w:p w14:paraId="1BB9DF91" w14:textId="77777777" w:rsidR="00043BDD" w:rsidRDefault="00043BDD">
      <w:pPr>
        <w:overflowPunct w:val="0"/>
        <w:jc w:val="both"/>
        <w:rPr>
          <w:rFonts w:eastAsia="楷体_GB2312" w:cs="Calibri"/>
          <w:b/>
          <w:bCs/>
          <w:color w:val="1F497D" w:themeColor="text2"/>
          <w:sz w:val="24"/>
          <w:szCs w:val="24"/>
          <w:lang w:val="en-US" w:eastAsia="zh-CN"/>
        </w:rPr>
      </w:pPr>
    </w:p>
    <w:p w14:paraId="44C27A71" w14:textId="77777777" w:rsidR="00043BDD" w:rsidRDefault="00A61197">
      <w:pPr>
        <w:overflowPunct w:val="0"/>
        <w:ind w:leftChars="2000" w:left="3200"/>
        <w:jc w:val="both"/>
        <w:rPr>
          <w:rFonts w:eastAsia="楷体_GB2312" w:cs="Calibri"/>
          <w:b/>
          <w:bCs/>
          <w:color w:val="1F497D" w:themeColor="text2"/>
          <w:sz w:val="24"/>
          <w:lang w:eastAsia="zh-CN"/>
        </w:rPr>
      </w:pPr>
      <w:r>
        <w:rPr>
          <w:rFonts w:eastAsia="楷体_GB2312" w:cs="Calibri"/>
          <w:sz w:val="20"/>
          <w:szCs w:val="20"/>
          <w:lang w:val="en-US" w:eastAsia="zh-CN"/>
        </w:rPr>
        <w:t>全球通用航空市场呈现北美地区增长为主、欧洲保持稳定、亚太地区面临调整压力、拉美</w:t>
      </w:r>
      <w:r>
        <w:rPr>
          <w:rFonts w:eastAsia="楷体_GB2312" w:cs="Calibri"/>
          <w:sz w:val="20"/>
          <w:szCs w:val="20"/>
          <w:lang w:val="en-US" w:eastAsia="zh-CN"/>
        </w:rPr>
        <w:t>/</w:t>
      </w:r>
      <w:r>
        <w:rPr>
          <w:rFonts w:eastAsia="楷体_GB2312" w:cs="Calibri"/>
          <w:sz w:val="20"/>
          <w:szCs w:val="20"/>
          <w:lang w:val="en-US" w:eastAsia="zh-CN"/>
        </w:rPr>
        <w:t>中东及非洲地区增速放缓的格局。未来随着各国政策落地实施，特别是中国持续推进</w:t>
      </w:r>
      <w:proofErr w:type="gramStart"/>
      <w:r>
        <w:rPr>
          <w:rFonts w:eastAsia="楷体_GB2312" w:cs="Calibri"/>
          <w:sz w:val="20"/>
          <w:szCs w:val="20"/>
          <w:lang w:val="en-US" w:eastAsia="zh-CN"/>
        </w:rPr>
        <w:t>低空经济</w:t>
      </w:r>
      <w:proofErr w:type="gramEnd"/>
      <w:r>
        <w:rPr>
          <w:rFonts w:eastAsia="楷体_GB2312" w:cs="Calibri"/>
          <w:sz w:val="20"/>
          <w:szCs w:val="20"/>
          <w:lang w:val="en-US" w:eastAsia="zh-CN"/>
        </w:rPr>
        <w:t>与通用航空发展，亚太地区的市场份额有望回升。</w:t>
      </w:r>
    </w:p>
    <w:tbl>
      <w:tblPr>
        <w:tblpPr w:leftFromText="180" w:rightFromText="180" w:vertAnchor="text" w:horzAnchor="margin" w:tblpXSpec="right" w:tblpY="317"/>
        <w:tblW w:w="7466" w:type="dxa"/>
        <w:jc w:val="right"/>
        <w:tblLayout w:type="fixed"/>
        <w:tblLook w:val="04A0" w:firstRow="1" w:lastRow="0" w:firstColumn="1" w:lastColumn="0" w:noHBand="0" w:noVBand="1"/>
      </w:tblPr>
      <w:tblGrid>
        <w:gridCol w:w="7466"/>
      </w:tblGrid>
      <w:tr w:rsidR="00043BDD" w14:paraId="793D79EF" w14:textId="77777777">
        <w:trPr>
          <w:trHeight w:val="302"/>
          <w:jc w:val="right"/>
        </w:trPr>
        <w:tc>
          <w:tcPr>
            <w:tcW w:w="7466" w:type="dxa"/>
            <w:tcBorders>
              <w:bottom w:val="single" w:sz="4" w:space="0" w:color="auto"/>
            </w:tcBorders>
            <w:tcMar>
              <w:left w:w="0" w:type="dxa"/>
              <w:right w:w="28" w:type="dxa"/>
            </w:tcMar>
          </w:tcPr>
          <w:p w14:paraId="73E026CD" w14:textId="46F6385B" w:rsidR="00043BDD" w:rsidRDefault="00A61197">
            <w:pPr>
              <w:spacing w:beforeLines="20" w:before="48" w:afterLines="20" w:after="48"/>
              <w:textAlignment w:val="center"/>
              <w:rPr>
                <w:rFonts w:eastAsia="楷体_GB2312" w:cs="Calibri"/>
                <w:szCs w:val="20"/>
                <w:lang w:eastAsia="zh-CN"/>
              </w:rPr>
            </w:pPr>
            <w:r>
              <w:rPr>
                <w:rFonts w:eastAsia="楷体_GB2312" w:cs="Calibri"/>
                <w:b/>
                <w:sz w:val="18"/>
                <w:szCs w:val="18"/>
                <w:lang w:val="zh-CN" w:eastAsia="zh-CN"/>
              </w:rPr>
              <w:t>图</w:t>
            </w:r>
            <w:r w:rsidR="006C6F7D">
              <w:rPr>
                <w:rFonts w:eastAsia="楷体_GB2312" w:cs="Calibri" w:hint="eastAsia"/>
                <w:b/>
                <w:sz w:val="18"/>
                <w:szCs w:val="18"/>
                <w:lang w:val="zh-CN" w:eastAsia="zh-CN"/>
              </w:rPr>
              <w:t>10</w:t>
            </w:r>
            <w:r>
              <w:rPr>
                <w:rFonts w:eastAsia="楷体_GB2312" w:cs="Calibri"/>
                <w:b/>
                <w:sz w:val="18"/>
                <w:szCs w:val="18"/>
                <w:lang w:val="zh-CN" w:eastAsia="zh-CN"/>
              </w:rPr>
              <w:t>：全球通用航空器按地区交付量（架）</w:t>
            </w:r>
          </w:p>
        </w:tc>
      </w:tr>
      <w:tr w:rsidR="00043BDD" w14:paraId="14E4923E" w14:textId="77777777">
        <w:trPr>
          <w:trHeight w:val="856"/>
          <w:jc w:val="right"/>
        </w:trPr>
        <w:tc>
          <w:tcPr>
            <w:tcW w:w="7466" w:type="dxa"/>
            <w:tcBorders>
              <w:top w:val="single" w:sz="4" w:space="0" w:color="auto"/>
              <w:bottom w:val="single" w:sz="4" w:space="0" w:color="auto"/>
            </w:tcBorders>
            <w:vAlign w:val="center"/>
          </w:tcPr>
          <w:p w14:paraId="467BC294" w14:textId="77777777" w:rsidR="00043BDD" w:rsidRDefault="00A61197">
            <w:pPr>
              <w:spacing w:beforeLines="20" w:before="48" w:afterLines="20" w:after="48"/>
              <w:jc w:val="center"/>
              <w:textAlignment w:val="center"/>
              <w:rPr>
                <w:rFonts w:eastAsia="楷体_GB2312" w:cs="Calibri"/>
                <w:b/>
                <w:bCs/>
                <w:szCs w:val="20"/>
              </w:rPr>
            </w:pPr>
            <w:r>
              <w:rPr>
                <w:rFonts w:eastAsia="楷体_GB2312" w:cs="Calibri"/>
                <w:noProof/>
                <w:snapToGrid/>
              </w:rPr>
              <w:drawing>
                <wp:inline distT="0" distB="0" distL="0" distR="0" wp14:anchorId="47B60979" wp14:editId="2D963A81">
                  <wp:extent cx="4603750" cy="1960880"/>
                  <wp:effectExtent l="0" t="0" r="19050" b="20320"/>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043BDD" w14:paraId="4BA2924D" w14:textId="77777777">
        <w:trPr>
          <w:trHeight w:val="64"/>
          <w:jc w:val="right"/>
        </w:trPr>
        <w:tc>
          <w:tcPr>
            <w:tcW w:w="7466" w:type="dxa"/>
            <w:tcBorders>
              <w:top w:val="single" w:sz="4" w:space="0" w:color="auto"/>
            </w:tcBorders>
            <w:tcMar>
              <w:left w:w="0" w:type="dxa"/>
              <w:right w:w="28" w:type="dxa"/>
            </w:tcMar>
            <w:vAlign w:val="center"/>
          </w:tcPr>
          <w:p w14:paraId="1FCB0C46" w14:textId="77777777" w:rsidR="00043BDD" w:rsidRDefault="00A61197">
            <w:pPr>
              <w:spacing w:line="240" w:lineRule="atLeast"/>
              <w:textAlignment w:val="center"/>
              <w:rPr>
                <w:rFonts w:eastAsia="楷体_GB2312" w:cs="Calibri"/>
                <w:i/>
                <w:iCs/>
              </w:rPr>
            </w:pPr>
            <w:r>
              <w:rPr>
                <w:rFonts w:eastAsia="楷体_GB2312" w:cs="Calibri"/>
                <w:i/>
                <w:iCs/>
              </w:rPr>
              <w:t>资料来源</w:t>
            </w:r>
            <w:r>
              <w:rPr>
                <w:rFonts w:eastAsia="楷体_GB2312" w:cs="Calibri"/>
                <w:i/>
                <w:iCs/>
              </w:rPr>
              <w:t>: GAMA, Wind, HFI</w:t>
            </w:r>
          </w:p>
        </w:tc>
      </w:tr>
    </w:tbl>
    <w:p w14:paraId="36D368A4"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b/>
          <w:bCs/>
          <w:color w:val="1F497D" w:themeColor="text2"/>
          <w:kern w:val="0"/>
          <w:sz w:val="24"/>
          <w:lang w:eastAsia="ja-JP"/>
        </w:rPr>
      </w:pPr>
    </w:p>
    <w:p w14:paraId="67623F28"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b/>
          <w:bCs/>
          <w:color w:val="1F497D" w:themeColor="text2"/>
          <w:kern w:val="0"/>
          <w:sz w:val="24"/>
          <w:lang w:eastAsia="ja-JP"/>
        </w:rPr>
      </w:pPr>
    </w:p>
    <w:p w14:paraId="3F1DCABB"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z w:val="20"/>
          <w:szCs w:val="20"/>
          <w:lang w:val="en-GB"/>
        </w:rPr>
      </w:pPr>
    </w:p>
    <w:p w14:paraId="74F742AB"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z w:val="20"/>
          <w:szCs w:val="20"/>
          <w:lang w:val="en-GB"/>
        </w:rPr>
      </w:pPr>
    </w:p>
    <w:p w14:paraId="4CC5990D"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z w:val="20"/>
          <w:szCs w:val="20"/>
          <w:lang w:val="en-GB"/>
        </w:rPr>
      </w:pPr>
    </w:p>
    <w:p w14:paraId="538D562C"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z w:val="20"/>
          <w:szCs w:val="20"/>
          <w:lang w:val="en-GB"/>
        </w:rPr>
      </w:pPr>
    </w:p>
    <w:p w14:paraId="702FB6A4"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z w:val="20"/>
          <w:szCs w:val="20"/>
          <w:lang w:val="en-GB"/>
        </w:rPr>
      </w:pPr>
    </w:p>
    <w:p w14:paraId="717E978E"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z w:val="20"/>
          <w:szCs w:val="20"/>
          <w:lang w:val="en-GB"/>
        </w:rPr>
      </w:pPr>
    </w:p>
    <w:p w14:paraId="4384E51E" w14:textId="77777777" w:rsidR="00043BDD" w:rsidRDefault="00A61197">
      <w:pPr>
        <w:pStyle w:val="afc"/>
        <w:numPr>
          <w:ilvl w:val="0"/>
          <w:numId w:val="15"/>
        </w:numPr>
        <w:overflowPunct w:val="0"/>
        <w:jc w:val="both"/>
        <w:rPr>
          <w:rFonts w:eastAsia="楷体_GB2312" w:cs="Calibri"/>
          <w:sz w:val="20"/>
          <w:szCs w:val="20"/>
          <w:lang w:val="en-US" w:eastAsia="zh-CN"/>
        </w:rPr>
      </w:pPr>
      <w:r>
        <w:rPr>
          <w:rFonts w:eastAsia="楷体_GB2312" w:cs="Calibri"/>
          <w:b/>
          <w:bCs/>
          <w:sz w:val="20"/>
          <w:szCs w:val="20"/>
          <w:lang w:val="en-US" w:eastAsia="zh-CN"/>
        </w:rPr>
        <w:t>活塞发动机飞机：</w:t>
      </w:r>
      <w:r>
        <w:rPr>
          <w:rFonts w:eastAsia="楷体_GB2312" w:cs="Calibri"/>
          <w:sz w:val="20"/>
          <w:szCs w:val="20"/>
          <w:lang w:val="en-US" w:eastAsia="zh-CN"/>
        </w:rPr>
        <w:t>从出货量来看，</w:t>
      </w:r>
      <w:r>
        <w:rPr>
          <w:rFonts w:eastAsia="楷体_GB2312" w:cs="Calibri"/>
          <w:sz w:val="20"/>
          <w:szCs w:val="20"/>
          <w:lang w:val="en-US" w:eastAsia="zh-CN"/>
        </w:rPr>
        <w:t>2025</w:t>
      </w:r>
      <w:r>
        <w:rPr>
          <w:rFonts w:eastAsia="楷体_GB2312" w:cs="Calibri"/>
          <w:sz w:val="20"/>
          <w:szCs w:val="20"/>
          <w:lang w:val="en-US" w:eastAsia="zh-CN"/>
        </w:rPr>
        <w:t>年全球五大活塞发动机飞机制造商合计市场份额达</w:t>
      </w:r>
      <w:r>
        <w:rPr>
          <w:rFonts w:eastAsia="楷体_GB2312" w:cs="Calibri"/>
          <w:sz w:val="20"/>
          <w:szCs w:val="20"/>
          <w:lang w:val="en-US" w:eastAsia="zh-CN"/>
        </w:rPr>
        <w:t>89.1%</w:t>
      </w:r>
      <w:r>
        <w:rPr>
          <w:rFonts w:eastAsia="楷体_GB2312" w:cs="Calibri"/>
          <w:sz w:val="20"/>
          <w:szCs w:val="20"/>
          <w:lang w:val="en-US" w:eastAsia="zh-CN"/>
        </w:rPr>
        <w:t>，其中西</w:t>
      </w:r>
      <w:proofErr w:type="gramStart"/>
      <w:r>
        <w:rPr>
          <w:rFonts w:eastAsia="楷体_GB2312" w:cs="Calibri"/>
          <w:sz w:val="20"/>
          <w:szCs w:val="20"/>
          <w:lang w:val="en-US" w:eastAsia="zh-CN"/>
        </w:rPr>
        <w:t>锐</w:t>
      </w:r>
      <w:proofErr w:type="gramEnd"/>
      <w:r>
        <w:rPr>
          <w:rFonts w:eastAsia="楷体_GB2312" w:cs="Calibri"/>
          <w:sz w:val="20"/>
          <w:szCs w:val="20"/>
          <w:lang w:val="en-US" w:eastAsia="zh-CN"/>
        </w:rPr>
        <w:t>飞机以</w:t>
      </w:r>
      <w:r>
        <w:rPr>
          <w:rFonts w:eastAsia="楷体_GB2312" w:cs="Calibri"/>
          <w:sz w:val="20"/>
          <w:szCs w:val="20"/>
          <w:lang w:val="en-US" w:eastAsia="zh-CN"/>
        </w:rPr>
        <w:t>37.2%</w:t>
      </w:r>
      <w:r>
        <w:rPr>
          <w:rFonts w:eastAsia="楷体_GB2312" w:cs="Calibri"/>
          <w:sz w:val="20"/>
          <w:szCs w:val="20"/>
          <w:lang w:val="en-US" w:eastAsia="zh-CN"/>
        </w:rPr>
        <w:t>的份额稳居榜首（较</w:t>
      </w:r>
      <w:r>
        <w:rPr>
          <w:rFonts w:eastAsia="楷体_GB2312" w:cs="Calibri"/>
          <w:sz w:val="20"/>
          <w:szCs w:val="20"/>
          <w:lang w:val="en-US" w:eastAsia="zh-CN"/>
        </w:rPr>
        <w:t>2024</w:t>
      </w:r>
      <w:r>
        <w:rPr>
          <w:rFonts w:eastAsia="楷体_GB2312" w:cs="Calibri"/>
          <w:sz w:val="20"/>
          <w:szCs w:val="20"/>
          <w:lang w:val="en-US" w:eastAsia="zh-CN"/>
        </w:rPr>
        <w:t>年的</w:t>
      </w:r>
      <w:r>
        <w:rPr>
          <w:rFonts w:eastAsia="楷体_GB2312" w:cs="Calibri"/>
          <w:sz w:val="20"/>
          <w:szCs w:val="20"/>
          <w:lang w:val="en-US" w:eastAsia="zh-CN"/>
        </w:rPr>
        <w:t>32%</w:t>
      </w:r>
      <w:r>
        <w:rPr>
          <w:rFonts w:eastAsia="楷体_GB2312" w:cs="Calibri"/>
          <w:sz w:val="20"/>
          <w:szCs w:val="20"/>
          <w:lang w:val="en-US" w:eastAsia="zh-CN"/>
        </w:rPr>
        <w:t>进一步提升，较</w:t>
      </w:r>
      <w:r>
        <w:rPr>
          <w:rFonts w:eastAsia="楷体_GB2312" w:cs="Calibri"/>
          <w:sz w:val="20"/>
          <w:szCs w:val="20"/>
          <w:lang w:val="en-US" w:eastAsia="zh-CN"/>
        </w:rPr>
        <w:t>2020</w:t>
      </w:r>
      <w:r>
        <w:rPr>
          <w:rFonts w:eastAsia="楷体_GB2312" w:cs="Calibri"/>
          <w:sz w:val="20"/>
          <w:szCs w:val="20"/>
          <w:lang w:val="en-US" w:eastAsia="zh-CN"/>
        </w:rPr>
        <w:t>年约</w:t>
      </w:r>
      <w:r>
        <w:rPr>
          <w:rFonts w:eastAsia="楷体_GB2312" w:cs="Calibri"/>
          <w:sz w:val="20"/>
          <w:szCs w:val="20"/>
          <w:lang w:val="en-US" w:eastAsia="zh-CN"/>
        </w:rPr>
        <w:t>24.1%</w:t>
      </w:r>
      <w:r>
        <w:rPr>
          <w:rFonts w:eastAsia="楷体_GB2312" w:cs="Calibri"/>
          <w:sz w:val="20"/>
          <w:szCs w:val="20"/>
          <w:lang w:val="en-US" w:eastAsia="zh-CN"/>
        </w:rPr>
        <w:t>的份额显著扩大）。</w:t>
      </w:r>
      <w:proofErr w:type="gramStart"/>
      <w:r>
        <w:rPr>
          <w:rFonts w:eastAsia="楷体_GB2312" w:cs="Calibri"/>
          <w:sz w:val="20"/>
          <w:szCs w:val="20"/>
          <w:lang w:val="en-US" w:eastAsia="zh-CN"/>
        </w:rPr>
        <w:t>西锐飞机</w:t>
      </w:r>
      <w:proofErr w:type="gramEnd"/>
      <w:r>
        <w:rPr>
          <w:rFonts w:eastAsia="楷体_GB2312" w:cs="Calibri"/>
          <w:sz w:val="20"/>
          <w:szCs w:val="20"/>
          <w:lang w:val="en-US" w:eastAsia="zh-CN"/>
        </w:rPr>
        <w:t>凭借其高端</w:t>
      </w:r>
      <w:r>
        <w:rPr>
          <w:rFonts w:eastAsia="楷体_GB2312" w:cs="Calibri"/>
          <w:sz w:val="20"/>
          <w:szCs w:val="20"/>
          <w:lang w:val="en-US" w:eastAsia="zh-CN"/>
        </w:rPr>
        <w:t>SR</w:t>
      </w:r>
      <w:r>
        <w:rPr>
          <w:rFonts w:eastAsia="楷体_GB2312" w:cs="Calibri"/>
          <w:sz w:val="20"/>
          <w:szCs w:val="20"/>
          <w:lang w:val="en-US" w:eastAsia="zh-CN"/>
        </w:rPr>
        <w:t>系列产品和强劲市场需求，继续领跑全球活塞发动机飞机市场。</w:t>
      </w:r>
    </w:p>
    <w:p w14:paraId="5C56974C" w14:textId="77777777" w:rsidR="00043BDD" w:rsidRDefault="00043BDD">
      <w:pPr>
        <w:rPr>
          <w:rFonts w:eastAsia="楷体_GB2312" w:cs="Calibri"/>
          <w:sz w:val="20"/>
          <w:szCs w:val="20"/>
          <w:lang w:val="en-US" w:eastAsia="zh-CN"/>
        </w:rPr>
      </w:pPr>
    </w:p>
    <w:tbl>
      <w:tblPr>
        <w:tblW w:w="7466" w:type="dxa"/>
        <w:jc w:val="right"/>
        <w:tblLayout w:type="fixed"/>
        <w:tblLook w:val="04A0" w:firstRow="1" w:lastRow="0" w:firstColumn="1" w:lastColumn="0" w:noHBand="0" w:noVBand="1"/>
      </w:tblPr>
      <w:tblGrid>
        <w:gridCol w:w="7466"/>
      </w:tblGrid>
      <w:tr w:rsidR="00043BDD" w14:paraId="2643197B" w14:textId="77777777">
        <w:trPr>
          <w:trHeight w:val="302"/>
          <w:jc w:val="right"/>
        </w:trPr>
        <w:tc>
          <w:tcPr>
            <w:tcW w:w="7466" w:type="dxa"/>
            <w:tcBorders>
              <w:bottom w:val="single" w:sz="4" w:space="0" w:color="auto"/>
            </w:tcBorders>
            <w:tcMar>
              <w:left w:w="0" w:type="dxa"/>
              <w:right w:w="28" w:type="dxa"/>
            </w:tcMar>
          </w:tcPr>
          <w:p w14:paraId="00F731EE" w14:textId="2A617BE6" w:rsidR="00043BDD" w:rsidRDefault="00A61197">
            <w:pPr>
              <w:spacing w:beforeLines="20" w:before="48" w:afterLines="20" w:after="48"/>
              <w:textAlignment w:val="center"/>
              <w:rPr>
                <w:rFonts w:eastAsia="楷体_GB2312" w:cs="Calibri"/>
                <w:b/>
                <w:szCs w:val="20"/>
                <w:lang w:eastAsia="zh-CN"/>
              </w:rPr>
            </w:pPr>
            <w:r>
              <w:rPr>
                <w:rFonts w:eastAsia="楷体_GB2312" w:cs="Calibri"/>
                <w:b/>
                <w:sz w:val="18"/>
                <w:szCs w:val="18"/>
                <w:lang w:val="zh-CN" w:eastAsia="zh-CN"/>
              </w:rPr>
              <w:t>图</w:t>
            </w:r>
            <w:r>
              <w:rPr>
                <w:rFonts w:eastAsia="楷体_GB2312" w:cs="Calibri" w:hint="eastAsia"/>
                <w:b/>
                <w:sz w:val="18"/>
                <w:szCs w:val="18"/>
                <w:lang w:val="zh-CN" w:eastAsia="zh-CN"/>
              </w:rPr>
              <w:t>1</w:t>
            </w:r>
            <w:r w:rsidR="006C6F7D">
              <w:rPr>
                <w:rFonts w:eastAsia="楷体_GB2312" w:cs="Calibri" w:hint="eastAsia"/>
                <w:b/>
                <w:sz w:val="18"/>
                <w:szCs w:val="18"/>
                <w:lang w:val="zh-CN" w:eastAsia="zh-CN"/>
              </w:rPr>
              <w:t>1</w:t>
            </w:r>
            <w:r>
              <w:rPr>
                <w:rFonts w:eastAsia="楷体_GB2312" w:cs="Calibri"/>
                <w:b/>
                <w:sz w:val="18"/>
                <w:szCs w:val="18"/>
                <w:lang w:val="zh-CN" w:eastAsia="zh-CN"/>
              </w:rPr>
              <w:t>：全球活塞式飞机交付量市场份额（单位：架）</w:t>
            </w:r>
          </w:p>
        </w:tc>
      </w:tr>
      <w:tr w:rsidR="00043BDD" w14:paraId="523E1E4A" w14:textId="77777777">
        <w:trPr>
          <w:trHeight w:val="856"/>
          <w:jc w:val="right"/>
        </w:trPr>
        <w:tc>
          <w:tcPr>
            <w:tcW w:w="7466" w:type="dxa"/>
            <w:tcBorders>
              <w:top w:val="single" w:sz="4" w:space="0" w:color="auto"/>
              <w:bottom w:val="single" w:sz="4" w:space="0" w:color="auto"/>
            </w:tcBorders>
            <w:vAlign w:val="center"/>
          </w:tcPr>
          <w:p w14:paraId="773548FE" w14:textId="77777777" w:rsidR="00043BDD" w:rsidRDefault="00A61197">
            <w:pPr>
              <w:spacing w:beforeLines="20" w:before="48" w:afterLines="20" w:after="48"/>
              <w:jc w:val="center"/>
              <w:textAlignment w:val="center"/>
              <w:rPr>
                <w:rFonts w:eastAsia="楷体_GB2312" w:cs="Calibri"/>
                <w:b/>
                <w:bCs/>
                <w:szCs w:val="20"/>
              </w:rPr>
            </w:pPr>
            <w:r>
              <w:rPr>
                <w:rFonts w:eastAsia="楷体_GB2312" w:cs="Calibri"/>
                <w:noProof/>
                <w:snapToGrid/>
              </w:rPr>
              <w:lastRenderedPageBreak/>
              <w:drawing>
                <wp:inline distT="0" distB="0" distL="0" distR="0" wp14:anchorId="774F2EA4" wp14:editId="33BD4A3B">
                  <wp:extent cx="4603750" cy="1795780"/>
                  <wp:effectExtent l="0" t="0" r="6350" b="0"/>
                  <wp:docPr id="1761675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043BDD" w14:paraId="5046D5D0" w14:textId="77777777">
        <w:trPr>
          <w:trHeight w:val="64"/>
          <w:jc w:val="right"/>
        </w:trPr>
        <w:tc>
          <w:tcPr>
            <w:tcW w:w="7466" w:type="dxa"/>
            <w:tcBorders>
              <w:top w:val="single" w:sz="4" w:space="0" w:color="auto"/>
            </w:tcBorders>
            <w:tcMar>
              <w:left w:w="0" w:type="dxa"/>
              <w:right w:w="28" w:type="dxa"/>
            </w:tcMar>
            <w:vAlign w:val="center"/>
          </w:tcPr>
          <w:p w14:paraId="341CCF3B" w14:textId="77777777" w:rsidR="00043BDD" w:rsidRDefault="00A61197">
            <w:pPr>
              <w:spacing w:line="240" w:lineRule="atLeast"/>
              <w:textAlignment w:val="center"/>
              <w:rPr>
                <w:rFonts w:eastAsia="楷体_GB2312" w:cs="Calibri"/>
                <w:szCs w:val="20"/>
              </w:rPr>
            </w:pPr>
            <w:r>
              <w:rPr>
                <w:rFonts w:eastAsia="楷体_GB2312" w:cs="Calibri"/>
                <w:i/>
                <w:iCs/>
              </w:rPr>
              <w:t>资料来源</w:t>
            </w:r>
            <w:r>
              <w:rPr>
                <w:rFonts w:eastAsia="楷体_GB2312" w:cs="Calibri"/>
                <w:i/>
                <w:iCs/>
              </w:rPr>
              <w:t>: GAMA, Wind, HFI</w:t>
            </w:r>
          </w:p>
        </w:tc>
      </w:tr>
    </w:tbl>
    <w:p w14:paraId="48855C10" w14:textId="77777777" w:rsidR="00043BDD" w:rsidRDefault="00043BDD">
      <w:pPr>
        <w:overflowPunct w:val="0"/>
        <w:ind w:leftChars="2000" w:left="3200"/>
        <w:jc w:val="both"/>
        <w:rPr>
          <w:rFonts w:eastAsia="楷体_GB2312" w:cs="Calibri"/>
          <w:b/>
          <w:bCs/>
          <w:sz w:val="20"/>
          <w:szCs w:val="20"/>
          <w:lang w:val="en-US" w:eastAsia="zh-CN"/>
        </w:rPr>
      </w:pPr>
    </w:p>
    <w:p w14:paraId="3F29A0F0" w14:textId="77777777" w:rsidR="00043BDD" w:rsidRDefault="00A61197">
      <w:pPr>
        <w:overflowPunct w:val="0"/>
        <w:ind w:leftChars="2000" w:left="3200"/>
        <w:jc w:val="both"/>
        <w:rPr>
          <w:rFonts w:eastAsia="楷体_GB2312" w:cs="Calibri"/>
          <w:sz w:val="20"/>
          <w:szCs w:val="20"/>
          <w:lang w:val="en-US" w:eastAsia="zh-CN"/>
        </w:rPr>
      </w:pPr>
      <w:r>
        <w:rPr>
          <w:rFonts w:eastAsia="楷体_GB2312" w:cs="Calibri"/>
          <w:b/>
          <w:bCs/>
          <w:sz w:val="20"/>
          <w:szCs w:val="20"/>
          <w:lang w:val="en-US" w:eastAsia="zh-CN"/>
        </w:rPr>
        <w:t>2</w:t>
      </w:r>
      <w:r>
        <w:rPr>
          <w:rFonts w:eastAsia="楷体_GB2312" w:cs="Calibri"/>
          <w:b/>
          <w:bCs/>
          <w:sz w:val="20"/>
          <w:szCs w:val="20"/>
          <w:lang w:val="en-US" w:eastAsia="zh-CN"/>
        </w:rPr>
        <w:t>）喷气式飞机：</w:t>
      </w:r>
      <w:r>
        <w:rPr>
          <w:rFonts w:eastAsia="楷体_GB2312" w:cs="Calibri"/>
          <w:sz w:val="20"/>
          <w:szCs w:val="20"/>
          <w:lang w:val="en-US" w:eastAsia="zh-CN"/>
        </w:rPr>
        <w:t>2025</w:t>
      </w:r>
      <w:r>
        <w:rPr>
          <w:rFonts w:eastAsia="楷体_GB2312" w:cs="Calibri"/>
          <w:sz w:val="20"/>
          <w:szCs w:val="20"/>
          <w:lang w:val="en-US" w:eastAsia="zh-CN"/>
        </w:rPr>
        <w:t>年全球五大喷气式飞机制造商合计市场份额达</w:t>
      </w:r>
      <w:r>
        <w:rPr>
          <w:rFonts w:eastAsia="楷体_GB2312" w:cs="Calibri"/>
          <w:sz w:val="20"/>
          <w:szCs w:val="20"/>
          <w:lang w:val="en-US" w:eastAsia="zh-CN"/>
        </w:rPr>
        <w:t>87.5%</w:t>
      </w:r>
      <w:r>
        <w:rPr>
          <w:rFonts w:eastAsia="楷体_GB2312" w:cs="Calibri"/>
          <w:sz w:val="20"/>
          <w:szCs w:val="20"/>
          <w:lang w:val="en-US" w:eastAsia="zh-CN"/>
        </w:rPr>
        <w:t>，其中西</w:t>
      </w:r>
      <w:proofErr w:type="gramStart"/>
      <w:r>
        <w:rPr>
          <w:rFonts w:eastAsia="楷体_GB2312" w:cs="Calibri"/>
          <w:sz w:val="20"/>
          <w:szCs w:val="20"/>
          <w:lang w:val="en-US" w:eastAsia="zh-CN"/>
        </w:rPr>
        <w:t>锐</w:t>
      </w:r>
      <w:proofErr w:type="gramEnd"/>
      <w:r>
        <w:rPr>
          <w:rFonts w:eastAsia="楷体_GB2312" w:cs="Calibri"/>
          <w:sz w:val="20"/>
          <w:szCs w:val="20"/>
          <w:lang w:val="en-US" w:eastAsia="zh-CN"/>
        </w:rPr>
        <w:t>飞机以约</w:t>
      </w:r>
      <w:r>
        <w:rPr>
          <w:rFonts w:eastAsia="楷体_GB2312" w:cs="Calibri"/>
          <w:sz w:val="20"/>
          <w:szCs w:val="20"/>
          <w:lang w:val="en-US" w:eastAsia="zh-CN"/>
        </w:rPr>
        <w:t>12.4%</w:t>
      </w:r>
      <w:r>
        <w:rPr>
          <w:rFonts w:eastAsia="楷体_GB2312" w:cs="Calibri"/>
          <w:sz w:val="20"/>
          <w:szCs w:val="20"/>
          <w:lang w:val="en-US" w:eastAsia="zh-CN"/>
        </w:rPr>
        <w:t>的份额位列第五（较</w:t>
      </w:r>
      <w:r>
        <w:rPr>
          <w:rFonts w:eastAsia="楷体_GB2312" w:cs="Calibri"/>
          <w:sz w:val="20"/>
          <w:szCs w:val="20"/>
          <w:lang w:val="en-US" w:eastAsia="zh-CN"/>
        </w:rPr>
        <w:t>2019</w:t>
      </w:r>
      <w:r>
        <w:rPr>
          <w:rFonts w:eastAsia="楷体_GB2312" w:cs="Calibri"/>
          <w:sz w:val="20"/>
          <w:szCs w:val="20"/>
          <w:lang w:val="en-US" w:eastAsia="zh-CN"/>
        </w:rPr>
        <w:t>年的约</w:t>
      </w:r>
      <w:r>
        <w:rPr>
          <w:rFonts w:eastAsia="楷体_GB2312" w:cs="Calibri"/>
          <w:sz w:val="20"/>
          <w:szCs w:val="20"/>
          <w:lang w:val="en-US" w:eastAsia="zh-CN"/>
        </w:rPr>
        <w:t>10%</w:t>
      </w:r>
      <w:r>
        <w:rPr>
          <w:rFonts w:eastAsia="楷体_GB2312" w:cs="Calibri"/>
          <w:sz w:val="20"/>
          <w:szCs w:val="20"/>
          <w:lang w:val="en-US" w:eastAsia="zh-CN"/>
        </w:rPr>
        <w:t>有所提升）。</w:t>
      </w:r>
    </w:p>
    <w:p w14:paraId="3B0FE9D6" w14:textId="493E96CB" w:rsidR="00043BDD" w:rsidRDefault="00043BDD">
      <w:pPr>
        <w:rPr>
          <w:rFonts w:eastAsia="楷体_GB2312" w:cs="Calibri"/>
          <w:sz w:val="20"/>
          <w:szCs w:val="20"/>
          <w:lang w:val="en-US" w:eastAsia="zh-CN"/>
        </w:rPr>
      </w:pPr>
    </w:p>
    <w:tbl>
      <w:tblPr>
        <w:tblW w:w="7466" w:type="dxa"/>
        <w:jc w:val="right"/>
        <w:tblLayout w:type="fixed"/>
        <w:tblLook w:val="04A0" w:firstRow="1" w:lastRow="0" w:firstColumn="1" w:lastColumn="0" w:noHBand="0" w:noVBand="1"/>
      </w:tblPr>
      <w:tblGrid>
        <w:gridCol w:w="7466"/>
      </w:tblGrid>
      <w:tr w:rsidR="00043BDD" w14:paraId="171C40DE" w14:textId="77777777">
        <w:trPr>
          <w:trHeight w:val="302"/>
          <w:jc w:val="right"/>
        </w:trPr>
        <w:tc>
          <w:tcPr>
            <w:tcW w:w="7466" w:type="dxa"/>
            <w:tcBorders>
              <w:bottom w:val="single" w:sz="4" w:space="0" w:color="auto"/>
            </w:tcBorders>
            <w:tcMar>
              <w:left w:w="0" w:type="dxa"/>
              <w:right w:w="28" w:type="dxa"/>
            </w:tcMar>
          </w:tcPr>
          <w:p w14:paraId="6C8A77A1" w14:textId="02550F44" w:rsidR="00043BDD" w:rsidRDefault="00A61197">
            <w:pPr>
              <w:spacing w:beforeLines="20" w:before="48" w:afterLines="20" w:after="48"/>
              <w:textAlignment w:val="center"/>
              <w:rPr>
                <w:rFonts w:eastAsia="楷体_GB2312" w:cs="Calibri"/>
                <w:b/>
                <w:szCs w:val="20"/>
                <w:lang w:eastAsia="zh-CN"/>
              </w:rPr>
            </w:pPr>
            <w:r>
              <w:rPr>
                <w:rFonts w:eastAsia="楷体_GB2312" w:cs="Calibri"/>
                <w:b/>
                <w:sz w:val="18"/>
                <w:szCs w:val="18"/>
                <w:lang w:val="zh-CN" w:eastAsia="zh-CN"/>
              </w:rPr>
              <w:t>图</w:t>
            </w:r>
            <w:r>
              <w:rPr>
                <w:rFonts w:eastAsia="楷体_GB2312" w:cs="Calibri" w:hint="eastAsia"/>
                <w:b/>
                <w:sz w:val="18"/>
                <w:szCs w:val="18"/>
                <w:lang w:val="zh-CN" w:eastAsia="zh-CN"/>
              </w:rPr>
              <w:t>1</w:t>
            </w:r>
            <w:r w:rsidR="006C6F7D">
              <w:rPr>
                <w:rFonts w:eastAsia="楷体_GB2312" w:cs="Calibri" w:hint="eastAsia"/>
                <w:b/>
                <w:sz w:val="18"/>
                <w:szCs w:val="18"/>
                <w:lang w:val="zh-CN" w:eastAsia="zh-CN"/>
              </w:rPr>
              <w:t>2</w:t>
            </w:r>
            <w:r>
              <w:rPr>
                <w:rFonts w:eastAsia="楷体_GB2312" w:cs="Calibri"/>
                <w:b/>
                <w:sz w:val="18"/>
                <w:szCs w:val="18"/>
                <w:lang w:val="zh-CN" w:eastAsia="zh-CN"/>
              </w:rPr>
              <w:t>：全球喷气式飞机交付量市场份额（单位：架）</w:t>
            </w:r>
          </w:p>
        </w:tc>
      </w:tr>
      <w:tr w:rsidR="00043BDD" w14:paraId="126402DD" w14:textId="77777777">
        <w:trPr>
          <w:trHeight w:val="856"/>
          <w:jc w:val="right"/>
        </w:trPr>
        <w:tc>
          <w:tcPr>
            <w:tcW w:w="7466" w:type="dxa"/>
            <w:tcBorders>
              <w:top w:val="single" w:sz="4" w:space="0" w:color="auto"/>
              <w:bottom w:val="single" w:sz="4" w:space="0" w:color="auto"/>
            </w:tcBorders>
            <w:vAlign w:val="center"/>
          </w:tcPr>
          <w:p w14:paraId="31F15559" w14:textId="77777777" w:rsidR="00043BDD" w:rsidRDefault="00A61197">
            <w:pPr>
              <w:spacing w:beforeLines="20" w:before="48" w:afterLines="20" w:after="48"/>
              <w:jc w:val="center"/>
              <w:textAlignment w:val="center"/>
              <w:rPr>
                <w:rFonts w:eastAsia="楷体_GB2312" w:cs="Calibri"/>
                <w:b/>
                <w:bCs/>
                <w:sz w:val="15"/>
                <w:szCs w:val="15"/>
              </w:rPr>
            </w:pPr>
            <w:r>
              <w:rPr>
                <w:rFonts w:eastAsia="楷体_GB2312" w:cs="Calibri"/>
                <w:noProof/>
                <w:snapToGrid/>
              </w:rPr>
              <w:drawing>
                <wp:inline distT="0" distB="0" distL="0" distR="0" wp14:anchorId="7FD58EA0" wp14:editId="3ECD7E1F">
                  <wp:extent cx="4603750" cy="2071370"/>
                  <wp:effectExtent l="0" t="0" r="6350" b="5080"/>
                  <wp:docPr id="47139246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043BDD" w14:paraId="0C5E834F" w14:textId="77777777">
        <w:trPr>
          <w:trHeight w:val="64"/>
          <w:jc w:val="right"/>
        </w:trPr>
        <w:tc>
          <w:tcPr>
            <w:tcW w:w="7466" w:type="dxa"/>
            <w:tcBorders>
              <w:top w:val="single" w:sz="4" w:space="0" w:color="auto"/>
            </w:tcBorders>
            <w:tcMar>
              <w:left w:w="0" w:type="dxa"/>
              <w:right w:w="28" w:type="dxa"/>
            </w:tcMar>
            <w:vAlign w:val="center"/>
          </w:tcPr>
          <w:p w14:paraId="21CE8F5C" w14:textId="77777777" w:rsidR="00043BDD" w:rsidRDefault="00A61197">
            <w:pPr>
              <w:spacing w:line="240" w:lineRule="atLeast"/>
              <w:textAlignment w:val="center"/>
              <w:rPr>
                <w:rFonts w:eastAsia="楷体_GB2312" w:cs="Calibri"/>
                <w:szCs w:val="20"/>
              </w:rPr>
            </w:pPr>
            <w:r>
              <w:rPr>
                <w:rFonts w:eastAsia="楷体_GB2312" w:cs="Calibri"/>
                <w:i/>
                <w:iCs/>
              </w:rPr>
              <w:t>资料来源</w:t>
            </w:r>
            <w:r>
              <w:rPr>
                <w:rFonts w:eastAsia="楷体_GB2312" w:cs="Calibri"/>
                <w:i/>
                <w:iCs/>
              </w:rPr>
              <w:t>: GAMA, Wind, HFI</w:t>
            </w:r>
          </w:p>
        </w:tc>
      </w:tr>
    </w:tbl>
    <w:p w14:paraId="20E01ABC" w14:textId="77777777" w:rsidR="00043BDD" w:rsidRDefault="00043BDD">
      <w:pPr>
        <w:overflowPunct w:val="0"/>
        <w:ind w:leftChars="2000" w:left="3200"/>
        <w:jc w:val="both"/>
        <w:rPr>
          <w:rFonts w:eastAsia="楷体_GB2312" w:cs="Calibri"/>
          <w:b/>
          <w:bCs/>
          <w:sz w:val="20"/>
          <w:szCs w:val="20"/>
          <w:lang w:val="en-US" w:eastAsia="zh-CN"/>
        </w:rPr>
      </w:pPr>
    </w:p>
    <w:p w14:paraId="506E5824" w14:textId="77777777" w:rsidR="00043BDD" w:rsidRDefault="00A61197">
      <w:pPr>
        <w:overflowPunct w:val="0"/>
        <w:ind w:leftChars="2000" w:left="3200"/>
        <w:jc w:val="both"/>
        <w:rPr>
          <w:rFonts w:eastAsia="楷体_GB2312" w:cs="Calibri"/>
          <w:sz w:val="20"/>
          <w:szCs w:val="20"/>
          <w:lang w:val="en-US" w:eastAsia="zh-CN"/>
        </w:rPr>
      </w:pPr>
      <w:r>
        <w:rPr>
          <w:rFonts w:eastAsia="楷体_GB2312" w:cs="Calibri"/>
          <w:b/>
          <w:bCs/>
          <w:sz w:val="20"/>
          <w:szCs w:val="20"/>
          <w:lang w:val="en-US" w:eastAsia="zh-CN"/>
        </w:rPr>
        <w:t>2025</w:t>
      </w:r>
      <w:r>
        <w:rPr>
          <w:rFonts w:eastAsia="楷体_GB2312" w:cs="Calibri"/>
          <w:b/>
          <w:bCs/>
          <w:sz w:val="20"/>
          <w:szCs w:val="20"/>
          <w:lang w:val="en-US" w:eastAsia="zh-CN"/>
        </w:rPr>
        <w:t>年，公务喷气机交付量显著增长，带动整体交付价值提升。</w:t>
      </w:r>
      <w:r>
        <w:rPr>
          <w:rFonts w:eastAsia="楷体_GB2312" w:cs="Calibri"/>
          <w:sz w:val="20"/>
          <w:szCs w:val="20"/>
          <w:lang w:val="en-US" w:eastAsia="zh-CN"/>
        </w:rPr>
        <w:t>全年全球共交付固定</w:t>
      </w:r>
      <w:proofErr w:type="gramStart"/>
      <w:r>
        <w:rPr>
          <w:rFonts w:eastAsia="楷体_GB2312" w:cs="Calibri"/>
          <w:sz w:val="20"/>
          <w:szCs w:val="20"/>
          <w:lang w:val="en-US" w:eastAsia="zh-CN"/>
        </w:rPr>
        <w:t>翼</w:t>
      </w:r>
      <w:proofErr w:type="gramEnd"/>
      <w:r>
        <w:rPr>
          <w:rFonts w:eastAsia="楷体_GB2312" w:cs="Calibri"/>
          <w:sz w:val="20"/>
          <w:szCs w:val="20"/>
          <w:lang w:val="en-US" w:eastAsia="zh-CN"/>
        </w:rPr>
        <w:t>通用飞机</w:t>
      </w:r>
      <w:r>
        <w:rPr>
          <w:rFonts w:eastAsia="楷体_GB2312" w:cs="Calibri"/>
          <w:sz w:val="20"/>
          <w:szCs w:val="20"/>
          <w:lang w:val="en-US" w:eastAsia="zh-CN"/>
        </w:rPr>
        <w:t>3,230</w:t>
      </w:r>
      <w:r>
        <w:rPr>
          <w:rFonts w:eastAsia="楷体_GB2312" w:cs="Calibri"/>
          <w:sz w:val="20"/>
          <w:szCs w:val="20"/>
          <w:lang w:val="en-US" w:eastAsia="zh-CN"/>
        </w:rPr>
        <w:t>架，较</w:t>
      </w:r>
      <w:r>
        <w:rPr>
          <w:rFonts w:eastAsia="楷体_GB2312" w:cs="Calibri"/>
          <w:sz w:val="20"/>
          <w:szCs w:val="20"/>
          <w:lang w:val="en-US" w:eastAsia="zh-CN"/>
        </w:rPr>
        <w:t>2024</w:t>
      </w:r>
      <w:r>
        <w:rPr>
          <w:rFonts w:eastAsia="楷体_GB2312" w:cs="Calibri"/>
          <w:sz w:val="20"/>
          <w:szCs w:val="20"/>
          <w:lang w:val="en-US" w:eastAsia="zh-CN"/>
        </w:rPr>
        <w:t>年增加</w:t>
      </w:r>
      <w:r>
        <w:rPr>
          <w:rFonts w:eastAsia="楷体_GB2312" w:cs="Calibri"/>
          <w:sz w:val="20"/>
          <w:szCs w:val="20"/>
          <w:lang w:val="en-US" w:eastAsia="zh-CN"/>
        </w:rPr>
        <w:t>2.2%</w:t>
      </w:r>
      <w:r>
        <w:rPr>
          <w:rFonts w:eastAsia="楷体_GB2312" w:cs="Calibri"/>
          <w:sz w:val="20"/>
          <w:szCs w:val="20"/>
          <w:lang w:val="en-US" w:eastAsia="zh-CN"/>
        </w:rPr>
        <w:t>；其中喷气机交付量达到</w:t>
      </w:r>
      <w:r>
        <w:rPr>
          <w:rFonts w:eastAsia="楷体_GB2312" w:cs="Calibri"/>
          <w:sz w:val="20"/>
          <w:szCs w:val="20"/>
          <w:lang w:val="en-US" w:eastAsia="zh-CN"/>
        </w:rPr>
        <w:t>854</w:t>
      </w:r>
      <w:r>
        <w:rPr>
          <w:rFonts w:eastAsia="楷体_GB2312" w:cs="Calibri"/>
          <w:sz w:val="20"/>
          <w:szCs w:val="20"/>
          <w:lang w:val="en-US" w:eastAsia="zh-CN"/>
        </w:rPr>
        <w:t>架，同比增长</w:t>
      </w:r>
      <w:r>
        <w:rPr>
          <w:rFonts w:eastAsia="楷体_GB2312" w:cs="Calibri"/>
          <w:sz w:val="20"/>
          <w:szCs w:val="20"/>
          <w:lang w:val="en-US" w:eastAsia="zh-CN"/>
        </w:rPr>
        <w:t>11.8%</w:t>
      </w:r>
      <w:r>
        <w:rPr>
          <w:rFonts w:eastAsia="楷体_GB2312" w:cs="Calibri"/>
          <w:sz w:val="20"/>
          <w:szCs w:val="20"/>
          <w:lang w:val="en-US" w:eastAsia="zh-CN"/>
        </w:rPr>
        <w:t>，成为增长最快的细分市场；活塞飞机共交付</w:t>
      </w:r>
      <w:r>
        <w:rPr>
          <w:rFonts w:eastAsia="楷体_GB2312" w:cs="Calibri"/>
          <w:sz w:val="20"/>
          <w:szCs w:val="20"/>
          <w:lang w:val="en-US" w:eastAsia="zh-CN"/>
        </w:rPr>
        <w:t>1,782</w:t>
      </w:r>
      <w:r>
        <w:rPr>
          <w:rFonts w:eastAsia="楷体_GB2312" w:cs="Calibri"/>
          <w:sz w:val="20"/>
          <w:szCs w:val="20"/>
          <w:lang w:val="en-US" w:eastAsia="zh-CN"/>
        </w:rPr>
        <w:t>架，同比增长</w:t>
      </w:r>
      <w:r>
        <w:rPr>
          <w:rFonts w:eastAsia="楷体_GB2312" w:cs="Calibri"/>
          <w:sz w:val="20"/>
          <w:szCs w:val="20"/>
          <w:lang w:val="en-US" w:eastAsia="zh-CN"/>
        </w:rPr>
        <w:t>0.6%</w:t>
      </w:r>
      <w:r>
        <w:rPr>
          <w:rFonts w:eastAsia="楷体_GB2312" w:cs="Calibri"/>
          <w:sz w:val="20"/>
          <w:szCs w:val="20"/>
          <w:lang w:val="en-US" w:eastAsia="zh-CN"/>
        </w:rPr>
        <w:t>；涡轮螺旋桨飞机交付</w:t>
      </w:r>
      <w:r>
        <w:rPr>
          <w:rFonts w:eastAsia="楷体_GB2312" w:cs="Calibri"/>
          <w:sz w:val="20"/>
          <w:szCs w:val="20"/>
          <w:lang w:val="en-US" w:eastAsia="zh-CN"/>
        </w:rPr>
        <w:t>594</w:t>
      </w:r>
      <w:r>
        <w:rPr>
          <w:rFonts w:eastAsia="楷体_GB2312" w:cs="Calibri"/>
          <w:sz w:val="20"/>
          <w:szCs w:val="20"/>
          <w:lang w:val="en-US" w:eastAsia="zh-CN"/>
        </w:rPr>
        <w:t>架，同比下降</w:t>
      </w:r>
      <w:r>
        <w:rPr>
          <w:rFonts w:eastAsia="楷体_GB2312" w:cs="Calibri"/>
          <w:sz w:val="20"/>
          <w:szCs w:val="20"/>
          <w:lang w:val="en-US" w:eastAsia="zh-CN"/>
        </w:rPr>
        <w:t>5.1%</w:t>
      </w:r>
      <w:r>
        <w:rPr>
          <w:rFonts w:eastAsia="楷体_GB2312" w:cs="Calibri"/>
          <w:sz w:val="20"/>
          <w:szCs w:val="20"/>
          <w:lang w:val="en-US" w:eastAsia="zh-CN"/>
        </w:rPr>
        <w:t>。尽管交付总量增长温和，但受益于产品结构向高价值机型倾斜，飞机交付总价值达到</w:t>
      </w:r>
      <w:r>
        <w:rPr>
          <w:rFonts w:eastAsia="楷体_GB2312" w:cs="Calibri"/>
          <w:sz w:val="20"/>
          <w:szCs w:val="20"/>
          <w:lang w:val="en-US" w:eastAsia="zh-CN"/>
        </w:rPr>
        <w:t>310</w:t>
      </w:r>
      <w:r>
        <w:rPr>
          <w:rFonts w:eastAsia="楷体_GB2312" w:cs="Calibri"/>
          <w:sz w:val="20"/>
          <w:szCs w:val="20"/>
          <w:lang w:val="en-US" w:eastAsia="zh-CN"/>
        </w:rPr>
        <w:t>亿美元，同比大幅增长</w:t>
      </w:r>
      <w:r>
        <w:rPr>
          <w:rFonts w:eastAsia="楷体_GB2312" w:cs="Calibri"/>
          <w:sz w:val="20"/>
          <w:szCs w:val="20"/>
          <w:lang w:val="en-US" w:eastAsia="zh-CN"/>
        </w:rPr>
        <w:t>16.1%</w:t>
      </w:r>
      <w:r>
        <w:rPr>
          <w:rFonts w:eastAsia="楷体_GB2312" w:cs="Calibri"/>
          <w:sz w:val="20"/>
          <w:szCs w:val="20"/>
          <w:lang w:val="en-US" w:eastAsia="zh-CN"/>
        </w:rPr>
        <w:t>，创历史新高。此外，</w:t>
      </w:r>
      <w:r>
        <w:rPr>
          <w:rFonts w:eastAsia="楷体_GB2312" w:cs="Calibri"/>
          <w:sz w:val="20"/>
          <w:szCs w:val="20"/>
          <w:lang w:val="en-US" w:eastAsia="zh-CN"/>
        </w:rPr>
        <w:t xml:space="preserve"> 2025</w:t>
      </w:r>
      <w:r>
        <w:rPr>
          <w:rFonts w:eastAsia="楷体_GB2312" w:cs="Calibri"/>
          <w:sz w:val="20"/>
          <w:szCs w:val="20"/>
          <w:lang w:val="en-US" w:eastAsia="zh-CN"/>
        </w:rPr>
        <w:t>年民用及商用直升机共交付</w:t>
      </w:r>
      <w:r>
        <w:rPr>
          <w:rFonts w:eastAsia="楷体_GB2312" w:cs="Calibri"/>
          <w:sz w:val="20"/>
          <w:szCs w:val="20"/>
          <w:lang w:val="en-US" w:eastAsia="zh-CN"/>
        </w:rPr>
        <w:t>938</w:t>
      </w:r>
      <w:r>
        <w:rPr>
          <w:rFonts w:eastAsia="楷体_GB2312" w:cs="Calibri"/>
          <w:sz w:val="20"/>
          <w:szCs w:val="20"/>
          <w:lang w:val="en-US" w:eastAsia="zh-CN"/>
        </w:rPr>
        <w:t>架，较</w:t>
      </w:r>
      <w:r>
        <w:rPr>
          <w:rFonts w:eastAsia="楷体_GB2312" w:cs="Calibri"/>
          <w:sz w:val="20"/>
          <w:szCs w:val="20"/>
          <w:lang w:val="en-US" w:eastAsia="zh-CN"/>
        </w:rPr>
        <w:t>2024</w:t>
      </w:r>
      <w:r>
        <w:rPr>
          <w:rFonts w:eastAsia="楷体_GB2312" w:cs="Calibri"/>
          <w:sz w:val="20"/>
          <w:szCs w:val="20"/>
          <w:lang w:val="en-US" w:eastAsia="zh-CN"/>
        </w:rPr>
        <w:t>年下降约</w:t>
      </w:r>
      <w:r>
        <w:rPr>
          <w:rFonts w:eastAsia="楷体_GB2312" w:cs="Calibri"/>
          <w:sz w:val="20"/>
          <w:szCs w:val="20"/>
          <w:lang w:val="en-US" w:eastAsia="zh-CN"/>
        </w:rPr>
        <w:t>18</w:t>
      </w:r>
      <w:r>
        <w:rPr>
          <w:rFonts w:eastAsia="楷体_GB2312" w:cs="Calibri"/>
          <w:sz w:val="20"/>
          <w:szCs w:val="20"/>
          <w:lang w:val="en-US" w:eastAsia="zh-CN"/>
        </w:rPr>
        <w:t>架（同比下降</w:t>
      </w:r>
      <w:r>
        <w:rPr>
          <w:rFonts w:eastAsia="楷体_GB2312" w:cs="Calibri"/>
          <w:sz w:val="20"/>
          <w:szCs w:val="20"/>
          <w:lang w:val="en-US" w:eastAsia="zh-CN"/>
        </w:rPr>
        <w:t>1.9%</w:t>
      </w:r>
      <w:r>
        <w:rPr>
          <w:rFonts w:eastAsia="楷体_GB2312" w:cs="Calibri"/>
          <w:sz w:val="20"/>
          <w:szCs w:val="20"/>
          <w:lang w:val="en-US" w:eastAsia="zh-CN"/>
        </w:rPr>
        <w:t>）。其中活塞直升机交付</w:t>
      </w:r>
      <w:r>
        <w:rPr>
          <w:rFonts w:eastAsia="楷体_GB2312" w:cs="Calibri"/>
          <w:sz w:val="20"/>
          <w:szCs w:val="20"/>
          <w:lang w:val="en-US" w:eastAsia="zh-CN"/>
        </w:rPr>
        <w:t>206</w:t>
      </w:r>
      <w:r>
        <w:rPr>
          <w:rFonts w:eastAsia="楷体_GB2312" w:cs="Calibri"/>
          <w:sz w:val="20"/>
          <w:szCs w:val="20"/>
          <w:lang w:val="en-US" w:eastAsia="zh-CN"/>
        </w:rPr>
        <w:t>架，涡轮直升机交付</w:t>
      </w:r>
      <w:r>
        <w:rPr>
          <w:rFonts w:eastAsia="楷体_GB2312" w:cs="Calibri"/>
          <w:sz w:val="20"/>
          <w:szCs w:val="20"/>
          <w:lang w:val="en-US" w:eastAsia="zh-CN"/>
        </w:rPr>
        <w:t>732</w:t>
      </w:r>
      <w:r>
        <w:rPr>
          <w:rFonts w:eastAsia="楷体_GB2312" w:cs="Calibri"/>
          <w:sz w:val="20"/>
          <w:szCs w:val="20"/>
          <w:lang w:val="en-US" w:eastAsia="zh-CN"/>
        </w:rPr>
        <w:t>架，交付量均呈小幅下降趋势。</w:t>
      </w:r>
    </w:p>
    <w:p w14:paraId="07D2B978" w14:textId="77777777" w:rsidR="006C6F7D" w:rsidRDefault="006C6F7D">
      <w:pPr>
        <w:overflowPunct w:val="0"/>
        <w:ind w:leftChars="2000" w:left="3200"/>
        <w:jc w:val="both"/>
        <w:rPr>
          <w:rFonts w:eastAsia="楷体_GB2312" w:cs="Calibri"/>
          <w:sz w:val="20"/>
          <w:szCs w:val="20"/>
          <w:lang w:val="en-US" w:eastAsia="zh-CN"/>
        </w:rPr>
      </w:pPr>
    </w:p>
    <w:p w14:paraId="40D2C83D" w14:textId="77777777" w:rsidR="006C6F7D" w:rsidRDefault="006C6F7D">
      <w:pPr>
        <w:overflowPunct w:val="0"/>
        <w:ind w:leftChars="2000" w:left="3200"/>
        <w:jc w:val="both"/>
        <w:rPr>
          <w:rFonts w:eastAsia="楷体_GB2312" w:cs="Calibri"/>
          <w:sz w:val="20"/>
          <w:szCs w:val="20"/>
          <w:lang w:val="en-US" w:eastAsia="zh-CN"/>
        </w:rPr>
      </w:pPr>
    </w:p>
    <w:p w14:paraId="71A5B701" w14:textId="77777777" w:rsidR="006C6F7D" w:rsidRDefault="006C6F7D">
      <w:pPr>
        <w:overflowPunct w:val="0"/>
        <w:ind w:leftChars="2000" w:left="3200"/>
        <w:jc w:val="both"/>
        <w:rPr>
          <w:rFonts w:eastAsia="楷体_GB2312" w:cs="Calibri"/>
          <w:sz w:val="20"/>
          <w:szCs w:val="20"/>
          <w:lang w:val="en-US" w:eastAsia="zh-CN"/>
        </w:rPr>
      </w:pPr>
    </w:p>
    <w:p w14:paraId="7D945721" w14:textId="77777777" w:rsidR="006C6F7D" w:rsidRDefault="006C6F7D">
      <w:pPr>
        <w:overflowPunct w:val="0"/>
        <w:ind w:leftChars="2000" w:left="3200"/>
        <w:jc w:val="both"/>
        <w:rPr>
          <w:rFonts w:eastAsia="楷体_GB2312" w:cs="Calibri"/>
          <w:sz w:val="20"/>
          <w:szCs w:val="20"/>
          <w:lang w:val="en-US" w:eastAsia="zh-CN"/>
        </w:rPr>
      </w:pPr>
    </w:p>
    <w:p w14:paraId="1EAEBFC7" w14:textId="77777777" w:rsidR="006C6F7D" w:rsidRDefault="006C6F7D">
      <w:pPr>
        <w:overflowPunct w:val="0"/>
        <w:ind w:leftChars="2000" w:left="3200"/>
        <w:jc w:val="both"/>
        <w:rPr>
          <w:rFonts w:eastAsia="楷体_GB2312" w:cs="Calibri"/>
          <w:sz w:val="20"/>
          <w:szCs w:val="20"/>
          <w:lang w:val="en-US" w:eastAsia="zh-CN"/>
        </w:rPr>
      </w:pPr>
    </w:p>
    <w:p w14:paraId="6723E19F" w14:textId="77777777" w:rsidR="006C6F7D" w:rsidRDefault="006C6F7D">
      <w:pPr>
        <w:overflowPunct w:val="0"/>
        <w:ind w:leftChars="2000" w:left="3200"/>
        <w:jc w:val="both"/>
        <w:rPr>
          <w:rFonts w:eastAsia="楷体_GB2312" w:cs="Calibri"/>
          <w:sz w:val="20"/>
          <w:szCs w:val="20"/>
          <w:lang w:val="en-US" w:eastAsia="zh-CN"/>
        </w:rPr>
      </w:pPr>
    </w:p>
    <w:p w14:paraId="34383F9C" w14:textId="77777777" w:rsidR="00043BDD" w:rsidRDefault="00043BDD">
      <w:pPr>
        <w:overflowPunct w:val="0"/>
        <w:ind w:leftChars="2000" w:left="3200"/>
        <w:jc w:val="both"/>
        <w:rPr>
          <w:rFonts w:eastAsia="楷体_GB2312" w:cs="Calibri"/>
          <w:b/>
          <w:bCs/>
          <w:sz w:val="20"/>
          <w:szCs w:val="20"/>
          <w:lang w:val="en-US" w:eastAsia="zh-CN"/>
        </w:rPr>
      </w:pPr>
    </w:p>
    <w:tbl>
      <w:tblPr>
        <w:tblW w:w="10920" w:type="dxa"/>
        <w:tblLayout w:type="fixed"/>
        <w:tblLook w:val="04A0" w:firstRow="1" w:lastRow="0" w:firstColumn="1" w:lastColumn="0" w:noHBand="0" w:noVBand="1"/>
      </w:tblPr>
      <w:tblGrid>
        <w:gridCol w:w="5306"/>
        <w:gridCol w:w="240"/>
        <w:gridCol w:w="5374"/>
      </w:tblGrid>
      <w:tr w:rsidR="00043BDD" w14:paraId="3C16283A" w14:textId="77777777">
        <w:trPr>
          <w:trHeight w:val="227"/>
        </w:trPr>
        <w:tc>
          <w:tcPr>
            <w:tcW w:w="5306" w:type="dxa"/>
            <w:tcBorders>
              <w:bottom w:val="single" w:sz="4" w:space="0" w:color="auto"/>
            </w:tcBorders>
            <w:tcMar>
              <w:left w:w="0" w:type="dxa"/>
              <w:right w:w="28" w:type="dxa"/>
            </w:tcMar>
          </w:tcPr>
          <w:p w14:paraId="6CED180A" w14:textId="2C06BB25" w:rsidR="00043BDD" w:rsidRDefault="00A61197">
            <w:pPr>
              <w:spacing w:beforeLines="20" w:before="48" w:afterLines="20" w:after="48"/>
              <w:textAlignment w:val="center"/>
              <w:rPr>
                <w:rFonts w:eastAsia="楷体_GB2312" w:cs="Calibri"/>
                <w:b/>
                <w:szCs w:val="20"/>
                <w:highlight w:val="yellow"/>
                <w:lang w:eastAsia="zh-CN"/>
              </w:rPr>
            </w:pPr>
            <w:r>
              <w:rPr>
                <w:rFonts w:eastAsia="楷体_GB2312" w:cs="Calibri"/>
                <w:b/>
                <w:sz w:val="18"/>
                <w:szCs w:val="18"/>
                <w:lang w:val="zh-CN" w:eastAsia="zh-CN"/>
              </w:rPr>
              <w:lastRenderedPageBreak/>
              <w:t>图</w:t>
            </w:r>
            <w:r>
              <w:rPr>
                <w:rFonts w:eastAsia="楷体_GB2312" w:cs="Calibri" w:hint="eastAsia"/>
                <w:b/>
                <w:sz w:val="18"/>
                <w:szCs w:val="18"/>
                <w:lang w:val="en-US" w:eastAsia="zh-CN"/>
              </w:rPr>
              <w:t>1</w:t>
            </w:r>
            <w:r w:rsidR="006C6F7D">
              <w:rPr>
                <w:rFonts w:eastAsia="楷体_GB2312" w:cs="Calibri" w:hint="eastAsia"/>
                <w:b/>
                <w:sz w:val="18"/>
                <w:szCs w:val="18"/>
                <w:lang w:val="en-US" w:eastAsia="zh-CN"/>
              </w:rPr>
              <w:t>3</w:t>
            </w:r>
            <w:r>
              <w:rPr>
                <w:rFonts w:eastAsia="楷体_GB2312" w:cs="Calibri"/>
                <w:b/>
                <w:sz w:val="18"/>
                <w:szCs w:val="18"/>
                <w:lang w:val="zh-CN" w:eastAsia="zh-CN"/>
              </w:rPr>
              <w:t>：全球通用飞机交付数量</w:t>
            </w:r>
            <w:r>
              <w:rPr>
                <w:rFonts w:eastAsia="楷体_GB2312" w:cs="Calibri"/>
                <w:b/>
                <w:sz w:val="18"/>
                <w:szCs w:val="18"/>
                <w:lang w:val="zh-CN" w:eastAsia="zh-CN"/>
              </w:rPr>
              <w:t>2024-2025</w:t>
            </w:r>
            <w:r>
              <w:rPr>
                <w:rFonts w:eastAsia="楷体_GB2312" w:cs="Calibri"/>
                <w:b/>
                <w:sz w:val="18"/>
                <w:szCs w:val="18"/>
                <w:lang w:val="zh-CN" w:eastAsia="zh-CN"/>
              </w:rPr>
              <w:t>年单季度（架）</w:t>
            </w:r>
          </w:p>
        </w:tc>
        <w:tc>
          <w:tcPr>
            <w:tcW w:w="240" w:type="dxa"/>
            <w:tcMar>
              <w:left w:w="0" w:type="dxa"/>
              <w:right w:w="28" w:type="dxa"/>
            </w:tcMar>
          </w:tcPr>
          <w:p w14:paraId="5EC025B3" w14:textId="77777777" w:rsidR="00043BDD" w:rsidRDefault="00043BDD">
            <w:pPr>
              <w:spacing w:beforeLines="20" w:before="48" w:afterLines="20" w:after="48"/>
              <w:rPr>
                <w:rFonts w:eastAsia="楷体_GB2312" w:cs="Calibri"/>
                <w:szCs w:val="20"/>
                <w:highlight w:val="yellow"/>
                <w:lang w:eastAsia="zh-CN"/>
              </w:rPr>
            </w:pPr>
          </w:p>
        </w:tc>
        <w:tc>
          <w:tcPr>
            <w:tcW w:w="5374" w:type="dxa"/>
            <w:tcBorders>
              <w:bottom w:val="single" w:sz="4" w:space="0" w:color="auto"/>
            </w:tcBorders>
            <w:tcMar>
              <w:left w:w="0" w:type="dxa"/>
              <w:right w:w="28" w:type="dxa"/>
            </w:tcMar>
          </w:tcPr>
          <w:p w14:paraId="0C733DCA" w14:textId="35003AAC" w:rsidR="00043BDD" w:rsidRDefault="00A61197">
            <w:pPr>
              <w:spacing w:beforeLines="20" w:before="48" w:afterLines="20" w:after="48"/>
              <w:rPr>
                <w:rFonts w:eastAsia="楷体_GB2312" w:cs="Calibri"/>
                <w:b/>
                <w:sz w:val="18"/>
                <w:szCs w:val="18"/>
                <w:lang w:val="zh-CN" w:eastAsia="zh-CN"/>
              </w:rPr>
            </w:pPr>
            <w:r>
              <w:rPr>
                <w:rFonts w:eastAsia="楷体_GB2312" w:cs="Calibri"/>
                <w:b/>
                <w:sz w:val="18"/>
                <w:szCs w:val="18"/>
                <w:lang w:val="zh-CN" w:eastAsia="zh-CN"/>
              </w:rPr>
              <w:t>图</w:t>
            </w:r>
            <w:r>
              <w:rPr>
                <w:rFonts w:eastAsia="楷体_GB2312" w:cs="Calibri" w:hint="eastAsia"/>
                <w:b/>
                <w:sz w:val="18"/>
                <w:szCs w:val="18"/>
                <w:lang w:val="en-US" w:eastAsia="zh-CN"/>
              </w:rPr>
              <w:t>1</w:t>
            </w:r>
            <w:r w:rsidR="006C6F7D">
              <w:rPr>
                <w:rFonts w:eastAsia="楷体_GB2312" w:cs="Calibri" w:hint="eastAsia"/>
                <w:b/>
                <w:sz w:val="18"/>
                <w:szCs w:val="18"/>
                <w:lang w:val="en-US" w:eastAsia="zh-CN"/>
              </w:rPr>
              <w:t>4</w:t>
            </w:r>
            <w:r>
              <w:rPr>
                <w:rFonts w:eastAsia="楷体_GB2312" w:cs="Calibri"/>
                <w:b/>
                <w:sz w:val="18"/>
                <w:szCs w:val="18"/>
                <w:lang w:val="zh-CN" w:eastAsia="zh-CN"/>
              </w:rPr>
              <w:t>：全球民用及商用直升机交付量（架）</w:t>
            </w:r>
          </w:p>
        </w:tc>
      </w:tr>
      <w:tr w:rsidR="00043BDD" w14:paraId="12ECF9AD" w14:textId="77777777">
        <w:trPr>
          <w:trHeight w:val="2300"/>
        </w:trPr>
        <w:tc>
          <w:tcPr>
            <w:tcW w:w="5306" w:type="dxa"/>
            <w:tcBorders>
              <w:top w:val="single" w:sz="4" w:space="0" w:color="auto"/>
              <w:bottom w:val="single" w:sz="4" w:space="0" w:color="auto"/>
            </w:tcBorders>
            <w:vAlign w:val="center"/>
          </w:tcPr>
          <w:p w14:paraId="39121B9A" w14:textId="77777777" w:rsidR="00043BDD" w:rsidRDefault="00A61197">
            <w:pPr>
              <w:spacing w:beforeLines="20" w:before="48" w:afterLines="20" w:after="48"/>
              <w:textAlignment w:val="center"/>
              <w:rPr>
                <w:rFonts w:eastAsia="楷体_GB2312" w:cs="Calibri"/>
                <w:b/>
                <w:color w:val="000000"/>
                <w:szCs w:val="20"/>
                <w:lang w:bidi="ar"/>
              </w:rPr>
            </w:pPr>
            <w:r>
              <w:rPr>
                <w:rFonts w:eastAsia="楷体_GB2312" w:cs="Calibri"/>
                <w:noProof/>
                <w:snapToGrid/>
              </w:rPr>
              <w:drawing>
                <wp:inline distT="0" distB="0" distL="0" distR="0" wp14:anchorId="6C6C379C" wp14:editId="0E9E5F66">
                  <wp:extent cx="3232150" cy="1939290"/>
                  <wp:effectExtent l="0" t="0" r="6350" b="3810"/>
                  <wp:docPr id="2821944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240" w:type="dxa"/>
          </w:tcPr>
          <w:p w14:paraId="06B9B752" w14:textId="77777777" w:rsidR="00043BDD" w:rsidRDefault="00043BDD">
            <w:pPr>
              <w:spacing w:beforeLines="20" w:before="48" w:afterLines="20" w:after="48"/>
              <w:rPr>
                <w:rFonts w:eastAsia="楷体_GB2312" w:cs="Calibri"/>
                <w:szCs w:val="20"/>
              </w:rPr>
            </w:pPr>
          </w:p>
        </w:tc>
        <w:tc>
          <w:tcPr>
            <w:tcW w:w="5374" w:type="dxa"/>
            <w:tcBorders>
              <w:top w:val="single" w:sz="4" w:space="0" w:color="auto"/>
              <w:bottom w:val="single" w:sz="4" w:space="0" w:color="auto"/>
            </w:tcBorders>
          </w:tcPr>
          <w:p w14:paraId="1DBA6622" w14:textId="77777777" w:rsidR="00043BDD" w:rsidRDefault="00A61197">
            <w:pPr>
              <w:spacing w:beforeLines="20" w:before="48" w:afterLines="20" w:after="48"/>
              <w:rPr>
                <w:rFonts w:eastAsia="楷体_GB2312" w:cs="Calibri"/>
                <w:b/>
                <w:szCs w:val="20"/>
              </w:rPr>
            </w:pPr>
            <w:r>
              <w:rPr>
                <w:rFonts w:eastAsia="楷体_GB2312" w:cs="Calibri"/>
                <w:noProof/>
                <w:snapToGrid/>
              </w:rPr>
              <w:drawing>
                <wp:inline distT="0" distB="0" distL="0" distR="0" wp14:anchorId="6CBE8C1E" wp14:editId="65124059">
                  <wp:extent cx="3275330" cy="1965325"/>
                  <wp:effectExtent l="0" t="0" r="1270" b="0"/>
                  <wp:docPr id="14531012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043BDD" w14:paraId="64DBFC99" w14:textId="77777777">
        <w:trPr>
          <w:trHeight w:val="227"/>
        </w:trPr>
        <w:tc>
          <w:tcPr>
            <w:tcW w:w="5306" w:type="dxa"/>
            <w:tcBorders>
              <w:top w:val="single" w:sz="4" w:space="0" w:color="auto"/>
            </w:tcBorders>
            <w:tcMar>
              <w:left w:w="0" w:type="dxa"/>
              <w:right w:w="28" w:type="dxa"/>
            </w:tcMar>
            <w:vAlign w:val="center"/>
          </w:tcPr>
          <w:p w14:paraId="283314BA" w14:textId="77777777" w:rsidR="00043BDD" w:rsidRDefault="00A61197">
            <w:pPr>
              <w:spacing w:line="240" w:lineRule="atLeast"/>
              <w:textAlignment w:val="center"/>
              <w:rPr>
                <w:rFonts w:eastAsia="楷体_GB2312" w:cs="Calibri"/>
                <w:i/>
                <w:iCs/>
              </w:rPr>
            </w:pPr>
            <w:r>
              <w:rPr>
                <w:rFonts w:eastAsia="楷体_GB2312" w:cs="Calibri"/>
                <w:i/>
                <w:iCs/>
              </w:rPr>
              <w:t>资料来源</w:t>
            </w:r>
            <w:r>
              <w:rPr>
                <w:rFonts w:eastAsia="楷体_GB2312" w:cs="Calibri"/>
                <w:i/>
                <w:iCs/>
              </w:rPr>
              <w:t>: GAMA, Wind, HFI</w:t>
            </w:r>
          </w:p>
        </w:tc>
        <w:tc>
          <w:tcPr>
            <w:tcW w:w="240" w:type="dxa"/>
            <w:tcMar>
              <w:left w:w="0" w:type="dxa"/>
              <w:right w:w="28" w:type="dxa"/>
            </w:tcMar>
          </w:tcPr>
          <w:p w14:paraId="4AAEE3DC" w14:textId="77777777" w:rsidR="00043BDD" w:rsidRDefault="00043BDD">
            <w:pPr>
              <w:spacing w:line="240" w:lineRule="atLeast"/>
              <w:rPr>
                <w:rFonts w:eastAsia="楷体_GB2312" w:cs="Calibri"/>
                <w:i/>
                <w:iCs/>
              </w:rPr>
            </w:pPr>
          </w:p>
        </w:tc>
        <w:tc>
          <w:tcPr>
            <w:tcW w:w="5374" w:type="dxa"/>
            <w:tcBorders>
              <w:top w:val="single" w:sz="4" w:space="0" w:color="auto"/>
            </w:tcBorders>
            <w:tcMar>
              <w:left w:w="0" w:type="dxa"/>
              <w:right w:w="28" w:type="dxa"/>
            </w:tcMar>
          </w:tcPr>
          <w:p w14:paraId="326842EB" w14:textId="77777777" w:rsidR="00043BDD" w:rsidRDefault="00A61197">
            <w:pPr>
              <w:spacing w:line="240" w:lineRule="atLeast"/>
              <w:rPr>
                <w:rFonts w:eastAsia="楷体_GB2312" w:cs="Calibri"/>
                <w:i/>
                <w:iCs/>
              </w:rPr>
            </w:pPr>
            <w:r>
              <w:rPr>
                <w:rFonts w:eastAsia="楷体_GB2312" w:cs="Calibri"/>
                <w:i/>
                <w:iCs/>
              </w:rPr>
              <w:t>资料来源</w:t>
            </w:r>
            <w:r>
              <w:rPr>
                <w:rFonts w:eastAsia="楷体_GB2312" w:cs="Calibri"/>
                <w:i/>
                <w:iCs/>
              </w:rPr>
              <w:t>: GAMA, Wind,</w:t>
            </w:r>
            <w:r>
              <w:rPr>
                <w:rFonts w:eastAsia="楷体_GB2312" w:cs="Calibri"/>
                <w:i/>
                <w:iCs/>
                <w:lang w:val="en-US" w:eastAsia="zh-CN"/>
              </w:rPr>
              <w:t xml:space="preserve"> </w:t>
            </w:r>
            <w:r>
              <w:rPr>
                <w:rFonts w:eastAsia="楷体_GB2312" w:cs="Calibri"/>
                <w:i/>
                <w:iCs/>
              </w:rPr>
              <w:t>HFI</w:t>
            </w:r>
          </w:p>
        </w:tc>
      </w:tr>
    </w:tbl>
    <w:p w14:paraId="66766181" w14:textId="66937982" w:rsidR="00043BDD" w:rsidRDefault="00043BDD">
      <w:pPr>
        <w:rPr>
          <w:rFonts w:eastAsia="楷体_GB2312" w:cs="Calibri"/>
          <w:sz w:val="20"/>
          <w:szCs w:val="20"/>
        </w:rPr>
      </w:pPr>
    </w:p>
    <w:tbl>
      <w:tblPr>
        <w:tblpPr w:leftFromText="180" w:rightFromText="180" w:vertAnchor="text" w:horzAnchor="margin" w:tblpY="220"/>
        <w:tblW w:w="10920" w:type="dxa"/>
        <w:tblLayout w:type="fixed"/>
        <w:tblLook w:val="04A0" w:firstRow="1" w:lastRow="0" w:firstColumn="1" w:lastColumn="0" w:noHBand="0" w:noVBand="1"/>
      </w:tblPr>
      <w:tblGrid>
        <w:gridCol w:w="5306"/>
        <w:gridCol w:w="240"/>
        <w:gridCol w:w="5374"/>
      </w:tblGrid>
      <w:tr w:rsidR="00043BDD" w14:paraId="041D073F" w14:textId="77777777">
        <w:trPr>
          <w:trHeight w:val="227"/>
        </w:trPr>
        <w:tc>
          <w:tcPr>
            <w:tcW w:w="5306" w:type="dxa"/>
            <w:tcBorders>
              <w:bottom w:val="single" w:sz="4" w:space="0" w:color="auto"/>
            </w:tcBorders>
            <w:tcMar>
              <w:left w:w="0" w:type="dxa"/>
              <w:right w:w="28" w:type="dxa"/>
            </w:tcMar>
          </w:tcPr>
          <w:p w14:paraId="66878F97" w14:textId="411A94BF" w:rsidR="00043BDD" w:rsidRDefault="00A61197">
            <w:pPr>
              <w:spacing w:beforeLines="20" w:before="48" w:afterLines="20" w:after="48"/>
              <w:rPr>
                <w:rFonts w:eastAsia="楷体_GB2312" w:cs="Calibri"/>
                <w:b/>
                <w:szCs w:val="20"/>
                <w:highlight w:val="yellow"/>
                <w:lang w:eastAsia="zh-CN"/>
              </w:rPr>
            </w:pPr>
            <w:r>
              <w:rPr>
                <w:rFonts w:eastAsia="楷体_GB2312" w:cs="Calibri"/>
                <w:b/>
                <w:sz w:val="18"/>
                <w:szCs w:val="18"/>
                <w:lang w:val="zh-CN" w:eastAsia="zh-CN"/>
              </w:rPr>
              <w:t>图</w:t>
            </w:r>
            <w:r>
              <w:rPr>
                <w:rFonts w:eastAsia="楷体_GB2312" w:cs="Calibri" w:hint="eastAsia"/>
                <w:b/>
                <w:sz w:val="18"/>
                <w:szCs w:val="18"/>
                <w:lang w:val="zh-CN" w:eastAsia="zh-CN"/>
              </w:rPr>
              <w:t>1</w:t>
            </w:r>
            <w:r w:rsidR="006C6F7D">
              <w:rPr>
                <w:rFonts w:eastAsia="楷体_GB2312" w:cs="Calibri" w:hint="eastAsia"/>
                <w:b/>
                <w:sz w:val="18"/>
                <w:szCs w:val="18"/>
                <w:lang w:val="zh-CN" w:eastAsia="zh-CN"/>
              </w:rPr>
              <w:t>5</w:t>
            </w:r>
            <w:r>
              <w:rPr>
                <w:rFonts w:eastAsia="楷体_GB2312" w:cs="Calibri"/>
                <w:b/>
                <w:sz w:val="18"/>
                <w:szCs w:val="18"/>
                <w:lang w:val="zh-CN" w:eastAsia="zh-CN"/>
              </w:rPr>
              <w:t>：全球喷气机、活塞飞机、涡轮螺旋桨飞机（架）</w:t>
            </w:r>
          </w:p>
        </w:tc>
        <w:tc>
          <w:tcPr>
            <w:tcW w:w="240" w:type="dxa"/>
            <w:tcMar>
              <w:left w:w="0" w:type="dxa"/>
              <w:right w:w="28" w:type="dxa"/>
            </w:tcMar>
          </w:tcPr>
          <w:p w14:paraId="799C8C1D" w14:textId="77777777" w:rsidR="00043BDD" w:rsidRDefault="00043BDD">
            <w:pPr>
              <w:spacing w:beforeLines="20" w:before="48" w:afterLines="20" w:after="48"/>
              <w:rPr>
                <w:rFonts w:eastAsia="楷体_GB2312" w:cs="Calibri"/>
                <w:szCs w:val="20"/>
                <w:highlight w:val="yellow"/>
                <w:lang w:eastAsia="zh-CN"/>
              </w:rPr>
            </w:pPr>
          </w:p>
        </w:tc>
        <w:tc>
          <w:tcPr>
            <w:tcW w:w="5374" w:type="dxa"/>
            <w:tcBorders>
              <w:bottom w:val="single" w:sz="4" w:space="0" w:color="auto"/>
            </w:tcBorders>
            <w:tcMar>
              <w:left w:w="0" w:type="dxa"/>
              <w:right w:w="28" w:type="dxa"/>
            </w:tcMar>
          </w:tcPr>
          <w:p w14:paraId="05B822D5" w14:textId="4C8BF13B" w:rsidR="00043BDD" w:rsidRDefault="00A61197">
            <w:pPr>
              <w:spacing w:beforeLines="20" w:before="48" w:afterLines="20" w:after="48"/>
              <w:rPr>
                <w:rFonts w:eastAsia="楷体_GB2312" w:cs="Calibri"/>
                <w:b/>
                <w:sz w:val="18"/>
                <w:szCs w:val="18"/>
                <w:lang w:val="zh-CN" w:eastAsia="zh-CN"/>
              </w:rPr>
            </w:pPr>
            <w:r>
              <w:rPr>
                <w:rFonts w:eastAsia="楷体_GB2312" w:cs="Calibri"/>
                <w:b/>
                <w:sz w:val="18"/>
                <w:szCs w:val="18"/>
                <w:lang w:val="zh-CN" w:eastAsia="zh-CN"/>
              </w:rPr>
              <w:t>图</w:t>
            </w:r>
            <w:r>
              <w:rPr>
                <w:rFonts w:eastAsia="楷体_GB2312" w:cs="Calibri" w:hint="eastAsia"/>
                <w:b/>
                <w:sz w:val="18"/>
                <w:szCs w:val="18"/>
                <w:lang w:val="zh-CN" w:eastAsia="zh-CN"/>
              </w:rPr>
              <w:t>1</w:t>
            </w:r>
            <w:r w:rsidR="006C6F7D">
              <w:rPr>
                <w:rFonts w:eastAsia="楷体_GB2312" w:cs="Calibri" w:hint="eastAsia"/>
                <w:b/>
                <w:sz w:val="18"/>
                <w:szCs w:val="18"/>
                <w:lang w:val="zh-CN" w:eastAsia="zh-CN"/>
              </w:rPr>
              <w:t>6</w:t>
            </w:r>
            <w:r>
              <w:rPr>
                <w:rFonts w:eastAsia="楷体_GB2312" w:cs="Calibri"/>
                <w:b/>
                <w:sz w:val="18"/>
                <w:szCs w:val="18"/>
                <w:lang w:val="zh-CN" w:eastAsia="zh-CN"/>
              </w:rPr>
              <w:t>：活塞直升机与涡轮直升机交付量（单位：架）</w:t>
            </w:r>
          </w:p>
        </w:tc>
      </w:tr>
      <w:tr w:rsidR="00043BDD" w14:paraId="2D9D1D57" w14:textId="77777777">
        <w:trPr>
          <w:trHeight w:val="2300"/>
        </w:trPr>
        <w:tc>
          <w:tcPr>
            <w:tcW w:w="5306" w:type="dxa"/>
            <w:tcBorders>
              <w:top w:val="single" w:sz="4" w:space="0" w:color="auto"/>
              <w:bottom w:val="single" w:sz="4" w:space="0" w:color="auto"/>
            </w:tcBorders>
            <w:vAlign w:val="center"/>
          </w:tcPr>
          <w:p w14:paraId="68ABA266" w14:textId="77777777" w:rsidR="00043BDD" w:rsidRDefault="00A61197">
            <w:pPr>
              <w:spacing w:beforeLines="20" w:before="48" w:afterLines="20" w:after="48"/>
              <w:textAlignment w:val="center"/>
              <w:rPr>
                <w:rFonts w:eastAsia="楷体_GB2312" w:cs="Calibri"/>
                <w:b/>
                <w:color w:val="000000"/>
                <w:szCs w:val="20"/>
                <w:lang w:bidi="ar"/>
              </w:rPr>
            </w:pPr>
            <w:r>
              <w:rPr>
                <w:rFonts w:eastAsia="楷体_GB2312" w:cs="Calibri"/>
                <w:noProof/>
                <w:snapToGrid/>
              </w:rPr>
              <w:drawing>
                <wp:inline distT="0" distB="0" distL="0" distR="0" wp14:anchorId="083B9471" wp14:editId="70BA5B0F">
                  <wp:extent cx="3232150" cy="1939290"/>
                  <wp:effectExtent l="0" t="0" r="6350" b="3810"/>
                  <wp:docPr id="1773009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0" w:type="dxa"/>
          </w:tcPr>
          <w:p w14:paraId="1B820AD5" w14:textId="77777777" w:rsidR="00043BDD" w:rsidRDefault="00043BDD">
            <w:pPr>
              <w:spacing w:beforeLines="20" w:before="48" w:afterLines="20" w:after="48"/>
              <w:rPr>
                <w:rFonts w:eastAsia="楷体_GB2312" w:cs="Calibri"/>
                <w:szCs w:val="20"/>
              </w:rPr>
            </w:pPr>
          </w:p>
        </w:tc>
        <w:tc>
          <w:tcPr>
            <w:tcW w:w="5374" w:type="dxa"/>
            <w:tcBorders>
              <w:top w:val="single" w:sz="4" w:space="0" w:color="auto"/>
              <w:bottom w:val="single" w:sz="4" w:space="0" w:color="auto"/>
            </w:tcBorders>
          </w:tcPr>
          <w:p w14:paraId="66E656CE" w14:textId="77777777" w:rsidR="00043BDD" w:rsidRDefault="00A61197">
            <w:pPr>
              <w:spacing w:beforeLines="20" w:before="48" w:afterLines="20" w:after="48"/>
              <w:rPr>
                <w:rFonts w:eastAsia="楷体_GB2312" w:cs="Calibri"/>
                <w:b/>
                <w:szCs w:val="20"/>
              </w:rPr>
            </w:pPr>
            <w:r>
              <w:rPr>
                <w:rFonts w:eastAsia="楷体_GB2312" w:cs="Calibri"/>
                <w:noProof/>
                <w:snapToGrid/>
              </w:rPr>
              <w:drawing>
                <wp:inline distT="0" distB="0" distL="0" distR="0" wp14:anchorId="38444E81" wp14:editId="2F846EAD">
                  <wp:extent cx="3275330" cy="2055495"/>
                  <wp:effectExtent l="0" t="0" r="1270" b="1905"/>
                  <wp:docPr id="210198594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043BDD" w14:paraId="450E4735" w14:textId="77777777">
        <w:trPr>
          <w:trHeight w:val="227"/>
        </w:trPr>
        <w:tc>
          <w:tcPr>
            <w:tcW w:w="5306" w:type="dxa"/>
            <w:tcBorders>
              <w:top w:val="single" w:sz="4" w:space="0" w:color="auto"/>
            </w:tcBorders>
            <w:tcMar>
              <w:left w:w="0" w:type="dxa"/>
              <w:right w:w="28" w:type="dxa"/>
            </w:tcMar>
            <w:vAlign w:val="center"/>
          </w:tcPr>
          <w:p w14:paraId="7F7B59C9" w14:textId="77777777" w:rsidR="00043BDD" w:rsidRDefault="00A61197">
            <w:pPr>
              <w:spacing w:line="240" w:lineRule="atLeast"/>
              <w:textAlignment w:val="center"/>
              <w:rPr>
                <w:rFonts w:eastAsia="楷体_GB2312" w:cs="Calibri"/>
                <w:i/>
                <w:iCs/>
              </w:rPr>
            </w:pPr>
            <w:r>
              <w:rPr>
                <w:rFonts w:eastAsia="楷体_GB2312" w:cs="Calibri"/>
                <w:i/>
                <w:iCs/>
              </w:rPr>
              <w:t>资料来源</w:t>
            </w:r>
            <w:r>
              <w:rPr>
                <w:rFonts w:eastAsia="楷体_GB2312" w:cs="Calibri"/>
                <w:i/>
                <w:iCs/>
              </w:rPr>
              <w:t>: GAMA, Wind, HFI</w:t>
            </w:r>
          </w:p>
        </w:tc>
        <w:tc>
          <w:tcPr>
            <w:tcW w:w="240" w:type="dxa"/>
            <w:tcMar>
              <w:left w:w="0" w:type="dxa"/>
              <w:right w:w="28" w:type="dxa"/>
            </w:tcMar>
          </w:tcPr>
          <w:p w14:paraId="3A30634A" w14:textId="77777777" w:rsidR="00043BDD" w:rsidRDefault="00043BDD">
            <w:pPr>
              <w:spacing w:line="240" w:lineRule="atLeast"/>
              <w:rPr>
                <w:rFonts w:eastAsia="楷体_GB2312" w:cs="Calibri"/>
                <w:i/>
                <w:iCs/>
              </w:rPr>
            </w:pPr>
          </w:p>
        </w:tc>
        <w:tc>
          <w:tcPr>
            <w:tcW w:w="5374" w:type="dxa"/>
            <w:tcBorders>
              <w:top w:val="single" w:sz="4" w:space="0" w:color="auto"/>
            </w:tcBorders>
            <w:tcMar>
              <w:left w:w="0" w:type="dxa"/>
              <w:right w:w="28" w:type="dxa"/>
            </w:tcMar>
          </w:tcPr>
          <w:p w14:paraId="6D5DDDAE" w14:textId="77777777" w:rsidR="00043BDD" w:rsidRDefault="00A61197">
            <w:pPr>
              <w:spacing w:line="240" w:lineRule="atLeast"/>
              <w:rPr>
                <w:rFonts w:eastAsia="楷体_GB2312" w:cs="Calibri"/>
                <w:i/>
                <w:iCs/>
              </w:rPr>
            </w:pPr>
            <w:r>
              <w:rPr>
                <w:rFonts w:eastAsia="楷体_GB2312" w:cs="Calibri"/>
                <w:i/>
                <w:iCs/>
              </w:rPr>
              <w:t>资料来源</w:t>
            </w:r>
            <w:r>
              <w:rPr>
                <w:rFonts w:eastAsia="楷体_GB2312" w:cs="Calibri"/>
                <w:i/>
                <w:iCs/>
              </w:rPr>
              <w:t>: GAMA, Wind,</w:t>
            </w:r>
            <w:r>
              <w:rPr>
                <w:rFonts w:eastAsia="楷体_GB2312" w:cs="Calibri"/>
                <w:i/>
                <w:iCs/>
                <w:lang w:eastAsia="zh-CN"/>
              </w:rPr>
              <w:t xml:space="preserve"> </w:t>
            </w:r>
            <w:r>
              <w:rPr>
                <w:rFonts w:eastAsia="楷体_GB2312" w:cs="Calibri"/>
                <w:i/>
                <w:iCs/>
              </w:rPr>
              <w:t>HFI</w:t>
            </w:r>
          </w:p>
        </w:tc>
      </w:tr>
    </w:tbl>
    <w:p w14:paraId="4FCEA4C7"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napToGrid w:val="0"/>
          <w:color w:val="auto"/>
          <w:kern w:val="0"/>
          <w:sz w:val="20"/>
          <w:szCs w:val="20"/>
        </w:rPr>
      </w:pPr>
    </w:p>
    <w:p w14:paraId="54433551" w14:textId="6CBDAD13" w:rsidR="00043BDD" w:rsidRDefault="00A61197" w:rsidP="00C35685">
      <w:pPr>
        <w:rPr>
          <w:rFonts w:eastAsia="楷体_GB2312" w:cs="Calibri"/>
          <w:bCs/>
          <w:sz w:val="20"/>
          <w:szCs w:val="20"/>
          <w:lang w:eastAsia="zh-CN"/>
        </w:rPr>
      </w:pPr>
      <w:r>
        <w:rPr>
          <w:rFonts w:eastAsia="楷体_GB2312" w:cs="Calibri"/>
          <w:bCs/>
          <w:sz w:val="20"/>
          <w:szCs w:val="20"/>
        </w:rPr>
        <w:br w:type="page"/>
      </w:r>
    </w:p>
    <w:p w14:paraId="31615173" w14:textId="77777777" w:rsidR="00043BDD" w:rsidRDefault="00043BDD">
      <w:pPr>
        <w:pStyle w:val="ab"/>
        <w:spacing w:beforeLines="100" w:before="240" w:afterLines="100" w:after="240" w:line="260" w:lineRule="exact"/>
        <w:ind w:leftChars="0" w:left="0" w:right="42" w:firstLine="0"/>
        <w:jc w:val="both"/>
        <w:rPr>
          <w:rFonts w:ascii="Calibri" w:eastAsia="楷体_GB2312" w:hAnsi="Calibri" w:cs="Calibri"/>
          <w:sz w:val="20"/>
          <w:szCs w:val="20"/>
        </w:rPr>
        <w:sectPr w:rsidR="00043BDD">
          <w:headerReference w:type="default" r:id="rId27"/>
          <w:footerReference w:type="default" r:id="rId28"/>
          <w:pgSz w:w="11909" w:h="16834"/>
          <w:pgMar w:top="1716" w:right="851" w:bottom="1021" w:left="360" w:header="720" w:footer="1580" w:gutter="0"/>
          <w:cols w:space="720"/>
          <w:docGrid w:linePitch="360"/>
        </w:sectPr>
      </w:pPr>
    </w:p>
    <w:tbl>
      <w:tblPr>
        <w:tblStyle w:val="af6"/>
        <w:tblW w:w="11252"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APPENDIX]"/>
        <w:tblDescription w:val="表格隐藏唯一标识（请勿删除或修改）"/>
      </w:tblPr>
      <w:tblGrid>
        <w:gridCol w:w="11252"/>
      </w:tblGrid>
      <w:tr w:rsidR="00043BDD" w14:paraId="754C8845" w14:textId="77777777">
        <w:trPr>
          <w:trHeight w:hRule="exact" w:val="23"/>
        </w:trPr>
        <w:tc>
          <w:tcPr>
            <w:tcW w:w="11252" w:type="dxa"/>
          </w:tcPr>
          <w:p w14:paraId="7D7E6744" w14:textId="77777777" w:rsidR="00043BDD" w:rsidRDefault="00A61197">
            <w:pPr>
              <w:rPr>
                <w:rFonts w:eastAsia="楷体_GB2312" w:cs="Calibri"/>
                <w:color w:val="FF0000"/>
              </w:rPr>
            </w:pPr>
            <w:r>
              <w:rPr>
                <w:rFonts w:eastAsia="楷体_GB2312" w:cs="Calibri"/>
                <w:color w:val="FFFFFF" w:themeColor="background1"/>
              </w:rPr>
              <w:lastRenderedPageBreak/>
              <w:t>[</w:t>
            </w:r>
            <w:proofErr w:type="spellStart"/>
            <w:r>
              <w:rPr>
                <w:rFonts w:eastAsia="楷体_GB2312" w:cs="Calibri"/>
                <w:color w:val="FFFFFF" w:themeColor="background1"/>
              </w:rPr>
              <w:t>Table_APPENDIX</w:t>
            </w:r>
            <w:proofErr w:type="spellEnd"/>
            <w:r>
              <w:rPr>
                <w:rFonts w:eastAsia="楷体_GB2312" w:cs="Calibri"/>
                <w:color w:val="FFFFFF" w:themeColor="background1"/>
              </w:rPr>
              <w:t>]</w:t>
            </w:r>
          </w:p>
        </w:tc>
      </w:tr>
      <w:tr w:rsidR="00043BDD" w14:paraId="78A6456A" w14:textId="77777777">
        <w:trPr>
          <w:trHeight w:val="1843"/>
        </w:trPr>
        <w:tc>
          <w:tcPr>
            <w:tcW w:w="11252" w:type="dxa"/>
          </w:tcPr>
          <w:tbl>
            <w:tblPr>
              <w:tblStyle w:val="af6"/>
              <w:tblW w:w="11196"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1196"/>
            </w:tblGrid>
            <w:tr w:rsidR="00043BDD" w14:paraId="7C1FBE9E" w14:textId="77777777">
              <w:trPr>
                <w:trHeight w:hRule="exact" w:val="23"/>
              </w:trPr>
              <w:tc>
                <w:tcPr>
                  <w:tcW w:w="11196" w:type="dxa"/>
                  <w:tcBorders>
                    <w:top w:val="nil"/>
                    <w:bottom w:val="single" w:sz="4" w:space="0" w:color="C0C0C0"/>
                  </w:tcBorders>
                </w:tcPr>
                <w:p w14:paraId="1414C6EA" w14:textId="77777777" w:rsidR="00043BDD" w:rsidRDefault="00A61197">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t>[</w:t>
                  </w:r>
                  <w:proofErr w:type="spellStart"/>
                  <w:r>
                    <w:rPr>
                      <w:rFonts w:eastAsia="楷体_GB2312" w:cs="Calibri"/>
                      <w:b/>
                      <w:bCs/>
                      <w:color w:val="FFFFFF" w:themeColor="background1"/>
                      <w:w w:val="70"/>
                      <w:sz w:val="22"/>
                      <w:szCs w:val="22"/>
                    </w:rPr>
                    <w:t>Table_disclaimer</w:t>
                  </w:r>
                  <w:proofErr w:type="spellEnd"/>
                  <w:r>
                    <w:rPr>
                      <w:rFonts w:eastAsia="楷体_GB2312" w:cs="Calibri"/>
                      <w:b/>
                      <w:bCs/>
                      <w:color w:val="FFFFFF" w:themeColor="background1"/>
                      <w:w w:val="70"/>
                      <w:sz w:val="22"/>
                      <w:szCs w:val="22"/>
                    </w:rPr>
                    <w:t>]</w:t>
                  </w:r>
                </w:p>
              </w:tc>
            </w:tr>
            <w:tr w:rsidR="00043BDD" w14:paraId="797DCF60" w14:textId="77777777">
              <w:tc>
                <w:tcPr>
                  <w:tcW w:w="11196" w:type="dxa"/>
                  <w:tcBorders>
                    <w:top w:val="single" w:sz="4" w:space="0" w:color="C0C0C0"/>
                    <w:bottom w:val="single" w:sz="24" w:space="0" w:color="C0C0C0"/>
                  </w:tcBorders>
                </w:tcPr>
                <w:p w14:paraId="68E0BBC4" w14:textId="77777777" w:rsidR="00043BDD" w:rsidRDefault="00A61197">
                  <w:pPr>
                    <w:pStyle w:val="EFADisclaimerText"/>
                    <w:spacing w:after="60"/>
                    <w:rPr>
                      <w:rFonts w:eastAsia="楷体_GB2312" w:cs="Calibri"/>
                      <w:b/>
                      <w:bCs/>
                      <w:w w:val="70"/>
                      <w:sz w:val="22"/>
                      <w:szCs w:val="22"/>
                      <w:lang w:eastAsia="zh-CN"/>
                    </w:rPr>
                  </w:pPr>
                  <w:r>
                    <w:rPr>
                      <w:rFonts w:eastAsia="楷体_GB2312" w:cs="Calibri"/>
                      <w:b/>
                      <w:bCs/>
                      <w:w w:val="70"/>
                      <w:sz w:val="22"/>
                      <w:szCs w:val="22"/>
                      <w:lang w:eastAsia="zh-CN"/>
                    </w:rPr>
                    <w:t>附录</w:t>
                  </w:r>
                  <w:r>
                    <w:rPr>
                      <w:rFonts w:eastAsia="楷体_GB2312" w:cs="Calibri"/>
                      <w:b/>
                      <w:bCs/>
                      <w:w w:val="70"/>
                      <w:sz w:val="22"/>
                      <w:szCs w:val="22"/>
                      <w:lang w:eastAsia="zh-CN"/>
                    </w:rPr>
                    <w:t>APPENDIX</w:t>
                  </w:r>
                </w:p>
                <w:p w14:paraId="10903E86" w14:textId="77777777" w:rsidR="00043BDD" w:rsidRDefault="00A61197">
                  <w:pPr>
                    <w:pStyle w:val="EFADisclaimerText"/>
                    <w:rPr>
                      <w:rFonts w:eastAsia="楷体_GB2312" w:cs="Calibri"/>
                      <w:b/>
                      <w:w w:val="70"/>
                      <w:sz w:val="20"/>
                      <w:szCs w:val="20"/>
                      <w:lang w:eastAsia="zh-CN"/>
                    </w:rPr>
                  </w:pPr>
                  <w:r>
                    <w:rPr>
                      <w:rFonts w:eastAsia="楷体_GB2312" w:cs="Calibri"/>
                      <w:b/>
                      <w:w w:val="70"/>
                      <w:sz w:val="20"/>
                      <w:szCs w:val="20"/>
                      <w:lang w:eastAsia="zh-CN"/>
                    </w:rPr>
                    <w:t>重要信息披露</w:t>
                  </w:r>
                </w:p>
                <w:p w14:paraId="08BB58E0" w14:textId="77777777" w:rsidR="00043BDD" w:rsidRDefault="00A61197">
                  <w:pPr>
                    <w:pStyle w:val="EFADisclaimerText"/>
                    <w:rPr>
                      <w:rFonts w:eastAsia="楷体_GB2312" w:cs="Calibri"/>
                      <w:w w:val="70"/>
                      <w:sz w:val="20"/>
                      <w:szCs w:val="20"/>
                      <w:lang w:eastAsia="zh-CN"/>
                    </w:rPr>
                  </w:pPr>
                  <w:r>
                    <w:rPr>
                      <w:rFonts w:eastAsia="楷体_GB2312" w:cs="Calibri"/>
                      <w:w w:val="70"/>
                      <w:sz w:val="20"/>
                      <w:szCs w:val="20"/>
                      <w:lang w:eastAsia="zh-CN"/>
                    </w:rPr>
                    <w:t>本研究报告由华福国际（香港）金融控股有限公司（下称华福国际）分销，在其许可的司法管辖区内从事证券活动。</w:t>
                  </w:r>
                </w:p>
                <w:p w14:paraId="164D33B6" w14:textId="77777777" w:rsidR="00043BDD" w:rsidRDefault="00A61197">
                  <w:pPr>
                    <w:pStyle w:val="EFADisclaimerText"/>
                    <w:rPr>
                      <w:rFonts w:eastAsia="楷体_GB2312" w:cs="Calibri"/>
                      <w:b/>
                      <w:bCs/>
                      <w:w w:val="70"/>
                      <w:sz w:val="20"/>
                      <w:szCs w:val="20"/>
                    </w:rPr>
                  </w:pPr>
                  <w:r>
                    <w:rPr>
                      <w:rFonts w:eastAsia="楷体_GB2312" w:cs="Calibri"/>
                      <w:b/>
                      <w:bCs/>
                      <w:w w:val="70"/>
                      <w:sz w:val="20"/>
                      <w:szCs w:val="20"/>
                    </w:rPr>
                    <w:t>IMPORTANT DISCLOSURES</w:t>
                  </w:r>
                </w:p>
                <w:p w14:paraId="2AC598A6" w14:textId="77777777" w:rsidR="00043BDD" w:rsidRDefault="00A61197">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as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043BDD" w14:paraId="38780FCF" w14:textId="77777777">
              <w:tc>
                <w:tcPr>
                  <w:tcW w:w="11196" w:type="dxa"/>
                  <w:tcBorders>
                    <w:top w:val="single" w:sz="24" w:space="0" w:color="C0C0C0"/>
                  </w:tcBorders>
                </w:tcPr>
                <w:p w14:paraId="6A89831E" w14:textId="77777777" w:rsidR="00043BDD" w:rsidRDefault="00A61197">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043BDD" w14:paraId="24BA5A79" w14:textId="77777777">
              <w:tc>
                <w:tcPr>
                  <w:tcW w:w="11196" w:type="dxa"/>
                  <w:tcBorders>
                    <w:bottom w:val="single" w:sz="24" w:space="0" w:color="C0C0C0"/>
                  </w:tcBorders>
                </w:tcPr>
                <w:p w14:paraId="71033FFA" w14:textId="77777777" w:rsidR="00043BDD" w:rsidRDefault="00A61197">
                  <w:pPr>
                    <w:jc w:val="both"/>
                    <w:rPr>
                      <w:rFonts w:eastAsia="楷体_GB2312" w:cs="Calibri"/>
                    </w:rPr>
                  </w:pPr>
                  <w:r>
                    <w:rPr>
                      <w:rFonts w:eastAsia="楷体_GB2312"/>
                      <w:color w:val="000000"/>
                      <w:w w:val="70"/>
                      <w:sz w:val="20"/>
                      <w:lang w:eastAsia="zh-CN"/>
                    </w:rPr>
                    <w:t>我，</w:t>
                  </w:r>
                  <w:r>
                    <w:rPr>
                      <w:rFonts w:eastAsia="楷体_GB2312"/>
                      <w:color w:val="000000"/>
                      <w:w w:val="70"/>
                      <w:sz w:val="20"/>
                      <w:lang w:eastAsia="zh-CN"/>
                    </w:rPr>
                    <w:t xml:space="preserve"> </w:t>
                  </w:r>
                  <w:r>
                    <w:rPr>
                      <w:rFonts w:eastAsia="楷体_GB2312"/>
                      <w:color w:val="000000"/>
                      <w:w w:val="70"/>
                      <w:sz w:val="20"/>
                      <w:lang w:eastAsia="zh-CN"/>
                    </w:rPr>
                    <w:t>杨斌，在此保证（</w:t>
                  </w:r>
                  <w:proofErr w:type="spellStart"/>
                  <w:r>
                    <w:rPr>
                      <w:rFonts w:eastAsia="楷体_GB2312"/>
                      <w:color w:val="000000"/>
                      <w:w w:val="70"/>
                      <w:sz w:val="20"/>
                      <w:lang w:eastAsia="zh-CN"/>
                    </w:rPr>
                    <w:t>i</w:t>
                  </w:r>
                  <w:proofErr w:type="spellEnd"/>
                  <w:r>
                    <w:rPr>
                      <w:rFonts w:eastAsia="楷体_GB2312"/>
                      <w:color w:val="000000"/>
                      <w:w w:val="70"/>
                      <w:sz w:val="20"/>
                      <w:lang w:eastAsia="zh-CN"/>
                    </w:rPr>
                    <w:t>）本研究报告中的意见准确反映了我们对本研究中提及的</w:t>
                  </w:r>
                  <w:proofErr w:type="gramStart"/>
                  <w:r>
                    <w:rPr>
                      <w:rFonts w:eastAsia="楷体_GB2312"/>
                      <w:color w:val="000000"/>
                      <w:w w:val="70"/>
                      <w:sz w:val="20"/>
                      <w:lang w:eastAsia="zh-CN"/>
                    </w:rPr>
                    <w:t>任何或</w:t>
                  </w:r>
                  <w:proofErr w:type="gramEnd"/>
                  <w:r>
                    <w:rPr>
                      <w:rFonts w:eastAsia="楷体_GB2312"/>
                      <w:color w:val="000000"/>
                      <w:w w:val="70"/>
                      <w:sz w:val="20"/>
                      <w:lang w:eastAsia="zh-CN"/>
                    </w:rPr>
                    <w:t>所有目标公司或上市公司的个人观点，并且（</w:t>
                  </w:r>
                  <w:r>
                    <w:rPr>
                      <w:rFonts w:eastAsia="楷体_GB2312"/>
                      <w:color w:val="000000"/>
                      <w:w w:val="70"/>
                      <w:sz w:val="20"/>
                      <w:lang w:eastAsia="zh-CN"/>
                    </w:rPr>
                    <w:t>ii</w:t>
                  </w:r>
                  <w:r>
                    <w:rPr>
                      <w:rFonts w:eastAsia="楷体_GB2312"/>
                      <w:color w:val="000000"/>
                      <w:w w:val="70"/>
                      <w:sz w:val="20"/>
                      <w:lang w:eastAsia="zh-CN"/>
                    </w:rPr>
                    <w:t>）我的报酬中没有任何部分与本研究报告中表达的具体建议或观点直接或间接相关；及就此报告中所讨论目标公司的证券，我们（包括我们的家属）在其中均不持有任何财务利益。</w:t>
                  </w:r>
                  <w:r>
                    <w:rPr>
                      <w:rFonts w:eastAsia="楷体_GB2312"/>
                      <w:color w:val="000000"/>
                      <w:w w:val="70"/>
                      <w:sz w:val="20"/>
                    </w:rPr>
                    <w:t>I, Bin Yang, certify that (</w:t>
                  </w:r>
                  <w:proofErr w:type="spellStart"/>
                  <w:r>
                    <w:rPr>
                      <w:rFonts w:eastAsia="楷体_GB2312"/>
                      <w:color w:val="000000"/>
                      <w:w w:val="70"/>
                      <w:sz w:val="20"/>
                    </w:rPr>
                    <w:t>i</w:t>
                  </w:r>
                  <w:proofErr w:type="spellEnd"/>
                  <w:r>
                    <w:rPr>
                      <w:rFonts w:eastAsia="楷体_GB2312"/>
                      <w:color w:val="000000"/>
                      <w:w w:val="70"/>
                      <w:sz w:val="20"/>
                    </w:rPr>
                    <w:t>)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043BDD" w14:paraId="1EBF04CD" w14:textId="77777777">
              <w:tc>
                <w:tcPr>
                  <w:tcW w:w="11196" w:type="dxa"/>
                  <w:tcBorders>
                    <w:top w:val="single" w:sz="24" w:space="0" w:color="C0C0C0"/>
                    <w:bottom w:val="nil"/>
                  </w:tcBorders>
                </w:tcPr>
                <w:p w14:paraId="1C2DA927" w14:textId="77777777" w:rsidR="00043BDD" w:rsidRDefault="00A61197">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043BDD" w14:paraId="27181D5E" w14:textId="77777777">
              <w:tc>
                <w:tcPr>
                  <w:tcW w:w="11196" w:type="dxa"/>
                  <w:tcBorders>
                    <w:top w:val="nil"/>
                    <w:bottom w:val="single" w:sz="4" w:space="0" w:color="C0C0C0"/>
                  </w:tcBorders>
                </w:tcPr>
                <w:p w14:paraId="2127F8D4" w14:textId="77777777" w:rsidR="00043BDD" w:rsidRDefault="00A61197">
                  <w:pPr>
                    <w:pStyle w:val="EFADisclaimerText"/>
                    <w:rPr>
                      <w:rFonts w:eastAsia="楷体_GB2312" w:cs="Calibri"/>
                      <w:w w:val="70"/>
                      <w:sz w:val="20"/>
                      <w:szCs w:val="20"/>
                      <w:lang w:eastAsia="zh-CN"/>
                    </w:rPr>
                  </w:pPr>
                  <w:r>
                    <w:rPr>
                      <w:rFonts w:eastAsia="楷体_GB2312" w:cs="Calibri"/>
                      <w:w w:val="70"/>
                      <w:sz w:val="20"/>
                      <w:szCs w:val="20"/>
                      <w:lang w:eastAsia="zh-CN"/>
                    </w:rPr>
                    <w:t>华福国际及其某些关联公司可从事投资银行业务和</w:t>
                  </w:r>
                  <w:r>
                    <w:rPr>
                      <w:rFonts w:eastAsia="楷体_GB2312" w:cs="Calibri"/>
                      <w:w w:val="70"/>
                      <w:sz w:val="20"/>
                      <w:szCs w:val="20"/>
                      <w:lang w:eastAsia="zh-CN"/>
                    </w:rPr>
                    <w:t>/</w:t>
                  </w:r>
                  <w:r>
                    <w:rPr>
                      <w:rFonts w:eastAsia="楷体_GB2312" w:cs="Calibri"/>
                      <w:w w:val="70"/>
                      <w:sz w:val="20"/>
                      <w:szCs w:val="20"/>
                      <w:lang w:eastAsia="zh-CN"/>
                    </w:rPr>
                    <w:t>或对本研究中的特定股票或公司进行做市或持有自营头寸。就本研究报告而言，如需了解其中提到的某一公司信息，</w:t>
                  </w:r>
                  <w:r>
                    <w:fldChar w:fldCharType="begin"/>
                  </w:r>
                  <w:r>
                    <w:instrText>HYPERLINK "mailto:</w:instrText>
                  </w:r>
                  <w:r>
                    <w:instrText>请发邮件至</w:instrText>
                  </w:r>
                  <w:r>
                    <w:instrText>lcd@hfisec.com.hk"</w:instrText>
                  </w:r>
                  <w:r>
                    <w:fldChar w:fldCharType="separate"/>
                  </w:r>
                  <w:r>
                    <w:rPr>
                      <w:rStyle w:val="afa"/>
                      <w:rFonts w:eastAsia="楷体_GB2312" w:cs="Calibri"/>
                      <w:w w:val="70"/>
                      <w:sz w:val="20"/>
                      <w:szCs w:val="20"/>
                      <w:lang w:eastAsia="zh-CN"/>
                    </w:rPr>
                    <w:t>请发邮件至</w:t>
                  </w:r>
                  <w:r>
                    <w:rPr>
                      <w:rStyle w:val="afa"/>
                      <w:rFonts w:eastAsia="楷体_GB2312" w:cs="Calibri"/>
                      <w:w w:val="70"/>
                      <w:sz w:val="20"/>
                      <w:szCs w:val="20"/>
                      <w:lang w:eastAsia="zh-CN"/>
                    </w:rPr>
                    <w:t>lcd@hfisec.com.hk</w:t>
                  </w:r>
                  <w:r>
                    <w:fldChar w:fldCharType="end"/>
                  </w:r>
                  <w:r>
                    <w:rPr>
                      <w:rFonts w:eastAsia="楷体_GB2312" w:cs="Calibri"/>
                      <w:w w:val="70"/>
                      <w:sz w:val="20"/>
                      <w:szCs w:val="20"/>
                      <w:lang w:eastAsia="zh-CN"/>
                    </w:rPr>
                    <w:t>）</w:t>
                  </w:r>
                </w:p>
                <w:p w14:paraId="15819404" w14:textId="77777777" w:rsidR="00043BDD" w:rsidRDefault="00A61197">
                  <w:pPr>
                    <w:pStyle w:val="EFADisclaimerText"/>
                    <w:rPr>
                      <w:rFonts w:eastAsia="楷体_GB2312" w:cs="Calibri"/>
                      <w:b/>
                      <w:bCs/>
                      <w:w w:val="70"/>
                      <w:sz w:val="20"/>
                      <w:szCs w:val="20"/>
                      <w:lang w:eastAsia="zh-CN"/>
                    </w:rPr>
                  </w:pP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043BDD" w14:paraId="15743798" w14:textId="77777777">
              <w:tc>
                <w:tcPr>
                  <w:tcW w:w="11196" w:type="dxa"/>
                  <w:tcBorders>
                    <w:top w:val="single" w:sz="4" w:space="0" w:color="C0C0C0"/>
                    <w:bottom w:val="single" w:sz="4" w:space="0" w:color="C0C0C0"/>
                  </w:tcBorders>
                </w:tcPr>
                <w:p w14:paraId="632B76AA" w14:textId="77777777" w:rsidR="00043BDD" w:rsidRDefault="00043BDD">
                  <w:pPr>
                    <w:pStyle w:val="EFADisclaimerText"/>
                    <w:rPr>
                      <w:rFonts w:eastAsia="楷体_GB2312" w:cs="Calibri"/>
                      <w:w w:val="70"/>
                      <w:sz w:val="20"/>
                      <w:szCs w:val="20"/>
                    </w:rPr>
                  </w:pPr>
                </w:p>
              </w:tc>
            </w:tr>
            <w:tr w:rsidR="00043BDD" w14:paraId="5DE635A4" w14:textId="77777777">
              <w:trPr>
                <w:trHeight w:val="5096"/>
              </w:trPr>
              <w:tc>
                <w:tcPr>
                  <w:tcW w:w="11196" w:type="dxa"/>
                  <w:tcBorders>
                    <w:top w:val="single" w:sz="4" w:space="0" w:color="C0C0C0"/>
                  </w:tcBorders>
                </w:tcPr>
                <w:p w14:paraId="268581E9" w14:textId="77777777" w:rsidR="00043BDD" w:rsidRDefault="00A61197">
                  <w:pPr>
                    <w:pStyle w:val="EFADisclaimerText"/>
                    <w:rPr>
                      <w:rFonts w:eastAsia="楷体_GB2312" w:cs="Calibri"/>
                      <w:b/>
                      <w:w w:val="70"/>
                      <w:sz w:val="20"/>
                      <w:szCs w:val="20"/>
                      <w:lang w:eastAsia="zh-CN"/>
                    </w:rPr>
                  </w:pPr>
                  <w:r>
                    <w:rPr>
                      <w:rFonts w:eastAsia="楷体_GB2312" w:cs="Calibri"/>
                      <w:b/>
                      <w:w w:val="70"/>
                      <w:sz w:val="20"/>
                      <w:szCs w:val="20"/>
                      <w:lang w:eastAsia="zh-CN"/>
                    </w:rPr>
                    <w:t>评级定义（从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p>
                <w:p w14:paraId="6AD58A41" w14:textId="77777777" w:rsidR="00043BDD" w:rsidRDefault="00A61197">
                  <w:pPr>
                    <w:pStyle w:val="EFADisclaimerText"/>
                    <w:rPr>
                      <w:rFonts w:eastAsia="楷体_GB2312" w:cs="Calibri"/>
                      <w:w w:val="70"/>
                      <w:sz w:val="20"/>
                      <w:szCs w:val="20"/>
                      <w:lang w:eastAsia="zh-CN"/>
                    </w:rPr>
                  </w:pPr>
                  <w:r>
                    <w:rPr>
                      <w:rFonts w:eastAsia="楷体_GB2312" w:cs="Calibri"/>
                      <w:w w:val="70"/>
                      <w:sz w:val="20"/>
                      <w:szCs w:val="20"/>
                      <w:lang w:eastAsia="zh-CN"/>
                    </w:rPr>
                    <w:t>华福国际采用相对评级系统来为投资者推荐我们覆盖的公司：优于大市、中性或弱于大市。投资者应仔细阅读华福国际的评级定义。并且华福国际发布分析</w:t>
                  </w:r>
                  <w:proofErr w:type="gramStart"/>
                  <w:r>
                    <w:rPr>
                      <w:rFonts w:eastAsia="楷体_GB2312" w:cs="Calibri"/>
                      <w:w w:val="70"/>
                      <w:sz w:val="20"/>
                      <w:szCs w:val="20"/>
                      <w:lang w:eastAsia="zh-CN"/>
                    </w:rPr>
                    <w:t>师观点</w:t>
                  </w:r>
                  <w:proofErr w:type="gramEnd"/>
                  <w:r>
                    <w:rPr>
                      <w:rFonts w:eastAsia="楷体_GB2312" w:cs="Calibri"/>
                      <w:w w:val="70"/>
                      <w:sz w:val="20"/>
                      <w:szCs w:val="20"/>
                      <w:lang w:eastAsia="zh-CN"/>
                    </w:rPr>
                    <w:t>的完整信息，投资者应仔细阅读全文而非仅看评级。在任何情况下，分析师的评级和研究都不能作为投资建议。投资者的买卖股票的决策应基于各自情况（比如投资者的现有持仓）以及其他因素。</w:t>
                  </w:r>
                </w:p>
                <w:p w14:paraId="1D25CBD0" w14:textId="77777777" w:rsidR="00043BDD" w:rsidRDefault="00A61197">
                  <w:pPr>
                    <w:pStyle w:val="EFADisclaimerText"/>
                    <w:rPr>
                      <w:rFonts w:eastAsia="楷体_GB2312" w:cs="Calibri"/>
                      <w:b/>
                      <w:w w:val="70"/>
                      <w:sz w:val="20"/>
                      <w:szCs w:val="20"/>
                      <w:lang w:eastAsia="zh-CN"/>
                    </w:rPr>
                  </w:pPr>
                  <w:r>
                    <w:rPr>
                      <w:rFonts w:eastAsia="楷体_GB2312" w:cs="Calibri"/>
                      <w:b/>
                      <w:w w:val="70"/>
                      <w:sz w:val="20"/>
                      <w:szCs w:val="20"/>
                      <w:lang w:eastAsia="zh-CN"/>
                    </w:rPr>
                    <w:t>分析</w:t>
                  </w:r>
                  <w:proofErr w:type="gramStart"/>
                  <w:r>
                    <w:rPr>
                      <w:rFonts w:eastAsia="楷体_GB2312" w:cs="Calibri"/>
                      <w:b/>
                      <w:w w:val="70"/>
                      <w:sz w:val="20"/>
                      <w:szCs w:val="20"/>
                      <w:lang w:eastAsia="zh-CN"/>
                    </w:rPr>
                    <w:t>师股票</w:t>
                  </w:r>
                  <w:proofErr w:type="gramEnd"/>
                  <w:r>
                    <w:rPr>
                      <w:rFonts w:eastAsia="楷体_GB2312" w:cs="Calibri"/>
                      <w:b/>
                      <w:w w:val="70"/>
                      <w:sz w:val="20"/>
                      <w:szCs w:val="20"/>
                      <w:lang w:eastAsia="zh-CN"/>
                    </w:rPr>
                    <w:t>评级</w:t>
                  </w:r>
                </w:p>
                <w:p w14:paraId="4E08A921" w14:textId="77777777" w:rsidR="00043BDD" w:rsidRDefault="00A61197">
                  <w:pPr>
                    <w:pStyle w:val="EFADisclaimerText"/>
                    <w:rPr>
                      <w:rFonts w:eastAsia="楷体_GB2312" w:cs="Calibri"/>
                      <w:w w:val="70"/>
                      <w:sz w:val="20"/>
                      <w:szCs w:val="20"/>
                      <w:lang w:eastAsia="zh-CN"/>
                    </w:rPr>
                  </w:pPr>
                  <w:r>
                    <w:rPr>
                      <w:rFonts w:eastAsia="楷体_GB2312" w:cs="Calibri"/>
                      <w:b/>
                      <w:w w:val="70"/>
                      <w:sz w:val="20"/>
                      <w:szCs w:val="20"/>
                      <w:lang w:eastAsia="zh-CN"/>
                    </w:rPr>
                    <w:t>优于大市</w:t>
                  </w:r>
                  <w:r>
                    <w:rPr>
                      <w:rFonts w:eastAsia="楷体_GB2312" w:cs="Calibri"/>
                      <w:w w:val="70"/>
                      <w:sz w:val="20"/>
                      <w:szCs w:val="20"/>
                      <w:lang w:eastAsia="zh-CN"/>
                    </w:rPr>
                    <w:t>，未来</w:t>
                  </w:r>
                  <w:r>
                    <w:rPr>
                      <w:rFonts w:eastAsia="楷体_GB2312" w:cs="Calibri"/>
                      <w:w w:val="70"/>
                      <w:sz w:val="20"/>
                      <w:szCs w:val="20"/>
                      <w:lang w:eastAsia="zh-CN"/>
                    </w:rPr>
                    <w:t>12-18</w:t>
                  </w:r>
                  <w:r>
                    <w:rPr>
                      <w:rFonts w:eastAsia="楷体_GB2312" w:cs="Calibri"/>
                      <w:w w:val="70"/>
                      <w:sz w:val="20"/>
                      <w:szCs w:val="20"/>
                      <w:lang w:eastAsia="zh-CN"/>
                    </w:rPr>
                    <w:t>个月内预期相对基准指数涨幅在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3D4D242A" w14:textId="77777777" w:rsidR="00043BDD" w:rsidRDefault="00A61197">
                  <w:pPr>
                    <w:pStyle w:val="EFADisclaimerText"/>
                    <w:rPr>
                      <w:rFonts w:eastAsia="楷体_GB2312" w:cs="Calibri"/>
                      <w:w w:val="70"/>
                      <w:sz w:val="20"/>
                      <w:szCs w:val="20"/>
                      <w:lang w:eastAsia="zh-CN"/>
                    </w:rPr>
                  </w:pPr>
                  <w:r>
                    <w:rPr>
                      <w:rFonts w:eastAsia="楷体_GB2312" w:cs="Calibri"/>
                      <w:b/>
                      <w:w w:val="70"/>
                      <w:sz w:val="20"/>
                      <w:szCs w:val="20"/>
                      <w:lang w:eastAsia="zh-CN"/>
                    </w:rPr>
                    <w:t>中性</w:t>
                  </w:r>
                  <w:r>
                    <w:rPr>
                      <w:rFonts w:eastAsia="楷体_GB2312" w:cs="Calibri"/>
                      <w:w w:val="70"/>
                      <w:sz w:val="20"/>
                      <w:szCs w:val="20"/>
                      <w:lang w:eastAsia="zh-CN"/>
                    </w:rPr>
                    <w:t>，未来</w:t>
                  </w:r>
                  <w:r>
                    <w:rPr>
                      <w:rFonts w:eastAsia="楷体_GB2312" w:cs="Calibri"/>
                      <w:w w:val="70"/>
                      <w:sz w:val="20"/>
                      <w:szCs w:val="20"/>
                      <w:lang w:eastAsia="zh-CN"/>
                    </w:rPr>
                    <w:t>12-18</w:t>
                  </w:r>
                  <w:r>
                    <w:rPr>
                      <w:rFonts w:eastAsia="楷体_GB2312" w:cs="Calibri"/>
                      <w:w w:val="70"/>
                      <w:sz w:val="20"/>
                      <w:szCs w:val="20"/>
                      <w:lang w:eastAsia="zh-CN"/>
                    </w:rPr>
                    <w:t>个月内预期相对基准指数变化不大，基准定义如下</w:t>
                  </w:r>
                </w:p>
                <w:p w14:paraId="53713C8B" w14:textId="77777777" w:rsidR="00043BDD" w:rsidRDefault="00A61197">
                  <w:pPr>
                    <w:pStyle w:val="EFADisclaimerText"/>
                    <w:rPr>
                      <w:rFonts w:eastAsia="楷体_GB2312" w:cs="Calibri"/>
                      <w:w w:val="70"/>
                      <w:sz w:val="20"/>
                      <w:szCs w:val="20"/>
                      <w:lang w:eastAsia="zh-CN"/>
                    </w:rPr>
                  </w:pPr>
                  <w:r>
                    <w:rPr>
                      <w:rFonts w:eastAsia="楷体_GB2312" w:cs="Calibri"/>
                      <w:b/>
                      <w:w w:val="70"/>
                      <w:sz w:val="20"/>
                      <w:szCs w:val="20"/>
                      <w:lang w:eastAsia="zh-CN"/>
                    </w:rPr>
                    <w:t>弱于大市</w:t>
                  </w:r>
                  <w:r>
                    <w:rPr>
                      <w:rFonts w:eastAsia="楷体_GB2312" w:cs="Calibri"/>
                      <w:w w:val="70"/>
                      <w:sz w:val="20"/>
                      <w:szCs w:val="20"/>
                      <w:lang w:eastAsia="zh-CN"/>
                    </w:rPr>
                    <w:t>，未来</w:t>
                  </w:r>
                  <w:r>
                    <w:rPr>
                      <w:rFonts w:eastAsia="楷体_GB2312" w:cs="Calibri"/>
                      <w:w w:val="70"/>
                      <w:sz w:val="20"/>
                      <w:szCs w:val="20"/>
                      <w:lang w:eastAsia="zh-CN"/>
                    </w:rPr>
                    <w:t>12-18</w:t>
                  </w:r>
                  <w:r>
                    <w:rPr>
                      <w:rFonts w:eastAsia="楷体_GB2312" w:cs="Calibri"/>
                      <w:w w:val="70"/>
                      <w:sz w:val="20"/>
                      <w:szCs w:val="20"/>
                      <w:lang w:eastAsia="zh-CN"/>
                    </w:rPr>
                    <w:t>个月内预期相对基准指数跌幅在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3A2C7FCE" w14:textId="77777777" w:rsidR="00043BDD" w:rsidRDefault="00A61197">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 TOPIX, </w:t>
                  </w:r>
                  <w:r>
                    <w:rPr>
                      <w:rFonts w:eastAsia="楷体_GB2312" w:cs="Calibri"/>
                      <w:w w:val="70"/>
                      <w:sz w:val="20"/>
                      <w:szCs w:val="20"/>
                      <w:lang w:eastAsia="zh-CN"/>
                    </w:rPr>
                    <w:t>韩国</w:t>
                  </w:r>
                  <w:r>
                    <w:rPr>
                      <w:rFonts w:eastAsia="楷体_GB2312" w:cs="Calibri"/>
                      <w:w w:val="70"/>
                      <w:sz w:val="20"/>
                      <w:szCs w:val="20"/>
                      <w:lang w:eastAsia="zh-CN"/>
                    </w:rPr>
                    <w:t xml:space="preserve"> – KOSPI, </w:t>
                  </w:r>
                  <w:r>
                    <w:rPr>
                      <w:rFonts w:eastAsia="楷体_GB2312" w:cs="Calibri"/>
                      <w:w w:val="70"/>
                      <w:sz w:val="20"/>
                      <w:szCs w:val="20"/>
                      <w:lang w:eastAsia="zh-CN"/>
                    </w:rPr>
                    <w:t>台湾</w:t>
                  </w:r>
                  <w:r>
                    <w:rPr>
                      <w:rFonts w:eastAsia="楷体_GB2312" w:cs="Calibri"/>
                      <w:w w:val="70"/>
                      <w:sz w:val="20"/>
                      <w:szCs w:val="20"/>
                      <w:lang w:eastAsia="zh-CN"/>
                    </w:rPr>
                    <w:t xml:space="preserve"> – TAIEX, </w:t>
                  </w:r>
                  <w:r>
                    <w:rPr>
                      <w:rFonts w:eastAsia="楷体_GB2312" w:cs="Calibri"/>
                      <w:w w:val="70"/>
                      <w:sz w:val="20"/>
                      <w:szCs w:val="20"/>
                      <w:lang w:eastAsia="zh-CN"/>
                    </w:rPr>
                    <w:t>印度</w:t>
                  </w:r>
                  <w:r>
                    <w:rPr>
                      <w:rFonts w:eastAsia="楷体_GB2312" w:cs="Calibri"/>
                      <w:w w:val="70"/>
                      <w:sz w:val="20"/>
                      <w:szCs w:val="20"/>
                      <w:lang w:eastAsia="zh-CN"/>
                    </w:rPr>
                    <w:t xml:space="preserve"> – Nifty100, </w:t>
                  </w:r>
                  <w:r>
                    <w:rPr>
                      <w:rFonts w:eastAsia="楷体_GB2312" w:cs="Calibri"/>
                      <w:w w:val="70"/>
                      <w:sz w:val="20"/>
                      <w:szCs w:val="20"/>
                      <w:lang w:eastAsia="zh-CN"/>
                    </w:rPr>
                    <w:t>美国</w:t>
                  </w:r>
                  <w:r>
                    <w:rPr>
                      <w:rFonts w:eastAsia="楷体_GB2312" w:cs="Calibri"/>
                      <w:w w:val="70"/>
                      <w:sz w:val="20"/>
                      <w:szCs w:val="20"/>
                      <w:lang w:eastAsia="zh-CN"/>
                    </w:rPr>
                    <w:t xml:space="preserve"> –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 MSCI China.</w:t>
                  </w:r>
                </w:p>
                <w:p w14:paraId="582FDD79" w14:textId="77777777" w:rsidR="00043BDD" w:rsidRDefault="00A61197">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3F504A6B" w14:textId="77777777" w:rsidR="00043BDD" w:rsidRDefault="00A61197">
                  <w:pPr>
                    <w:pStyle w:val="EFADisclaimerText"/>
                    <w:rPr>
                      <w:rFonts w:eastAsia="楷体_GB2312" w:cs="Calibri"/>
                      <w:w w:val="79"/>
                      <w:sz w:val="20"/>
                      <w:szCs w:val="20"/>
                    </w:rPr>
                  </w:pPr>
                  <w:proofErr w:type="spellStart"/>
                  <w:r>
                    <w:rPr>
                      <w:rFonts w:eastAsia="楷体_GB2312" w:cs="Calibri"/>
                      <w:w w:val="79"/>
                      <w:sz w:val="20"/>
                      <w:szCs w:val="20"/>
                      <w:lang w:eastAsia="zh-CN"/>
                    </w:rPr>
                    <w:t>HuaFu</w:t>
                  </w:r>
                  <w:proofErr w:type="spellEnd"/>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proofErr w:type="spellStart"/>
                  <w:r>
                    <w:rPr>
                      <w:rFonts w:eastAsia="楷体_GB2312" w:cs="Calibri"/>
                      <w:w w:val="79"/>
                      <w:sz w:val="20"/>
                      <w:szCs w:val="20"/>
                      <w:lang w:eastAsia="zh-CN"/>
                    </w:rPr>
                    <w:t>HuaFu</w:t>
                  </w:r>
                  <w:proofErr w:type="spellEnd"/>
                  <w:r>
                    <w:rPr>
                      <w:rFonts w:eastAsia="楷体_GB2312" w:cs="Calibri"/>
                      <w:w w:val="79"/>
                      <w:sz w:val="20"/>
                      <w:szCs w:val="20"/>
                    </w:rPr>
                    <w:t xml:space="preserve"> International Research. In addition, since </w:t>
                  </w:r>
                  <w:proofErr w:type="spellStart"/>
                  <w:r>
                    <w:rPr>
                      <w:rFonts w:eastAsia="楷体_GB2312" w:cs="Calibri"/>
                      <w:w w:val="79"/>
                      <w:sz w:val="20"/>
                      <w:szCs w:val="20"/>
                      <w:lang w:eastAsia="zh-CN"/>
                    </w:rPr>
                    <w:t>HuaFu</w:t>
                  </w:r>
                  <w:proofErr w:type="spellEnd"/>
                  <w:r>
                    <w:rPr>
                      <w:rFonts w:eastAsia="楷体_GB2312" w:cs="Calibri"/>
                      <w:w w:val="79"/>
                      <w:sz w:val="20"/>
                      <w:szCs w:val="20"/>
                    </w:rPr>
                    <w:t xml:space="preserve"> International Research contains more complete information concerning the analyst's views, investors should carefully read </w:t>
                  </w:r>
                  <w:proofErr w:type="spellStart"/>
                  <w:r>
                    <w:rPr>
                      <w:rFonts w:eastAsia="楷体_GB2312" w:cs="Calibri"/>
                      <w:w w:val="79"/>
                      <w:sz w:val="20"/>
                      <w:szCs w:val="20"/>
                      <w:lang w:eastAsia="zh-CN"/>
                    </w:rPr>
                    <w:t>HuaFu</w:t>
                  </w:r>
                  <w:proofErr w:type="spellEnd"/>
                  <w:r>
                    <w:rPr>
                      <w:rFonts w:eastAsia="楷体_GB2312" w:cs="Calibri"/>
                      <w:w w:val="79"/>
                      <w:sz w:val="20"/>
                      <w:szCs w:val="20"/>
                      <w:lang w:eastAsia="zh-CN"/>
                    </w:rPr>
                    <w:t xml:space="preserve">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0643AE16" w14:textId="77777777" w:rsidR="00043BDD" w:rsidRDefault="00A61197">
                  <w:pPr>
                    <w:pStyle w:val="EFADisclaimerText"/>
                    <w:rPr>
                      <w:rFonts w:eastAsia="楷体_GB2312" w:cs="Calibri"/>
                      <w:b/>
                      <w:w w:val="79"/>
                      <w:sz w:val="20"/>
                      <w:szCs w:val="20"/>
                    </w:rPr>
                  </w:pPr>
                  <w:r>
                    <w:rPr>
                      <w:rFonts w:eastAsia="楷体_GB2312" w:cs="Calibri"/>
                      <w:b/>
                      <w:w w:val="79"/>
                      <w:sz w:val="20"/>
                      <w:szCs w:val="20"/>
                    </w:rPr>
                    <w:t>Analyst Stock Ratings</w:t>
                  </w:r>
                </w:p>
                <w:p w14:paraId="6D7A32D8" w14:textId="77777777" w:rsidR="00043BDD" w:rsidRDefault="00A61197">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3FD72CC" w14:textId="77777777" w:rsidR="00043BDD" w:rsidRDefault="00A61197">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2D29A5FF" w14:textId="77777777" w:rsidR="00043BDD" w:rsidRDefault="00A61197">
                  <w:pPr>
                    <w:pStyle w:val="EFADisclaimerText"/>
                    <w:rPr>
                      <w:rFonts w:eastAsia="楷体_GB2312" w:cs="Calibri"/>
                      <w:b/>
                      <w:w w:val="79"/>
                      <w:sz w:val="20"/>
                      <w:szCs w:val="20"/>
                    </w:rPr>
                  </w:pPr>
                  <w:r>
                    <w:rPr>
                      <w:rFonts w:eastAsia="楷体_GB2312" w:cs="Calibri"/>
                      <w:b/>
                      <w:w w:val="79"/>
                      <w:sz w:val="20"/>
                      <w:szCs w:val="20"/>
                    </w:rPr>
                    <w:t>Benchmarks for each stock’s listed region are as follows: Japan – TOPIX, Korea – KOSPI, Taiwan – TAIEX, India – Nifty100, US – SP500; for all other China-concept stocks – MSCI China.</w:t>
                  </w:r>
                </w:p>
                <w:p w14:paraId="31D1EFB8" w14:textId="77777777" w:rsidR="00043BDD" w:rsidRDefault="00043BDD">
                  <w:pPr>
                    <w:pStyle w:val="EFADisclaimerText"/>
                    <w:rPr>
                      <w:rFonts w:eastAsia="楷体_GB2312" w:cs="Calibri"/>
                      <w:w w:val="70"/>
                      <w:sz w:val="20"/>
                      <w:szCs w:val="20"/>
                      <w:lang w:eastAsia="zh-CN"/>
                    </w:rPr>
                  </w:pPr>
                </w:p>
              </w:tc>
            </w:tr>
            <w:tr w:rsidR="00043BDD" w14:paraId="04B836DA" w14:textId="77777777">
              <w:tc>
                <w:tcPr>
                  <w:tcW w:w="11196" w:type="dxa"/>
                  <w:tcBorders>
                    <w:top w:val="single" w:sz="4" w:space="0" w:color="C0C0C0"/>
                    <w:bottom w:val="single" w:sz="4" w:space="0" w:color="C0C0C0"/>
                  </w:tcBorders>
                </w:tcPr>
                <w:p w14:paraId="63A4BF93" w14:textId="77777777" w:rsidR="00043BDD" w:rsidRDefault="00A61197">
                  <w:pPr>
                    <w:pStyle w:val="EFADisclaimerText"/>
                    <w:spacing w:after="60"/>
                    <w:rPr>
                      <w:rFonts w:eastAsia="楷体_GB2312" w:cs="Calibri"/>
                      <w:w w:val="70"/>
                      <w:sz w:val="20"/>
                      <w:szCs w:val="20"/>
                      <w:lang w:eastAsia="zh-CN"/>
                    </w:rPr>
                  </w:pPr>
                  <w:r>
                    <w:rPr>
                      <w:rFonts w:eastAsia="楷体_GB2312" w:cs="Calibri"/>
                      <w:b/>
                      <w:w w:val="70"/>
                      <w:sz w:val="20"/>
                      <w:szCs w:val="20"/>
                      <w:lang w:eastAsia="zh-CN"/>
                    </w:rPr>
                    <w:t>华福国际非评级研究：</w:t>
                  </w:r>
                  <w:r>
                    <w:rPr>
                      <w:rFonts w:eastAsia="楷体_GB2312" w:cs="Calibri"/>
                      <w:bCs/>
                      <w:w w:val="70"/>
                      <w:sz w:val="20"/>
                      <w:szCs w:val="20"/>
                      <w:lang w:eastAsia="zh-CN"/>
                    </w:rPr>
                    <w:t>华福</w:t>
                  </w:r>
                  <w:r>
                    <w:rPr>
                      <w:rFonts w:eastAsia="楷体_GB2312" w:cs="Calibri"/>
                      <w:w w:val="70"/>
                      <w:sz w:val="20"/>
                      <w:szCs w:val="20"/>
                      <w:lang w:eastAsia="zh-CN"/>
                    </w:rPr>
                    <w:t>国际发布计量、筛选或短篇报告，并在报告中根据估值和其他指标对股票进行排名，或者基于可能的估值倍数提出建议价格。这种排名或建议价格并非为了进行股票评级、提出目标价格或进行基本面估值，而仅供参考使用。</w:t>
                  </w:r>
                </w:p>
                <w:p w14:paraId="425652ED" w14:textId="77777777" w:rsidR="00043BDD" w:rsidRDefault="00A61197">
                  <w:pPr>
                    <w:pStyle w:val="EFADisclaimerText"/>
                    <w:rPr>
                      <w:rFonts w:eastAsia="楷体_GB2312" w:cs="Calibri"/>
                      <w:w w:val="70"/>
                      <w:sz w:val="20"/>
                      <w:szCs w:val="20"/>
                      <w:lang w:eastAsia="zh-CN"/>
                    </w:rPr>
                  </w:pPr>
                  <w:proofErr w:type="spellStart"/>
                  <w:r>
                    <w:rPr>
                      <w:rFonts w:eastAsia="楷体_GB2312" w:cs="Calibri"/>
                      <w:b/>
                      <w:w w:val="70"/>
                      <w:sz w:val="20"/>
                      <w:szCs w:val="20"/>
                      <w:lang w:eastAsia="zh-CN"/>
                    </w:rPr>
                    <w:t>HuaFu</w:t>
                  </w:r>
                  <w:proofErr w:type="spellEnd"/>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043BDD" w14:paraId="081BDBA4" w14:textId="77777777">
              <w:tc>
                <w:tcPr>
                  <w:tcW w:w="11196" w:type="dxa"/>
                  <w:tcBorders>
                    <w:top w:val="single" w:sz="4" w:space="0" w:color="C0C0C0"/>
                    <w:bottom w:val="single" w:sz="4" w:space="0" w:color="C0C0C0"/>
                  </w:tcBorders>
                </w:tcPr>
                <w:p w14:paraId="2A1CFA20" w14:textId="77777777" w:rsidR="00043BDD" w:rsidRDefault="00A61197">
                  <w:pPr>
                    <w:pStyle w:val="EFADisclaimerText"/>
                    <w:spacing w:after="60"/>
                    <w:rPr>
                      <w:rFonts w:eastAsia="楷体_GB2312" w:cs="Calibri"/>
                      <w:w w:val="70"/>
                      <w:sz w:val="20"/>
                      <w:szCs w:val="20"/>
                      <w:lang w:eastAsia="zh-CN"/>
                    </w:rPr>
                  </w:pPr>
                  <w:r>
                    <w:rPr>
                      <w:rFonts w:eastAsia="楷体_GB2312" w:cs="Calibri"/>
                      <w:b/>
                      <w:w w:val="70"/>
                      <w:sz w:val="20"/>
                      <w:szCs w:val="20"/>
                      <w:lang w:eastAsia="zh-CN"/>
                    </w:rPr>
                    <w:t>华福国际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Cs/>
                      <w:w w:val="70"/>
                      <w:sz w:val="20"/>
                      <w:szCs w:val="20"/>
                      <w:lang w:eastAsia="zh-CN"/>
                    </w:rPr>
                    <w:t>华福</w:t>
                  </w:r>
                  <w:r>
                    <w:rPr>
                      <w:rFonts w:eastAsia="楷体_GB2312" w:cs="Calibri"/>
                      <w:w w:val="70"/>
                      <w:sz w:val="20"/>
                      <w:szCs w:val="20"/>
                      <w:lang w:eastAsia="zh-CN"/>
                    </w:rPr>
                    <w:t>国际可能会就中国</w:t>
                  </w:r>
                  <w:r>
                    <w:rPr>
                      <w:rFonts w:eastAsia="楷体_GB2312" w:cs="Calibri"/>
                      <w:w w:val="70"/>
                      <w:sz w:val="20"/>
                      <w:szCs w:val="20"/>
                      <w:lang w:eastAsia="zh-CN"/>
                    </w:rPr>
                    <w:t>A</w:t>
                  </w:r>
                  <w:r>
                    <w:rPr>
                      <w:rFonts w:eastAsia="楷体_GB2312" w:cs="Calibri"/>
                      <w:w w:val="70"/>
                      <w:sz w:val="20"/>
                      <w:szCs w:val="20"/>
                      <w:lang w:eastAsia="zh-CN"/>
                    </w:rPr>
                    <w:t>股进行覆盖及评级。华福证券，华福国际于福州的母公司，也会于中国发布中国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股的研究报告。但是，华福国际使用与华福证券不同的评级系统，且可能有完全独立的不同研究覆盖团队，所以华福国际与华福证券的中国</w:t>
                  </w:r>
                  <w:r>
                    <w:rPr>
                      <w:rFonts w:eastAsia="楷体_GB2312" w:cs="Calibri"/>
                      <w:w w:val="70"/>
                      <w:sz w:val="20"/>
                      <w:szCs w:val="20"/>
                      <w:lang w:eastAsia="zh-CN"/>
                    </w:rPr>
                    <w:t>A</w:t>
                  </w:r>
                  <w:r>
                    <w:rPr>
                      <w:rFonts w:eastAsia="楷体_GB2312" w:cs="Calibri"/>
                      <w:w w:val="70"/>
                      <w:sz w:val="20"/>
                      <w:szCs w:val="20"/>
                      <w:lang w:eastAsia="zh-CN"/>
                    </w:rPr>
                    <w:t>股评级、目标价乃至分析逻辑可能有所不同。</w:t>
                  </w:r>
                </w:p>
                <w:p w14:paraId="34B4688E" w14:textId="77777777" w:rsidR="00043BDD" w:rsidRDefault="00A61197">
                  <w:pPr>
                    <w:pStyle w:val="EFADisclaimerText"/>
                    <w:rPr>
                      <w:rFonts w:eastAsia="楷体_GB2312" w:cs="Calibri"/>
                      <w:w w:val="70"/>
                      <w:sz w:val="20"/>
                      <w:szCs w:val="20"/>
                    </w:rPr>
                  </w:pPr>
                  <w:proofErr w:type="spellStart"/>
                  <w:r>
                    <w:rPr>
                      <w:rFonts w:eastAsia="楷体_GB2312" w:cs="Calibri"/>
                      <w:b/>
                      <w:w w:val="70"/>
                      <w:sz w:val="20"/>
                      <w:szCs w:val="20"/>
                      <w:lang w:eastAsia="zh-CN"/>
                    </w:rPr>
                    <w:t>HuaFu</w:t>
                  </w:r>
                  <w:proofErr w:type="spellEnd"/>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 may cover and rate A-</w:t>
                  </w:r>
                  <w:proofErr w:type="gramStart"/>
                  <w:r>
                    <w:rPr>
                      <w:rFonts w:eastAsia="楷体_GB2312" w:cs="Calibri"/>
                      <w:w w:val="70"/>
                      <w:sz w:val="20"/>
                      <w:szCs w:val="20"/>
                    </w:rPr>
                    <w:t>Shares .</w:t>
                  </w:r>
                  <w:proofErr w:type="gramEnd"/>
                  <w:r>
                    <w:rPr>
                      <w:rFonts w:eastAsia="楷体_GB2312" w:cs="Calibri"/>
                      <w:w w:val="70"/>
                      <w:sz w:val="20"/>
                      <w:szCs w:val="20"/>
                    </w:rPr>
                    <w:t xml:space="preserve">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Securities, the ultimate parent company of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based in </w:t>
                  </w:r>
                  <w:proofErr w:type="spellStart"/>
                  <w:r>
                    <w:rPr>
                      <w:rFonts w:eastAsia="楷体_GB2312" w:cs="Calibri"/>
                      <w:w w:val="70"/>
                      <w:sz w:val="20"/>
                      <w:szCs w:val="20"/>
                      <w:lang w:eastAsia="zh-CN"/>
                    </w:rPr>
                    <w:t>FuZhou</w:t>
                  </w:r>
                  <w:proofErr w:type="spellEnd"/>
                  <w:r>
                    <w:rPr>
                      <w:rFonts w:eastAsia="楷体_GB2312" w:cs="Calibri"/>
                      <w:w w:val="70"/>
                      <w:sz w:val="20"/>
                      <w:szCs w:val="20"/>
                    </w:rPr>
                    <w:t xml:space="preserve">, covers and publishes research on these same A-Shares for distribution in mainland China. However, the rating system employed by </w:t>
                  </w:r>
                  <w:proofErr w:type="spellStart"/>
                  <w:r>
                    <w:rPr>
                      <w:rFonts w:eastAsia="楷体_GB2312" w:cs="Calibri"/>
                      <w:w w:val="70"/>
                      <w:sz w:val="20"/>
                      <w:szCs w:val="20"/>
                    </w:rPr>
                    <w:t>H</w:t>
                  </w:r>
                  <w:r>
                    <w:rPr>
                      <w:rFonts w:eastAsia="楷体_GB2312" w:cs="Calibri"/>
                      <w:w w:val="70"/>
                      <w:sz w:val="20"/>
                      <w:szCs w:val="20"/>
                      <w:lang w:eastAsia="zh-CN"/>
                    </w:rPr>
                    <w:t>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differs from that used by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w:t>
                  </w:r>
                  <w:proofErr w:type="spellStart"/>
                  <w:r>
                    <w:rPr>
                      <w:rFonts w:eastAsia="楷体_GB2312" w:cs="Calibri"/>
                      <w:w w:val="70"/>
                      <w:sz w:val="20"/>
                      <w:szCs w:val="20"/>
                      <w:lang w:eastAsia="zh-CN"/>
                    </w:rPr>
                    <w:t>Securites</w:t>
                  </w:r>
                  <w:proofErr w:type="spellEnd"/>
                  <w:r>
                    <w:rPr>
                      <w:rFonts w:eastAsia="楷体_GB2312" w:cs="Calibri"/>
                      <w:w w:val="70"/>
                      <w:sz w:val="20"/>
                      <w:szCs w:val="20"/>
                    </w:rPr>
                    <w:t xml:space="preserve"> and </w:t>
                  </w:r>
                  <w:r>
                    <w:rPr>
                      <w:rFonts w:eastAsia="楷体_GB2312" w:cs="Calibri"/>
                      <w:w w:val="70"/>
                      <w:sz w:val="20"/>
                      <w:szCs w:val="20"/>
                      <w:lang w:eastAsia="zh-CN"/>
                    </w:rPr>
                    <w:t xml:space="preserve">even the </w:t>
                  </w:r>
                  <w:r>
                    <w:rPr>
                      <w:rFonts w:eastAsia="楷体_GB2312" w:cs="Calibri"/>
                      <w:w w:val="70"/>
                      <w:sz w:val="20"/>
                      <w:szCs w:val="20"/>
                      <w:lang w:eastAsia="zh-CN"/>
                    </w:rPr>
                    <w:lastRenderedPageBreak/>
                    <w:t xml:space="preserve">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rsidR="00043BDD" w14:paraId="55CB3093" w14:textId="77777777">
              <w:tc>
                <w:tcPr>
                  <w:tcW w:w="11196" w:type="dxa"/>
                  <w:tcBorders>
                    <w:top w:val="single" w:sz="4" w:space="0" w:color="C0C0C0"/>
                    <w:bottom w:val="single" w:sz="4" w:space="0" w:color="C0C0C0"/>
                  </w:tcBorders>
                </w:tcPr>
                <w:p w14:paraId="2FC5E411" w14:textId="77777777" w:rsidR="00043BDD" w:rsidRDefault="00043BDD">
                  <w:pPr>
                    <w:pStyle w:val="EFADisclaimerText"/>
                    <w:rPr>
                      <w:rFonts w:eastAsia="楷体_GB2312" w:cs="Calibri"/>
                      <w:w w:val="70"/>
                      <w:sz w:val="20"/>
                      <w:szCs w:val="20"/>
                    </w:rPr>
                  </w:pPr>
                </w:p>
              </w:tc>
            </w:tr>
            <w:tr w:rsidR="00043BDD" w14:paraId="22B0DBD9" w14:textId="77777777">
              <w:tc>
                <w:tcPr>
                  <w:tcW w:w="11196" w:type="dxa"/>
                  <w:tcBorders>
                    <w:top w:val="single" w:sz="4" w:space="0" w:color="C0C0C0"/>
                    <w:bottom w:val="single" w:sz="4" w:space="0" w:color="C0C0C0"/>
                  </w:tcBorders>
                </w:tcPr>
                <w:p w14:paraId="6F134D6B" w14:textId="77777777" w:rsidR="00043BDD" w:rsidRDefault="00A61197">
                  <w:pPr>
                    <w:pStyle w:val="EFADisclaimerText"/>
                    <w:spacing w:after="60"/>
                    <w:rPr>
                      <w:rFonts w:eastAsia="楷体_GB2312" w:cs="Calibri"/>
                      <w:b/>
                      <w:w w:val="70"/>
                      <w:sz w:val="20"/>
                      <w:szCs w:val="20"/>
                      <w:lang w:eastAsia="zh-CN"/>
                    </w:rPr>
                  </w:pPr>
                  <w:r>
                    <w:rPr>
                      <w:rFonts w:eastAsia="楷体_GB2312" w:cs="Calibri"/>
                      <w:b/>
                      <w:w w:val="70"/>
                      <w:sz w:val="20"/>
                      <w:szCs w:val="20"/>
                      <w:lang w:eastAsia="zh-CN"/>
                    </w:rPr>
                    <w:t>重要免责声明：</w:t>
                  </w:r>
                </w:p>
                <w:p w14:paraId="528DEFCA" w14:textId="77777777" w:rsidR="00043BDD" w:rsidRDefault="00A61197">
                  <w:pPr>
                    <w:pStyle w:val="EFADisclaimerText"/>
                    <w:spacing w:after="60"/>
                    <w:rPr>
                      <w:rFonts w:eastAsia="楷体_GB2312" w:cs="Calibri"/>
                      <w:w w:val="70"/>
                      <w:sz w:val="20"/>
                      <w:szCs w:val="20"/>
                      <w:lang w:eastAsia="zh-CN"/>
                    </w:rPr>
                  </w:pPr>
                  <w:r>
                    <w:rPr>
                      <w:rFonts w:eastAsia="楷体_GB2312" w:cs="Calibri"/>
                      <w:w w:val="70"/>
                      <w:sz w:val="20"/>
                      <w:szCs w:val="20"/>
                      <w:lang w:eastAsia="zh-CN"/>
                    </w:rPr>
                    <w:t>本报告由华福国际发行，该公司是根据香港证券及期货条例（第</w:t>
                  </w:r>
                  <w:r>
                    <w:rPr>
                      <w:rFonts w:eastAsia="楷体_GB2312" w:cs="Calibri"/>
                      <w:w w:val="70"/>
                      <w:sz w:val="20"/>
                      <w:szCs w:val="20"/>
                      <w:lang w:eastAsia="zh-CN"/>
                    </w:rPr>
                    <w:t>571</w:t>
                  </w:r>
                  <w:r>
                    <w:rPr>
                      <w:rFonts w:eastAsia="楷体_GB2312" w:cs="Calibri"/>
                      <w:w w:val="70"/>
                      <w:sz w:val="20"/>
                      <w:szCs w:val="20"/>
                      <w:lang w:eastAsia="zh-CN"/>
                    </w:rPr>
                    <w:t>章）持有第</w:t>
                  </w:r>
                  <w:r>
                    <w:rPr>
                      <w:rFonts w:eastAsia="楷体_GB2312" w:cs="Calibri"/>
                      <w:w w:val="70"/>
                      <w:sz w:val="20"/>
                      <w:szCs w:val="20"/>
                      <w:lang w:eastAsia="zh-CN"/>
                    </w:rPr>
                    <w:t>4</w:t>
                  </w:r>
                  <w:r>
                    <w:rPr>
                      <w:rFonts w:eastAsia="楷体_GB2312" w:cs="Calibri"/>
                      <w:w w:val="70"/>
                      <w:sz w:val="20"/>
                      <w:szCs w:val="20"/>
                      <w:lang w:eastAsia="zh-CN"/>
                    </w:rPr>
                    <w:t>类受</w:t>
                  </w:r>
                  <w:proofErr w:type="gramStart"/>
                  <w:r>
                    <w:rPr>
                      <w:rFonts w:eastAsia="楷体_GB2312" w:cs="Calibri"/>
                      <w:w w:val="70"/>
                      <w:sz w:val="20"/>
                      <w:szCs w:val="20"/>
                      <w:lang w:eastAsia="zh-CN"/>
                    </w:rPr>
                    <w:t>规</w:t>
                  </w:r>
                  <w:proofErr w:type="gramEnd"/>
                  <w:r>
                    <w:rPr>
                      <w:rFonts w:eastAsia="楷体_GB2312" w:cs="Calibri"/>
                      <w:w w:val="70"/>
                      <w:sz w:val="20"/>
                      <w:szCs w:val="20"/>
                      <w:lang w:eastAsia="zh-CN"/>
                    </w:rPr>
                    <w:t>管活动（就证券提供意见）的持牌法团。</w:t>
                  </w:r>
                </w:p>
                <w:p w14:paraId="2A350435" w14:textId="77777777" w:rsidR="00043BDD" w:rsidRDefault="00A61197">
                  <w:pPr>
                    <w:pStyle w:val="EFADisclaimerText"/>
                    <w:spacing w:after="60"/>
                    <w:rPr>
                      <w:rFonts w:eastAsia="楷体_GB2312" w:cs="Calibri"/>
                      <w:w w:val="70"/>
                      <w:sz w:val="20"/>
                      <w:szCs w:val="20"/>
                      <w:lang w:eastAsia="zh-CN"/>
                    </w:rPr>
                  </w:pPr>
                  <w:r>
                    <w:rPr>
                      <w:rFonts w:eastAsia="楷体_GB2312" w:cs="Calibri"/>
                      <w:w w:val="70"/>
                      <w:sz w:val="20"/>
                      <w:szCs w:val="20"/>
                      <w:lang w:eastAsia="zh-CN"/>
                    </w:rPr>
                    <w:t>本文件所载信息和观点已被编译或源自可靠来源，但华福国际或任何其他属于华福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lang w:eastAsia="zh-CN"/>
                    </w:rPr>
                    <w:t>不应被解释为对证券买卖的明示或暗示地出价</w:t>
                  </w:r>
                  <w:proofErr w:type="gramStart"/>
                  <w:r>
                    <w:rPr>
                      <w:rFonts w:eastAsia="楷体_GB2312" w:cs="Calibri"/>
                      <w:w w:val="70"/>
                      <w:sz w:val="20"/>
                      <w:szCs w:val="20"/>
                      <w:lang w:eastAsia="zh-CN"/>
                    </w:rPr>
                    <w:t>或征价</w:t>
                  </w:r>
                  <w:proofErr w:type="gramEnd"/>
                  <w:r>
                    <w:rPr>
                      <w:rFonts w:eastAsia="楷体_GB2312" w:cs="Calibri"/>
                      <w:w w:val="70"/>
                      <w:sz w:val="20"/>
                      <w:szCs w:val="20"/>
                      <w:lang w:eastAsia="zh-CN"/>
                    </w:rPr>
                    <w:t>。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w:t>
                  </w:r>
                  <w:proofErr w:type="gramStart"/>
                  <w:r>
                    <w:rPr>
                      <w:rFonts w:eastAsia="楷体_GB2312" w:cs="Calibri"/>
                      <w:w w:val="70"/>
                      <w:sz w:val="20"/>
                      <w:szCs w:val="20"/>
                      <w:lang w:eastAsia="zh-CN"/>
                    </w:rPr>
                    <w:t>分析师并未</w:t>
                  </w:r>
                  <w:proofErr w:type="gramEnd"/>
                  <w:r>
                    <w:rPr>
                      <w:rFonts w:eastAsia="楷体_GB2312" w:cs="Calibri"/>
                      <w:w w:val="70"/>
                      <w:sz w:val="20"/>
                      <w:szCs w:val="20"/>
                      <w:lang w:eastAsia="zh-CN"/>
                    </w:rPr>
                    <w:t>考虑到您自身的财务情况，如您的财务状况和风险偏好。因此您必须自行分析并在适用的情况</w:t>
                  </w:r>
                  <w:proofErr w:type="gramStart"/>
                  <w:r>
                    <w:rPr>
                      <w:rFonts w:eastAsia="楷体_GB2312" w:cs="Calibri"/>
                      <w:w w:val="70"/>
                      <w:sz w:val="20"/>
                      <w:szCs w:val="20"/>
                      <w:lang w:eastAsia="zh-CN"/>
                    </w:rPr>
                    <w:t>下咨询</w:t>
                  </w:r>
                  <w:proofErr w:type="gramEnd"/>
                  <w:r>
                    <w:rPr>
                      <w:rFonts w:eastAsia="楷体_GB2312" w:cs="Calibri"/>
                      <w:w w:val="70"/>
                      <w:sz w:val="20"/>
                      <w:szCs w:val="20"/>
                      <w:lang w:eastAsia="zh-CN"/>
                    </w:rPr>
                    <w:t>自己的法律、税收、会计、金融和其他方面的专业顾问，以期在投资之前评估该项建议是否适合于您。若由于使用本文件所载的材料而产生任何直接或间接的损失，华福国际及其董事、雇员或代理人对此均不承担任何责任。</w:t>
                  </w:r>
                  <w:r>
                    <w:rPr>
                      <w:rFonts w:eastAsia="楷体_GB2312" w:cs="Calibri"/>
                      <w:w w:val="70"/>
                      <w:sz w:val="20"/>
                      <w:szCs w:val="20"/>
                      <w:lang w:eastAsia="zh-CN"/>
                    </w:rPr>
                    <w:t xml:space="preserve"> </w:t>
                  </w:r>
                </w:p>
                <w:p w14:paraId="4EEF2757" w14:textId="77777777" w:rsidR="00043BDD" w:rsidRDefault="00A61197">
                  <w:pPr>
                    <w:pStyle w:val="EFADisclaimerText"/>
                    <w:spacing w:after="60"/>
                    <w:rPr>
                      <w:rFonts w:eastAsia="楷体_GB2312" w:cs="Calibri"/>
                      <w:w w:val="70"/>
                      <w:sz w:val="20"/>
                      <w:szCs w:val="20"/>
                      <w:lang w:eastAsia="zh-CN"/>
                    </w:rPr>
                  </w:pPr>
                  <w:r>
                    <w:rPr>
                      <w:rFonts w:eastAsia="楷体_GB2312" w:cs="Calibri"/>
                      <w:w w:val="70"/>
                      <w:sz w:val="20"/>
                      <w:szCs w:val="20"/>
                      <w:lang w:eastAsia="zh-CN"/>
                    </w:rPr>
                    <w:t>除对本文内容承担责任的分析师除外，华福国际及我们的关联公司、高级管理人员、董事和雇员，均可不时作为主事人就本文件所述的任何证券或衍生品持有长仓或</w:t>
                  </w:r>
                  <w:proofErr w:type="gramStart"/>
                  <w:r>
                    <w:rPr>
                      <w:rFonts w:eastAsia="楷体_GB2312" w:cs="Calibri"/>
                      <w:w w:val="70"/>
                      <w:sz w:val="20"/>
                      <w:szCs w:val="20"/>
                      <w:lang w:eastAsia="zh-CN"/>
                    </w:rPr>
                    <w:t>短仓以及</w:t>
                  </w:r>
                  <w:proofErr w:type="gramEnd"/>
                  <w:r>
                    <w:rPr>
                      <w:rFonts w:eastAsia="楷体_GB2312" w:cs="Calibri"/>
                      <w:w w:val="70"/>
                      <w:sz w:val="20"/>
                      <w:szCs w:val="20"/>
                      <w:lang w:eastAsia="zh-CN"/>
                    </w:rPr>
                    <w:t>进行买卖。华福国际的销售员、交易员和其他专业人士均可向华福国际的相关客户和公司提供与本文件所述意见相反的口头或书面市场评论意见或交易策略。华福国际可做出与本文件所述建议或意见不一致的投资决策。但华福国际没有义务来确保本文件的收件人了解到该等交易决定、思路或建议。</w:t>
                  </w:r>
                </w:p>
                <w:p w14:paraId="47C51663" w14:textId="77777777" w:rsidR="00043BDD" w:rsidRDefault="00A61197">
                  <w:pPr>
                    <w:pStyle w:val="EFADisclaimerText"/>
                    <w:spacing w:after="60"/>
                    <w:rPr>
                      <w:rFonts w:eastAsia="楷体_GB2312" w:cs="Calibri"/>
                      <w:snapToGrid/>
                      <w:w w:val="70"/>
                      <w:sz w:val="20"/>
                      <w:szCs w:val="20"/>
                      <w:lang w:eastAsia="zh-CN"/>
                    </w:rPr>
                  </w:pPr>
                  <w:proofErr w:type="gramStart"/>
                  <w:r>
                    <w:rPr>
                      <w:rFonts w:eastAsia="楷体_GB2312" w:cs="Calibri"/>
                      <w:snapToGrid/>
                      <w:w w:val="70"/>
                      <w:sz w:val="20"/>
                      <w:szCs w:val="20"/>
                      <w:lang w:eastAsia="zh-CN"/>
                    </w:rPr>
                    <w:t>请访问</w:t>
                  </w:r>
                  <w:proofErr w:type="gramEnd"/>
                  <w:r>
                    <w:rPr>
                      <w:rFonts w:eastAsia="楷体_GB2312" w:cs="Calibri"/>
                      <w:snapToGrid/>
                      <w:w w:val="70"/>
                      <w:sz w:val="20"/>
                      <w:szCs w:val="20"/>
                      <w:lang w:eastAsia="zh-CN"/>
                    </w:rPr>
                    <w:t>华福</w:t>
                  </w:r>
                  <w:r>
                    <w:rPr>
                      <w:rFonts w:eastAsia="楷体_GB2312" w:cs="Calibri"/>
                      <w:w w:val="70"/>
                      <w:sz w:val="20"/>
                      <w:szCs w:val="20"/>
                      <w:lang w:eastAsia="zh-CN"/>
                    </w:rPr>
                    <w:t>国际</w:t>
                  </w:r>
                  <w:r>
                    <w:rPr>
                      <w:rFonts w:eastAsia="楷体_GB2312" w:cs="Calibri"/>
                      <w:snapToGrid/>
                      <w:w w:val="70"/>
                      <w:sz w:val="20"/>
                      <w:szCs w:val="20"/>
                      <w:lang w:eastAsia="zh-CN"/>
                    </w:rPr>
                    <w:t>网站</w:t>
                  </w:r>
                  <w:r>
                    <w:rPr>
                      <w:rFonts w:eastAsia="楷体_GB2312" w:cs="Calibri"/>
                      <w:snapToGrid/>
                      <w:w w:val="70"/>
                      <w:sz w:val="20"/>
                      <w:szCs w:val="20"/>
                      <w:lang w:eastAsia="zh-CN"/>
                    </w:rPr>
                    <w:t xml:space="preserve"> </w:t>
                  </w:r>
                  <w:hyperlink r:id="rId29" w:history="1">
                    <w:r>
                      <w:rPr>
                        <w:rStyle w:val="afa"/>
                        <w:rFonts w:eastAsia="楷体_GB2312" w:cs="Calibri"/>
                        <w:snapToGrid/>
                        <w:w w:val="70"/>
                        <w:sz w:val="20"/>
                        <w:szCs w:val="20"/>
                        <w:lang w:eastAsia="zh-CN"/>
                      </w:rPr>
                      <w:t>www.hfisec.com.hk</w:t>
                    </w:r>
                  </w:hyperlink>
                  <w:r>
                    <w:rPr>
                      <w:rFonts w:eastAsia="楷体_GB2312" w:cs="Calibri"/>
                      <w:snapToGrid/>
                      <w:w w:val="70"/>
                      <w:sz w:val="20"/>
                      <w:szCs w:val="20"/>
                      <w:lang w:eastAsia="zh-CN"/>
                    </w:rPr>
                    <w:t xml:space="preserve"> </w:t>
                  </w:r>
                  <w:r>
                    <w:rPr>
                      <w:rFonts w:eastAsia="楷体_GB2312" w:cs="Calibri"/>
                      <w:snapToGrid/>
                      <w:w w:val="70"/>
                      <w:sz w:val="20"/>
                      <w:szCs w:val="20"/>
                      <w:lang w:eastAsia="zh-CN"/>
                    </w:rPr>
                    <w:t>，查阅更多有关华福</w:t>
                  </w:r>
                  <w:r>
                    <w:rPr>
                      <w:rFonts w:eastAsia="楷体_GB2312" w:cs="Calibri"/>
                      <w:w w:val="70"/>
                      <w:sz w:val="20"/>
                      <w:szCs w:val="20"/>
                      <w:lang w:eastAsia="zh-CN"/>
                    </w:rPr>
                    <w:t>国际</w:t>
                  </w:r>
                  <w:r>
                    <w:rPr>
                      <w:rFonts w:eastAsia="楷体_GB2312" w:cs="Calibri"/>
                      <w:snapToGrid/>
                      <w:w w:val="70"/>
                      <w:sz w:val="20"/>
                      <w:szCs w:val="20"/>
                      <w:lang w:eastAsia="zh-CN"/>
                    </w:rPr>
                    <w:t>为预防和避免利益冲突设立的组织和行政安排的内容信息。</w:t>
                  </w:r>
                </w:p>
                <w:p w14:paraId="6EF8AF60" w14:textId="77777777" w:rsidR="00043BDD" w:rsidRDefault="00A61197">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556CE6CA" w14:textId="77777777" w:rsidR="00043BDD" w:rsidRDefault="00A61197">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4DDEC965" w14:textId="77777777" w:rsidR="00043BDD" w:rsidRDefault="00A61197">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w:t>
                  </w:r>
                  <w:proofErr w:type="gramStart"/>
                  <w:r>
                    <w:rPr>
                      <w:rFonts w:eastAsia="楷体_GB2312" w:cs="Calibri"/>
                      <w:w w:val="70"/>
                      <w:sz w:val="20"/>
                      <w:szCs w:val="20"/>
                    </w:rPr>
                    <w:t>suits</w:t>
                  </w:r>
                  <w:proofErr w:type="gramEnd"/>
                  <w:r>
                    <w:rPr>
                      <w:rFonts w:eastAsia="楷体_GB2312" w:cs="Calibri"/>
                      <w:w w:val="70"/>
                      <w:sz w:val="20"/>
                      <w:szCs w:val="20"/>
                    </w:rPr>
                    <w:t xml:space="preserve"> you before investment. Neither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76E104C0" w14:textId="77777777" w:rsidR="00043BDD" w:rsidRDefault="00A61197">
                  <w:pPr>
                    <w:pStyle w:val="EFADisclaimerText"/>
                    <w:spacing w:after="40"/>
                    <w:rPr>
                      <w:rFonts w:eastAsia="楷体_GB2312" w:cs="Calibri"/>
                      <w:w w:val="70"/>
                      <w:sz w:val="20"/>
                      <w:szCs w:val="20"/>
                    </w:rPr>
                  </w:pP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 </w:t>
                  </w:r>
                  <w:r>
                    <w:rPr>
                      <w:rFonts w:eastAsia="楷体_GB2312" w:cs="Calibri"/>
                      <w:w w:val="70"/>
                      <w:sz w:val="20"/>
                      <w:szCs w:val="20"/>
                    </w:rPr>
                    <w:t xml:space="preserve">may provide oral or written market commentary or trading strategies to the relevant clients and the companies within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that reflect opinions that are contrary to the opinions expressed in this research report.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w:t>
                  </w:r>
                  <w:proofErr w:type="spellStart"/>
                  <w:r>
                    <w:rPr>
                      <w:rFonts w:eastAsia="楷体_GB2312" w:cs="Calibri"/>
                      <w:w w:val="70"/>
                      <w:sz w:val="20"/>
                      <w:szCs w:val="20"/>
                      <w:lang w:eastAsia="zh-CN"/>
                    </w:rPr>
                    <w:t>Internatioal</w:t>
                  </w:r>
                  <w:proofErr w:type="spellEnd"/>
                  <w:r>
                    <w:rPr>
                      <w:rFonts w:eastAsia="楷体_GB2312" w:cs="Calibri"/>
                      <w:w w:val="70"/>
                      <w:sz w:val="20"/>
                      <w:szCs w:val="20"/>
                    </w:rPr>
                    <w:t xml:space="preserve"> may make investment decisions that are inconsistent with the recommendations or views expressed in this research report.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31802A85" w14:textId="77777777" w:rsidR="00043BDD" w:rsidRDefault="00A61197">
                  <w:pPr>
                    <w:pStyle w:val="EFADisclaimerText"/>
                    <w:spacing w:after="40"/>
                    <w:rPr>
                      <w:rFonts w:eastAsia="楷体_GB2312" w:cs="Calibri"/>
                      <w:bCs/>
                      <w:w w:val="70"/>
                      <w:sz w:val="20"/>
                      <w:szCs w:val="20"/>
                    </w:rPr>
                  </w:pPr>
                  <w:r>
                    <w:rPr>
                      <w:rFonts w:eastAsia="楷体_GB2312" w:cs="Calibri"/>
                      <w:bCs/>
                      <w:w w:val="70"/>
                      <w:sz w:val="20"/>
                      <w:szCs w:val="20"/>
                    </w:rPr>
                    <w:t xml:space="preserve">Please refer to </w:t>
                  </w:r>
                  <w:proofErr w:type="spellStart"/>
                  <w:r>
                    <w:rPr>
                      <w:rFonts w:eastAsia="楷体_GB2312" w:cs="Calibri"/>
                      <w:bCs/>
                      <w:w w:val="70"/>
                      <w:sz w:val="20"/>
                      <w:szCs w:val="20"/>
                      <w:lang w:eastAsia="zh-CN"/>
                    </w:rPr>
                    <w:t>HuaFu</w:t>
                  </w:r>
                  <w:proofErr w:type="spellEnd"/>
                  <w:r>
                    <w:rPr>
                      <w:rFonts w:eastAsia="楷体_GB2312" w:cs="Calibri"/>
                      <w:bCs/>
                      <w:w w:val="70"/>
                      <w:sz w:val="20"/>
                      <w:szCs w:val="20"/>
                      <w:lang w:eastAsia="zh-CN"/>
                    </w:rPr>
                    <w:t xml:space="preserve"> International’s </w:t>
                  </w:r>
                  <w:r>
                    <w:rPr>
                      <w:rFonts w:eastAsia="楷体_GB2312" w:cs="Calibri"/>
                      <w:bCs/>
                      <w:w w:val="70"/>
                      <w:sz w:val="20"/>
                      <w:szCs w:val="20"/>
                    </w:rPr>
                    <w:t xml:space="preserve">website </w:t>
                  </w:r>
                  <w:hyperlink r:id="rId30" w:history="1">
                    <w:r>
                      <w:rPr>
                        <w:rStyle w:val="afa"/>
                        <w:rFonts w:eastAsia="楷体_GB2312" w:cs="Calibri"/>
                        <w:bCs/>
                        <w:w w:val="70"/>
                        <w:sz w:val="20"/>
                        <w:szCs w:val="20"/>
                      </w:rPr>
                      <w:t>www.hfisec.com.hk</w:t>
                    </w:r>
                  </w:hyperlink>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proofErr w:type="spellStart"/>
                  <w:r>
                    <w:rPr>
                      <w:rFonts w:eastAsia="楷体_GB2312" w:cs="Calibri"/>
                      <w:bCs/>
                      <w:w w:val="70"/>
                      <w:sz w:val="20"/>
                      <w:szCs w:val="20"/>
                      <w:lang w:eastAsia="zh-CN"/>
                    </w:rPr>
                    <w:t>HuaFu</w:t>
                  </w:r>
                  <w:proofErr w:type="spellEnd"/>
                  <w:r>
                    <w:rPr>
                      <w:rFonts w:eastAsia="楷体_GB2312" w:cs="Calibri"/>
                      <w:bCs/>
                      <w:w w:val="70"/>
                      <w:sz w:val="20"/>
                      <w:szCs w:val="20"/>
                      <w:lang w:eastAsia="zh-CN"/>
                    </w:rPr>
                    <w:t xml:space="preserve"> International’s </w:t>
                  </w:r>
                  <w:r>
                    <w:rPr>
                      <w:rFonts w:eastAsia="楷体_GB2312" w:cs="Calibri"/>
                      <w:bCs/>
                      <w:w w:val="70"/>
                      <w:sz w:val="20"/>
                      <w:szCs w:val="20"/>
                    </w:rPr>
                    <w:t>organizational and administrative arrangements set up for the prevention and avoidance of conflicts of interest with respect to Research.</w:t>
                  </w:r>
                </w:p>
                <w:p w14:paraId="1CEBF208" w14:textId="77777777" w:rsidR="00043BDD" w:rsidRDefault="00043BDD">
                  <w:pPr>
                    <w:pStyle w:val="EFADisclaimerText"/>
                    <w:spacing w:after="60"/>
                    <w:rPr>
                      <w:rFonts w:eastAsia="楷体_GB2312" w:cs="Calibri"/>
                      <w:b/>
                      <w:w w:val="70"/>
                      <w:sz w:val="20"/>
                      <w:szCs w:val="20"/>
                    </w:rPr>
                  </w:pPr>
                </w:p>
              </w:tc>
            </w:tr>
            <w:tr w:rsidR="00043BDD" w14:paraId="5456491B" w14:textId="77777777">
              <w:tc>
                <w:tcPr>
                  <w:tcW w:w="11196" w:type="dxa"/>
                  <w:tcBorders>
                    <w:top w:val="single" w:sz="4" w:space="0" w:color="C0C0C0"/>
                    <w:bottom w:val="single" w:sz="4" w:space="0" w:color="C0C0C0"/>
                  </w:tcBorders>
                </w:tcPr>
                <w:p w14:paraId="75EEDD7C" w14:textId="77777777" w:rsidR="00043BDD" w:rsidRDefault="00A61197">
                  <w:pPr>
                    <w:pStyle w:val="EFADisclaimerText"/>
                    <w:spacing w:after="60"/>
                    <w:rPr>
                      <w:rFonts w:eastAsia="楷体_GB2312" w:cs="Calibri"/>
                      <w:b/>
                      <w:snapToGrid/>
                      <w:w w:val="70"/>
                      <w:sz w:val="20"/>
                      <w:szCs w:val="20"/>
                      <w:lang w:eastAsia="zh-CN"/>
                    </w:rPr>
                  </w:pPr>
                  <w:r>
                    <w:rPr>
                      <w:rFonts w:eastAsia="楷体_GB2312" w:cs="Calibri"/>
                      <w:b/>
                      <w:snapToGrid/>
                      <w:w w:val="70"/>
                      <w:sz w:val="20"/>
                      <w:szCs w:val="20"/>
                      <w:lang w:eastAsia="zh-CN"/>
                    </w:rPr>
                    <w:t>分发和地区通知：</w:t>
                  </w:r>
                </w:p>
                <w:p w14:paraId="67B3CD17" w14:textId="77777777" w:rsidR="00043BDD" w:rsidRDefault="00A61197">
                  <w:pPr>
                    <w:pStyle w:val="EFADisclaimerText"/>
                    <w:spacing w:after="60"/>
                    <w:rPr>
                      <w:rFonts w:eastAsia="楷体_GB2312" w:cs="Calibri"/>
                      <w:snapToGrid/>
                      <w:w w:val="70"/>
                      <w:sz w:val="20"/>
                      <w:szCs w:val="20"/>
                      <w:lang w:eastAsia="zh-CN"/>
                    </w:rPr>
                  </w:pPr>
                  <w:r>
                    <w:rPr>
                      <w:rFonts w:eastAsia="楷体_GB2312" w:cs="Calibri"/>
                      <w:snapToGrid/>
                      <w:w w:val="70"/>
                      <w:sz w:val="20"/>
                      <w:szCs w:val="20"/>
                      <w:lang w:eastAsia="zh-CN"/>
                    </w:rPr>
                    <w:t>除非下文另有规定，否则任何希望讨论本报告或者就本项研究中讨论的任何证券进行任何交易的</w:t>
                  </w:r>
                  <w:proofErr w:type="gramStart"/>
                  <w:r>
                    <w:rPr>
                      <w:rFonts w:eastAsia="楷体_GB2312" w:cs="Calibri"/>
                      <w:snapToGrid/>
                      <w:w w:val="70"/>
                      <w:sz w:val="20"/>
                      <w:szCs w:val="20"/>
                      <w:lang w:eastAsia="zh-CN"/>
                    </w:rPr>
                    <w:t>收件人均</w:t>
                  </w:r>
                  <w:proofErr w:type="gramEnd"/>
                  <w:r>
                    <w:rPr>
                      <w:rFonts w:eastAsia="楷体_GB2312" w:cs="Calibri"/>
                      <w:snapToGrid/>
                      <w:w w:val="70"/>
                      <w:sz w:val="20"/>
                      <w:szCs w:val="20"/>
                      <w:lang w:eastAsia="zh-CN"/>
                    </w:rPr>
                    <w:t>应联系其所在国家或地区的华福国际销售人员。</w:t>
                  </w:r>
                  <w:r>
                    <w:rPr>
                      <w:rFonts w:eastAsia="楷体_GB2312" w:cs="Calibri"/>
                      <w:snapToGrid/>
                      <w:w w:val="70"/>
                      <w:sz w:val="20"/>
                      <w:szCs w:val="20"/>
                      <w:lang w:eastAsia="zh-CN"/>
                    </w:rPr>
                    <w:t xml:space="preserve">  </w:t>
                  </w:r>
                </w:p>
                <w:p w14:paraId="77CFCCAF" w14:textId="77777777" w:rsidR="00043BDD" w:rsidRDefault="00A61197">
                  <w:pPr>
                    <w:pStyle w:val="EFADisclaimerText"/>
                    <w:spacing w:after="60"/>
                    <w:rPr>
                      <w:rFonts w:eastAsia="楷体_GB2312" w:cs="Calibri"/>
                      <w:snapToGrid/>
                      <w:w w:val="70"/>
                      <w:sz w:val="20"/>
                      <w:szCs w:val="20"/>
                      <w:lang w:eastAsia="zh-CN"/>
                    </w:rPr>
                  </w:pPr>
                  <w:r>
                    <w:rPr>
                      <w:rFonts w:eastAsia="楷体_GB2312" w:cs="Calibri"/>
                      <w:b/>
                      <w:snapToGrid/>
                      <w:w w:val="70"/>
                      <w:sz w:val="20"/>
                      <w:szCs w:val="20"/>
                      <w:lang w:eastAsia="zh-CN"/>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lang w:eastAsia="zh-CN"/>
                    </w:rPr>
                    <w:t>国际负责分发该研究报告，华福国际是在香港有权实施第</w:t>
                  </w:r>
                  <w:r>
                    <w:rPr>
                      <w:rFonts w:eastAsia="楷体_GB2312" w:cs="Calibri"/>
                      <w:snapToGrid/>
                      <w:w w:val="70"/>
                      <w:sz w:val="20"/>
                      <w:szCs w:val="20"/>
                      <w:lang w:eastAsia="zh-CN"/>
                    </w:rPr>
                    <w:t>1</w:t>
                  </w:r>
                  <w:r>
                    <w:rPr>
                      <w:rFonts w:eastAsia="楷体_GB2312" w:cs="Calibri"/>
                      <w:snapToGrid/>
                      <w:w w:val="70"/>
                      <w:sz w:val="20"/>
                      <w:szCs w:val="20"/>
                      <w:lang w:eastAsia="zh-CN"/>
                    </w:rPr>
                    <w:t>类受</w:t>
                  </w:r>
                  <w:proofErr w:type="gramStart"/>
                  <w:r>
                    <w:rPr>
                      <w:rFonts w:eastAsia="楷体_GB2312" w:cs="Calibri"/>
                      <w:snapToGrid/>
                      <w:w w:val="70"/>
                      <w:sz w:val="20"/>
                      <w:szCs w:val="20"/>
                      <w:lang w:eastAsia="zh-CN"/>
                    </w:rPr>
                    <w:t>规</w:t>
                  </w:r>
                  <w:proofErr w:type="gramEnd"/>
                  <w:r>
                    <w:rPr>
                      <w:rFonts w:eastAsia="楷体_GB2312" w:cs="Calibri"/>
                      <w:snapToGrid/>
                      <w:w w:val="70"/>
                      <w:sz w:val="20"/>
                      <w:szCs w:val="20"/>
                      <w:lang w:eastAsia="zh-CN"/>
                    </w:rPr>
                    <w:t>管活动（从事证券交易）的持牌公司。该研究报告并不构成《证券及期货条例》</w:t>
                  </w:r>
                  <w:r>
                    <w:rPr>
                      <w:rFonts w:eastAsia="楷体_GB2312" w:cs="Calibri"/>
                      <w:w w:val="70"/>
                      <w:sz w:val="20"/>
                      <w:szCs w:val="20"/>
                      <w:lang w:eastAsia="zh-CN"/>
                    </w:rPr>
                    <w:t>（</w:t>
                  </w:r>
                  <w:r>
                    <w:rPr>
                      <w:rFonts w:eastAsia="楷体_GB2312" w:cs="Calibri"/>
                      <w:snapToGrid/>
                      <w:w w:val="70"/>
                      <w:sz w:val="20"/>
                      <w:szCs w:val="20"/>
                      <w:lang w:eastAsia="zh-CN"/>
                    </w:rPr>
                    <w:t>香港法例第</w:t>
                  </w:r>
                  <w:r>
                    <w:rPr>
                      <w:rFonts w:eastAsia="楷体_GB2312" w:cs="Calibri"/>
                      <w:snapToGrid/>
                      <w:w w:val="70"/>
                      <w:sz w:val="20"/>
                      <w:szCs w:val="20"/>
                      <w:lang w:eastAsia="zh-CN"/>
                    </w:rPr>
                    <w:t>571</w:t>
                  </w:r>
                  <w:r>
                    <w:rPr>
                      <w:rFonts w:eastAsia="楷体_GB2312" w:cs="Calibri"/>
                      <w:snapToGrid/>
                      <w:w w:val="70"/>
                      <w:sz w:val="20"/>
                      <w:szCs w:val="20"/>
                      <w:lang w:eastAsia="zh-CN"/>
                    </w:rPr>
                    <w:t>章</w:t>
                  </w:r>
                  <w:r>
                    <w:rPr>
                      <w:rFonts w:eastAsia="楷体_GB2312" w:cs="Calibri"/>
                      <w:w w:val="70"/>
                      <w:sz w:val="20"/>
                      <w:szCs w:val="20"/>
                      <w:lang w:eastAsia="zh-CN"/>
                    </w:rPr>
                    <w:t>）（</w:t>
                  </w:r>
                  <w:r>
                    <w:rPr>
                      <w:rFonts w:eastAsia="楷体_GB2312" w:cs="Calibri"/>
                      <w:snapToGrid/>
                      <w:w w:val="70"/>
                      <w:sz w:val="20"/>
                      <w:szCs w:val="20"/>
                      <w:lang w:eastAsia="zh-CN"/>
                    </w:rPr>
                    <w:t>以下简称</w:t>
                  </w:r>
                  <w:r>
                    <w:rPr>
                      <w:rFonts w:eastAsia="楷体_GB2312" w:cs="Calibri"/>
                      <w:snapToGrid/>
                      <w:w w:val="70"/>
                      <w:sz w:val="20"/>
                      <w:szCs w:val="20"/>
                      <w:lang w:eastAsia="zh-CN"/>
                    </w:rPr>
                    <w:t>“SFO”</w:t>
                  </w:r>
                  <w:r>
                    <w:rPr>
                      <w:rFonts w:eastAsia="楷体_GB2312" w:cs="Calibri"/>
                      <w:w w:val="70"/>
                      <w:sz w:val="20"/>
                      <w:szCs w:val="20"/>
                      <w:lang w:eastAsia="zh-CN"/>
                    </w:rPr>
                    <w:t>）</w:t>
                  </w:r>
                  <w:r>
                    <w:rPr>
                      <w:rFonts w:eastAsia="楷体_GB2312" w:cs="Calibri"/>
                      <w:snapToGrid/>
                      <w:w w:val="70"/>
                      <w:sz w:val="20"/>
                      <w:szCs w:val="20"/>
                      <w:lang w:eastAsia="zh-CN"/>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lang w:eastAsia="zh-CN"/>
                    </w:rPr>
                    <w:t>所界定的</w:t>
                  </w:r>
                  <w:r>
                    <w:rPr>
                      <w:rFonts w:eastAsia="楷体_GB2312" w:cs="Calibri"/>
                      <w:snapToGrid/>
                      <w:w w:val="70"/>
                      <w:sz w:val="20"/>
                      <w:szCs w:val="20"/>
                      <w:lang w:eastAsia="zh-CN"/>
                    </w:rPr>
                    <w:t>“</w:t>
                  </w:r>
                  <w:r>
                    <w:rPr>
                      <w:rFonts w:eastAsia="楷体_GB2312" w:cs="Calibri"/>
                      <w:snapToGrid/>
                      <w:w w:val="70"/>
                      <w:sz w:val="20"/>
                      <w:szCs w:val="20"/>
                      <w:lang w:eastAsia="zh-CN"/>
                    </w:rPr>
                    <w:t>专业投资者</w:t>
                  </w:r>
                  <w:r>
                    <w:rPr>
                      <w:rFonts w:eastAsia="楷体_GB2312" w:cs="Calibri"/>
                      <w:snapToGrid/>
                      <w:w w:val="70"/>
                      <w:sz w:val="20"/>
                      <w:szCs w:val="20"/>
                      <w:lang w:eastAsia="zh-CN"/>
                    </w:rPr>
                    <w:t>”</w:t>
                  </w:r>
                  <w:r>
                    <w:rPr>
                      <w:rFonts w:eastAsia="楷体_GB2312" w:cs="Calibri"/>
                      <w:snapToGrid/>
                      <w:w w:val="70"/>
                      <w:sz w:val="20"/>
                      <w:szCs w:val="20"/>
                      <w:lang w:eastAsia="zh-CN"/>
                    </w:rPr>
                    <w:t>。本研究报告未经过证券及期货事务监察委员会的审查。您不应仅根据本研究报告中所载的信息做出投资决定。本研究报告的收件人就研究报告中产生或与之相关的任何事宜请联系华福国际销售人员。</w:t>
                  </w:r>
                </w:p>
                <w:p w14:paraId="79EC53E6" w14:textId="77777777" w:rsidR="00043BDD" w:rsidRDefault="00A61197">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7A5BA858" w14:textId="77777777" w:rsidR="00043BDD" w:rsidRDefault="00A61197">
                  <w:pPr>
                    <w:pStyle w:val="EFADisclaimerText"/>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’s research should contact the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w:t>
                  </w:r>
                  <w:r>
                    <w:rPr>
                      <w:rFonts w:eastAsia="楷体_GB2312" w:cs="Calibri"/>
                      <w:w w:val="70"/>
                      <w:sz w:val="20"/>
                      <w:szCs w:val="20"/>
                    </w:rPr>
                    <w:t xml:space="preserve">International salesperson in their own country or region.  </w:t>
                  </w:r>
                </w:p>
                <w:p w14:paraId="295639AC" w14:textId="77777777" w:rsidR="00043BDD" w:rsidRDefault="00A61197">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salespersons in respect of any matters arising from, or in connection with, the </w:t>
                  </w:r>
                  <w:r>
                    <w:rPr>
                      <w:rFonts w:eastAsia="楷体_GB2312" w:cs="Calibri"/>
                      <w:w w:val="70"/>
                      <w:sz w:val="20"/>
                      <w:szCs w:val="20"/>
                    </w:rPr>
                    <w:lastRenderedPageBreak/>
                    <w:t>research report.</w:t>
                  </w:r>
                </w:p>
                <w:p w14:paraId="6BEF3F24" w14:textId="77777777" w:rsidR="00043BDD" w:rsidRDefault="00043BDD">
                  <w:pPr>
                    <w:pStyle w:val="EFADisclaimerText"/>
                    <w:spacing w:after="60"/>
                    <w:rPr>
                      <w:rFonts w:eastAsia="楷体_GB2312" w:cs="Calibri"/>
                      <w:b/>
                      <w:w w:val="70"/>
                      <w:sz w:val="20"/>
                      <w:szCs w:val="20"/>
                    </w:rPr>
                  </w:pPr>
                </w:p>
              </w:tc>
            </w:tr>
            <w:tr w:rsidR="00043BDD" w14:paraId="412B21A5" w14:textId="77777777">
              <w:tc>
                <w:tcPr>
                  <w:tcW w:w="11196" w:type="dxa"/>
                  <w:tcBorders>
                    <w:top w:val="single" w:sz="4" w:space="0" w:color="C0C0C0"/>
                    <w:bottom w:val="single" w:sz="4" w:space="0" w:color="C0C0C0"/>
                  </w:tcBorders>
                </w:tcPr>
                <w:p w14:paraId="0D3F628F" w14:textId="77777777" w:rsidR="00043BDD" w:rsidRDefault="00A61197">
                  <w:pPr>
                    <w:pStyle w:val="EFADisclaimerText"/>
                    <w:spacing w:after="60"/>
                    <w:rPr>
                      <w:rFonts w:eastAsia="楷体_GB2312" w:cs="Calibri"/>
                      <w:w w:val="70"/>
                      <w:sz w:val="20"/>
                      <w:szCs w:val="20"/>
                      <w:lang w:eastAsia="zh-CN"/>
                    </w:rPr>
                  </w:pPr>
                  <w:r>
                    <w:rPr>
                      <w:rFonts w:eastAsia="楷体_GB2312" w:cs="Calibri"/>
                      <w:b/>
                      <w:w w:val="70"/>
                      <w:sz w:val="20"/>
                      <w:szCs w:val="20"/>
                      <w:lang w:eastAsia="zh-CN"/>
                    </w:rPr>
                    <w:lastRenderedPageBreak/>
                    <w:t>中华人民共和国的通知事项：</w:t>
                  </w:r>
                  <w:r>
                    <w:rPr>
                      <w:rFonts w:eastAsia="楷体_GB2312" w:cs="Calibri"/>
                      <w:w w:val="70"/>
                      <w:sz w:val="20"/>
                      <w:szCs w:val="20"/>
                      <w:lang w:eastAsia="zh-CN"/>
                    </w:rPr>
                    <w:t>在中华人民共和国</w:t>
                  </w:r>
                  <w:r>
                    <w:rPr>
                      <w:rFonts w:eastAsia="楷体_GB2312" w:cs="Calibri"/>
                      <w:snapToGrid/>
                      <w:w w:val="70"/>
                      <w:sz w:val="20"/>
                      <w:szCs w:val="20"/>
                      <w:lang w:eastAsia="zh-CN"/>
                    </w:rPr>
                    <w:t>（</w:t>
                  </w:r>
                  <w:r>
                    <w:rPr>
                      <w:rFonts w:eastAsia="楷体_GB2312" w:cs="Calibri"/>
                      <w:w w:val="70"/>
                      <w:sz w:val="20"/>
                      <w:szCs w:val="20"/>
                      <w:lang w:eastAsia="zh-CN"/>
                    </w:rPr>
                    <w:t>下称</w:t>
                  </w:r>
                  <w:r>
                    <w:rPr>
                      <w:rFonts w:eastAsia="楷体_GB2312" w:cs="Calibri"/>
                      <w:w w:val="70"/>
                      <w:sz w:val="20"/>
                      <w:szCs w:val="20"/>
                      <w:lang w:eastAsia="zh-CN"/>
                    </w:rPr>
                    <w:t>“</w:t>
                  </w:r>
                  <w:r>
                    <w:rPr>
                      <w:rFonts w:eastAsia="楷体_GB2312" w:cs="Calibri"/>
                      <w:w w:val="70"/>
                      <w:sz w:val="20"/>
                      <w:szCs w:val="20"/>
                      <w:lang w:eastAsia="zh-CN"/>
                    </w:rPr>
                    <w:t>中国</w:t>
                  </w:r>
                  <w:r>
                    <w:rPr>
                      <w:rFonts w:eastAsia="楷体_GB2312" w:cs="Calibri"/>
                      <w:w w:val="70"/>
                      <w:sz w:val="20"/>
                      <w:szCs w:val="20"/>
                      <w:lang w:eastAsia="zh-CN"/>
                    </w:rPr>
                    <w:t>”</w:t>
                  </w:r>
                  <w:r>
                    <w:rPr>
                      <w:rFonts w:eastAsia="楷体_GB2312" w:cs="Calibri"/>
                      <w:w w:val="70"/>
                      <w:sz w:val="20"/>
                      <w:szCs w:val="20"/>
                      <w:lang w:eastAsia="zh-CN"/>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lang w:eastAsia="zh-CN"/>
                    </w:rPr>
                    <w:t>“</w:t>
                  </w:r>
                  <w:r>
                    <w:rPr>
                      <w:rFonts w:eastAsia="楷体_GB2312" w:cs="Calibri"/>
                      <w:w w:val="70"/>
                      <w:sz w:val="20"/>
                      <w:szCs w:val="20"/>
                      <w:lang w:eastAsia="zh-CN"/>
                    </w:rPr>
                    <w:t>在中国从事生产、经营活动</w:t>
                  </w:r>
                  <w:r>
                    <w:rPr>
                      <w:rFonts w:eastAsia="楷体_GB2312" w:cs="Calibri"/>
                      <w:w w:val="70"/>
                      <w:sz w:val="20"/>
                      <w:szCs w:val="20"/>
                      <w:lang w:eastAsia="zh-CN"/>
                    </w:rPr>
                    <w:t>”</w:t>
                  </w:r>
                  <w:r>
                    <w:rPr>
                      <w:rFonts w:eastAsia="楷体_GB2312" w:cs="Calibri"/>
                      <w:w w:val="70"/>
                      <w:sz w:val="20"/>
                      <w:szCs w:val="20"/>
                      <w:lang w:eastAsia="zh-CN"/>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53B4C1F1" w14:textId="77777777" w:rsidR="00043BDD" w:rsidRDefault="00A61197">
                  <w:pPr>
                    <w:pStyle w:val="EFADisclaimerText"/>
                    <w:spacing w:after="60"/>
                    <w:rPr>
                      <w:rFonts w:eastAsia="楷体_GB2312" w:cs="Calibri"/>
                      <w:w w:val="70"/>
                      <w:sz w:val="20"/>
                      <w:szCs w:val="20"/>
                      <w:lang w:eastAsia="zh-CN"/>
                    </w:rPr>
                  </w:pPr>
                  <w:r>
                    <w:rPr>
                      <w:rFonts w:eastAsia="楷体_GB2312" w:cs="Calibri"/>
                      <w:w w:val="70"/>
                      <w:sz w:val="20"/>
                      <w:szCs w:val="20"/>
                      <w:lang w:eastAsia="zh-CN"/>
                    </w:rPr>
                    <w:t>本项研究仅供收件人使用，未经华福国际的书面同意不得予以复制和再次分发。</w:t>
                  </w:r>
                </w:p>
                <w:p w14:paraId="58812B04" w14:textId="77777777" w:rsidR="00043BDD" w:rsidRDefault="00A61197">
                  <w:pPr>
                    <w:pStyle w:val="EFADisclaimerText"/>
                    <w:rPr>
                      <w:rFonts w:eastAsia="楷体_GB2312" w:cs="Calibri"/>
                      <w:w w:val="70"/>
                      <w:sz w:val="20"/>
                      <w:szCs w:val="20"/>
                      <w:lang w:eastAsia="zh-CN"/>
                    </w:rPr>
                  </w:pPr>
                  <w:r>
                    <w:rPr>
                      <w:rFonts w:eastAsia="楷体_GB2312" w:cs="Calibri"/>
                      <w:w w:val="70"/>
                      <w:sz w:val="20"/>
                      <w:szCs w:val="20"/>
                      <w:lang w:eastAsia="zh-CN"/>
                    </w:rPr>
                    <w:t>版权所有：华福国际</w:t>
                  </w:r>
                  <w:r>
                    <w:rPr>
                      <w:rFonts w:eastAsia="楷体_GB2312" w:cs="Calibri"/>
                      <w:w w:val="70"/>
                      <w:sz w:val="20"/>
                      <w:szCs w:val="20"/>
                      <w:lang w:eastAsia="zh-CN"/>
                    </w:rPr>
                    <w:t>2025</w:t>
                  </w:r>
                  <w:r>
                    <w:rPr>
                      <w:rFonts w:eastAsia="楷体_GB2312" w:cs="Calibri"/>
                      <w:w w:val="70"/>
                      <w:sz w:val="20"/>
                      <w:szCs w:val="20"/>
                      <w:lang w:eastAsia="zh-CN"/>
                    </w:rPr>
                    <w:t>年。保留所有权利。</w:t>
                  </w:r>
                </w:p>
                <w:p w14:paraId="6E5C2AF1" w14:textId="77777777" w:rsidR="00043BDD" w:rsidRDefault="00A61197">
                  <w:pPr>
                    <w:pStyle w:val="EFADisclaimerText"/>
                    <w:spacing w:after="120"/>
                    <w:rPr>
                      <w:rFonts w:eastAsia="楷体_GB2312" w:cs="Calibri"/>
                      <w:w w:val="70"/>
                      <w:sz w:val="20"/>
                      <w:szCs w:val="20"/>
                    </w:rPr>
                  </w:pPr>
                  <w:r>
                    <w:rPr>
                      <w:rFonts w:eastAsia="楷体_GB2312" w:cs="Calibri"/>
                      <w:b/>
                      <w:w w:val="70"/>
                      <w:sz w:val="20"/>
                      <w:szCs w:val="20"/>
                      <w:lang w:eastAsia="zh-CN"/>
                    </w:rPr>
                    <w:t>People’s Republic of China (PRC):</w:t>
                  </w:r>
                  <w:r>
                    <w:rPr>
                      <w:rFonts w:eastAsia="楷体_GB2312" w:cs="Calibri"/>
                      <w:w w:val="70"/>
                      <w:sz w:val="20"/>
                      <w:szCs w:val="20"/>
                      <w:lang w:eastAsia="zh-CN"/>
                    </w:rPr>
                    <w:t xml:space="preserve"> In the PRC, the research report is directed for the sole use of those who receive the research report in accordance with the applicable PRC laws and regulations. </w:t>
                  </w:r>
                  <w:r>
                    <w:rPr>
                      <w:rFonts w:eastAsia="楷体_GB2312" w:cs="Calibri"/>
                      <w:w w:val="70"/>
                      <w:sz w:val="20"/>
                      <w:szCs w:val="20"/>
                    </w:rPr>
                    <w:t>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0E84E5E" w14:textId="77777777" w:rsidR="00043BDD" w:rsidRDefault="00A61197">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w:t>
                  </w:r>
                </w:p>
                <w:p w14:paraId="4B135EDD" w14:textId="77777777" w:rsidR="00043BDD" w:rsidRDefault="00A61197">
                  <w:pPr>
                    <w:pStyle w:val="EFADisclaimerText"/>
                    <w:spacing w:after="60"/>
                    <w:rPr>
                      <w:rFonts w:eastAsia="楷体_GB2312" w:cs="Calibri"/>
                      <w:b/>
                      <w:w w:val="70"/>
                      <w:sz w:val="20"/>
                      <w:szCs w:val="20"/>
                    </w:rPr>
                  </w:pPr>
                  <w:r>
                    <w:rPr>
                      <w:rFonts w:eastAsia="楷体_GB2312" w:cs="Calibri"/>
                      <w:w w:val="70"/>
                      <w:sz w:val="20"/>
                      <w:szCs w:val="20"/>
                    </w:rPr>
                    <w:t xml:space="preserve">Copyright: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rsidR="00043BDD" w14:paraId="2EBA44DD" w14:textId="77777777">
              <w:tc>
                <w:tcPr>
                  <w:tcW w:w="11196" w:type="dxa"/>
                  <w:tcBorders>
                    <w:top w:val="single" w:sz="4" w:space="0" w:color="C0C0C0"/>
                    <w:bottom w:val="single" w:sz="4" w:space="0" w:color="C0C0C0"/>
                  </w:tcBorders>
                </w:tcPr>
                <w:p w14:paraId="2EB69D38" w14:textId="77777777" w:rsidR="00043BDD" w:rsidRDefault="00043BDD">
                  <w:pPr>
                    <w:pStyle w:val="EFADisclaimerText"/>
                    <w:spacing w:after="60"/>
                    <w:rPr>
                      <w:rFonts w:eastAsia="楷体_GB2312" w:cs="Calibri"/>
                      <w:b/>
                      <w:w w:val="70"/>
                      <w:sz w:val="20"/>
                      <w:szCs w:val="20"/>
                    </w:rPr>
                  </w:pPr>
                </w:p>
              </w:tc>
            </w:tr>
            <w:tr w:rsidR="00043BDD" w14:paraId="392E512B" w14:textId="77777777">
              <w:tc>
                <w:tcPr>
                  <w:tcW w:w="11196" w:type="dxa"/>
                  <w:tcBorders>
                    <w:top w:val="single" w:sz="4" w:space="0" w:color="C0C0C0"/>
                    <w:bottom w:val="nil"/>
                  </w:tcBorders>
                </w:tcPr>
                <w:p w14:paraId="3AF08BC1" w14:textId="77777777" w:rsidR="00043BDD" w:rsidRDefault="00043BDD">
                  <w:pPr>
                    <w:pStyle w:val="EFADisclaimerText"/>
                    <w:spacing w:after="60"/>
                    <w:rPr>
                      <w:rFonts w:eastAsia="楷体_GB2312" w:cs="Calibri"/>
                      <w:b/>
                      <w:w w:val="70"/>
                      <w:sz w:val="20"/>
                      <w:szCs w:val="20"/>
                      <w:lang w:eastAsia="zh-CN"/>
                    </w:rPr>
                  </w:pPr>
                </w:p>
              </w:tc>
            </w:tr>
          </w:tbl>
          <w:p w14:paraId="40ECA13C" w14:textId="77777777" w:rsidR="00043BDD" w:rsidRDefault="00043BDD">
            <w:pPr>
              <w:pStyle w:val="EFAAnchor"/>
              <w:rPr>
                <w:rFonts w:eastAsia="楷体_GB2312" w:cs="Calibri"/>
                <w:sz w:val="16"/>
              </w:rPr>
            </w:pPr>
          </w:p>
          <w:p w14:paraId="50F240A1" w14:textId="77777777" w:rsidR="00043BDD" w:rsidRDefault="00043BDD">
            <w:pPr>
              <w:rPr>
                <w:rFonts w:eastAsia="楷体_GB2312" w:cs="Calibri"/>
                <w:lang w:val="en-US"/>
              </w:rPr>
            </w:pPr>
          </w:p>
        </w:tc>
      </w:tr>
      <w:tr w:rsidR="00043BDD" w14:paraId="5EC8E9C1" w14:textId="77777777">
        <w:trPr>
          <w:trHeight w:val="848"/>
        </w:trPr>
        <w:tc>
          <w:tcPr>
            <w:tcW w:w="11252" w:type="dxa"/>
          </w:tcPr>
          <w:p w14:paraId="1DC1E70D" w14:textId="77777777" w:rsidR="00043BDD" w:rsidRDefault="00043BDD">
            <w:pPr>
              <w:pStyle w:val="EFADisclaimerText"/>
              <w:spacing w:line="100" w:lineRule="exact"/>
              <w:rPr>
                <w:rFonts w:eastAsia="楷体_GB2312" w:cs="Calibri"/>
                <w:b/>
                <w:bCs/>
                <w:w w:val="70"/>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RecommendationChart]"/>
              <w:tblDescription w:val="表格隐藏标识（请勿删除或修改）"/>
            </w:tblPr>
            <w:tblGrid>
              <w:gridCol w:w="11196"/>
            </w:tblGrid>
            <w:tr w:rsidR="00043BDD" w14:paraId="7A5E1CFD" w14:textId="77777777">
              <w:trPr>
                <w:trHeight w:hRule="exact" w:val="23"/>
              </w:trPr>
              <w:tc>
                <w:tcPr>
                  <w:tcW w:w="11199" w:type="dxa"/>
                </w:tcPr>
                <w:p w14:paraId="32C994CC" w14:textId="77777777" w:rsidR="00043BDD" w:rsidRDefault="00A61197">
                  <w:pPr>
                    <w:pStyle w:val="EFADisclaimerText"/>
                    <w:rPr>
                      <w:rFonts w:eastAsia="楷体_GB2312" w:cs="Calibri"/>
                      <w:b/>
                      <w:color w:val="FFFFFF" w:themeColor="background1"/>
                      <w:w w:val="70"/>
                      <w:sz w:val="20"/>
                      <w:szCs w:val="20"/>
                      <w:lang w:eastAsia="zh-CN"/>
                    </w:rPr>
                  </w:pPr>
                  <w:r>
                    <w:rPr>
                      <w:rFonts w:eastAsia="楷体_GB2312" w:cs="Calibri"/>
                      <w:b/>
                      <w:color w:val="FFFFFF" w:themeColor="background1"/>
                      <w:w w:val="70"/>
                      <w:sz w:val="20"/>
                      <w:szCs w:val="20"/>
                      <w:lang w:eastAsia="zh-CN"/>
                    </w:rPr>
                    <w:t>[</w:t>
                  </w:r>
                  <w:proofErr w:type="spellStart"/>
                  <w:r>
                    <w:rPr>
                      <w:rFonts w:eastAsia="楷体_GB2312" w:cs="Calibri"/>
                      <w:b/>
                      <w:color w:val="FFFFFF" w:themeColor="background1"/>
                      <w:w w:val="70"/>
                      <w:sz w:val="20"/>
                      <w:szCs w:val="20"/>
                      <w:lang w:eastAsia="zh-CN"/>
                    </w:rPr>
                    <w:t>Table_RecommendationChart</w:t>
                  </w:r>
                  <w:proofErr w:type="spellEnd"/>
                  <w:r>
                    <w:rPr>
                      <w:rFonts w:eastAsia="楷体_GB2312" w:cs="Calibri"/>
                      <w:b/>
                      <w:color w:val="FFFFFF" w:themeColor="background1"/>
                      <w:w w:val="70"/>
                      <w:sz w:val="20"/>
                      <w:szCs w:val="20"/>
                      <w:lang w:eastAsia="zh-CN"/>
                    </w:rPr>
                    <w:t>]</w:t>
                  </w:r>
                </w:p>
              </w:tc>
            </w:tr>
            <w:tr w:rsidR="00043BDD" w14:paraId="7CE4F367" w14:textId="77777777">
              <w:tc>
                <w:tcPr>
                  <w:tcW w:w="11199" w:type="dxa"/>
                </w:tcPr>
                <w:p w14:paraId="078B0FAC" w14:textId="77777777" w:rsidR="00043BDD" w:rsidRDefault="00043BDD">
                  <w:pPr>
                    <w:pStyle w:val="EFADisclaimerText"/>
                    <w:rPr>
                      <w:rFonts w:eastAsia="楷体_GB2312" w:cs="Calibri"/>
                      <w:lang w:eastAsia="zh-CN"/>
                    </w:rPr>
                  </w:pPr>
                </w:p>
              </w:tc>
            </w:tr>
            <w:tr w:rsidR="00043BDD" w14:paraId="0DB5CA9F" w14:textId="77777777">
              <w:tc>
                <w:tcPr>
                  <w:tcW w:w="11199" w:type="dxa"/>
                </w:tcPr>
                <w:p w14:paraId="765A9FEA" w14:textId="77777777" w:rsidR="00043BDD" w:rsidRDefault="00043BDD">
                  <w:pPr>
                    <w:pStyle w:val="EFADisclaimerText"/>
                    <w:rPr>
                      <w:rFonts w:eastAsia="楷体_GB2312" w:cs="Calibri"/>
                      <w:b/>
                      <w:w w:val="70"/>
                      <w:sz w:val="20"/>
                      <w:szCs w:val="20"/>
                    </w:rPr>
                  </w:pPr>
                </w:p>
              </w:tc>
            </w:tr>
            <w:tr w:rsidR="00043BDD" w14:paraId="165BF724" w14:textId="77777777">
              <w:tc>
                <w:tcPr>
                  <w:tcW w:w="11199" w:type="dxa"/>
                </w:tcPr>
                <w:p w14:paraId="122AFDEC" w14:textId="77777777" w:rsidR="00043BDD" w:rsidRDefault="00043BDD">
                  <w:pPr>
                    <w:pStyle w:val="EFADisclaimerText"/>
                    <w:rPr>
                      <w:rFonts w:eastAsia="楷体_GB2312" w:cs="Calibri"/>
                      <w:b/>
                      <w:w w:val="70"/>
                      <w:sz w:val="20"/>
                      <w:szCs w:val="20"/>
                    </w:rPr>
                  </w:pPr>
                </w:p>
              </w:tc>
            </w:tr>
          </w:tbl>
          <w:p w14:paraId="6124E097" w14:textId="77777777" w:rsidR="00043BDD" w:rsidRDefault="00043BDD">
            <w:pPr>
              <w:pStyle w:val="EFADisclaimerText"/>
              <w:spacing w:after="60"/>
              <w:rPr>
                <w:rFonts w:eastAsia="楷体_GB2312" w:cs="Calibri"/>
                <w:b/>
                <w:bCs/>
                <w:w w:val="70"/>
                <w:sz w:val="22"/>
                <w:szCs w:val="22"/>
              </w:rPr>
            </w:pPr>
          </w:p>
        </w:tc>
      </w:tr>
    </w:tbl>
    <w:p w14:paraId="5CBC7657" w14:textId="77777777" w:rsidR="00043BDD" w:rsidRDefault="00043BDD">
      <w:pPr>
        <w:pStyle w:val="EFAAnchor"/>
        <w:rPr>
          <w:rFonts w:eastAsia="楷体_GB2312" w:cs="Calibri"/>
          <w:w w:val="70"/>
          <w:sz w:val="20"/>
          <w:szCs w:val="20"/>
          <w:lang w:val="en-GB"/>
        </w:rPr>
      </w:pPr>
    </w:p>
    <w:p w14:paraId="4514D0A8" w14:textId="77777777" w:rsidR="00043BDD" w:rsidRDefault="00043BDD">
      <w:pPr>
        <w:pStyle w:val="EFAAnchor"/>
        <w:rPr>
          <w:rFonts w:eastAsia="楷体_GB2312" w:cs="Calibri"/>
          <w:lang w:val="en-GB"/>
        </w:rPr>
      </w:pPr>
    </w:p>
    <w:sectPr w:rsidR="00043BDD">
      <w:headerReference w:type="default" r:id="rId31"/>
      <w:footerReference w:type="default" r:id="rId32"/>
      <w:headerReference w:type="first" r:id="rId33"/>
      <w:footerReference w:type="first" r:id="rId34"/>
      <w:pgSz w:w="11909" w:h="16834"/>
      <w:pgMar w:top="1077" w:right="567" w:bottom="1021" w:left="329" w:header="720" w:footer="11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CF7C" w14:textId="77777777" w:rsidR="004D766B" w:rsidRDefault="004D766B">
      <w:r>
        <w:separator/>
      </w:r>
    </w:p>
  </w:endnote>
  <w:endnote w:type="continuationSeparator" w:id="0">
    <w:p w14:paraId="755D4E26" w14:textId="77777777" w:rsidR="004D766B" w:rsidRDefault="004D7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default"/>
    <w:sig w:usb0="00000000" w:usb1="00000000" w:usb2="00000010" w:usb3="00000000" w:csb0="00040000" w:csb1="00000000"/>
  </w:font>
  <w:font w:name="汉仪楷体简">
    <w:altName w:val="微软雅黑"/>
    <w:charset w:val="86"/>
    <w:family w:val="modern"/>
    <w:pitch w:val="default"/>
    <w:sig w:usb0="00000001" w:usb1="080E0800" w:usb2="00000002" w:usb3="00000000" w:csb0="00040000" w:csb1="00000000"/>
  </w:font>
  <w:font w:name="汉仪大黑简">
    <w:altName w:val="黑体"/>
    <w:charset w:val="86"/>
    <w:family w:val="roman"/>
    <w:pitch w:val="default"/>
    <w:sig w:usb0="00000001" w:usb1="080E0800" w:usb2="00000002" w:usb3="00000000" w:csb0="0004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96307" w14:textId="77777777" w:rsidR="00043BDD" w:rsidRDefault="00A61197">
    <w:pPr>
      <w:pStyle w:val="EFANormal"/>
    </w:pPr>
    <w:r>
      <w:rPr>
        <w:noProof/>
        <w:lang w:eastAsia="zh-CN"/>
      </w:rPr>
      <mc:AlternateContent>
        <mc:Choice Requires="wps">
          <w:drawing>
            <wp:anchor distT="0" distB="0" distL="114300" distR="114300" simplePos="0" relativeHeight="251661312" behindDoc="0" locked="1" layoutInCell="1" allowOverlap="1" wp14:anchorId="33CA23E5" wp14:editId="6CCFE360">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583"/>
                          </w:tblGrid>
                          <w:tr w:rsidR="00043BDD" w14:paraId="4AE08727" w14:textId="77777777">
                            <w:trPr>
                              <w:trHeight w:hRule="exact" w:val="23"/>
                            </w:trPr>
                            <w:tc>
                              <w:tcPr>
                                <w:tcW w:w="11583" w:type="dxa"/>
                              </w:tcPr>
                              <w:p w14:paraId="42B5934B" w14:textId="77777777" w:rsidR="00043BDD" w:rsidRDefault="00A61197">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043BDD" w14:paraId="7CDFD6EA" w14:textId="77777777">
                            <w:tc>
                              <w:tcPr>
                                <w:tcW w:w="11583" w:type="dxa"/>
                              </w:tcPr>
                              <w:p w14:paraId="22ADB405" w14:textId="77777777" w:rsidR="00043BDD" w:rsidRDefault="00A61197">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3244CA91" w14:textId="77777777" w:rsidR="00043BDD" w:rsidRDefault="00043BDD">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type w14:anchorId="33CA23E5" id="_x0000_t202" coordsize="21600,21600" o:spt="202" path="m,l,21600r21600,l21600,xe">
              <v:stroke joinstyle="miter"/>
              <v:path gradientshapeok="t" o:connecttype="rect"/>
            </v:shapetype>
            <v:shape id="Text Box 281" o:spid="_x0000_s1027" type="#_x0000_t202" style="position:absolute;margin-left:-34.75pt;margin-top:775.2pt;width:580.8pt;height:63.6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" filled="f" stroked="f">
              <v:textbox inset="0,0,0,0">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Pr>
                    <w:tblGrid>
                      <w:gridCol w:w="11583"/>
                    </w:tblGrid>
                    <w:tr w:rsidR="00043BDD" w14:paraId="4AE08727" w14:textId="77777777">
                      <w:trPr>
                        <w:trHeight w:hRule="exact" w:val="23"/>
                      </w:trPr>
                      <w:tc>
                        <w:tcPr>
                          <w:tcW w:w="11583" w:type="dxa"/>
                        </w:tcPr>
                        <w:p w14:paraId="42B5934B" w14:textId="77777777" w:rsidR="00043BDD" w:rsidRDefault="00A61197">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043BDD" w14:paraId="7CDFD6EA" w14:textId="77777777">
                      <w:tc>
                        <w:tcPr>
                          <w:tcW w:w="11583" w:type="dxa"/>
                        </w:tcPr>
                        <w:p w14:paraId="22ADB405" w14:textId="77777777" w:rsidR="00043BDD" w:rsidRDefault="00A61197">
                          <w:pPr>
                            <w:pStyle w:val="EFAFPFooter"/>
                            <w:rPr>
                              <w:rFonts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3244CA91" w14:textId="77777777" w:rsidR="00043BDD" w:rsidRDefault="00043BDD">
                    <w:pPr>
                      <w:pStyle w:val="EFAFPFooter"/>
                      <w:rPr>
                        <w:rFonts w:eastAsia="楷体_GB2312" w:cs="Calibri"/>
                        <w:b w:val="0"/>
                        <w:sz w:val="21"/>
                        <w:szCs w:val="21"/>
                      </w:rPr>
                    </w:pPr>
                  </w:p>
                </w:txbxContent>
              </v:textbox>
              <w10:wrap anchory="page"/>
              <w10:anchorlock/>
            </v:shape>
          </w:pict>
        </mc:Fallback>
      </mc:AlternateContent>
    </w:r>
    <w:r>
      <w:rPr>
        <w:noProof/>
        <w:lang w:eastAsia="zh-CN"/>
      </w:rPr>
      <mc:AlternateContent>
        <mc:Choice Requires="wps">
          <w:drawing>
            <wp:anchor distT="0" distB="0" distL="114300" distR="114300" simplePos="0" relativeHeight="251659264" behindDoc="0" locked="0" layoutInCell="1" allowOverlap="1" wp14:anchorId="7E52DC3F" wp14:editId="4BD85F30">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0D1556ED" w14:textId="77777777" w:rsidR="00043BDD" w:rsidRDefault="00043BDD">
                          <w:pPr>
                            <w:ind w:left="-180"/>
                          </w:pPr>
                        </w:p>
                      </w:txbxContent>
                    </wps:txbx>
                    <wps:bodyPr rot="0" vert="horz" wrap="square" lIns="91440" tIns="45720" rIns="91440" bIns="45720" anchor="t" anchorCtr="0" upright="1">
                      <a:noAutofit/>
                    </wps:bodyPr>
                  </wps:wsp>
                </a:graphicData>
              </a:graphic>
            </wp:anchor>
          </w:drawing>
        </mc:Choice>
        <mc:Fallback>
          <w:pict>
            <v:shape w14:anchorId="7E52DC3F" id="Text Box 73" o:spid="_x0000_s1028" type="#_x0000_t202" style="position:absolute;margin-left:6.7pt;margin-top:770.8pt;width:583pt;height:3.9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" fillcolor="#005bac" stroked="f">
              <v:textbox>
                <w:txbxContent>
                  <w:p w14:paraId="0D1556ED" w14:textId="77777777" w:rsidR="00043BDD" w:rsidRDefault="00043BDD">
                    <w:pPr>
                      <w:ind w:left="-18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1"/>
    </w:tblGrid>
    <w:tr w:rsidR="00043BDD" w14:paraId="4B7E0CBC" w14:textId="77777777">
      <w:trPr>
        <w:trHeight w:val="329"/>
      </w:trPr>
      <w:tc>
        <w:tcPr>
          <w:tcW w:w="10721" w:type="dxa"/>
          <w:tcBorders>
            <w:top w:val="nil"/>
            <w:left w:val="nil"/>
            <w:bottom w:val="nil"/>
            <w:right w:val="nil"/>
          </w:tcBorders>
          <w:vAlign w:val="center"/>
        </w:tcPr>
        <w:p w14:paraId="5CBCA11F" w14:textId="7E8565ED" w:rsidR="00043BDD" w:rsidRDefault="00A61197">
          <w:pPr>
            <w:pStyle w:val="EFAPageFooter"/>
            <w:framePr w:wrap="auto" w:vAnchor="margin" w:hAnchor="text" w:xAlign="left" w:yAlign="inline"/>
            <w:suppressOverlap w:val="0"/>
          </w:pPr>
          <w:r>
            <w:fldChar w:fldCharType="begin"/>
          </w:r>
          <w:r>
            <w:instrText xml:space="preserve"> DATE  \@ "d MMM yyyy"  \* MERGEFORMAT </w:instrText>
          </w:r>
          <w:r>
            <w:fldChar w:fldCharType="separate"/>
          </w:r>
          <w:r w:rsidR="009F6E9C">
            <w:rPr>
              <w:noProof/>
            </w:rPr>
            <w:t>20 Mar 2026</w:t>
          </w:r>
          <w:r>
            <w:fldChar w:fldCharType="end"/>
          </w:r>
          <w:r>
            <w:tab/>
          </w:r>
          <w:r>
            <w:fldChar w:fldCharType="begin"/>
          </w:r>
          <w:r>
            <w:instrText xml:space="preserve"> PAGE </w:instrText>
          </w:r>
          <w:r>
            <w:fldChar w:fldCharType="separate"/>
          </w:r>
          <w:r>
            <w:t>2</w:t>
          </w:r>
          <w:r>
            <w:fldChar w:fldCharType="end"/>
          </w:r>
        </w:p>
      </w:tc>
    </w:tr>
  </w:tbl>
  <w:p w14:paraId="3DBB6668" w14:textId="77777777" w:rsidR="00043BDD" w:rsidRDefault="00043BDD">
    <w:pPr>
      <w:pStyle w:val="EFANorma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764F" w14:textId="77777777" w:rsidR="00043BDD" w:rsidRDefault="00043BDD">
    <w:pPr>
      <w:pStyle w:val="EFANormal"/>
      <w:spacing w:line="20" w:lineRule="exact"/>
    </w:pPr>
  </w:p>
  <w:tbl>
    <w:tblPr>
      <w:tblpPr w:vertAnchor="page" w:horzAnchor="page" w:tblpX="347" w:tblpY="15481"/>
      <w:tblOverlap w:val="neve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1"/>
    </w:tblGrid>
    <w:tr w:rsidR="00043BDD" w14:paraId="3AA9D678" w14:textId="77777777">
      <w:trPr>
        <w:trHeight w:val="329"/>
      </w:trPr>
      <w:tc>
        <w:tcPr>
          <w:tcW w:w="10721" w:type="dxa"/>
          <w:tcBorders>
            <w:top w:val="nil"/>
            <w:left w:val="nil"/>
            <w:bottom w:val="nil"/>
            <w:right w:val="nil"/>
          </w:tcBorders>
          <w:vAlign w:val="center"/>
        </w:tcPr>
        <w:p w14:paraId="55766913" w14:textId="77777777" w:rsidR="00043BDD" w:rsidRDefault="00A61197">
          <w:pPr>
            <w:pStyle w:val="EFAPageFooter"/>
            <w:framePr w:wrap="auto" w:vAnchor="margin" w:hAnchor="text" w:xAlign="left" w:yAlign="inline"/>
            <w:suppressOverlap w:val="0"/>
          </w:pPr>
          <w:r>
            <w:tab/>
          </w:r>
          <w:r>
            <w:fldChar w:fldCharType="begin"/>
          </w:r>
          <w:r>
            <w:instrText xml:space="preserve"> PAGE </w:instrText>
          </w:r>
          <w:r>
            <w:fldChar w:fldCharType="separate"/>
          </w:r>
          <w:r>
            <w:t>4</w:t>
          </w:r>
          <w:r>
            <w:fldChar w:fldCharType="end"/>
          </w:r>
        </w:p>
      </w:tc>
    </w:tr>
  </w:tbl>
  <w:p w14:paraId="20959EE6" w14:textId="77777777" w:rsidR="00043BDD" w:rsidRDefault="00043BDD">
    <w:pPr>
      <w:pStyle w:val="EFANorma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0CD9" w14:textId="77777777" w:rsidR="00043BDD" w:rsidRDefault="00043BD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E67FD" w14:textId="77777777" w:rsidR="004D766B" w:rsidRDefault="004D766B">
      <w:r>
        <w:separator/>
      </w:r>
    </w:p>
  </w:footnote>
  <w:footnote w:type="continuationSeparator" w:id="0">
    <w:p w14:paraId="072606F6" w14:textId="77777777" w:rsidR="004D766B" w:rsidRDefault="004D7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0DE5" w14:textId="77777777" w:rsidR="00043BDD" w:rsidRDefault="00043BDD">
    <w:pPr>
      <w:pStyle w:val="EFANormal"/>
    </w:pPr>
  </w:p>
  <w:p w14:paraId="0222CB02" w14:textId="77777777" w:rsidR="00043BDD" w:rsidRDefault="00043BDD"/>
  <w:p w14:paraId="0BD2C3C7" w14:textId="77777777" w:rsidR="00043BDD" w:rsidRDefault="00A61197">
    <w:pPr>
      <w:jc w:val="right"/>
    </w:pPr>
    <w:r>
      <w:rPr>
        <w:noProof/>
        <w:snapToGrid/>
      </w:rPr>
      <w:drawing>
        <wp:anchor distT="0" distB="0" distL="114300" distR="114300" simplePos="0" relativeHeight="251663360" behindDoc="0" locked="0" layoutInCell="1" allowOverlap="1" wp14:anchorId="0CDF2FF4" wp14:editId="693F53D1">
          <wp:simplePos x="0" y="0"/>
          <wp:positionH relativeFrom="margin">
            <wp:align>right</wp:align>
          </wp:positionH>
          <wp:positionV relativeFrom="paragraph">
            <wp:posOffset>71120</wp:posOffset>
          </wp:positionV>
          <wp:extent cx="1925955" cy="651510"/>
          <wp:effectExtent l="0" t="0" r="0" b="0"/>
          <wp:wrapNone/>
          <wp:docPr id="1881123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noProof/>
        <w:lang w:val="en-US" w:eastAsia="zh-CN"/>
      </w:rPr>
      <mc:AlternateContent>
        <mc:Choice Requires="wps">
          <w:drawing>
            <wp:anchor distT="0" distB="0" distL="114300" distR="114300" simplePos="0" relativeHeight="251662336" behindDoc="0" locked="0" layoutInCell="1" allowOverlap="1" wp14:anchorId="3D7F7143" wp14:editId="5D28E63D">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043BDD" w14:paraId="164F13BF" w14:textId="77777777">
                            <w:trPr>
                              <w:trHeight w:hRule="exact" w:val="23"/>
                            </w:trPr>
                            <w:tc>
                              <w:tcPr>
                                <w:tcW w:w="3322" w:type="dxa"/>
                              </w:tcPr>
                              <w:p w14:paraId="46C8897B" w14:textId="77777777" w:rsidR="00043BDD" w:rsidRDefault="00A61197">
                                <w:pPr>
                                  <w:rPr>
                                    <w:rFonts w:eastAsia="楷体_GB2312"/>
                                    <w:color w:val="FF0000"/>
                                    <w:sz w:val="20"/>
                                    <w:szCs w:val="20"/>
                                  </w:rPr>
                                </w:pPr>
                                <w:r>
                                  <w:rPr>
                                    <w:rFonts w:eastAsia="楷体_GB2312"/>
                                    <w:color w:val="FFFFFF" w:themeColor="background1"/>
                                    <w:sz w:val="20"/>
                                    <w:szCs w:val="20"/>
                                  </w:rPr>
                                  <w:t>[Table_yemei1]</w:t>
                                </w:r>
                              </w:p>
                            </w:tc>
                          </w:tr>
                          <w:tr w:rsidR="00043BDD" w14:paraId="2CB06E03" w14:textId="77777777">
                            <w:tc>
                              <w:tcPr>
                                <w:tcW w:w="3322" w:type="dxa"/>
                              </w:tcPr>
                              <w:p w14:paraId="72B5349D" w14:textId="77777777" w:rsidR="00043BDD" w:rsidRDefault="00A61197">
                                <w:pPr>
                                  <w:rPr>
                                    <w:color w:val="23558C"/>
                                    <w:sz w:val="20"/>
                                    <w:szCs w:val="20"/>
                                  </w:rPr>
                                </w:pPr>
                                <w:proofErr w:type="gramStart"/>
                                <w:r>
                                  <w:rPr>
                                    <w:rFonts w:eastAsia="楷体_GB2312" w:hint="eastAsia"/>
                                    <w:color w:val="23558C"/>
                                    <w:sz w:val="20"/>
                                    <w:szCs w:val="20"/>
                                    <w:lang w:eastAsia="zh-CN"/>
                                  </w:rPr>
                                  <w:t>热点速评</w:t>
                                </w:r>
                                <w:proofErr w:type="gramEnd"/>
                                <w:r>
                                  <w:rPr>
                                    <w:rFonts w:eastAsia="楷体_GB2312"/>
                                    <w:color w:val="23558C"/>
                                    <w:sz w:val="20"/>
                                    <w:szCs w:val="20"/>
                                    <w:lang w:eastAsia="zh-CN"/>
                                  </w:rPr>
                                  <w:t>Flash Analysis</w:t>
                                </w:r>
                              </w:p>
                            </w:tc>
                          </w:tr>
                        </w:tbl>
                        <w:p w14:paraId="0779300D" w14:textId="77777777" w:rsidR="00043BDD" w:rsidRDefault="00043BDD">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type w14:anchorId="3D7F7143" id="_x0000_t202" coordsize="21600,21600" o:spt="202" path="m,l,21600r21600,l21600,xe">
              <v:stroke joinstyle="miter"/>
              <v:path gradientshapeok="t" o:connecttype="rect"/>
            </v:shapetype>
            <v:shape id="文本框 2" o:spid="_x0000_s1026" type="#_x0000_t202" style="position:absolute;left:0;text-align:left;margin-left:27.05pt;margin-top:175.05pt;width:180.45pt;height:22.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" filled="f" stroked="f">
              <v:textbox>
                <w:txbxContent>
                  <w:tbl>
                    <w:tblPr>
                      <w:tblStyle w:val="af6"/>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yemei1]"/>
                    </w:tblPr>
                    <w:tblGrid>
                      <w:gridCol w:w="3322"/>
                    </w:tblGrid>
                    <w:tr w:rsidR="00043BDD" w14:paraId="164F13BF" w14:textId="77777777">
                      <w:trPr>
                        <w:trHeight w:hRule="exact" w:val="23"/>
                      </w:trPr>
                      <w:tc>
                        <w:tcPr>
                          <w:tcW w:w="3322" w:type="dxa"/>
                        </w:tcPr>
                        <w:p w14:paraId="46C8897B" w14:textId="77777777" w:rsidR="00043BDD" w:rsidRDefault="00A61197">
                          <w:pPr>
                            <w:rPr>
                              <w:rFonts w:eastAsia="楷体_GB2312"/>
                              <w:color w:val="FF0000"/>
                              <w:sz w:val="20"/>
                              <w:szCs w:val="20"/>
                            </w:rPr>
                          </w:pPr>
                          <w:r>
                            <w:rPr>
                              <w:rFonts w:eastAsia="楷体_GB2312"/>
                              <w:color w:val="FFFFFF" w:themeColor="background1"/>
                              <w:sz w:val="20"/>
                              <w:szCs w:val="20"/>
                            </w:rPr>
                            <w:t>[Table_yemei1]</w:t>
                          </w:r>
                        </w:p>
                      </w:tc>
                    </w:tr>
                    <w:tr w:rsidR="00043BDD" w14:paraId="2CB06E03" w14:textId="77777777">
                      <w:tc>
                        <w:tcPr>
                          <w:tcW w:w="3322" w:type="dxa"/>
                        </w:tcPr>
                        <w:p w14:paraId="72B5349D" w14:textId="77777777" w:rsidR="00043BDD" w:rsidRDefault="00A61197">
                          <w:pPr>
                            <w:rPr>
                              <w:color w:val="23558C"/>
                              <w:sz w:val="20"/>
                              <w:szCs w:val="20"/>
                            </w:rPr>
                          </w:pPr>
                          <w:proofErr w:type="gramStart"/>
                          <w:r>
                            <w:rPr>
                              <w:rFonts w:eastAsia="楷体_GB2312" w:hint="eastAsia"/>
                              <w:color w:val="23558C"/>
                              <w:sz w:val="20"/>
                              <w:szCs w:val="20"/>
                              <w:lang w:eastAsia="zh-CN"/>
                            </w:rPr>
                            <w:t>热点速评</w:t>
                          </w:r>
                          <w:proofErr w:type="gramEnd"/>
                          <w:r>
                            <w:rPr>
                              <w:rFonts w:eastAsia="楷体_GB2312"/>
                              <w:color w:val="23558C"/>
                              <w:sz w:val="20"/>
                              <w:szCs w:val="20"/>
                              <w:lang w:eastAsia="zh-CN"/>
                            </w:rPr>
                            <w:t>Flash Analysis</w:t>
                          </w:r>
                        </w:p>
                      </w:tc>
                    </w:tr>
                  </w:tbl>
                  <w:p w14:paraId="0779300D" w14:textId="77777777" w:rsidR="00043BDD" w:rsidRDefault="00043BDD">
                    <w:pPr>
                      <w:spacing w:line="40" w:lineRule="exact"/>
                      <w:rPr>
                        <w:rFonts w:eastAsia="楷体_GB2312"/>
                        <w:color w:val="23558C"/>
                        <w:sz w:val="10"/>
                        <w:szCs w:val="10"/>
                        <w:lang w:eastAsia="zh-CN"/>
                      </w:rPr>
                    </w:pPr>
                  </w:p>
                </w:txbxContent>
              </v:textbox>
            </v:shape>
          </w:pict>
        </mc:Fallback>
      </mc:AlternateContent>
    </w:r>
    <w:r>
      <w:rPr>
        <w:noProof/>
        <w:lang w:val="en-US" w:eastAsia="zh-CN"/>
      </w:rPr>
      <w:drawing>
        <wp:anchor distT="0" distB="0" distL="114300" distR="114300" simplePos="0" relativeHeight="251660288" behindDoc="1" locked="0" layoutInCell="1" allowOverlap="1" wp14:anchorId="05159645" wp14:editId="28327BF5">
          <wp:simplePos x="0" y="0"/>
          <wp:positionH relativeFrom="column">
            <wp:posOffset>-60960</wp:posOffset>
          </wp:positionH>
          <wp:positionV relativeFrom="paragraph">
            <wp:posOffset>2253615</wp:posOffset>
          </wp:positionV>
          <wp:extent cx="360045" cy="179705"/>
          <wp:effectExtent l="0" t="0" r="2540" b="0"/>
          <wp:wrapNone/>
          <wp:docPr id="548883324" name="图片 548883324"/>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6"/>
      <w:tblW w:w="10632" w:type="dxa"/>
      <w:tblInd w:w="10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Caption w:val="[Table_header1]"/>
    </w:tblPr>
    <w:tblGrid>
      <w:gridCol w:w="10632"/>
    </w:tblGrid>
    <w:tr w:rsidR="00043BDD" w14:paraId="2F7A8AE6" w14:textId="77777777">
      <w:trPr>
        <w:trHeight w:hRule="exact" w:val="23"/>
      </w:trPr>
      <w:tc>
        <w:tcPr>
          <w:tcW w:w="10632" w:type="dxa"/>
        </w:tcPr>
        <w:p w14:paraId="37CC30D7" w14:textId="77777777" w:rsidR="00043BDD" w:rsidRDefault="00A61197">
          <w:pPr>
            <w:pStyle w:val="EFANormal"/>
            <w:rPr>
              <w:color w:val="FF0000"/>
              <w:lang w:val="en-GB"/>
            </w:rPr>
          </w:pPr>
          <w:r>
            <w:rPr>
              <w:color w:val="FFFFFF" w:themeColor="background1"/>
              <w:lang w:val="en-GB"/>
            </w:rPr>
            <w:t>[Table_header1]</w:t>
          </w:r>
        </w:p>
      </w:tc>
    </w:tr>
    <w:tr w:rsidR="00043BDD" w14:paraId="36621BC1" w14:textId="77777777">
      <w:tc>
        <w:tcPr>
          <w:tcW w:w="10632" w:type="dxa"/>
        </w:tcPr>
        <w:p w14:paraId="0B2F732C" w14:textId="74BA65E9" w:rsidR="00043BDD" w:rsidRDefault="00D615CA">
          <w:pPr>
            <w:pStyle w:val="EFANormal"/>
            <w:wordWrap w:val="0"/>
            <w:jc w:val="right"/>
            <w:rPr>
              <w:rFonts w:eastAsia="楷体_GB2312" w:cs="Calibri"/>
              <w:sz w:val="24"/>
              <w:lang w:val="en-GB"/>
            </w:rPr>
          </w:pPr>
          <w:r w:rsidRPr="00D615CA">
            <w:rPr>
              <w:rFonts w:eastAsia="楷体_GB2312" w:hint="eastAsia"/>
              <w:color w:val="215E99"/>
              <w:sz w:val="24"/>
              <w:lang w:eastAsia="zh-CN"/>
            </w:rPr>
            <w:t>全球消费及互联网</w:t>
          </w:r>
          <w:r w:rsidRPr="00D615CA">
            <w:rPr>
              <w:rFonts w:eastAsia="楷体_GB2312"/>
              <w:color w:val="215E99"/>
              <w:sz w:val="24"/>
              <w:lang w:eastAsia="zh-CN"/>
            </w:rPr>
            <w:t>Global Consumption &amp; Internet Sector</w:t>
          </w:r>
        </w:p>
      </w:tc>
    </w:tr>
  </w:tbl>
  <w:p w14:paraId="6CCF7A80" w14:textId="77777777" w:rsidR="00043BDD" w:rsidRDefault="00043BDD">
    <w:pPr>
      <w:pStyle w:val="EFANormal"/>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0520" w14:textId="77777777" w:rsidR="00043BDD" w:rsidRDefault="00043BDD">
    <w:pPr>
      <w:pStyle w:val="EFANormal"/>
      <w:spacing w:line="36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8B4C" w14:textId="77777777" w:rsidR="00043BDD" w:rsidRDefault="00043BDD">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D5C08A"/>
    <w:multiLevelType w:val="singleLevel"/>
    <w:tmpl w:val="E2D5C08A"/>
    <w:lvl w:ilvl="0">
      <w:start w:val="3"/>
      <w:numFmt w:val="decimal"/>
      <w:suff w:val="nothing"/>
      <w:lvlText w:val="%1）"/>
      <w:lvlJc w:val="left"/>
      <w:rPr>
        <w:rFonts w:hint="default"/>
        <w:b/>
        <w:bCs/>
      </w:rPr>
    </w:lvl>
  </w:abstractNum>
  <w:abstractNum w:abstractNumId="1" w15:restartNumberingAfterBreak="0">
    <w:nsid w:val="F578B2E3"/>
    <w:multiLevelType w:val="singleLevel"/>
    <w:tmpl w:val="F578B2E3"/>
    <w:lvl w:ilvl="0">
      <w:start w:val="1"/>
      <w:numFmt w:val="decimal"/>
      <w:suff w:val="space"/>
      <w:lvlText w:val="%1."/>
      <w:lvlJc w:val="left"/>
    </w:lvl>
  </w:abstractNum>
  <w:abstractNum w:abstractNumId="2" w15:restartNumberingAfterBreak="0">
    <w:nsid w:val="02634AC8"/>
    <w:multiLevelType w:val="multilevel"/>
    <w:tmpl w:val="02634AC8"/>
    <w:lvl w:ilvl="0">
      <w:start w:val="1"/>
      <w:numFmt w:val="bullet"/>
      <w:pStyle w:val="HUS"/>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03935DA5"/>
    <w:multiLevelType w:val="multilevel"/>
    <w:tmpl w:val="03935DA5"/>
    <w:lvl w:ilvl="0">
      <w:start w:val="1"/>
      <w:numFmt w:val="bullet"/>
      <w:pStyle w:val="EFABulletRed"/>
      <w:lvlText w:val=""/>
      <w:lvlJc w:val="left"/>
      <w:pPr>
        <w:ind w:left="720" w:hanging="360"/>
      </w:pPr>
      <w:rPr>
        <w:rFonts w:ascii="Wingdings" w:hAnsi="Wingdings" w:hint="default"/>
        <w:b w:val="0"/>
        <w:i w:val="0"/>
        <w:color w:val="3333AD"/>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C657F7"/>
    <w:multiLevelType w:val="multilevel"/>
    <w:tmpl w:val="04C657F7"/>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ascii="Times New Roman" w:hAnsi="Times New Roman" w:hint="default"/>
      </w:rPr>
    </w:lvl>
    <w:lvl w:ilvl="2">
      <w:start w:val="1"/>
      <w:numFmt w:val="decimal"/>
      <w:lvlText w:val="%1.%2.%3."/>
      <w:lvlJc w:val="left"/>
      <w:pPr>
        <w:tabs>
          <w:tab w:val="left" w:pos="709"/>
        </w:tabs>
        <w:ind w:left="709" w:hanging="709"/>
      </w:pPr>
      <w:rPr>
        <w:rFonts w:hint="eastAsia"/>
      </w:rPr>
    </w:lvl>
    <w:lvl w:ilvl="3">
      <w:start w:val="1"/>
      <w:numFmt w:val="decimal"/>
      <w:pStyle w:val="4"/>
      <w:lvlText w:val="%1.%2.%3.%4."/>
      <w:lvlJc w:val="left"/>
      <w:pPr>
        <w:tabs>
          <w:tab w:val="left" w:pos="3911"/>
        </w:tabs>
        <w:ind w:left="391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11F1731E"/>
    <w:multiLevelType w:val="multilevel"/>
    <w:tmpl w:val="11F1731E"/>
    <w:lvl w:ilvl="0">
      <w:start w:val="1"/>
      <w:numFmt w:val="decimal"/>
      <w:lvlText w:val="（%1）"/>
      <w:lvlJc w:val="left"/>
      <w:pPr>
        <w:ind w:left="3920" w:hanging="720"/>
      </w:pPr>
      <w:rPr>
        <w:rFonts w:hint="default"/>
      </w:rPr>
    </w:lvl>
    <w:lvl w:ilvl="1">
      <w:start w:val="1"/>
      <w:numFmt w:val="lowerLetter"/>
      <w:lvlText w:val="%2)"/>
      <w:lvlJc w:val="left"/>
      <w:pPr>
        <w:ind w:left="4080" w:hanging="440"/>
      </w:pPr>
    </w:lvl>
    <w:lvl w:ilvl="2">
      <w:start w:val="1"/>
      <w:numFmt w:val="lowerRoman"/>
      <w:lvlText w:val="%3."/>
      <w:lvlJc w:val="right"/>
      <w:pPr>
        <w:ind w:left="4520" w:hanging="440"/>
      </w:pPr>
    </w:lvl>
    <w:lvl w:ilvl="3">
      <w:start w:val="1"/>
      <w:numFmt w:val="decimal"/>
      <w:lvlText w:val="%4."/>
      <w:lvlJc w:val="left"/>
      <w:pPr>
        <w:ind w:left="4960" w:hanging="440"/>
      </w:pPr>
    </w:lvl>
    <w:lvl w:ilvl="4">
      <w:start w:val="1"/>
      <w:numFmt w:val="lowerLetter"/>
      <w:lvlText w:val="%5)"/>
      <w:lvlJc w:val="left"/>
      <w:pPr>
        <w:ind w:left="5400" w:hanging="440"/>
      </w:pPr>
    </w:lvl>
    <w:lvl w:ilvl="5">
      <w:start w:val="1"/>
      <w:numFmt w:val="lowerRoman"/>
      <w:lvlText w:val="%6."/>
      <w:lvlJc w:val="right"/>
      <w:pPr>
        <w:ind w:left="5840" w:hanging="440"/>
      </w:pPr>
    </w:lvl>
    <w:lvl w:ilvl="6">
      <w:start w:val="1"/>
      <w:numFmt w:val="decimal"/>
      <w:lvlText w:val="%7."/>
      <w:lvlJc w:val="left"/>
      <w:pPr>
        <w:ind w:left="6280" w:hanging="440"/>
      </w:pPr>
    </w:lvl>
    <w:lvl w:ilvl="7">
      <w:start w:val="1"/>
      <w:numFmt w:val="lowerLetter"/>
      <w:lvlText w:val="%8)"/>
      <w:lvlJc w:val="left"/>
      <w:pPr>
        <w:ind w:left="6720" w:hanging="440"/>
      </w:pPr>
    </w:lvl>
    <w:lvl w:ilvl="8">
      <w:start w:val="1"/>
      <w:numFmt w:val="lowerRoman"/>
      <w:lvlText w:val="%9."/>
      <w:lvlJc w:val="right"/>
      <w:pPr>
        <w:ind w:left="7160" w:hanging="440"/>
      </w:pPr>
    </w:lvl>
  </w:abstractNum>
  <w:abstractNum w:abstractNumId="6" w15:restartNumberingAfterBreak="0">
    <w:nsid w:val="238731C4"/>
    <w:multiLevelType w:val="multilevel"/>
    <w:tmpl w:val="238731C4"/>
    <w:lvl w:ilvl="0">
      <w:start w:val="1"/>
      <w:numFmt w:val="upperRoman"/>
      <w:pStyle w:val="EFAHeading1"/>
      <w:lvlText w:val="PART %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1A2D25"/>
    <w:multiLevelType w:val="multilevel"/>
    <w:tmpl w:val="331A2D25"/>
    <w:lvl w:ilvl="0">
      <w:start w:val="1"/>
      <w:numFmt w:val="bullet"/>
      <w:pStyle w:val="EFABulletYellow"/>
      <w:lvlText w:val=""/>
      <w:lvlJc w:val="left"/>
      <w:pPr>
        <w:ind w:left="720" w:hanging="360"/>
      </w:pPr>
      <w:rPr>
        <w:rFonts w:ascii="Wingdings" w:hAnsi="Wingdings" w:hint="default"/>
        <w:b w:val="0"/>
        <w:i w:val="0"/>
        <w:color w:val="A5879B"/>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8A55B35"/>
    <w:multiLevelType w:val="multilevel"/>
    <w:tmpl w:val="38A55B35"/>
    <w:lvl w:ilvl="0">
      <w:start w:val="1"/>
      <w:numFmt w:val="bullet"/>
      <w:pStyle w:val="EFAFPTitle3"/>
      <w:lvlText w:val=""/>
      <w:lvlJc w:val="left"/>
      <w:pPr>
        <w:ind w:left="480" w:hanging="4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9" w15:restartNumberingAfterBreak="0">
    <w:nsid w:val="41772804"/>
    <w:multiLevelType w:val="multilevel"/>
    <w:tmpl w:val="41772804"/>
    <w:lvl w:ilvl="0">
      <w:start w:val="1"/>
      <w:numFmt w:val="bullet"/>
      <w:pStyle w:val="EFABulletBlue"/>
      <w:lvlText w:val=""/>
      <w:lvlJc w:val="left"/>
      <w:pPr>
        <w:ind w:left="720" w:hanging="360"/>
      </w:pPr>
      <w:rPr>
        <w:rFonts w:ascii="Wingdings" w:hAnsi="Wingdings" w:hint="default"/>
        <w:b w:val="0"/>
        <w:i w:val="0"/>
        <w:color w:val="99CCFF"/>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1EA01BD"/>
    <w:multiLevelType w:val="multilevel"/>
    <w:tmpl w:val="41EA01BD"/>
    <w:lvl w:ilvl="0">
      <w:start w:val="1"/>
      <w:numFmt w:val="bullet"/>
      <w:pStyle w:val="EFABulletInden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79321DC"/>
    <w:multiLevelType w:val="multilevel"/>
    <w:tmpl w:val="479321DC"/>
    <w:lvl w:ilvl="0">
      <w:start w:val="1"/>
      <w:numFmt w:val="bullet"/>
      <w:pStyle w:val="EFABullet"/>
      <w:lvlText w:val=""/>
      <w:lvlJc w:val="left"/>
      <w:pPr>
        <w:ind w:left="720" w:hanging="360"/>
      </w:pPr>
      <w:rPr>
        <w:rFonts w:ascii="Wingdings 3" w:hAnsi="Wingdings 3"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8B20CCA"/>
    <w:multiLevelType w:val="multilevel"/>
    <w:tmpl w:val="48B20CCA"/>
    <w:lvl w:ilvl="0">
      <w:start w:val="1"/>
      <w:numFmt w:val="decimal"/>
      <w:lvlText w:val="%1）"/>
      <w:lvlJc w:val="left"/>
      <w:pPr>
        <w:ind w:left="3560" w:hanging="360"/>
      </w:pPr>
      <w:rPr>
        <w:rFonts w:hint="default"/>
      </w:rPr>
    </w:lvl>
    <w:lvl w:ilvl="1">
      <w:start w:val="1"/>
      <w:numFmt w:val="lowerLetter"/>
      <w:lvlText w:val="%2)"/>
      <w:lvlJc w:val="left"/>
      <w:pPr>
        <w:ind w:left="4080" w:hanging="440"/>
      </w:pPr>
    </w:lvl>
    <w:lvl w:ilvl="2">
      <w:start w:val="1"/>
      <w:numFmt w:val="lowerRoman"/>
      <w:lvlText w:val="%3."/>
      <w:lvlJc w:val="right"/>
      <w:pPr>
        <w:ind w:left="4520" w:hanging="440"/>
      </w:pPr>
    </w:lvl>
    <w:lvl w:ilvl="3">
      <w:start w:val="1"/>
      <w:numFmt w:val="decimal"/>
      <w:lvlText w:val="%4."/>
      <w:lvlJc w:val="left"/>
      <w:pPr>
        <w:ind w:left="4960" w:hanging="440"/>
      </w:pPr>
    </w:lvl>
    <w:lvl w:ilvl="4">
      <w:start w:val="1"/>
      <w:numFmt w:val="lowerLetter"/>
      <w:lvlText w:val="%5)"/>
      <w:lvlJc w:val="left"/>
      <w:pPr>
        <w:ind w:left="5400" w:hanging="440"/>
      </w:pPr>
    </w:lvl>
    <w:lvl w:ilvl="5">
      <w:start w:val="1"/>
      <w:numFmt w:val="lowerRoman"/>
      <w:lvlText w:val="%6."/>
      <w:lvlJc w:val="right"/>
      <w:pPr>
        <w:ind w:left="5840" w:hanging="440"/>
      </w:pPr>
    </w:lvl>
    <w:lvl w:ilvl="6">
      <w:start w:val="1"/>
      <w:numFmt w:val="decimal"/>
      <w:lvlText w:val="%7."/>
      <w:lvlJc w:val="left"/>
      <w:pPr>
        <w:ind w:left="6280" w:hanging="440"/>
      </w:pPr>
    </w:lvl>
    <w:lvl w:ilvl="7">
      <w:start w:val="1"/>
      <w:numFmt w:val="lowerLetter"/>
      <w:lvlText w:val="%8)"/>
      <w:lvlJc w:val="left"/>
      <w:pPr>
        <w:ind w:left="6720" w:hanging="440"/>
      </w:pPr>
    </w:lvl>
    <w:lvl w:ilvl="8">
      <w:start w:val="1"/>
      <w:numFmt w:val="lowerRoman"/>
      <w:lvlText w:val="%9."/>
      <w:lvlJc w:val="right"/>
      <w:pPr>
        <w:ind w:left="7160" w:hanging="440"/>
      </w:pPr>
    </w:lvl>
  </w:abstractNum>
  <w:abstractNum w:abstractNumId="13" w15:restartNumberingAfterBreak="0">
    <w:nsid w:val="662B5102"/>
    <w:multiLevelType w:val="multilevel"/>
    <w:tmpl w:val="662B5102"/>
    <w:lvl w:ilvl="0">
      <w:start w:val="1"/>
      <w:numFmt w:val="bullet"/>
      <w:pStyle w:val="EFAFPHeadline"/>
      <w:lvlText w:val=""/>
      <w:lvlJc w:val="left"/>
      <w:pPr>
        <w:ind w:left="280" w:hanging="280"/>
      </w:pPr>
      <w:rPr>
        <w:rFonts w:ascii="Symbol" w:hAnsi="Symbol" w:hint="default"/>
        <w:b/>
        <w:color w:val="23558C"/>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4" w15:restartNumberingAfterBreak="0">
    <w:nsid w:val="6B531506"/>
    <w:multiLevelType w:val="multilevel"/>
    <w:tmpl w:val="6B531506"/>
    <w:lvl w:ilvl="0">
      <w:start w:val="1"/>
      <w:numFmt w:val="upperRoman"/>
      <w:pStyle w:val="EFAHeading5"/>
      <w:lvlText w:val="PART %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6C4E34EC"/>
    <w:multiLevelType w:val="multilevel"/>
    <w:tmpl w:val="6C4E34EC"/>
    <w:lvl w:ilvl="0">
      <w:start w:val="1"/>
      <w:numFmt w:val="bullet"/>
      <w:pStyle w:val="EFABulletGreen"/>
      <w:lvlText w:val=""/>
      <w:lvlJc w:val="left"/>
      <w:pPr>
        <w:ind w:left="720" w:hanging="360"/>
      </w:pPr>
      <w:rPr>
        <w:rFonts w:ascii="Wingdings" w:hAnsi="Wingdings" w:hint="default"/>
        <w:b w:val="0"/>
        <w:i w:val="0"/>
        <w:color w:val="86C091"/>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57412397">
    <w:abstractNumId w:val="4"/>
  </w:num>
  <w:num w:numId="2" w16cid:durableId="1299069929">
    <w:abstractNumId w:val="11"/>
  </w:num>
  <w:num w:numId="3" w16cid:durableId="1377313593">
    <w:abstractNumId w:val="3"/>
  </w:num>
  <w:num w:numId="4" w16cid:durableId="63459419">
    <w:abstractNumId w:val="15"/>
  </w:num>
  <w:num w:numId="5" w16cid:durableId="188178093">
    <w:abstractNumId w:val="9"/>
  </w:num>
  <w:num w:numId="6" w16cid:durableId="2010979997">
    <w:abstractNumId w:val="7"/>
  </w:num>
  <w:num w:numId="7" w16cid:durableId="152259682">
    <w:abstractNumId w:val="10"/>
  </w:num>
  <w:num w:numId="8" w16cid:durableId="321659624">
    <w:abstractNumId w:val="6"/>
  </w:num>
  <w:num w:numId="9" w16cid:durableId="648754417">
    <w:abstractNumId w:val="8"/>
  </w:num>
  <w:num w:numId="10" w16cid:durableId="361328715">
    <w:abstractNumId w:val="13"/>
  </w:num>
  <w:num w:numId="11" w16cid:durableId="1606692716">
    <w:abstractNumId w:val="14"/>
  </w:num>
  <w:num w:numId="12" w16cid:durableId="771126094">
    <w:abstractNumId w:val="2"/>
  </w:num>
  <w:num w:numId="13" w16cid:durableId="1251620824">
    <w:abstractNumId w:val="0"/>
  </w:num>
  <w:num w:numId="14" w16cid:durableId="70123925">
    <w:abstractNumId w:val="5"/>
  </w:num>
  <w:num w:numId="15" w16cid:durableId="496044399">
    <w:abstractNumId w:val="12"/>
  </w:num>
  <w:num w:numId="16" w16cid:durableId="1866164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efaultTabStop w:val="400"/>
  <w:drawingGridHorizontalSpacing w:val="80"/>
  <w:drawingGridVerticalSpacing w:val="20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6910"/>
    <w:rsid w:val="0000732D"/>
    <w:rsid w:val="00007B49"/>
    <w:rsid w:val="00010774"/>
    <w:rsid w:val="0001184F"/>
    <w:rsid w:val="00012258"/>
    <w:rsid w:val="00013043"/>
    <w:rsid w:val="000130D9"/>
    <w:rsid w:val="00013244"/>
    <w:rsid w:val="00014086"/>
    <w:rsid w:val="000146CB"/>
    <w:rsid w:val="00014976"/>
    <w:rsid w:val="000171D2"/>
    <w:rsid w:val="000201AE"/>
    <w:rsid w:val="00020B7A"/>
    <w:rsid w:val="00021DAC"/>
    <w:rsid w:val="00021DD0"/>
    <w:rsid w:val="00022C11"/>
    <w:rsid w:val="00022DB6"/>
    <w:rsid w:val="00023367"/>
    <w:rsid w:val="00024F59"/>
    <w:rsid w:val="0002500A"/>
    <w:rsid w:val="00025E71"/>
    <w:rsid w:val="00025F59"/>
    <w:rsid w:val="00026DCC"/>
    <w:rsid w:val="00026E0B"/>
    <w:rsid w:val="00027183"/>
    <w:rsid w:val="000275CC"/>
    <w:rsid w:val="00027FEF"/>
    <w:rsid w:val="0003028B"/>
    <w:rsid w:val="00032B31"/>
    <w:rsid w:val="000334F3"/>
    <w:rsid w:val="000336AF"/>
    <w:rsid w:val="00033DF7"/>
    <w:rsid w:val="000347D5"/>
    <w:rsid w:val="00034B8E"/>
    <w:rsid w:val="00035535"/>
    <w:rsid w:val="00035E45"/>
    <w:rsid w:val="0003686B"/>
    <w:rsid w:val="00036BDA"/>
    <w:rsid w:val="00040734"/>
    <w:rsid w:val="00041387"/>
    <w:rsid w:val="00041A6F"/>
    <w:rsid w:val="0004283E"/>
    <w:rsid w:val="00043062"/>
    <w:rsid w:val="00043657"/>
    <w:rsid w:val="00043BDD"/>
    <w:rsid w:val="00043D26"/>
    <w:rsid w:val="0004549E"/>
    <w:rsid w:val="00047D52"/>
    <w:rsid w:val="000516AD"/>
    <w:rsid w:val="00051EC9"/>
    <w:rsid w:val="00052838"/>
    <w:rsid w:val="00052DCF"/>
    <w:rsid w:val="00053373"/>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2E6"/>
    <w:rsid w:val="00084B49"/>
    <w:rsid w:val="000860EA"/>
    <w:rsid w:val="00086E96"/>
    <w:rsid w:val="00090800"/>
    <w:rsid w:val="0009177A"/>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13B5"/>
    <w:rsid w:val="000A1F58"/>
    <w:rsid w:val="000A23D4"/>
    <w:rsid w:val="000A2C9D"/>
    <w:rsid w:val="000A30E9"/>
    <w:rsid w:val="000A40FE"/>
    <w:rsid w:val="000A461B"/>
    <w:rsid w:val="000A6794"/>
    <w:rsid w:val="000A726A"/>
    <w:rsid w:val="000B13C1"/>
    <w:rsid w:val="000B18D6"/>
    <w:rsid w:val="000B2336"/>
    <w:rsid w:val="000B465C"/>
    <w:rsid w:val="000B6CF1"/>
    <w:rsid w:val="000B792D"/>
    <w:rsid w:val="000B7DE2"/>
    <w:rsid w:val="000C02AE"/>
    <w:rsid w:val="000C02F6"/>
    <w:rsid w:val="000C1F65"/>
    <w:rsid w:val="000C2B68"/>
    <w:rsid w:val="000C2E9E"/>
    <w:rsid w:val="000C39D2"/>
    <w:rsid w:val="000C3D03"/>
    <w:rsid w:val="000C3D77"/>
    <w:rsid w:val="000C3F5C"/>
    <w:rsid w:val="000C4852"/>
    <w:rsid w:val="000C627B"/>
    <w:rsid w:val="000C7332"/>
    <w:rsid w:val="000C77D8"/>
    <w:rsid w:val="000C7E1A"/>
    <w:rsid w:val="000D1903"/>
    <w:rsid w:val="000D19B0"/>
    <w:rsid w:val="000D1A3C"/>
    <w:rsid w:val="000D3F1A"/>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105"/>
    <w:rsid w:val="001031DB"/>
    <w:rsid w:val="00103CDB"/>
    <w:rsid w:val="001059C9"/>
    <w:rsid w:val="0010656E"/>
    <w:rsid w:val="00106DF2"/>
    <w:rsid w:val="00110533"/>
    <w:rsid w:val="00110B26"/>
    <w:rsid w:val="00110FF3"/>
    <w:rsid w:val="0011245A"/>
    <w:rsid w:val="00113DC0"/>
    <w:rsid w:val="00114755"/>
    <w:rsid w:val="001154B0"/>
    <w:rsid w:val="0011588A"/>
    <w:rsid w:val="001164AF"/>
    <w:rsid w:val="00116626"/>
    <w:rsid w:val="00117571"/>
    <w:rsid w:val="00117BD2"/>
    <w:rsid w:val="00117C9F"/>
    <w:rsid w:val="001207E4"/>
    <w:rsid w:val="00120A7B"/>
    <w:rsid w:val="0012100A"/>
    <w:rsid w:val="00123AC1"/>
    <w:rsid w:val="0012412A"/>
    <w:rsid w:val="00124271"/>
    <w:rsid w:val="0012686A"/>
    <w:rsid w:val="00126871"/>
    <w:rsid w:val="00127309"/>
    <w:rsid w:val="0012751B"/>
    <w:rsid w:val="00127CD0"/>
    <w:rsid w:val="00130BC2"/>
    <w:rsid w:val="001311FC"/>
    <w:rsid w:val="00132285"/>
    <w:rsid w:val="001326E1"/>
    <w:rsid w:val="0013302A"/>
    <w:rsid w:val="00133D86"/>
    <w:rsid w:val="001345B6"/>
    <w:rsid w:val="00135A41"/>
    <w:rsid w:val="00137678"/>
    <w:rsid w:val="00140ED9"/>
    <w:rsid w:val="001434AA"/>
    <w:rsid w:val="00145B09"/>
    <w:rsid w:val="00145E14"/>
    <w:rsid w:val="001473CF"/>
    <w:rsid w:val="0014788D"/>
    <w:rsid w:val="00147C4A"/>
    <w:rsid w:val="00147D4C"/>
    <w:rsid w:val="00147D9D"/>
    <w:rsid w:val="00150630"/>
    <w:rsid w:val="0015086D"/>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77C30"/>
    <w:rsid w:val="001807CA"/>
    <w:rsid w:val="00181893"/>
    <w:rsid w:val="00182B36"/>
    <w:rsid w:val="00183A3D"/>
    <w:rsid w:val="001849FE"/>
    <w:rsid w:val="0018583D"/>
    <w:rsid w:val="00185B06"/>
    <w:rsid w:val="0018617F"/>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3C5"/>
    <w:rsid w:val="001C2549"/>
    <w:rsid w:val="001C2BEB"/>
    <w:rsid w:val="001C3243"/>
    <w:rsid w:val="001C3BF9"/>
    <w:rsid w:val="001C3C78"/>
    <w:rsid w:val="001C577A"/>
    <w:rsid w:val="001C5D7B"/>
    <w:rsid w:val="001C62E1"/>
    <w:rsid w:val="001C637C"/>
    <w:rsid w:val="001C7739"/>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2CEC"/>
    <w:rsid w:val="001F3F20"/>
    <w:rsid w:val="001F4135"/>
    <w:rsid w:val="001F5572"/>
    <w:rsid w:val="001F5A51"/>
    <w:rsid w:val="001F75AC"/>
    <w:rsid w:val="00200B71"/>
    <w:rsid w:val="00201113"/>
    <w:rsid w:val="00201302"/>
    <w:rsid w:val="002017C5"/>
    <w:rsid w:val="0020268B"/>
    <w:rsid w:val="00203E93"/>
    <w:rsid w:val="00205477"/>
    <w:rsid w:val="00205F60"/>
    <w:rsid w:val="0020724C"/>
    <w:rsid w:val="00210A0C"/>
    <w:rsid w:val="0021325D"/>
    <w:rsid w:val="00214810"/>
    <w:rsid w:val="00214CA6"/>
    <w:rsid w:val="00215AB9"/>
    <w:rsid w:val="00215D4D"/>
    <w:rsid w:val="002179B7"/>
    <w:rsid w:val="0022007B"/>
    <w:rsid w:val="002207F6"/>
    <w:rsid w:val="00221734"/>
    <w:rsid w:val="00221CAF"/>
    <w:rsid w:val="00221D28"/>
    <w:rsid w:val="002229E1"/>
    <w:rsid w:val="0022396B"/>
    <w:rsid w:val="00225267"/>
    <w:rsid w:val="00225ADD"/>
    <w:rsid w:val="00226246"/>
    <w:rsid w:val="00227B8A"/>
    <w:rsid w:val="00227E8E"/>
    <w:rsid w:val="0023015F"/>
    <w:rsid w:val="002323DB"/>
    <w:rsid w:val="00232C95"/>
    <w:rsid w:val="002333C1"/>
    <w:rsid w:val="002334CD"/>
    <w:rsid w:val="00237306"/>
    <w:rsid w:val="00237325"/>
    <w:rsid w:val="00237463"/>
    <w:rsid w:val="002408B0"/>
    <w:rsid w:val="002409CB"/>
    <w:rsid w:val="00240D3A"/>
    <w:rsid w:val="00240FE3"/>
    <w:rsid w:val="0024314C"/>
    <w:rsid w:val="002434FB"/>
    <w:rsid w:val="00243985"/>
    <w:rsid w:val="00243BC1"/>
    <w:rsid w:val="00244462"/>
    <w:rsid w:val="0024707C"/>
    <w:rsid w:val="00247965"/>
    <w:rsid w:val="00247BCD"/>
    <w:rsid w:val="002501F5"/>
    <w:rsid w:val="00250E07"/>
    <w:rsid w:val="0025139A"/>
    <w:rsid w:val="00251638"/>
    <w:rsid w:val="00251CD4"/>
    <w:rsid w:val="00251EC5"/>
    <w:rsid w:val="00253320"/>
    <w:rsid w:val="00253D92"/>
    <w:rsid w:val="0025406B"/>
    <w:rsid w:val="00255E22"/>
    <w:rsid w:val="00256095"/>
    <w:rsid w:val="002562BC"/>
    <w:rsid w:val="002567B0"/>
    <w:rsid w:val="0025714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681"/>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6F2F"/>
    <w:rsid w:val="002870CD"/>
    <w:rsid w:val="0029063B"/>
    <w:rsid w:val="00290715"/>
    <w:rsid w:val="00293E45"/>
    <w:rsid w:val="00296000"/>
    <w:rsid w:val="002968E7"/>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6465"/>
    <w:rsid w:val="002A7BB7"/>
    <w:rsid w:val="002B03B4"/>
    <w:rsid w:val="002B15B5"/>
    <w:rsid w:val="002B1747"/>
    <w:rsid w:val="002B1CC9"/>
    <w:rsid w:val="002B2C18"/>
    <w:rsid w:val="002B3B08"/>
    <w:rsid w:val="002B40A7"/>
    <w:rsid w:val="002B439E"/>
    <w:rsid w:val="002B4AC7"/>
    <w:rsid w:val="002B4E5C"/>
    <w:rsid w:val="002B516B"/>
    <w:rsid w:val="002B6571"/>
    <w:rsid w:val="002B68AF"/>
    <w:rsid w:val="002B709B"/>
    <w:rsid w:val="002C07D1"/>
    <w:rsid w:val="002C0CCE"/>
    <w:rsid w:val="002C0D89"/>
    <w:rsid w:val="002C2D27"/>
    <w:rsid w:val="002C3E56"/>
    <w:rsid w:val="002C44EB"/>
    <w:rsid w:val="002C4E72"/>
    <w:rsid w:val="002C51E2"/>
    <w:rsid w:val="002C5BFC"/>
    <w:rsid w:val="002C6FAE"/>
    <w:rsid w:val="002D11BD"/>
    <w:rsid w:val="002D1C70"/>
    <w:rsid w:val="002D2336"/>
    <w:rsid w:val="002D2431"/>
    <w:rsid w:val="002D4A31"/>
    <w:rsid w:val="002D4D68"/>
    <w:rsid w:val="002D524C"/>
    <w:rsid w:val="002D5EA5"/>
    <w:rsid w:val="002D761C"/>
    <w:rsid w:val="002D78E2"/>
    <w:rsid w:val="002D7CB8"/>
    <w:rsid w:val="002E0E93"/>
    <w:rsid w:val="002E29EA"/>
    <w:rsid w:val="002E2D7C"/>
    <w:rsid w:val="002E3F60"/>
    <w:rsid w:val="002E400B"/>
    <w:rsid w:val="002E4090"/>
    <w:rsid w:val="002E4D19"/>
    <w:rsid w:val="002E53C1"/>
    <w:rsid w:val="002E5AF9"/>
    <w:rsid w:val="002E6704"/>
    <w:rsid w:val="002E6900"/>
    <w:rsid w:val="002E7FF0"/>
    <w:rsid w:val="002F09F8"/>
    <w:rsid w:val="002F0EEC"/>
    <w:rsid w:val="002F1534"/>
    <w:rsid w:val="002F18F4"/>
    <w:rsid w:val="002F3F48"/>
    <w:rsid w:val="002F437F"/>
    <w:rsid w:val="002F65E1"/>
    <w:rsid w:val="0030077C"/>
    <w:rsid w:val="003007A4"/>
    <w:rsid w:val="0030101D"/>
    <w:rsid w:val="003015C5"/>
    <w:rsid w:val="0030327A"/>
    <w:rsid w:val="00304467"/>
    <w:rsid w:val="00304E2E"/>
    <w:rsid w:val="003104B3"/>
    <w:rsid w:val="003137DC"/>
    <w:rsid w:val="003142B9"/>
    <w:rsid w:val="00316786"/>
    <w:rsid w:val="003170E4"/>
    <w:rsid w:val="00317AD1"/>
    <w:rsid w:val="003200D1"/>
    <w:rsid w:val="00320995"/>
    <w:rsid w:val="00320FC6"/>
    <w:rsid w:val="003226E3"/>
    <w:rsid w:val="0032349C"/>
    <w:rsid w:val="003246B4"/>
    <w:rsid w:val="003248CF"/>
    <w:rsid w:val="00325AF1"/>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6891"/>
    <w:rsid w:val="00337886"/>
    <w:rsid w:val="00337CD7"/>
    <w:rsid w:val="003408AF"/>
    <w:rsid w:val="003418D2"/>
    <w:rsid w:val="00342E7B"/>
    <w:rsid w:val="0034304F"/>
    <w:rsid w:val="00343447"/>
    <w:rsid w:val="00343583"/>
    <w:rsid w:val="00344135"/>
    <w:rsid w:val="00345486"/>
    <w:rsid w:val="00346D6E"/>
    <w:rsid w:val="00347720"/>
    <w:rsid w:val="0035072E"/>
    <w:rsid w:val="003514ED"/>
    <w:rsid w:val="003516DE"/>
    <w:rsid w:val="003519F8"/>
    <w:rsid w:val="00352D75"/>
    <w:rsid w:val="003533A0"/>
    <w:rsid w:val="00353500"/>
    <w:rsid w:val="0035369E"/>
    <w:rsid w:val="00353FA6"/>
    <w:rsid w:val="00356791"/>
    <w:rsid w:val="00356FAA"/>
    <w:rsid w:val="00357651"/>
    <w:rsid w:val="00357B9C"/>
    <w:rsid w:val="00360383"/>
    <w:rsid w:val="00360BD6"/>
    <w:rsid w:val="00360E3F"/>
    <w:rsid w:val="00363BD9"/>
    <w:rsid w:val="00364AF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246"/>
    <w:rsid w:val="003A3982"/>
    <w:rsid w:val="003A4499"/>
    <w:rsid w:val="003A5479"/>
    <w:rsid w:val="003A5A36"/>
    <w:rsid w:val="003A61BB"/>
    <w:rsid w:val="003A6201"/>
    <w:rsid w:val="003A6448"/>
    <w:rsid w:val="003A6917"/>
    <w:rsid w:val="003A76FD"/>
    <w:rsid w:val="003A7A6B"/>
    <w:rsid w:val="003A7FED"/>
    <w:rsid w:val="003B0274"/>
    <w:rsid w:val="003B05D3"/>
    <w:rsid w:val="003B3DFE"/>
    <w:rsid w:val="003B3E37"/>
    <w:rsid w:val="003B42E0"/>
    <w:rsid w:val="003B509D"/>
    <w:rsid w:val="003B583F"/>
    <w:rsid w:val="003B5DAD"/>
    <w:rsid w:val="003B69AF"/>
    <w:rsid w:val="003B78FD"/>
    <w:rsid w:val="003B7A01"/>
    <w:rsid w:val="003C0ECB"/>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0384"/>
    <w:rsid w:val="003E1544"/>
    <w:rsid w:val="003E1742"/>
    <w:rsid w:val="003E1947"/>
    <w:rsid w:val="003E20CF"/>
    <w:rsid w:val="003E356D"/>
    <w:rsid w:val="003E46AE"/>
    <w:rsid w:val="003E6A30"/>
    <w:rsid w:val="003E70FD"/>
    <w:rsid w:val="003E7202"/>
    <w:rsid w:val="003E759D"/>
    <w:rsid w:val="003E7E4D"/>
    <w:rsid w:val="003F0606"/>
    <w:rsid w:val="003F0B9B"/>
    <w:rsid w:val="003F3133"/>
    <w:rsid w:val="003F3890"/>
    <w:rsid w:val="003F3B50"/>
    <w:rsid w:val="003F3D61"/>
    <w:rsid w:val="003F4470"/>
    <w:rsid w:val="003F471A"/>
    <w:rsid w:val="003F6107"/>
    <w:rsid w:val="003F6324"/>
    <w:rsid w:val="00401A4E"/>
    <w:rsid w:val="00401B4F"/>
    <w:rsid w:val="00402599"/>
    <w:rsid w:val="00402B6F"/>
    <w:rsid w:val="00402BC7"/>
    <w:rsid w:val="00402DAC"/>
    <w:rsid w:val="004040BC"/>
    <w:rsid w:val="00407335"/>
    <w:rsid w:val="00407691"/>
    <w:rsid w:val="00410565"/>
    <w:rsid w:val="00411712"/>
    <w:rsid w:val="00411FBC"/>
    <w:rsid w:val="0041212F"/>
    <w:rsid w:val="0041231B"/>
    <w:rsid w:val="004128B0"/>
    <w:rsid w:val="00414F0C"/>
    <w:rsid w:val="00415073"/>
    <w:rsid w:val="00415733"/>
    <w:rsid w:val="00417818"/>
    <w:rsid w:val="00420FFA"/>
    <w:rsid w:val="00422FA4"/>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55BA"/>
    <w:rsid w:val="004459F7"/>
    <w:rsid w:val="00445B35"/>
    <w:rsid w:val="00446E1E"/>
    <w:rsid w:val="00447892"/>
    <w:rsid w:val="00447F55"/>
    <w:rsid w:val="00451B81"/>
    <w:rsid w:val="00451D9F"/>
    <w:rsid w:val="00451EBF"/>
    <w:rsid w:val="004522CB"/>
    <w:rsid w:val="00453AA2"/>
    <w:rsid w:val="00454315"/>
    <w:rsid w:val="00454CC4"/>
    <w:rsid w:val="0045656D"/>
    <w:rsid w:val="004614F7"/>
    <w:rsid w:val="0046476B"/>
    <w:rsid w:val="00465CDD"/>
    <w:rsid w:val="00465F11"/>
    <w:rsid w:val="00465F7C"/>
    <w:rsid w:val="00466070"/>
    <w:rsid w:val="00471BD4"/>
    <w:rsid w:val="00471D17"/>
    <w:rsid w:val="00476676"/>
    <w:rsid w:val="00477B76"/>
    <w:rsid w:val="0048066D"/>
    <w:rsid w:val="00480CEB"/>
    <w:rsid w:val="004828E7"/>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3EC7"/>
    <w:rsid w:val="004B4238"/>
    <w:rsid w:val="004B6529"/>
    <w:rsid w:val="004B7BB5"/>
    <w:rsid w:val="004C095C"/>
    <w:rsid w:val="004C09CF"/>
    <w:rsid w:val="004C349E"/>
    <w:rsid w:val="004C4436"/>
    <w:rsid w:val="004C4CA4"/>
    <w:rsid w:val="004C581E"/>
    <w:rsid w:val="004C5D85"/>
    <w:rsid w:val="004C6485"/>
    <w:rsid w:val="004C6939"/>
    <w:rsid w:val="004C6B74"/>
    <w:rsid w:val="004D04E2"/>
    <w:rsid w:val="004D07D7"/>
    <w:rsid w:val="004D0B93"/>
    <w:rsid w:val="004D11C3"/>
    <w:rsid w:val="004D179A"/>
    <w:rsid w:val="004D21CE"/>
    <w:rsid w:val="004D2B04"/>
    <w:rsid w:val="004D3BD5"/>
    <w:rsid w:val="004D414B"/>
    <w:rsid w:val="004D766B"/>
    <w:rsid w:val="004D7E88"/>
    <w:rsid w:val="004E1DBE"/>
    <w:rsid w:val="004E2483"/>
    <w:rsid w:val="004E24CF"/>
    <w:rsid w:val="004E42A4"/>
    <w:rsid w:val="004E44EA"/>
    <w:rsid w:val="004E503B"/>
    <w:rsid w:val="004E5961"/>
    <w:rsid w:val="004E6C5D"/>
    <w:rsid w:val="004E6DFD"/>
    <w:rsid w:val="004F01A1"/>
    <w:rsid w:val="004F045F"/>
    <w:rsid w:val="004F10EF"/>
    <w:rsid w:val="004F240C"/>
    <w:rsid w:val="004F2539"/>
    <w:rsid w:val="004F3F6A"/>
    <w:rsid w:val="004F43A8"/>
    <w:rsid w:val="004F4D03"/>
    <w:rsid w:val="004F54F7"/>
    <w:rsid w:val="004F68C4"/>
    <w:rsid w:val="00501811"/>
    <w:rsid w:val="0050337A"/>
    <w:rsid w:val="00504579"/>
    <w:rsid w:val="005053B2"/>
    <w:rsid w:val="0050661D"/>
    <w:rsid w:val="00506C1E"/>
    <w:rsid w:val="00507CBE"/>
    <w:rsid w:val="00510770"/>
    <w:rsid w:val="005121D1"/>
    <w:rsid w:val="00512B60"/>
    <w:rsid w:val="00513B31"/>
    <w:rsid w:val="00514459"/>
    <w:rsid w:val="0051447F"/>
    <w:rsid w:val="005162B9"/>
    <w:rsid w:val="00516335"/>
    <w:rsid w:val="005168A7"/>
    <w:rsid w:val="0051783A"/>
    <w:rsid w:val="005208AE"/>
    <w:rsid w:val="00521943"/>
    <w:rsid w:val="0052229B"/>
    <w:rsid w:val="005232E3"/>
    <w:rsid w:val="00524BBF"/>
    <w:rsid w:val="00526866"/>
    <w:rsid w:val="005345BE"/>
    <w:rsid w:val="00535196"/>
    <w:rsid w:val="00535B57"/>
    <w:rsid w:val="00535FC6"/>
    <w:rsid w:val="00537FCA"/>
    <w:rsid w:val="00540A1F"/>
    <w:rsid w:val="00540E1E"/>
    <w:rsid w:val="00541053"/>
    <w:rsid w:val="00541FF6"/>
    <w:rsid w:val="00543909"/>
    <w:rsid w:val="00543C68"/>
    <w:rsid w:val="00546269"/>
    <w:rsid w:val="00546EDD"/>
    <w:rsid w:val="005470AD"/>
    <w:rsid w:val="00547190"/>
    <w:rsid w:val="00547212"/>
    <w:rsid w:val="00550819"/>
    <w:rsid w:val="00551E3D"/>
    <w:rsid w:val="00552ABB"/>
    <w:rsid w:val="00552EA0"/>
    <w:rsid w:val="00553786"/>
    <w:rsid w:val="0055395D"/>
    <w:rsid w:val="00553A79"/>
    <w:rsid w:val="00553ED4"/>
    <w:rsid w:val="00554097"/>
    <w:rsid w:val="00554174"/>
    <w:rsid w:val="00554428"/>
    <w:rsid w:val="005554D3"/>
    <w:rsid w:val="005556D9"/>
    <w:rsid w:val="00555A69"/>
    <w:rsid w:val="00556102"/>
    <w:rsid w:val="0055730F"/>
    <w:rsid w:val="00560063"/>
    <w:rsid w:val="005600C6"/>
    <w:rsid w:val="00560A60"/>
    <w:rsid w:val="00561830"/>
    <w:rsid w:val="00561FC9"/>
    <w:rsid w:val="00564CBC"/>
    <w:rsid w:val="0056504D"/>
    <w:rsid w:val="005654CF"/>
    <w:rsid w:val="00565A42"/>
    <w:rsid w:val="005706CD"/>
    <w:rsid w:val="00570BC4"/>
    <w:rsid w:val="00570D9C"/>
    <w:rsid w:val="00570E72"/>
    <w:rsid w:val="00570EC0"/>
    <w:rsid w:val="00571378"/>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37E8"/>
    <w:rsid w:val="005A4320"/>
    <w:rsid w:val="005A4568"/>
    <w:rsid w:val="005A5B64"/>
    <w:rsid w:val="005A6BC2"/>
    <w:rsid w:val="005A70A6"/>
    <w:rsid w:val="005A77B9"/>
    <w:rsid w:val="005B0456"/>
    <w:rsid w:val="005B0707"/>
    <w:rsid w:val="005B0BAC"/>
    <w:rsid w:val="005B174E"/>
    <w:rsid w:val="005B2D1A"/>
    <w:rsid w:val="005B3DD7"/>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4F80"/>
    <w:rsid w:val="005D53CD"/>
    <w:rsid w:val="005D5E45"/>
    <w:rsid w:val="005D6BB5"/>
    <w:rsid w:val="005E2F8C"/>
    <w:rsid w:val="005E322A"/>
    <w:rsid w:val="005E3B8F"/>
    <w:rsid w:val="005E3F8F"/>
    <w:rsid w:val="005E420F"/>
    <w:rsid w:val="005E46DB"/>
    <w:rsid w:val="005E665B"/>
    <w:rsid w:val="005E699B"/>
    <w:rsid w:val="005F0FB2"/>
    <w:rsid w:val="005F193F"/>
    <w:rsid w:val="005F1C13"/>
    <w:rsid w:val="005F204A"/>
    <w:rsid w:val="005F2F76"/>
    <w:rsid w:val="005F33EE"/>
    <w:rsid w:val="005F3BA0"/>
    <w:rsid w:val="005F4C10"/>
    <w:rsid w:val="005F5414"/>
    <w:rsid w:val="005F59A7"/>
    <w:rsid w:val="005F5CBE"/>
    <w:rsid w:val="005F6E38"/>
    <w:rsid w:val="0060050E"/>
    <w:rsid w:val="0060090A"/>
    <w:rsid w:val="00600D92"/>
    <w:rsid w:val="00600DB7"/>
    <w:rsid w:val="00601EA2"/>
    <w:rsid w:val="00602D99"/>
    <w:rsid w:val="00602DD5"/>
    <w:rsid w:val="006037B8"/>
    <w:rsid w:val="00603F0D"/>
    <w:rsid w:val="00604EA4"/>
    <w:rsid w:val="0060511B"/>
    <w:rsid w:val="00605334"/>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DB1"/>
    <w:rsid w:val="00624FCF"/>
    <w:rsid w:val="00625A26"/>
    <w:rsid w:val="006260CE"/>
    <w:rsid w:val="006260F8"/>
    <w:rsid w:val="0063008E"/>
    <w:rsid w:val="00630818"/>
    <w:rsid w:val="00632076"/>
    <w:rsid w:val="0063311F"/>
    <w:rsid w:val="00633456"/>
    <w:rsid w:val="00633C40"/>
    <w:rsid w:val="00634861"/>
    <w:rsid w:val="00634A29"/>
    <w:rsid w:val="00634D33"/>
    <w:rsid w:val="00634D92"/>
    <w:rsid w:val="00634E90"/>
    <w:rsid w:val="00635858"/>
    <w:rsid w:val="00636FAA"/>
    <w:rsid w:val="00636FEA"/>
    <w:rsid w:val="0063744B"/>
    <w:rsid w:val="00637601"/>
    <w:rsid w:val="00637824"/>
    <w:rsid w:val="00640719"/>
    <w:rsid w:val="00640F23"/>
    <w:rsid w:val="00641930"/>
    <w:rsid w:val="00641BC0"/>
    <w:rsid w:val="00642189"/>
    <w:rsid w:val="00643125"/>
    <w:rsid w:val="00643831"/>
    <w:rsid w:val="00644D44"/>
    <w:rsid w:val="00647178"/>
    <w:rsid w:val="0064748B"/>
    <w:rsid w:val="00647698"/>
    <w:rsid w:val="00647E4C"/>
    <w:rsid w:val="00647E9E"/>
    <w:rsid w:val="0065015C"/>
    <w:rsid w:val="00650AD1"/>
    <w:rsid w:val="00651357"/>
    <w:rsid w:val="00653CE0"/>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3324"/>
    <w:rsid w:val="006754D5"/>
    <w:rsid w:val="00675F54"/>
    <w:rsid w:val="00676DE9"/>
    <w:rsid w:val="00676E38"/>
    <w:rsid w:val="006772FC"/>
    <w:rsid w:val="00680135"/>
    <w:rsid w:val="0068066B"/>
    <w:rsid w:val="00681037"/>
    <w:rsid w:val="006819DE"/>
    <w:rsid w:val="00681D43"/>
    <w:rsid w:val="00682641"/>
    <w:rsid w:val="006832EE"/>
    <w:rsid w:val="00683475"/>
    <w:rsid w:val="00683A2A"/>
    <w:rsid w:val="00683D44"/>
    <w:rsid w:val="00683E9C"/>
    <w:rsid w:val="0068626B"/>
    <w:rsid w:val="00687E1E"/>
    <w:rsid w:val="0069079A"/>
    <w:rsid w:val="00690DED"/>
    <w:rsid w:val="0069142C"/>
    <w:rsid w:val="00692634"/>
    <w:rsid w:val="00692771"/>
    <w:rsid w:val="006939A2"/>
    <w:rsid w:val="00694022"/>
    <w:rsid w:val="006956C5"/>
    <w:rsid w:val="00695726"/>
    <w:rsid w:val="006962D7"/>
    <w:rsid w:val="00696EF6"/>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603"/>
    <w:rsid w:val="006B677D"/>
    <w:rsid w:val="006B6DC6"/>
    <w:rsid w:val="006B72FC"/>
    <w:rsid w:val="006B746D"/>
    <w:rsid w:val="006B797F"/>
    <w:rsid w:val="006C05F9"/>
    <w:rsid w:val="006C09B8"/>
    <w:rsid w:val="006C1052"/>
    <w:rsid w:val="006C2C62"/>
    <w:rsid w:val="006C319B"/>
    <w:rsid w:val="006C34CB"/>
    <w:rsid w:val="006C4236"/>
    <w:rsid w:val="006C43C1"/>
    <w:rsid w:val="006C4687"/>
    <w:rsid w:val="006C5C78"/>
    <w:rsid w:val="006C5DF3"/>
    <w:rsid w:val="006C61E6"/>
    <w:rsid w:val="006C6F7D"/>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1F73"/>
    <w:rsid w:val="006F2022"/>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403"/>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45D3"/>
    <w:rsid w:val="00726DA5"/>
    <w:rsid w:val="00730428"/>
    <w:rsid w:val="00731B12"/>
    <w:rsid w:val="00731D6D"/>
    <w:rsid w:val="00732258"/>
    <w:rsid w:val="007339CE"/>
    <w:rsid w:val="00733A7D"/>
    <w:rsid w:val="00733B04"/>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7C"/>
    <w:rsid w:val="00756CCA"/>
    <w:rsid w:val="0076116D"/>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27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4A58"/>
    <w:rsid w:val="007B5D4E"/>
    <w:rsid w:val="007B6782"/>
    <w:rsid w:val="007B6957"/>
    <w:rsid w:val="007B7581"/>
    <w:rsid w:val="007B7A7A"/>
    <w:rsid w:val="007C06C1"/>
    <w:rsid w:val="007C070F"/>
    <w:rsid w:val="007C180E"/>
    <w:rsid w:val="007C1812"/>
    <w:rsid w:val="007C1AF4"/>
    <w:rsid w:val="007C29E7"/>
    <w:rsid w:val="007C49CD"/>
    <w:rsid w:val="007C4B87"/>
    <w:rsid w:val="007C5422"/>
    <w:rsid w:val="007C56ED"/>
    <w:rsid w:val="007C60BE"/>
    <w:rsid w:val="007C60F0"/>
    <w:rsid w:val="007C75E7"/>
    <w:rsid w:val="007C7BA8"/>
    <w:rsid w:val="007D0947"/>
    <w:rsid w:val="007D0B3A"/>
    <w:rsid w:val="007D20BA"/>
    <w:rsid w:val="007D22AA"/>
    <w:rsid w:val="007D3B05"/>
    <w:rsid w:val="007D5851"/>
    <w:rsid w:val="007D64F5"/>
    <w:rsid w:val="007D6A4B"/>
    <w:rsid w:val="007D6FBB"/>
    <w:rsid w:val="007D71D0"/>
    <w:rsid w:val="007D7F76"/>
    <w:rsid w:val="007D7FF3"/>
    <w:rsid w:val="007E0534"/>
    <w:rsid w:val="007E0753"/>
    <w:rsid w:val="007E0825"/>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AFD"/>
    <w:rsid w:val="00804BE0"/>
    <w:rsid w:val="0080519A"/>
    <w:rsid w:val="00805ED6"/>
    <w:rsid w:val="00806538"/>
    <w:rsid w:val="00806D1E"/>
    <w:rsid w:val="008073B8"/>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4F1"/>
    <w:rsid w:val="008205E9"/>
    <w:rsid w:val="00821304"/>
    <w:rsid w:val="00823286"/>
    <w:rsid w:val="0082334C"/>
    <w:rsid w:val="00823B5C"/>
    <w:rsid w:val="008259DF"/>
    <w:rsid w:val="00825F4A"/>
    <w:rsid w:val="00826CA7"/>
    <w:rsid w:val="008271D6"/>
    <w:rsid w:val="00827430"/>
    <w:rsid w:val="008276D2"/>
    <w:rsid w:val="008309D9"/>
    <w:rsid w:val="00830CAF"/>
    <w:rsid w:val="00831529"/>
    <w:rsid w:val="00833019"/>
    <w:rsid w:val="008336DD"/>
    <w:rsid w:val="00833FF4"/>
    <w:rsid w:val="00834875"/>
    <w:rsid w:val="008352A7"/>
    <w:rsid w:val="008356E4"/>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CCF"/>
    <w:rsid w:val="00852D66"/>
    <w:rsid w:val="00855A34"/>
    <w:rsid w:val="0085641F"/>
    <w:rsid w:val="00857BAF"/>
    <w:rsid w:val="008613BF"/>
    <w:rsid w:val="00861A3A"/>
    <w:rsid w:val="00861E51"/>
    <w:rsid w:val="0086276F"/>
    <w:rsid w:val="00862E13"/>
    <w:rsid w:val="00863349"/>
    <w:rsid w:val="00863DAF"/>
    <w:rsid w:val="0086487A"/>
    <w:rsid w:val="00864B11"/>
    <w:rsid w:val="00864B81"/>
    <w:rsid w:val="008666C0"/>
    <w:rsid w:val="0086689F"/>
    <w:rsid w:val="00870ED2"/>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571"/>
    <w:rsid w:val="00890CDB"/>
    <w:rsid w:val="00891FDB"/>
    <w:rsid w:val="008920E3"/>
    <w:rsid w:val="00892D3F"/>
    <w:rsid w:val="00893041"/>
    <w:rsid w:val="00894248"/>
    <w:rsid w:val="00895031"/>
    <w:rsid w:val="00895E8A"/>
    <w:rsid w:val="00897D5C"/>
    <w:rsid w:val="008A00AA"/>
    <w:rsid w:val="008A053A"/>
    <w:rsid w:val="008A1623"/>
    <w:rsid w:val="008A3ED4"/>
    <w:rsid w:val="008A4555"/>
    <w:rsid w:val="008A5B6E"/>
    <w:rsid w:val="008A6029"/>
    <w:rsid w:val="008A6FC2"/>
    <w:rsid w:val="008A70B8"/>
    <w:rsid w:val="008B07CC"/>
    <w:rsid w:val="008B0DBE"/>
    <w:rsid w:val="008B156A"/>
    <w:rsid w:val="008B1576"/>
    <w:rsid w:val="008B25C0"/>
    <w:rsid w:val="008B272B"/>
    <w:rsid w:val="008B3093"/>
    <w:rsid w:val="008B3BC9"/>
    <w:rsid w:val="008B462F"/>
    <w:rsid w:val="008B5555"/>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C86"/>
    <w:rsid w:val="008E2F9B"/>
    <w:rsid w:val="008E3170"/>
    <w:rsid w:val="008E33C0"/>
    <w:rsid w:val="008E3C50"/>
    <w:rsid w:val="008E4920"/>
    <w:rsid w:val="008E5F12"/>
    <w:rsid w:val="008E5F49"/>
    <w:rsid w:val="008E6401"/>
    <w:rsid w:val="008F0D41"/>
    <w:rsid w:val="008F11D8"/>
    <w:rsid w:val="008F1B58"/>
    <w:rsid w:val="008F2B0C"/>
    <w:rsid w:val="008F52E0"/>
    <w:rsid w:val="008F5519"/>
    <w:rsid w:val="008F56EE"/>
    <w:rsid w:val="008F6392"/>
    <w:rsid w:val="008F63A9"/>
    <w:rsid w:val="008F67DB"/>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8B4"/>
    <w:rsid w:val="00922908"/>
    <w:rsid w:val="00922BEA"/>
    <w:rsid w:val="00923797"/>
    <w:rsid w:val="00924F38"/>
    <w:rsid w:val="00927DBB"/>
    <w:rsid w:val="00930445"/>
    <w:rsid w:val="009311CE"/>
    <w:rsid w:val="00932222"/>
    <w:rsid w:val="00932291"/>
    <w:rsid w:val="00932DB6"/>
    <w:rsid w:val="00932DC8"/>
    <w:rsid w:val="00932DE9"/>
    <w:rsid w:val="00934232"/>
    <w:rsid w:val="009345FB"/>
    <w:rsid w:val="00934D58"/>
    <w:rsid w:val="00934EB1"/>
    <w:rsid w:val="00934FDB"/>
    <w:rsid w:val="00935283"/>
    <w:rsid w:val="009352A6"/>
    <w:rsid w:val="009358D9"/>
    <w:rsid w:val="00935F05"/>
    <w:rsid w:val="00937073"/>
    <w:rsid w:val="00940348"/>
    <w:rsid w:val="009411B9"/>
    <w:rsid w:val="00944DC6"/>
    <w:rsid w:val="00945B83"/>
    <w:rsid w:val="009468BF"/>
    <w:rsid w:val="0094726A"/>
    <w:rsid w:val="0094759D"/>
    <w:rsid w:val="009476DE"/>
    <w:rsid w:val="00954096"/>
    <w:rsid w:val="00955101"/>
    <w:rsid w:val="009552BF"/>
    <w:rsid w:val="009557B6"/>
    <w:rsid w:val="0095597C"/>
    <w:rsid w:val="009566AB"/>
    <w:rsid w:val="00956744"/>
    <w:rsid w:val="00957131"/>
    <w:rsid w:val="00957CB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03"/>
    <w:rsid w:val="00982EFE"/>
    <w:rsid w:val="00984EDD"/>
    <w:rsid w:val="0098612C"/>
    <w:rsid w:val="009864DF"/>
    <w:rsid w:val="0098686E"/>
    <w:rsid w:val="00986907"/>
    <w:rsid w:val="0099085E"/>
    <w:rsid w:val="00990BF0"/>
    <w:rsid w:val="00990F54"/>
    <w:rsid w:val="009915DD"/>
    <w:rsid w:val="0099480C"/>
    <w:rsid w:val="00994A9A"/>
    <w:rsid w:val="00995D4D"/>
    <w:rsid w:val="00995E92"/>
    <w:rsid w:val="00996AAC"/>
    <w:rsid w:val="009970F9"/>
    <w:rsid w:val="0099780E"/>
    <w:rsid w:val="009A03A3"/>
    <w:rsid w:val="009A430D"/>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68E9"/>
    <w:rsid w:val="009D71D0"/>
    <w:rsid w:val="009D7291"/>
    <w:rsid w:val="009D7F09"/>
    <w:rsid w:val="009E0380"/>
    <w:rsid w:val="009E11AD"/>
    <w:rsid w:val="009E250E"/>
    <w:rsid w:val="009E2B8F"/>
    <w:rsid w:val="009E38A0"/>
    <w:rsid w:val="009E3A86"/>
    <w:rsid w:val="009E3F27"/>
    <w:rsid w:val="009E40CD"/>
    <w:rsid w:val="009E5144"/>
    <w:rsid w:val="009E7854"/>
    <w:rsid w:val="009F2B81"/>
    <w:rsid w:val="009F3412"/>
    <w:rsid w:val="009F399F"/>
    <w:rsid w:val="009F41E5"/>
    <w:rsid w:val="009F4B84"/>
    <w:rsid w:val="009F5B76"/>
    <w:rsid w:val="009F5E85"/>
    <w:rsid w:val="009F62BD"/>
    <w:rsid w:val="009F667A"/>
    <w:rsid w:val="009F68EE"/>
    <w:rsid w:val="009F6E9C"/>
    <w:rsid w:val="00A0269F"/>
    <w:rsid w:val="00A029B0"/>
    <w:rsid w:val="00A0555E"/>
    <w:rsid w:val="00A0603A"/>
    <w:rsid w:val="00A077C5"/>
    <w:rsid w:val="00A07C79"/>
    <w:rsid w:val="00A07E9F"/>
    <w:rsid w:val="00A108FA"/>
    <w:rsid w:val="00A109FF"/>
    <w:rsid w:val="00A1275A"/>
    <w:rsid w:val="00A12B20"/>
    <w:rsid w:val="00A13C3E"/>
    <w:rsid w:val="00A13DED"/>
    <w:rsid w:val="00A15467"/>
    <w:rsid w:val="00A15859"/>
    <w:rsid w:val="00A167A3"/>
    <w:rsid w:val="00A16E45"/>
    <w:rsid w:val="00A17FE5"/>
    <w:rsid w:val="00A220A2"/>
    <w:rsid w:val="00A23AB7"/>
    <w:rsid w:val="00A24EC6"/>
    <w:rsid w:val="00A25D98"/>
    <w:rsid w:val="00A30D22"/>
    <w:rsid w:val="00A32571"/>
    <w:rsid w:val="00A35C44"/>
    <w:rsid w:val="00A36AC4"/>
    <w:rsid w:val="00A37F08"/>
    <w:rsid w:val="00A40F4A"/>
    <w:rsid w:val="00A41855"/>
    <w:rsid w:val="00A4226D"/>
    <w:rsid w:val="00A42474"/>
    <w:rsid w:val="00A4299A"/>
    <w:rsid w:val="00A43113"/>
    <w:rsid w:val="00A43A56"/>
    <w:rsid w:val="00A466BC"/>
    <w:rsid w:val="00A469B1"/>
    <w:rsid w:val="00A46BAE"/>
    <w:rsid w:val="00A47406"/>
    <w:rsid w:val="00A474ED"/>
    <w:rsid w:val="00A47AD1"/>
    <w:rsid w:val="00A502C7"/>
    <w:rsid w:val="00A5101E"/>
    <w:rsid w:val="00A518E4"/>
    <w:rsid w:val="00A533FB"/>
    <w:rsid w:val="00A538D8"/>
    <w:rsid w:val="00A54E3C"/>
    <w:rsid w:val="00A55D34"/>
    <w:rsid w:val="00A56331"/>
    <w:rsid w:val="00A56429"/>
    <w:rsid w:val="00A5693F"/>
    <w:rsid w:val="00A57BB5"/>
    <w:rsid w:val="00A610CE"/>
    <w:rsid w:val="00A61197"/>
    <w:rsid w:val="00A630C4"/>
    <w:rsid w:val="00A63499"/>
    <w:rsid w:val="00A6535D"/>
    <w:rsid w:val="00A65D1B"/>
    <w:rsid w:val="00A6698E"/>
    <w:rsid w:val="00A66C44"/>
    <w:rsid w:val="00A702A0"/>
    <w:rsid w:val="00A709AE"/>
    <w:rsid w:val="00A70D62"/>
    <w:rsid w:val="00A718C0"/>
    <w:rsid w:val="00A7204F"/>
    <w:rsid w:val="00A728B6"/>
    <w:rsid w:val="00A729F2"/>
    <w:rsid w:val="00A748D2"/>
    <w:rsid w:val="00A76340"/>
    <w:rsid w:val="00A766C3"/>
    <w:rsid w:val="00A769FE"/>
    <w:rsid w:val="00A7717F"/>
    <w:rsid w:val="00A77BAE"/>
    <w:rsid w:val="00A80990"/>
    <w:rsid w:val="00A80E75"/>
    <w:rsid w:val="00A81543"/>
    <w:rsid w:val="00A81DF9"/>
    <w:rsid w:val="00A832FB"/>
    <w:rsid w:val="00A83BC7"/>
    <w:rsid w:val="00A84238"/>
    <w:rsid w:val="00A861EE"/>
    <w:rsid w:val="00A8751B"/>
    <w:rsid w:val="00A875A2"/>
    <w:rsid w:val="00A929F9"/>
    <w:rsid w:val="00A93235"/>
    <w:rsid w:val="00A96347"/>
    <w:rsid w:val="00A97E9A"/>
    <w:rsid w:val="00AA04F0"/>
    <w:rsid w:val="00AA35AB"/>
    <w:rsid w:val="00AA3A64"/>
    <w:rsid w:val="00AA6479"/>
    <w:rsid w:val="00AB0A54"/>
    <w:rsid w:val="00AB14A9"/>
    <w:rsid w:val="00AB1F0D"/>
    <w:rsid w:val="00AB2AB5"/>
    <w:rsid w:val="00AB337B"/>
    <w:rsid w:val="00AB6566"/>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49E8"/>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AA"/>
    <w:rsid w:val="00AF38E9"/>
    <w:rsid w:val="00AF3A97"/>
    <w:rsid w:val="00AF3EF6"/>
    <w:rsid w:val="00AF4FDD"/>
    <w:rsid w:val="00AF608F"/>
    <w:rsid w:val="00AF6CA7"/>
    <w:rsid w:val="00AF6F59"/>
    <w:rsid w:val="00B0053A"/>
    <w:rsid w:val="00B006B9"/>
    <w:rsid w:val="00B00EE7"/>
    <w:rsid w:val="00B01140"/>
    <w:rsid w:val="00B02045"/>
    <w:rsid w:val="00B03571"/>
    <w:rsid w:val="00B04931"/>
    <w:rsid w:val="00B051F8"/>
    <w:rsid w:val="00B05EED"/>
    <w:rsid w:val="00B0667C"/>
    <w:rsid w:val="00B06B06"/>
    <w:rsid w:val="00B07984"/>
    <w:rsid w:val="00B107CE"/>
    <w:rsid w:val="00B118EB"/>
    <w:rsid w:val="00B126F7"/>
    <w:rsid w:val="00B12C89"/>
    <w:rsid w:val="00B13DF4"/>
    <w:rsid w:val="00B15A48"/>
    <w:rsid w:val="00B16DBE"/>
    <w:rsid w:val="00B17B0D"/>
    <w:rsid w:val="00B20715"/>
    <w:rsid w:val="00B21427"/>
    <w:rsid w:val="00B22CD8"/>
    <w:rsid w:val="00B22E62"/>
    <w:rsid w:val="00B24A34"/>
    <w:rsid w:val="00B25BB7"/>
    <w:rsid w:val="00B26CC0"/>
    <w:rsid w:val="00B26E58"/>
    <w:rsid w:val="00B315FB"/>
    <w:rsid w:val="00B31F3C"/>
    <w:rsid w:val="00B327E6"/>
    <w:rsid w:val="00B33824"/>
    <w:rsid w:val="00B341BA"/>
    <w:rsid w:val="00B341D2"/>
    <w:rsid w:val="00B342BA"/>
    <w:rsid w:val="00B342FA"/>
    <w:rsid w:val="00B361F6"/>
    <w:rsid w:val="00B37006"/>
    <w:rsid w:val="00B40C36"/>
    <w:rsid w:val="00B42732"/>
    <w:rsid w:val="00B43126"/>
    <w:rsid w:val="00B43723"/>
    <w:rsid w:val="00B4508B"/>
    <w:rsid w:val="00B45322"/>
    <w:rsid w:val="00B4661E"/>
    <w:rsid w:val="00B46C01"/>
    <w:rsid w:val="00B471E8"/>
    <w:rsid w:val="00B47A38"/>
    <w:rsid w:val="00B5065C"/>
    <w:rsid w:val="00B516D4"/>
    <w:rsid w:val="00B51B91"/>
    <w:rsid w:val="00B51CF1"/>
    <w:rsid w:val="00B52274"/>
    <w:rsid w:val="00B53150"/>
    <w:rsid w:val="00B554CA"/>
    <w:rsid w:val="00B556DA"/>
    <w:rsid w:val="00B55E3E"/>
    <w:rsid w:val="00B561AB"/>
    <w:rsid w:val="00B56359"/>
    <w:rsid w:val="00B56B85"/>
    <w:rsid w:val="00B56E8B"/>
    <w:rsid w:val="00B60541"/>
    <w:rsid w:val="00B6066B"/>
    <w:rsid w:val="00B61A7B"/>
    <w:rsid w:val="00B6278F"/>
    <w:rsid w:val="00B63D00"/>
    <w:rsid w:val="00B646F2"/>
    <w:rsid w:val="00B64F5F"/>
    <w:rsid w:val="00B670F9"/>
    <w:rsid w:val="00B677AF"/>
    <w:rsid w:val="00B70836"/>
    <w:rsid w:val="00B71E5D"/>
    <w:rsid w:val="00B724A6"/>
    <w:rsid w:val="00B72AEA"/>
    <w:rsid w:val="00B73D63"/>
    <w:rsid w:val="00B740DB"/>
    <w:rsid w:val="00B75C2D"/>
    <w:rsid w:val="00B76378"/>
    <w:rsid w:val="00B76523"/>
    <w:rsid w:val="00B779A3"/>
    <w:rsid w:val="00B77B9A"/>
    <w:rsid w:val="00B77DF3"/>
    <w:rsid w:val="00B8103E"/>
    <w:rsid w:val="00B8145D"/>
    <w:rsid w:val="00B821C4"/>
    <w:rsid w:val="00B82347"/>
    <w:rsid w:val="00B826A6"/>
    <w:rsid w:val="00B8331D"/>
    <w:rsid w:val="00B8334B"/>
    <w:rsid w:val="00B83A29"/>
    <w:rsid w:val="00B83BD6"/>
    <w:rsid w:val="00B83EC3"/>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1A1F"/>
    <w:rsid w:val="00BD3CFF"/>
    <w:rsid w:val="00BD444B"/>
    <w:rsid w:val="00BD45A1"/>
    <w:rsid w:val="00BD4933"/>
    <w:rsid w:val="00BD5EE3"/>
    <w:rsid w:val="00BD7907"/>
    <w:rsid w:val="00BE0730"/>
    <w:rsid w:val="00BE075B"/>
    <w:rsid w:val="00BE1986"/>
    <w:rsid w:val="00BE211C"/>
    <w:rsid w:val="00BE3047"/>
    <w:rsid w:val="00BE38C9"/>
    <w:rsid w:val="00BE42FB"/>
    <w:rsid w:val="00BE5756"/>
    <w:rsid w:val="00BE657A"/>
    <w:rsid w:val="00BE6F02"/>
    <w:rsid w:val="00BF2D5C"/>
    <w:rsid w:val="00BF2FAA"/>
    <w:rsid w:val="00BF3C85"/>
    <w:rsid w:val="00BF425F"/>
    <w:rsid w:val="00BF668F"/>
    <w:rsid w:val="00BF6B22"/>
    <w:rsid w:val="00C03C87"/>
    <w:rsid w:val="00C04A80"/>
    <w:rsid w:val="00C05571"/>
    <w:rsid w:val="00C06235"/>
    <w:rsid w:val="00C07480"/>
    <w:rsid w:val="00C07E3A"/>
    <w:rsid w:val="00C1027C"/>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060"/>
    <w:rsid w:val="00C256EE"/>
    <w:rsid w:val="00C25700"/>
    <w:rsid w:val="00C26927"/>
    <w:rsid w:val="00C27899"/>
    <w:rsid w:val="00C300AC"/>
    <w:rsid w:val="00C30902"/>
    <w:rsid w:val="00C30EF4"/>
    <w:rsid w:val="00C31FD3"/>
    <w:rsid w:val="00C324DA"/>
    <w:rsid w:val="00C33D63"/>
    <w:rsid w:val="00C35685"/>
    <w:rsid w:val="00C402B6"/>
    <w:rsid w:val="00C4087E"/>
    <w:rsid w:val="00C40F41"/>
    <w:rsid w:val="00C41B0C"/>
    <w:rsid w:val="00C430F8"/>
    <w:rsid w:val="00C439E9"/>
    <w:rsid w:val="00C43AA2"/>
    <w:rsid w:val="00C4424F"/>
    <w:rsid w:val="00C46B02"/>
    <w:rsid w:val="00C47A39"/>
    <w:rsid w:val="00C47D60"/>
    <w:rsid w:val="00C47D70"/>
    <w:rsid w:val="00C50235"/>
    <w:rsid w:val="00C51A6C"/>
    <w:rsid w:val="00C522C2"/>
    <w:rsid w:val="00C52B39"/>
    <w:rsid w:val="00C53C26"/>
    <w:rsid w:val="00C547B7"/>
    <w:rsid w:val="00C54B6B"/>
    <w:rsid w:val="00C55164"/>
    <w:rsid w:val="00C55C55"/>
    <w:rsid w:val="00C55E58"/>
    <w:rsid w:val="00C56346"/>
    <w:rsid w:val="00C57013"/>
    <w:rsid w:val="00C570BE"/>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196"/>
    <w:rsid w:val="00C73688"/>
    <w:rsid w:val="00C746A5"/>
    <w:rsid w:val="00C74734"/>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0FD1"/>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328"/>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265"/>
    <w:rsid w:val="00CF3741"/>
    <w:rsid w:val="00CF3B96"/>
    <w:rsid w:val="00CF59C9"/>
    <w:rsid w:val="00CF5E5C"/>
    <w:rsid w:val="00D03123"/>
    <w:rsid w:val="00D033EA"/>
    <w:rsid w:val="00D037DA"/>
    <w:rsid w:val="00D03987"/>
    <w:rsid w:val="00D03DA8"/>
    <w:rsid w:val="00D04B94"/>
    <w:rsid w:val="00D04CB7"/>
    <w:rsid w:val="00D06043"/>
    <w:rsid w:val="00D06B9A"/>
    <w:rsid w:val="00D103EB"/>
    <w:rsid w:val="00D12D8B"/>
    <w:rsid w:val="00D136E5"/>
    <w:rsid w:val="00D148F1"/>
    <w:rsid w:val="00D149E0"/>
    <w:rsid w:val="00D151FF"/>
    <w:rsid w:val="00D15962"/>
    <w:rsid w:val="00D15F89"/>
    <w:rsid w:val="00D16F8F"/>
    <w:rsid w:val="00D172DA"/>
    <w:rsid w:val="00D1781A"/>
    <w:rsid w:val="00D20308"/>
    <w:rsid w:val="00D21550"/>
    <w:rsid w:val="00D21943"/>
    <w:rsid w:val="00D21E92"/>
    <w:rsid w:val="00D222C0"/>
    <w:rsid w:val="00D222D3"/>
    <w:rsid w:val="00D22F72"/>
    <w:rsid w:val="00D231D5"/>
    <w:rsid w:val="00D2493A"/>
    <w:rsid w:val="00D24A86"/>
    <w:rsid w:val="00D24E76"/>
    <w:rsid w:val="00D24F4A"/>
    <w:rsid w:val="00D272C3"/>
    <w:rsid w:val="00D27520"/>
    <w:rsid w:val="00D27E71"/>
    <w:rsid w:val="00D31565"/>
    <w:rsid w:val="00D31645"/>
    <w:rsid w:val="00D33958"/>
    <w:rsid w:val="00D3443F"/>
    <w:rsid w:val="00D34687"/>
    <w:rsid w:val="00D34911"/>
    <w:rsid w:val="00D3519A"/>
    <w:rsid w:val="00D355D5"/>
    <w:rsid w:val="00D36541"/>
    <w:rsid w:val="00D366F4"/>
    <w:rsid w:val="00D36CA6"/>
    <w:rsid w:val="00D36D40"/>
    <w:rsid w:val="00D37962"/>
    <w:rsid w:val="00D37D96"/>
    <w:rsid w:val="00D40222"/>
    <w:rsid w:val="00D40C87"/>
    <w:rsid w:val="00D40EDC"/>
    <w:rsid w:val="00D410EF"/>
    <w:rsid w:val="00D425A4"/>
    <w:rsid w:val="00D4266A"/>
    <w:rsid w:val="00D4270C"/>
    <w:rsid w:val="00D4273D"/>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5CA"/>
    <w:rsid w:val="00D61D31"/>
    <w:rsid w:val="00D6265D"/>
    <w:rsid w:val="00D63A1D"/>
    <w:rsid w:val="00D649CF"/>
    <w:rsid w:val="00D64FB1"/>
    <w:rsid w:val="00D65820"/>
    <w:rsid w:val="00D65D52"/>
    <w:rsid w:val="00D6637C"/>
    <w:rsid w:val="00D67436"/>
    <w:rsid w:val="00D70B3A"/>
    <w:rsid w:val="00D71850"/>
    <w:rsid w:val="00D731EE"/>
    <w:rsid w:val="00D734D0"/>
    <w:rsid w:val="00D74513"/>
    <w:rsid w:val="00D74B98"/>
    <w:rsid w:val="00D75C5F"/>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1AA"/>
    <w:rsid w:val="00DB1945"/>
    <w:rsid w:val="00DB1A45"/>
    <w:rsid w:val="00DB39CD"/>
    <w:rsid w:val="00DB42A5"/>
    <w:rsid w:val="00DB4566"/>
    <w:rsid w:val="00DB4CA5"/>
    <w:rsid w:val="00DB5579"/>
    <w:rsid w:val="00DB582C"/>
    <w:rsid w:val="00DB6247"/>
    <w:rsid w:val="00DB7B99"/>
    <w:rsid w:val="00DC0526"/>
    <w:rsid w:val="00DC05CD"/>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06F9"/>
    <w:rsid w:val="00DD1B58"/>
    <w:rsid w:val="00DD2540"/>
    <w:rsid w:val="00DD2DF9"/>
    <w:rsid w:val="00DD2EBD"/>
    <w:rsid w:val="00DD465E"/>
    <w:rsid w:val="00DD4C59"/>
    <w:rsid w:val="00DD61C1"/>
    <w:rsid w:val="00DD65CD"/>
    <w:rsid w:val="00DE0A1B"/>
    <w:rsid w:val="00DE109D"/>
    <w:rsid w:val="00DE1D00"/>
    <w:rsid w:val="00DE2114"/>
    <w:rsid w:val="00DE2151"/>
    <w:rsid w:val="00DE2A5D"/>
    <w:rsid w:val="00DE5966"/>
    <w:rsid w:val="00DF053D"/>
    <w:rsid w:val="00DF132E"/>
    <w:rsid w:val="00DF1E1E"/>
    <w:rsid w:val="00DF45F7"/>
    <w:rsid w:val="00DF47CA"/>
    <w:rsid w:val="00DF5B27"/>
    <w:rsid w:val="00DF5E62"/>
    <w:rsid w:val="00DF62EB"/>
    <w:rsid w:val="00E00B1A"/>
    <w:rsid w:val="00E00BB5"/>
    <w:rsid w:val="00E00F07"/>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32F"/>
    <w:rsid w:val="00E24FF2"/>
    <w:rsid w:val="00E30523"/>
    <w:rsid w:val="00E3076A"/>
    <w:rsid w:val="00E3141A"/>
    <w:rsid w:val="00E31B7A"/>
    <w:rsid w:val="00E3267C"/>
    <w:rsid w:val="00E33385"/>
    <w:rsid w:val="00E3347D"/>
    <w:rsid w:val="00E34219"/>
    <w:rsid w:val="00E34981"/>
    <w:rsid w:val="00E3525D"/>
    <w:rsid w:val="00E35902"/>
    <w:rsid w:val="00E3699D"/>
    <w:rsid w:val="00E36A82"/>
    <w:rsid w:val="00E36E68"/>
    <w:rsid w:val="00E37B9D"/>
    <w:rsid w:val="00E402E2"/>
    <w:rsid w:val="00E40D18"/>
    <w:rsid w:val="00E43AD4"/>
    <w:rsid w:val="00E44494"/>
    <w:rsid w:val="00E44E7C"/>
    <w:rsid w:val="00E4525B"/>
    <w:rsid w:val="00E46939"/>
    <w:rsid w:val="00E476A3"/>
    <w:rsid w:val="00E5109F"/>
    <w:rsid w:val="00E51172"/>
    <w:rsid w:val="00E51AD3"/>
    <w:rsid w:val="00E51E14"/>
    <w:rsid w:val="00E528A5"/>
    <w:rsid w:val="00E55C6C"/>
    <w:rsid w:val="00E5611E"/>
    <w:rsid w:val="00E56D4D"/>
    <w:rsid w:val="00E571C1"/>
    <w:rsid w:val="00E60005"/>
    <w:rsid w:val="00E60F0A"/>
    <w:rsid w:val="00E629E3"/>
    <w:rsid w:val="00E65E82"/>
    <w:rsid w:val="00E663FB"/>
    <w:rsid w:val="00E6700A"/>
    <w:rsid w:val="00E67CB9"/>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19A"/>
    <w:rsid w:val="00E82255"/>
    <w:rsid w:val="00E82757"/>
    <w:rsid w:val="00E82BBD"/>
    <w:rsid w:val="00E837B8"/>
    <w:rsid w:val="00E85527"/>
    <w:rsid w:val="00E85DE8"/>
    <w:rsid w:val="00E85E6C"/>
    <w:rsid w:val="00E912F1"/>
    <w:rsid w:val="00E91320"/>
    <w:rsid w:val="00E919C6"/>
    <w:rsid w:val="00E924E8"/>
    <w:rsid w:val="00E943CB"/>
    <w:rsid w:val="00E96EB7"/>
    <w:rsid w:val="00E9729E"/>
    <w:rsid w:val="00E97D80"/>
    <w:rsid w:val="00EA0E02"/>
    <w:rsid w:val="00EA1C8E"/>
    <w:rsid w:val="00EA230F"/>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26E3"/>
    <w:rsid w:val="00EC3AD3"/>
    <w:rsid w:val="00EC42B3"/>
    <w:rsid w:val="00EC4DE6"/>
    <w:rsid w:val="00EC532A"/>
    <w:rsid w:val="00EC5F94"/>
    <w:rsid w:val="00EC61CF"/>
    <w:rsid w:val="00EC7B38"/>
    <w:rsid w:val="00EC7BDB"/>
    <w:rsid w:val="00EC7C78"/>
    <w:rsid w:val="00ED00C4"/>
    <w:rsid w:val="00ED224C"/>
    <w:rsid w:val="00ED2B5D"/>
    <w:rsid w:val="00ED3C1B"/>
    <w:rsid w:val="00ED40AB"/>
    <w:rsid w:val="00ED43C3"/>
    <w:rsid w:val="00ED4501"/>
    <w:rsid w:val="00ED48C9"/>
    <w:rsid w:val="00ED51D9"/>
    <w:rsid w:val="00ED6D16"/>
    <w:rsid w:val="00ED7773"/>
    <w:rsid w:val="00ED7950"/>
    <w:rsid w:val="00EE1978"/>
    <w:rsid w:val="00EE2014"/>
    <w:rsid w:val="00EE2781"/>
    <w:rsid w:val="00EE2CDE"/>
    <w:rsid w:val="00EE3A25"/>
    <w:rsid w:val="00EE3A3D"/>
    <w:rsid w:val="00EE3DD7"/>
    <w:rsid w:val="00EE5166"/>
    <w:rsid w:val="00EE569C"/>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64D"/>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47DE"/>
    <w:rsid w:val="00F252D3"/>
    <w:rsid w:val="00F256D1"/>
    <w:rsid w:val="00F27459"/>
    <w:rsid w:val="00F27705"/>
    <w:rsid w:val="00F30CC0"/>
    <w:rsid w:val="00F31667"/>
    <w:rsid w:val="00F325C3"/>
    <w:rsid w:val="00F32BFD"/>
    <w:rsid w:val="00F32FA8"/>
    <w:rsid w:val="00F33E79"/>
    <w:rsid w:val="00F344EE"/>
    <w:rsid w:val="00F34EAD"/>
    <w:rsid w:val="00F353D2"/>
    <w:rsid w:val="00F363B2"/>
    <w:rsid w:val="00F4208D"/>
    <w:rsid w:val="00F42E84"/>
    <w:rsid w:val="00F44026"/>
    <w:rsid w:val="00F45B43"/>
    <w:rsid w:val="00F4678A"/>
    <w:rsid w:val="00F46A7D"/>
    <w:rsid w:val="00F47BEC"/>
    <w:rsid w:val="00F5054D"/>
    <w:rsid w:val="00F51153"/>
    <w:rsid w:val="00F53669"/>
    <w:rsid w:val="00F54B1C"/>
    <w:rsid w:val="00F55DEA"/>
    <w:rsid w:val="00F56671"/>
    <w:rsid w:val="00F568ED"/>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08B"/>
    <w:rsid w:val="00F73412"/>
    <w:rsid w:val="00F737C8"/>
    <w:rsid w:val="00F75118"/>
    <w:rsid w:val="00F776F8"/>
    <w:rsid w:val="00F77FCE"/>
    <w:rsid w:val="00F81D07"/>
    <w:rsid w:val="00F821DB"/>
    <w:rsid w:val="00F83579"/>
    <w:rsid w:val="00F8438F"/>
    <w:rsid w:val="00F85263"/>
    <w:rsid w:val="00F85772"/>
    <w:rsid w:val="00F85A9D"/>
    <w:rsid w:val="00F85F67"/>
    <w:rsid w:val="00F86C95"/>
    <w:rsid w:val="00F8706F"/>
    <w:rsid w:val="00F870D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022"/>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6539"/>
    <w:rsid w:val="00FB7A30"/>
    <w:rsid w:val="00FC0073"/>
    <w:rsid w:val="00FC0A81"/>
    <w:rsid w:val="00FC0BF9"/>
    <w:rsid w:val="00FC18A6"/>
    <w:rsid w:val="00FC435B"/>
    <w:rsid w:val="00FC474F"/>
    <w:rsid w:val="00FC5466"/>
    <w:rsid w:val="00FC54F6"/>
    <w:rsid w:val="00FC5E3E"/>
    <w:rsid w:val="00FC628B"/>
    <w:rsid w:val="00FC6339"/>
    <w:rsid w:val="00FC6CC8"/>
    <w:rsid w:val="00FC7DA5"/>
    <w:rsid w:val="00FC7E91"/>
    <w:rsid w:val="00FD0780"/>
    <w:rsid w:val="00FD0E83"/>
    <w:rsid w:val="00FD2B5C"/>
    <w:rsid w:val="00FD3008"/>
    <w:rsid w:val="00FD3120"/>
    <w:rsid w:val="00FD3B9C"/>
    <w:rsid w:val="00FD4102"/>
    <w:rsid w:val="00FD6993"/>
    <w:rsid w:val="00FD6A65"/>
    <w:rsid w:val="00FD7A36"/>
    <w:rsid w:val="00FE0E28"/>
    <w:rsid w:val="00FE0E49"/>
    <w:rsid w:val="00FE0EA2"/>
    <w:rsid w:val="00FE4092"/>
    <w:rsid w:val="00FE443A"/>
    <w:rsid w:val="00FE4954"/>
    <w:rsid w:val="00FE4B61"/>
    <w:rsid w:val="00FE4BBD"/>
    <w:rsid w:val="00FE5FB5"/>
    <w:rsid w:val="00FE61E2"/>
    <w:rsid w:val="00FE6A57"/>
    <w:rsid w:val="00FE77E4"/>
    <w:rsid w:val="00FF01C2"/>
    <w:rsid w:val="00FF1124"/>
    <w:rsid w:val="00FF2228"/>
    <w:rsid w:val="00FF22EF"/>
    <w:rsid w:val="00FF2B31"/>
    <w:rsid w:val="00FF35D4"/>
    <w:rsid w:val="00FF55FD"/>
    <w:rsid w:val="00FF5CC4"/>
    <w:rsid w:val="00FF6BF5"/>
    <w:rsid w:val="00FF6C6A"/>
    <w:rsid w:val="00FF7280"/>
    <w:rsid w:val="03D66BA6"/>
    <w:rsid w:val="0E0A401C"/>
    <w:rsid w:val="11FD58A0"/>
    <w:rsid w:val="152476E5"/>
    <w:rsid w:val="156B5856"/>
    <w:rsid w:val="17E7195A"/>
    <w:rsid w:val="193C4CB6"/>
    <w:rsid w:val="20362250"/>
    <w:rsid w:val="2D216218"/>
    <w:rsid w:val="2DAE16C6"/>
    <w:rsid w:val="307849BD"/>
    <w:rsid w:val="30FA5A3A"/>
    <w:rsid w:val="35E978AA"/>
    <w:rsid w:val="385D6752"/>
    <w:rsid w:val="3BB4D1B6"/>
    <w:rsid w:val="3D001756"/>
    <w:rsid w:val="41E579D9"/>
    <w:rsid w:val="4BB72AB2"/>
    <w:rsid w:val="4D0B5C4E"/>
    <w:rsid w:val="4DDE123C"/>
    <w:rsid w:val="52491E8D"/>
    <w:rsid w:val="57281E1C"/>
    <w:rsid w:val="59C471CD"/>
    <w:rsid w:val="5FAF4BC7"/>
    <w:rsid w:val="607E751E"/>
    <w:rsid w:val="63F61AE1"/>
    <w:rsid w:val="64566D1C"/>
    <w:rsid w:val="65B2419B"/>
    <w:rsid w:val="67A42616"/>
    <w:rsid w:val="68CC1793"/>
    <w:rsid w:val="6ABD123E"/>
    <w:rsid w:val="6F5054C9"/>
    <w:rsid w:val="72326CC5"/>
    <w:rsid w:val="78613BAF"/>
    <w:rsid w:val="7A717F49"/>
    <w:rsid w:val="7B7989CB"/>
    <w:rsid w:val="7BC90EC6"/>
    <w:rsid w:val="7C6B4F9D"/>
    <w:rsid w:val="E7FF828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ADFA07"/>
  <w15:docId w15:val="{DD0AA60A-884B-4734-B5C1-0334D9CD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6F7D"/>
    <w:rPr>
      <w:rFonts w:ascii="Calibri" w:eastAsia="MS Mincho" w:hAnsi="Calibri"/>
      <w:snapToGrid w:val="0"/>
      <w:sz w:val="16"/>
      <w:szCs w:val="16"/>
      <w:lang w:val="en-GB" w:eastAsia="ja-JP"/>
    </w:rPr>
  </w:style>
  <w:style w:type="paragraph" w:styleId="1">
    <w:name w:val="heading 1"/>
    <w:basedOn w:val="a"/>
    <w:next w:val="a"/>
    <w:link w:val="11"/>
    <w:qFormat/>
    <w:pPr>
      <w:keepNext/>
      <w:spacing w:before="240" w:after="60"/>
      <w:outlineLvl w:val="0"/>
    </w:pPr>
    <w:rPr>
      <w:rFonts w:cs="Arial"/>
      <w:b/>
      <w:bCs/>
      <w:kern w:val="32"/>
      <w:sz w:val="24"/>
      <w:szCs w:val="32"/>
    </w:rPr>
  </w:style>
  <w:style w:type="paragraph" w:styleId="2">
    <w:name w:val="heading 2"/>
    <w:basedOn w:val="a"/>
    <w:next w:val="a"/>
    <w:link w:val="20"/>
    <w:qFormat/>
    <w:pPr>
      <w:keepNext/>
      <w:spacing w:before="120" w:after="60"/>
      <w:outlineLvl w:val="1"/>
    </w:pPr>
    <w:rPr>
      <w:rFonts w:cs="Arial"/>
      <w:b/>
      <w:bCs/>
      <w:iCs/>
      <w:sz w:val="20"/>
      <w:szCs w:val="28"/>
    </w:rPr>
  </w:style>
  <w:style w:type="paragraph" w:styleId="3">
    <w:name w:val="heading 3"/>
    <w:basedOn w:val="a"/>
    <w:next w:val="a"/>
    <w:link w:val="30"/>
    <w:qFormat/>
    <w:pPr>
      <w:keepNext/>
      <w:spacing w:before="60" w:after="60"/>
      <w:outlineLvl w:val="2"/>
    </w:pPr>
    <w:rPr>
      <w:rFonts w:cs="Arial"/>
      <w:b/>
      <w:bCs/>
      <w:szCs w:val="26"/>
    </w:rPr>
  </w:style>
  <w:style w:type="paragraph" w:styleId="4">
    <w:name w:val="heading 4"/>
    <w:basedOn w:val="a"/>
    <w:next w:val="a"/>
    <w:link w:val="40"/>
    <w:qFormat/>
    <w:pPr>
      <w:keepNext/>
      <w:keepLines/>
      <w:widowControl w:val="0"/>
      <w:numPr>
        <w:ilvl w:val="3"/>
        <w:numId w:val="1"/>
      </w:numPr>
      <w:spacing w:before="280" w:after="290" w:line="376" w:lineRule="auto"/>
      <w:jc w:val="both"/>
      <w:outlineLvl w:val="3"/>
    </w:pPr>
    <w:rPr>
      <w:rFonts w:ascii="Cambria" w:eastAsia="宋体" w:hAnsi="Cambria"/>
      <w:b/>
      <w:bCs/>
      <w:snapToGrid/>
      <w:kern w:val="2"/>
      <w:sz w:val="28"/>
      <w:szCs w:val="28"/>
      <w:lang w:val="zh-CN"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val="0"/>
      <w:spacing w:beforeLines="50" w:line="288" w:lineRule="auto"/>
      <w:ind w:leftChars="1199" w:left="1199" w:firstLineChars="200" w:firstLine="200"/>
      <w:jc w:val="both"/>
    </w:pPr>
    <w:rPr>
      <w:rFonts w:ascii="Times New Roman" w:eastAsia="楷体_GB2312" w:hAnsi="Times New Roman"/>
      <w:snapToGrid/>
      <w:kern w:val="2"/>
      <w:sz w:val="21"/>
      <w:szCs w:val="20"/>
      <w:lang w:val="en-US" w:eastAsia="zh-CN"/>
    </w:rPr>
  </w:style>
  <w:style w:type="paragraph" w:styleId="a4">
    <w:name w:val="caption"/>
    <w:basedOn w:val="a"/>
    <w:next w:val="a"/>
    <w:qFormat/>
    <w:pPr>
      <w:widowControl w:val="0"/>
      <w:spacing w:before="120" w:line="300" w:lineRule="auto"/>
      <w:ind w:leftChars="1200" w:left="2520"/>
      <w:jc w:val="center"/>
    </w:pPr>
    <w:rPr>
      <w:rFonts w:ascii="楷体_GB2312" w:eastAsia="楷体_GB2312" w:hAnsi="Arial" w:cs="Arial"/>
      <w:b/>
      <w:bCs/>
      <w:snapToGrid/>
      <w:kern w:val="2"/>
      <w:sz w:val="20"/>
      <w:szCs w:val="20"/>
      <w:lang w:val="en-US" w:eastAsia="zh-CN"/>
    </w:rPr>
  </w:style>
  <w:style w:type="paragraph" w:styleId="a5">
    <w:name w:val="annotation text"/>
    <w:basedOn w:val="a"/>
    <w:link w:val="a6"/>
    <w:qFormat/>
    <w:pPr>
      <w:widowControl w:val="0"/>
    </w:pPr>
    <w:rPr>
      <w:rFonts w:ascii="Times New Roman" w:eastAsia="宋体" w:hAnsi="Times New Roman"/>
      <w:snapToGrid/>
      <w:kern w:val="2"/>
      <w:sz w:val="21"/>
      <w:szCs w:val="24"/>
      <w:lang w:val="zh-CN" w:eastAsia="zh-CN"/>
    </w:rPr>
  </w:style>
  <w:style w:type="paragraph" w:styleId="31">
    <w:name w:val="Body Text 3"/>
    <w:basedOn w:val="a"/>
    <w:link w:val="32"/>
    <w:qFormat/>
    <w:pPr>
      <w:widowControl w:val="0"/>
      <w:jc w:val="both"/>
    </w:pPr>
    <w:rPr>
      <w:rFonts w:ascii="汉仪楷体简" w:eastAsia="汉仪楷体简" w:hAnsi="Times New Roman"/>
      <w:snapToGrid/>
      <w:color w:val="000000"/>
      <w:sz w:val="18"/>
      <w:lang w:val="en-US" w:eastAsia="zh-CN"/>
    </w:rPr>
  </w:style>
  <w:style w:type="paragraph" w:styleId="a7">
    <w:name w:val="Body Text"/>
    <w:basedOn w:val="a"/>
    <w:link w:val="a8"/>
    <w:qFormat/>
    <w:pPr>
      <w:widowControl w:val="0"/>
      <w:tabs>
        <w:tab w:val="left" w:pos="3045"/>
      </w:tabs>
      <w:ind w:rightChars="3409" w:right="7159"/>
      <w:jc w:val="both"/>
    </w:pPr>
    <w:rPr>
      <w:rFonts w:ascii="Times New Roman" w:eastAsia="宋体" w:hAnsi="Times New Roman"/>
      <w:snapToGrid/>
      <w:kern w:val="2"/>
      <w:sz w:val="21"/>
      <w:szCs w:val="24"/>
      <w:lang w:val="en-US" w:eastAsia="zh-CN"/>
    </w:rPr>
  </w:style>
  <w:style w:type="paragraph" w:styleId="a9">
    <w:name w:val="Body Text Indent"/>
    <w:basedOn w:val="a"/>
    <w:link w:val="aa"/>
    <w:qFormat/>
    <w:pPr>
      <w:widowControl w:val="0"/>
      <w:ind w:leftChars="1500" w:left="3150"/>
      <w:jc w:val="both"/>
    </w:pPr>
    <w:rPr>
      <w:rFonts w:ascii="汉仪楷体简" w:eastAsia="汉仪楷体简" w:hAnsi="Times New Roman"/>
      <w:snapToGrid/>
      <w:color w:val="000000"/>
      <w:sz w:val="18"/>
      <w:lang w:val="en-US" w:eastAsia="zh-CN"/>
    </w:rPr>
  </w:style>
  <w:style w:type="paragraph" w:styleId="ab">
    <w:name w:val="Block Text"/>
    <w:basedOn w:val="a"/>
    <w:qFormat/>
    <w:pPr>
      <w:widowControl w:val="0"/>
      <w:ind w:leftChars="1553" w:left="3261" w:rightChars="26" w:right="55" w:firstLine="1"/>
    </w:pPr>
    <w:rPr>
      <w:rFonts w:ascii="Times New Roman" w:eastAsia="汉仪大黑简" w:hAnsi="Times New Roman"/>
      <w:snapToGrid/>
      <w:color w:val="000000"/>
      <w:kern w:val="2"/>
      <w:sz w:val="18"/>
      <w:szCs w:val="24"/>
      <w:lang w:val="en-US" w:eastAsia="zh-CN"/>
    </w:rPr>
  </w:style>
  <w:style w:type="paragraph" w:styleId="TOC3">
    <w:name w:val="toc 3"/>
    <w:basedOn w:val="a"/>
    <w:next w:val="a"/>
    <w:uiPriority w:val="39"/>
    <w:qFormat/>
    <w:pPr>
      <w:widowControl w:val="0"/>
      <w:tabs>
        <w:tab w:val="left" w:pos="3150"/>
        <w:tab w:val="right" w:leader="dot" w:pos="10537"/>
      </w:tabs>
      <w:spacing w:line="440" w:lineRule="exact"/>
      <w:ind w:leftChars="1700" w:left="1700"/>
      <w:jc w:val="both"/>
    </w:pPr>
    <w:rPr>
      <w:rFonts w:ascii="Arial" w:eastAsia="楷体_GB2312" w:hAnsi="Arial"/>
      <w:snapToGrid/>
      <w:kern w:val="2"/>
      <w:sz w:val="20"/>
      <w:szCs w:val="24"/>
      <w:lang w:val="en-US" w:eastAsia="zh-CN"/>
    </w:rPr>
  </w:style>
  <w:style w:type="paragraph" w:styleId="ac">
    <w:name w:val="Date"/>
    <w:basedOn w:val="a"/>
    <w:next w:val="a"/>
    <w:link w:val="ad"/>
    <w:qFormat/>
    <w:pPr>
      <w:widowControl w:val="0"/>
      <w:autoSpaceDE w:val="0"/>
      <w:autoSpaceDN w:val="0"/>
      <w:adjustRightInd w:val="0"/>
      <w:jc w:val="both"/>
      <w:textAlignment w:val="baseline"/>
    </w:pPr>
    <w:rPr>
      <w:rFonts w:ascii="宋体" w:eastAsia="宋体" w:hAnsi="Times New Roman"/>
      <w:snapToGrid/>
      <w:kern w:val="2"/>
      <w:sz w:val="28"/>
      <w:szCs w:val="20"/>
      <w:lang w:val="en-US" w:eastAsia="zh-CN"/>
    </w:rPr>
  </w:style>
  <w:style w:type="paragraph" w:styleId="21">
    <w:name w:val="Body Text Indent 2"/>
    <w:basedOn w:val="a"/>
    <w:link w:val="22"/>
    <w:qFormat/>
    <w:pPr>
      <w:widowControl w:val="0"/>
      <w:autoSpaceDE w:val="0"/>
      <w:autoSpaceDN w:val="0"/>
      <w:adjustRightInd w:val="0"/>
      <w:ind w:leftChars="1200" w:left="2520" w:firstLineChars="150" w:firstLine="360"/>
    </w:pPr>
    <w:rPr>
      <w:rFonts w:ascii="楷体_GB2312" w:eastAsia="楷体_GB2312" w:hAnsi="Times New Roman"/>
      <w:snapToGrid/>
      <w:sz w:val="24"/>
      <w:szCs w:val="24"/>
      <w:lang w:val="en-US" w:eastAsia="zh-CN"/>
    </w:rPr>
  </w:style>
  <w:style w:type="paragraph" w:styleId="ae">
    <w:name w:val="Balloon Text"/>
    <w:basedOn w:val="a"/>
    <w:link w:val="af"/>
    <w:qFormat/>
    <w:rPr>
      <w:rFonts w:ascii="Tahoma" w:hAnsi="Tahoma" w:cs="Tahoma"/>
    </w:rPr>
  </w:style>
  <w:style w:type="paragraph" w:styleId="af0">
    <w:name w:val="footer"/>
    <w:basedOn w:val="a"/>
    <w:qFormat/>
    <w:pPr>
      <w:tabs>
        <w:tab w:val="center" w:pos="4419"/>
        <w:tab w:val="right" w:pos="8838"/>
      </w:tabs>
    </w:pPr>
  </w:style>
  <w:style w:type="paragraph" w:styleId="af1">
    <w:name w:val="header"/>
    <w:basedOn w:val="a"/>
    <w:qFormat/>
    <w:pPr>
      <w:tabs>
        <w:tab w:val="center" w:pos="4419"/>
        <w:tab w:val="right" w:pos="8838"/>
      </w:tabs>
    </w:pPr>
  </w:style>
  <w:style w:type="paragraph" w:styleId="TOC1">
    <w:name w:val="toc 1"/>
    <w:basedOn w:val="a"/>
    <w:next w:val="a"/>
    <w:uiPriority w:val="39"/>
    <w:qFormat/>
    <w:pPr>
      <w:widowControl w:val="0"/>
      <w:tabs>
        <w:tab w:val="left" w:pos="2835"/>
        <w:tab w:val="left" w:pos="3325"/>
        <w:tab w:val="right" w:leader="dot" w:pos="10537"/>
      </w:tabs>
      <w:overflowPunct w:val="0"/>
      <w:spacing w:line="440" w:lineRule="exact"/>
      <w:ind w:leftChars="1300" w:left="1300"/>
      <w:jc w:val="both"/>
    </w:pPr>
    <w:rPr>
      <w:rFonts w:ascii="Arial" w:eastAsia="楷体_GB2312" w:hAnsi="Arial"/>
      <w:snapToGrid/>
      <w:kern w:val="2"/>
      <w:sz w:val="21"/>
      <w:szCs w:val="24"/>
      <w:lang w:val="en-US" w:eastAsia="zh-CN"/>
    </w:rPr>
  </w:style>
  <w:style w:type="paragraph" w:styleId="33">
    <w:name w:val="Body Text Indent 3"/>
    <w:basedOn w:val="a"/>
    <w:link w:val="34"/>
    <w:qFormat/>
    <w:pPr>
      <w:framePr w:hSpace="180" w:wrap="around" w:vAnchor="text" w:hAnchor="text" w:xAlign="right" w:y="1"/>
      <w:widowControl w:val="0"/>
      <w:spacing w:line="320" w:lineRule="exact"/>
      <w:ind w:leftChars="24" w:left="50" w:firstLineChars="202" w:firstLine="485"/>
      <w:suppressOverlap/>
      <w:jc w:val="both"/>
    </w:pPr>
    <w:rPr>
      <w:rFonts w:ascii="楷体_GB2312" w:eastAsia="楷体_GB2312" w:hAnsi="Times New Roman"/>
      <w:snapToGrid/>
      <w:color w:val="000000"/>
      <w:kern w:val="2"/>
      <w:sz w:val="24"/>
      <w:szCs w:val="24"/>
      <w:lang w:val="en-US" w:eastAsia="zh-CN"/>
    </w:rPr>
  </w:style>
  <w:style w:type="paragraph" w:styleId="af2">
    <w:name w:val="table of figures"/>
    <w:basedOn w:val="a"/>
    <w:next w:val="a"/>
    <w:uiPriority w:val="99"/>
    <w:qFormat/>
    <w:pPr>
      <w:widowControl w:val="0"/>
      <w:spacing w:line="440" w:lineRule="exact"/>
      <w:ind w:leftChars="1300" w:left="1300"/>
    </w:pPr>
    <w:rPr>
      <w:rFonts w:ascii="Arial" w:eastAsia="楷体_GB2312" w:hAnsi="Arial"/>
      <w:snapToGrid/>
      <w:kern w:val="2"/>
      <w:sz w:val="20"/>
      <w:szCs w:val="24"/>
      <w:lang w:val="en-US" w:eastAsia="zh-CN"/>
    </w:rPr>
  </w:style>
  <w:style w:type="paragraph" w:styleId="TOC2">
    <w:name w:val="toc 2"/>
    <w:basedOn w:val="a"/>
    <w:next w:val="a"/>
    <w:uiPriority w:val="39"/>
    <w:qFormat/>
    <w:pPr>
      <w:widowControl w:val="0"/>
      <w:tabs>
        <w:tab w:val="left" w:pos="2835"/>
        <w:tab w:val="right" w:leader="dot" w:pos="10500"/>
      </w:tabs>
      <w:overflowPunct w:val="0"/>
      <w:spacing w:line="440" w:lineRule="exact"/>
      <w:ind w:leftChars="1500" w:left="1500"/>
      <w:jc w:val="both"/>
    </w:pPr>
    <w:rPr>
      <w:rFonts w:ascii="Arial" w:eastAsia="楷体_GB2312" w:hAnsi="Arial"/>
      <w:snapToGrid/>
      <w:kern w:val="2"/>
      <w:sz w:val="20"/>
      <w:szCs w:val="24"/>
      <w:lang w:val="en-US" w:eastAsia="zh-CN"/>
    </w:rPr>
  </w:style>
  <w:style w:type="paragraph" w:styleId="23">
    <w:name w:val="Body Text 2"/>
    <w:basedOn w:val="a"/>
    <w:link w:val="24"/>
    <w:qFormat/>
    <w:pPr>
      <w:widowControl w:val="0"/>
      <w:jc w:val="both"/>
    </w:pPr>
    <w:rPr>
      <w:rFonts w:ascii="Times New Roman" w:eastAsia="汉仪楷体简" w:hAnsi="Times New Roman"/>
      <w:snapToGrid/>
      <w:sz w:val="18"/>
      <w:szCs w:val="24"/>
      <w:lang w:val="en-US" w:eastAsia="zh-CN"/>
    </w:rPr>
  </w:style>
  <w:style w:type="paragraph" w:styleId="af3">
    <w:name w:val="Normal (Web)"/>
    <w:basedOn w:val="a"/>
    <w:uiPriority w:val="99"/>
    <w:qFormat/>
    <w:pPr>
      <w:spacing w:before="100" w:beforeAutospacing="1" w:after="100" w:afterAutospacing="1"/>
    </w:pPr>
    <w:rPr>
      <w:rFonts w:ascii="宋体" w:eastAsia="宋体" w:hAnsi="宋体" w:cs="宋体"/>
      <w:snapToGrid/>
      <w:sz w:val="24"/>
      <w:szCs w:val="24"/>
      <w:lang w:val="en-US" w:eastAsia="zh-CN"/>
    </w:rPr>
  </w:style>
  <w:style w:type="paragraph" w:styleId="af4">
    <w:name w:val="annotation subject"/>
    <w:basedOn w:val="a5"/>
    <w:next w:val="a5"/>
    <w:link w:val="af5"/>
    <w:qFormat/>
    <w:rPr>
      <w:b/>
      <w:bCs/>
    </w:rPr>
  </w:style>
  <w:style w:type="table" w:styleId="a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qFormat/>
    <w:rPr>
      <w:b/>
      <w:bCs/>
    </w:rPr>
  </w:style>
  <w:style w:type="character" w:styleId="af8">
    <w:name w:val="page number"/>
    <w:basedOn w:val="a0"/>
    <w:qFormat/>
  </w:style>
  <w:style w:type="character" w:styleId="af9">
    <w:name w:val="FollowedHyperlink"/>
    <w:qFormat/>
    <w:rPr>
      <w:color w:val="800080"/>
      <w:u w:val="single"/>
    </w:rPr>
  </w:style>
  <w:style w:type="character" w:styleId="afa">
    <w:name w:val="Hyperlink"/>
    <w:basedOn w:val="a0"/>
    <w:uiPriority w:val="99"/>
    <w:qFormat/>
    <w:rPr>
      <w:color w:val="0000FF"/>
      <w:u w:val="single"/>
    </w:rPr>
  </w:style>
  <w:style w:type="character" w:styleId="afb">
    <w:name w:val="annotation reference"/>
    <w:qFormat/>
    <w:rPr>
      <w:sz w:val="21"/>
      <w:szCs w:val="21"/>
    </w:rPr>
  </w:style>
  <w:style w:type="character" w:customStyle="1" w:styleId="af">
    <w:name w:val="批注框文本 字符"/>
    <w:basedOn w:val="a0"/>
    <w:link w:val="ae"/>
    <w:qFormat/>
    <w:rPr>
      <w:rFonts w:ascii="Tahoma" w:hAnsi="Tahoma" w:cs="Tahoma"/>
      <w:lang w:eastAsia="ja-JP"/>
    </w:rPr>
  </w:style>
  <w:style w:type="paragraph" w:customStyle="1" w:styleId="EFAFPCompanyName">
    <w:name w:val="EFAFPCompanyName"/>
    <w:next w:val="StyleEFAFPFrameText115ptRight"/>
    <w:qFormat/>
    <w:pPr>
      <w:framePr w:w="10858" w:h="1920" w:hRule="exact" w:wrap="around" w:vAnchor="page" w:hAnchor="page" w:x="341" w:y="1107" w:anchorLock="1"/>
      <w:adjustRightInd w:val="0"/>
      <w:snapToGrid w:val="0"/>
    </w:pPr>
    <w:rPr>
      <w:rFonts w:ascii="Calibri" w:eastAsia="MS Mincho" w:hAnsi="Calibri"/>
      <w:b/>
      <w:snapToGrid w:val="0"/>
      <w:sz w:val="36"/>
      <w:szCs w:val="40"/>
      <w:lang w:eastAsia="ja-JP"/>
    </w:rPr>
  </w:style>
  <w:style w:type="paragraph" w:customStyle="1" w:styleId="StyleEFAFPFrameText115ptRight">
    <w:name w:val="Style EFAFPFrameText_11.5pt + Right"/>
    <w:basedOn w:val="EFAFPFrameText115pt"/>
    <w:qFormat/>
    <w:pPr>
      <w:framePr w:wrap="around"/>
      <w:jc w:val="right"/>
    </w:pPr>
    <w:rPr>
      <w:bCs/>
      <w:szCs w:val="20"/>
    </w:rPr>
  </w:style>
  <w:style w:type="paragraph" w:customStyle="1" w:styleId="EFAFPFrameText115pt">
    <w:name w:val="EFAFPFrameText_11.5pt"/>
    <w:basedOn w:val="EFAFPCompanyInfo"/>
    <w:qFormat/>
    <w:pPr>
      <w:framePr w:h="1520" w:hRule="exact" w:wrap="around" w:x="357" w:y="1072"/>
    </w:pPr>
    <w:rPr>
      <w:color w:val="23558C"/>
    </w:rPr>
  </w:style>
  <w:style w:type="paragraph" w:customStyle="1" w:styleId="EFAFPCompanyInfo">
    <w:name w:val="EFAFPCompanyInfo"/>
    <w:basedOn w:val="a"/>
    <w:qFormat/>
    <w:pPr>
      <w:framePr w:w="10858" w:h="1920" w:hRule="exact" w:wrap="around" w:vAnchor="page" w:hAnchor="page" w:x="341" w:y="1107" w:anchorLock="1"/>
      <w:adjustRightInd w:val="0"/>
      <w:snapToGrid w:val="0"/>
    </w:pPr>
    <w:rPr>
      <w:b/>
      <w:sz w:val="24"/>
    </w:rPr>
  </w:style>
  <w:style w:type="paragraph" w:customStyle="1" w:styleId="EFABullet">
    <w:name w:val="EFABullet"/>
    <w:basedOn w:val="EFABodyText"/>
    <w:qFormat/>
    <w:pPr>
      <w:numPr>
        <w:numId w:val="2"/>
      </w:numPr>
      <w:tabs>
        <w:tab w:val="left" w:pos="480"/>
      </w:tabs>
      <w:ind w:left="192" w:firstLine="0"/>
    </w:p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eastAsia="ja-JP"/>
    </w:rPr>
  </w:style>
  <w:style w:type="paragraph" w:customStyle="1" w:styleId="EFAButton">
    <w:name w:val="EFAButton"/>
    <w:basedOn w:val="EFANormal"/>
    <w:qFormat/>
    <w:rPr>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eastAsia="ja-JP"/>
    </w:rPr>
  </w:style>
  <w:style w:type="paragraph" w:customStyle="1" w:styleId="StyleEFAFPFrameText115ptRight0">
    <w:name w:val="Style EFAFPFrameText_11.5pt_Right"/>
    <w:basedOn w:val="EFAFPFrameText115pt"/>
    <w:qFormat/>
    <w:pPr>
      <w:framePr w:wrap="around"/>
      <w:jc w:val="right"/>
    </w:pPr>
    <w:rPr>
      <w:bCs/>
      <w:szCs w:val="20"/>
    </w:rPr>
  </w:style>
  <w:style w:type="paragraph" w:customStyle="1" w:styleId="EFADisclaimerText">
    <w:name w:val="EFADisclaimerText"/>
    <w:basedOn w:val="EFANormal"/>
    <w:link w:val="EFADisclaimerTextChar"/>
    <w:uiPriority w:val="99"/>
    <w:qFormat/>
    <w:pPr>
      <w:jc w:val="both"/>
    </w:pPr>
  </w:style>
  <w:style w:type="paragraph" w:styleId="afc">
    <w:name w:val="List Paragraph"/>
    <w:basedOn w:val="a"/>
    <w:uiPriority w:val="34"/>
    <w:qFormat/>
    <w:pPr>
      <w:ind w:left="720"/>
      <w:contextualSpacing/>
    </w:pPr>
  </w:style>
  <w:style w:type="paragraph" w:customStyle="1" w:styleId="EFABulletRed">
    <w:name w:val="EFABullet_Red"/>
    <w:basedOn w:val="EFAFPBodyText"/>
    <w:qFormat/>
    <w:pPr>
      <w:numPr>
        <w:numId w:val="3"/>
      </w:numPr>
      <w:tabs>
        <w:tab w:val="left" w:pos="481"/>
      </w:tabs>
    </w:pPr>
  </w:style>
  <w:style w:type="paragraph" w:customStyle="1" w:styleId="EFAFPBodyText">
    <w:name w:val="EFAFP_BodyText"/>
    <w:link w:val="EFAFPBodyTextChar"/>
    <w:qFormat/>
    <w:pPr>
      <w:widowControl w:val="0"/>
      <w:adjustRightInd w:val="0"/>
      <w:snapToGrid w:val="0"/>
    </w:pPr>
    <w:rPr>
      <w:rFonts w:ascii="Calibri" w:eastAsia="MS Mincho" w:hAnsi="Calibri"/>
      <w:snapToGrid w:val="0"/>
      <w:szCs w:val="16"/>
      <w:lang w:eastAsia="ja-JP"/>
    </w:rPr>
  </w:style>
  <w:style w:type="paragraph" w:customStyle="1" w:styleId="EFA2ndPageHeader">
    <w:name w:val="EFA2ndPageHeader"/>
    <w:basedOn w:val="EFANormal"/>
    <w:qFormat/>
    <w:pPr>
      <w:spacing w:before="40" w:after="40"/>
      <w:jc w:val="right"/>
    </w:pPr>
    <w:rPr>
      <w:color w:val="FF0000"/>
      <w:sz w:val="24"/>
    </w:rPr>
  </w:style>
  <w:style w:type="paragraph" w:customStyle="1" w:styleId="EFAPageFooter">
    <w:name w:val="EFAPageFooter"/>
    <w:basedOn w:val="EFANormal"/>
    <w:qFormat/>
    <w:pPr>
      <w:framePr w:wrap="around" w:vAnchor="page" w:hAnchor="page" w:x="347" w:y="15481"/>
      <w:tabs>
        <w:tab w:val="center" w:pos="5165"/>
      </w:tabs>
      <w:suppressOverlap/>
    </w:pPr>
    <w:rPr>
      <w:b/>
      <w:sz w:val="20"/>
      <w:szCs w:val="20"/>
    </w:rPr>
  </w:style>
  <w:style w:type="paragraph" w:customStyle="1" w:styleId="EFAPageHeader">
    <w:name w:val="EFAPageHeader"/>
    <w:basedOn w:val="EFANormal"/>
    <w:qFormat/>
    <w:pPr>
      <w:tabs>
        <w:tab w:val="right" w:pos="10692"/>
      </w:tabs>
      <w:spacing w:before="40" w:after="40"/>
    </w:pPr>
    <w:rPr>
      <w:b/>
      <w:bCs/>
      <w:color w:val="005BAC"/>
      <w:sz w:val="24"/>
    </w:rPr>
  </w:style>
  <w:style w:type="paragraph" w:customStyle="1" w:styleId="EFAHiddenBookmark">
    <w:name w:val="EFAHiddenBookmark"/>
    <w:basedOn w:val="a"/>
    <w:link w:val="EFAHiddenBookmarkChar"/>
    <w:uiPriority w:val="99"/>
    <w:qFormat/>
    <w:pPr>
      <w:adjustRightInd w:val="0"/>
      <w:snapToGrid w:val="0"/>
      <w:spacing w:after="40" w:line="180" w:lineRule="exact"/>
    </w:pPr>
    <w:rPr>
      <w:rFonts w:ascii="Arial" w:eastAsia="Times New Roman" w:hAnsi="Arial"/>
      <w:vanish/>
      <w:kern w:val="2"/>
      <w:sz w:val="14"/>
      <w:szCs w:val="19"/>
      <w:lang w:eastAsia="en-US"/>
    </w:rPr>
  </w:style>
  <w:style w:type="character" w:customStyle="1" w:styleId="EFAHiddenBookmarkChar">
    <w:name w:val="EFAHiddenBookmark Char"/>
    <w:link w:val="EFAHiddenBookmark"/>
    <w:uiPriority w:val="99"/>
    <w:qFormat/>
    <w:rPr>
      <w:rFonts w:ascii="Arial" w:eastAsia="Times New Roman" w:hAnsi="Arial"/>
      <w:vanish/>
      <w:kern w:val="2"/>
      <w:sz w:val="14"/>
      <w:szCs w:val="19"/>
      <w:lang w:val="en-GB" w:eastAsia="en-US"/>
    </w:rPr>
  </w:style>
  <w:style w:type="paragraph" w:customStyle="1" w:styleId="EFAPoweredByEFA">
    <w:name w:val="EFAPoweredByEFA"/>
    <w:link w:val="EFAPoweredByEFAChar"/>
    <w:qFormat/>
    <w:pPr>
      <w:widowControl w:val="0"/>
      <w:tabs>
        <w:tab w:val="right" w:pos="6490"/>
      </w:tabs>
      <w:adjustRightInd w:val="0"/>
      <w:snapToGrid w:val="0"/>
      <w:ind w:left="-4186"/>
    </w:pPr>
    <w:rPr>
      <w:rFonts w:ascii="Arial" w:eastAsia="PMingLiU" w:hAnsi="Arial"/>
      <w:snapToGrid w:val="0"/>
      <w:color w:val="5A5A5A"/>
      <w:sz w:val="9"/>
      <w:szCs w:val="9"/>
      <w:lang w:eastAsia="zh-TW"/>
    </w:rPr>
  </w:style>
  <w:style w:type="character" w:customStyle="1" w:styleId="EFAPoweredByEFAChar">
    <w:name w:val="EFAPoweredByEFA Char"/>
    <w:link w:val="EFAPoweredByEFA"/>
    <w:qFormat/>
    <w:rPr>
      <w:rFonts w:ascii="Arial" w:eastAsia="PMingLiU" w:hAnsi="Arial"/>
      <w:color w:val="5A5A5A"/>
      <w:sz w:val="9"/>
      <w:szCs w:val="9"/>
      <w:lang w:eastAsia="zh-TW"/>
    </w:rPr>
  </w:style>
  <w:style w:type="character" w:customStyle="1" w:styleId="EFANormalChar">
    <w:name w:val="EFANormal Char"/>
    <w:basedOn w:val="a0"/>
    <w:link w:val="EFANormal"/>
    <w:qFormat/>
    <w:rPr>
      <w:lang w:eastAsia="ja-JP"/>
    </w:rPr>
  </w:style>
  <w:style w:type="character" w:customStyle="1" w:styleId="EFABodyTextChar">
    <w:name w:val="EFABodyText Char"/>
    <w:basedOn w:val="a0"/>
    <w:link w:val="EFABodyText"/>
    <w:qFormat/>
    <w:rPr>
      <w:sz w:val="20"/>
      <w:lang w:eastAsia="ja-JP"/>
    </w:rPr>
  </w:style>
  <w:style w:type="character" w:customStyle="1" w:styleId="EFAFPBodyTextChar">
    <w:name w:val="EFAFP_BodyText Char"/>
    <w:basedOn w:val="a0"/>
    <w:link w:val="EFAFPBodyText"/>
    <w:qFormat/>
    <w:rPr>
      <w:sz w:val="20"/>
      <w:lang w:eastAsia="ja-JP"/>
    </w:rPr>
  </w:style>
  <w:style w:type="paragraph" w:customStyle="1" w:styleId="EFAFPTag">
    <w:name w:val="EFAFPTag"/>
    <w:basedOn w:val="EFANormal"/>
    <w:qFormat/>
    <w:pPr>
      <w:jc w:val="center"/>
    </w:pPr>
    <w:rPr>
      <w:b/>
    </w:rPr>
  </w:style>
  <w:style w:type="paragraph" w:customStyle="1" w:styleId="EFAFPFooter">
    <w:name w:val="EFAFPFooter"/>
    <w:basedOn w:val="EFANormal"/>
    <w:qFormat/>
    <w:pPr>
      <w:tabs>
        <w:tab w:val="right" w:pos="10679"/>
      </w:tabs>
      <w:autoSpaceDE w:val="0"/>
      <w:autoSpaceDN w:val="0"/>
      <w:jc w:val="both"/>
    </w:pPr>
    <w:rPr>
      <w:rFonts w:cs="Arial"/>
      <w:b/>
      <w:sz w:val="14"/>
    </w:rPr>
  </w:style>
  <w:style w:type="character" w:customStyle="1" w:styleId="EFACharGrey">
    <w:name w:val="EFACharGrey"/>
    <w:uiPriority w:val="1"/>
    <w:qFormat/>
    <w:rPr>
      <w:color w:val="808080"/>
    </w:rPr>
  </w:style>
  <w:style w:type="paragraph" w:customStyle="1" w:styleId="EFAFPColFrameTextLeft2">
    <w:name w:val="EFAFPColFrameText_Left2"/>
    <w:link w:val="EFAFPColFrameTextLeft2Char"/>
    <w:qFormat/>
    <w:pPr>
      <w:framePr w:w="3045" w:h="12804" w:hRule="exact" w:hSpace="180" w:wrap="around" w:vAnchor="page" w:hAnchor="page" w:x="340" w:y="2765" w:anchorLock="1"/>
      <w:adjustRightInd w:val="0"/>
      <w:snapToGrid w:val="0"/>
    </w:pPr>
    <w:rPr>
      <w:rFonts w:ascii="Calibri" w:eastAsia="MS Mincho" w:hAnsi="Calibri"/>
      <w:snapToGrid w:val="0"/>
      <w:sz w:val="14"/>
      <w:szCs w:val="14"/>
    </w:rPr>
  </w:style>
  <w:style w:type="character" w:customStyle="1" w:styleId="EFACharBold">
    <w:name w:val="EFACharBold"/>
    <w:basedOn w:val="a0"/>
    <w:uiPriority w:val="1"/>
    <w:qFormat/>
    <w:rPr>
      <w:b/>
    </w:rPr>
  </w:style>
  <w:style w:type="paragraph" w:customStyle="1" w:styleId="EFAFPColFrameAnalystName2">
    <w:name w:val="EFAFPColFrame_AnalystName2"/>
    <w:basedOn w:val="EFAFPColFrameTextLeft2"/>
    <w:link w:val="EFAFPColFrameAnalystName2Char"/>
    <w:qFormat/>
    <w:pPr>
      <w:framePr w:wrap="around"/>
    </w:pPr>
    <w:rPr>
      <w:b/>
      <w:sz w:val="16"/>
    </w:rPr>
  </w:style>
  <w:style w:type="paragraph" w:customStyle="1" w:styleId="EFAFPSource">
    <w:name w:val="EFAFP_Source"/>
    <w:basedOn w:val="EFANormal"/>
    <w:qFormat/>
    <w:rPr>
      <w:sz w:val="12"/>
      <w:szCs w:val="12"/>
    </w:rPr>
  </w:style>
  <w:style w:type="paragraph" w:customStyle="1" w:styleId="EFAFPAbstract">
    <w:name w:val="EFAFP_Abstract"/>
    <w:qFormat/>
    <w:rPr>
      <w:rFonts w:ascii="Calibri" w:eastAsia="MS Mincho" w:hAnsi="Calibri"/>
      <w:snapToGrid w:val="0"/>
      <w:sz w:val="18"/>
      <w:szCs w:val="16"/>
      <w:lang w:eastAsia="ja-JP"/>
    </w:rPr>
  </w:style>
  <w:style w:type="paragraph" w:customStyle="1" w:styleId="EFABulletGreen">
    <w:name w:val="EFABullet_Green"/>
    <w:basedOn w:val="EFAFPBodyText"/>
    <w:qFormat/>
    <w:pPr>
      <w:numPr>
        <w:numId w:val="4"/>
      </w:numPr>
      <w:tabs>
        <w:tab w:val="left" w:pos="468"/>
      </w:tabs>
    </w:pPr>
  </w:style>
  <w:style w:type="paragraph" w:customStyle="1" w:styleId="EFABulletBlue">
    <w:name w:val="EFABullet_Blue"/>
    <w:basedOn w:val="EFAFPBodyText"/>
    <w:qFormat/>
    <w:pPr>
      <w:numPr>
        <w:numId w:val="5"/>
      </w:numPr>
      <w:tabs>
        <w:tab w:val="left" w:pos="468"/>
      </w:tabs>
    </w:pPr>
  </w:style>
  <w:style w:type="paragraph" w:customStyle="1" w:styleId="EFABulletYellow">
    <w:name w:val="EFABullet_Yellow"/>
    <w:basedOn w:val="EFAFPBodyText"/>
    <w:qFormat/>
    <w:pPr>
      <w:numPr>
        <w:numId w:val="6"/>
      </w:numPr>
      <w:tabs>
        <w:tab w:val="left" w:pos="468"/>
      </w:tabs>
    </w:pPr>
  </w:style>
  <w:style w:type="paragraph" w:customStyle="1" w:styleId="EFASource">
    <w:name w:val="EFASource"/>
    <w:basedOn w:val="EFABodyText"/>
    <w:qFormat/>
    <w:rPr>
      <w:sz w:val="12"/>
      <w:szCs w:val="14"/>
    </w:rPr>
  </w:style>
  <w:style w:type="paragraph" w:customStyle="1" w:styleId="EFAHeading">
    <w:name w:val="EFAHeading"/>
    <w:basedOn w:val="a"/>
    <w:next w:val="EFABodyText"/>
    <w:qFormat/>
    <w:pPr>
      <w:widowControl w:val="0"/>
      <w:adjustRightInd w:val="0"/>
      <w:snapToGrid w:val="0"/>
    </w:pPr>
    <w:rPr>
      <w:b/>
      <w:color w:val="000000"/>
      <w:kern w:val="28"/>
      <w:sz w:val="24"/>
    </w:rPr>
  </w:style>
  <w:style w:type="paragraph" w:customStyle="1" w:styleId="EFADisclaimerHeading">
    <w:name w:val="EFADisclaimerHeading"/>
    <w:basedOn w:val="EFADisclaimerText"/>
    <w:next w:val="EFADisclaimerText"/>
    <w:uiPriority w:val="99"/>
    <w:qFormat/>
    <w:rPr>
      <w:b/>
    </w:rPr>
  </w:style>
  <w:style w:type="paragraph" w:customStyle="1" w:styleId="EFADisclaimerHeading2">
    <w:name w:val="EFADisclaimerHeading2"/>
    <w:basedOn w:val="EFADisclaimerText"/>
    <w:next w:val="EFADisclaimerText"/>
    <w:qFormat/>
    <w:rPr>
      <w:b/>
      <w:sz w:val="20"/>
      <w:szCs w:val="20"/>
    </w:rPr>
  </w:style>
  <w:style w:type="paragraph" w:customStyle="1" w:styleId="EFADisclaimerHeading3">
    <w:name w:val="EFADisclaimerHeading3"/>
    <w:basedOn w:val="EFADisclaimerText"/>
    <w:qFormat/>
    <w:rPr>
      <w:b/>
      <w:sz w:val="18"/>
      <w:szCs w:val="18"/>
    </w:rPr>
  </w:style>
  <w:style w:type="paragraph" w:customStyle="1" w:styleId="EFASideComment">
    <w:name w:val="EFASideComment"/>
    <w:basedOn w:val="EFABodyText"/>
    <w:qFormat/>
    <w:pPr>
      <w:framePr w:w="2980" w:hSpace="180" w:wrap="around" w:vAnchor="text" w:hAnchor="text" w:x="-3250" w:y="160"/>
    </w:pPr>
  </w:style>
  <w:style w:type="character" w:customStyle="1" w:styleId="EFACharBoldandAllCap">
    <w:name w:val="EFACharBold_and_AllCap"/>
    <w:uiPriority w:val="1"/>
    <w:qFormat/>
    <w:rPr>
      <w:b/>
      <w:caps/>
    </w:rPr>
  </w:style>
  <w:style w:type="paragraph" w:customStyle="1" w:styleId="TableNormal">
    <w:name w:val="__Table_Normal"/>
    <w:basedOn w:val="a"/>
    <w:link w:val="TableNormalChar"/>
    <w:qFormat/>
    <w:rPr>
      <w:snapToGrid/>
      <w:color w:val="000000"/>
      <w:kern w:val="28"/>
    </w:rPr>
  </w:style>
  <w:style w:type="character" w:customStyle="1" w:styleId="TableNormalChar">
    <w:name w:val="__Table_Normal Char"/>
    <w:basedOn w:val="a0"/>
    <w:link w:val="TableNormal"/>
    <w:qFormat/>
    <w:rPr>
      <w:snapToGrid/>
      <w:color w:val="000000"/>
      <w:kern w:val="28"/>
      <w:lang w:eastAsia="ja-JP"/>
    </w:rPr>
  </w:style>
  <w:style w:type="paragraph" w:customStyle="1" w:styleId="FrontpgTblleftjust7pt">
    <w:name w:val="Front pg Tbl left just 7 pt"/>
    <w:basedOn w:val="a"/>
    <w:link w:val="FrontpgTblleftjust7ptCharChar"/>
    <w:qFormat/>
    <w:rPr>
      <w:snapToGrid/>
      <w:sz w:val="14"/>
      <w:szCs w:val="24"/>
    </w:rPr>
  </w:style>
  <w:style w:type="character" w:customStyle="1" w:styleId="FrontpgTblleftjust7ptCharChar">
    <w:name w:val="Front pg Tbl left just 7 pt Char Char"/>
    <w:basedOn w:val="a0"/>
    <w:link w:val="FrontpgTblleftjust7pt"/>
    <w:qFormat/>
    <w:rPr>
      <w:snapToGrid/>
      <w:sz w:val="14"/>
      <w:szCs w:val="24"/>
      <w:lang w:eastAsia="ja-JP"/>
    </w:rPr>
  </w:style>
  <w:style w:type="character" w:customStyle="1" w:styleId="EFAFPColFrameTextLeft2Char">
    <w:name w:val="EFAFPColFrameText_Left2 Char"/>
    <w:basedOn w:val="a0"/>
    <w:link w:val="EFAFPColFrameTextLeft2"/>
    <w:qFormat/>
    <w:rPr>
      <w:sz w:val="14"/>
      <w:szCs w:val="14"/>
    </w:rPr>
  </w:style>
  <w:style w:type="paragraph" w:customStyle="1" w:styleId="EFAAnchor">
    <w:name w:val="EFAAnchor"/>
    <w:basedOn w:val="EFANormal"/>
    <w:qFormat/>
    <w:rPr>
      <w:sz w:val="4"/>
      <w:lang w:eastAsia="zh-CN"/>
    </w:rPr>
  </w:style>
  <w:style w:type="paragraph" w:customStyle="1" w:styleId="EFAReportTitle">
    <w:name w:val="EFAReportTitle"/>
    <w:basedOn w:val="EFANormal"/>
    <w:qFormat/>
    <w:rPr>
      <w:b/>
      <w:sz w:val="48"/>
    </w:rPr>
  </w:style>
  <w:style w:type="paragraph" w:customStyle="1" w:styleId="EFAMTitle">
    <w:name w:val="EFAM_Title"/>
    <w:basedOn w:val="EFANormal"/>
    <w:qFormat/>
    <w:pPr>
      <w:framePr w:wrap="around" w:hAnchor="text" w:xAlign="right" w:y="1"/>
      <w:suppressOverlap/>
    </w:pPr>
    <w:rPr>
      <w:b/>
      <w:sz w:val="32"/>
      <w:szCs w:val="28"/>
    </w:rPr>
  </w:style>
  <w:style w:type="paragraph" w:customStyle="1" w:styleId="EFABulletIndent">
    <w:name w:val="EFABullet_Indent"/>
    <w:basedOn w:val="EFABodyText"/>
    <w:qFormat/>
    <w:pPr>
      <w:numPr>
        <w:numId w:val="7"/>
      </w:numPr>
      <w:tabs>
        <w:tab w:val="left" w:pos="240"/>
      </w:tabs>
      <w:ind w:left="240" w:hanging="240"/>
    </w:pPr>
  </w:style>
  <w:style w:type="paragraph" w:customStyle="1" w:styleId="EFAMAbstract">
    <w:name w:val="EFAM_Abstract"/>
    <w:basedOn w:val="EFABodyText"/>
    <w:next w:val="EFABodyText"/>
    <w:qFormat/>
  </w:style>
  <w:style w:type="paragraph" w:customStyle="1" w:styleId="EFAMSynopsis">
    <w:name w:val="EFAM_Synopsis"/>
    <w:basedOn w:val="EFABodyText"/>
    <w:next w:val="EFABodyText"/>
    <w:qFormat/>
    <w:rPr>
      <w:b/>
      <w:sz w:val="24"/>
    </w:rPr>
  </w:style>
  <w:style w:type="paragraph" w:customStyle="1" w:styleId="EFAHeading1">
    <w:name w:val="EFAHeading1"/>
    <w:basedOn w:val="EFABodyText"/>
    <w:next w:val="EFABodyText"/>
    <w:qFormat/>
    <w:pPr>
      <w:numPr>
        <w:numId w:val="8"/>
      </w:numPr>
      <w:tabs>
        <w:tab w:val="left" w:pos="1044"/>
      </w:tabs>
      <w:spacing w:after="60"/>
      <w:ind w:left="0" w:firstLine="0"/>
      <w:outlineLvl w:val="0"/>
    </w:pPr>
    <w:rPr>
      <w:b/>
      <w:sz w:val="24"/>
      <w:szCs w:val="24"/>
    </w:rPr>
  </w:style>
  <w:style w:type="paragraph" w:customStyle="1" w:styleId="EFAFPColHdr3">
    <w:name w:val="EFAFPCol_Hdr3"/>
    <w:link w:val="EFAFPColHdr3Char"/>
    <w:qFormat/>
    <w:pPr>
      <w:framePr w:w="2980" w:h="11080" w:hRule="exact" w:hSpace="180" w:wrap="around" w:vAnchor="text" w:hAnchor="page" w:x="370" w:y="1621"/>
    </w:pPr>
    <w:rPr>
      <w:rFonts w:ascii="Calibri" w:eastAsia="MS Mincho" w:hAnsi="Calibri"/>
      <w:b/>
      <w:snapToGrid w:val="0"/>
      <w:color w:val="808080"/>
      <w:sz w:val="24"/>
      <w:szCs w:val="24"/>
      <w:lang w:eastAsia="ja-JP"/>
    </w:rPr>
  </w:style>
  <w:style w:type="paragraph" w:customStyle="1" w:styleId="EFAFPReportType2">
    <w:name w:val="EFAFPReportType2"/>
    <w:link w:val="EFAFPReportType2Char"/>
    <w:qFormat/>
    <w:pPr>
      <w:framePr w:w="10858" w:h="1520" w:hRule="exact" w:wrap="around" w:vAnchor="page" w:hAnchor="page" w:x="357" w:y="1072" w:anchorLock="1"/>
      <w:adjustRightInd w:val="0"/>
      <w:snapToGrid w:val="0"/>
    </w:pPr>
    <w:rPr>
      <w:rFonts w:ascii="Calibri" w:eastAsia="MS Mincho" w:hAnsi="Calibri"/>
      <w:snapToGrid w:val="0"/>
      <w:color w:val="23558C"/>
      <w:sz w:val="44"/>
      <w:szCs w:val="44"/>
      <w:lang w:eastAsia="ja-JP"/>
    </w:rPr>
  </w:style>
  <w:style w:type="character" w:customStyle="1" w:styleId="EFAFPColHdr3Char">
    <w:name w:val="EFAFPCol_Hdr3 Char"/>
    <w:basedOn w:val="a0"/>
    <w:link w:val="EFAFPColHdr3"/>
    <w:qFormat/>
    <w:rPr>
      <w:b/>
      <w:color w:val="808080"/>
      <w:sz w:val="24"/>
      <w:szCs w:val="24"/>
      <w:lang w:eastAsia="ja-JP"/>
    </w:rPr>
  </w:style>
  <w:style w:type="character" w:customStyle="1" w:styleId="EFAFPReportType2Char">
    <w:name w:val="EFAFPReportType2 Char"/>
    <w:basedOn w:val="a0"/>
    <w:link w:val="EFAFPReportType2"/>
    <w:qFormat/>
    <w:rPr>
      <w:color w:val="23558C"/>
      <w:sz w:val="44"/>
      <w:szCs w:val="44"/>
      <w:lang w:eastAsia="ja-JP"/>
    </w:rPr>
  </w:style>
  <w:style w:type="paragraph" w:customStyle="1" w:styleId="EFAFPTitle3">
    <w:name w:val="EFAFPTitle3"/>
    <w:link w:val="EFAFPTitle3Char"/>
    <w:qFormat/>
    <w:pPr>
      <w:framePr w:wrap="around" w:hAnchor="text" w:xAlign="right" w:y="1"/>
      <w:numPr>
        <w:numId w:val="9"/>
      </w:numPr>
      <w:ind w:left="360" w:hanging="360"/>
      <w:suppressOverlap/>
    </w:pPr>
    <w:rPr>
      <w:rFonts w:ascii="Calibri" w:eastAsia="MS Mincho" w:hAnsi="Calibri"/>
      <w:b/>
      <w:snapToGrid w:val="0"/>
      <w:sz w:val="44"/>
      <w:szCs w:val="60"/>
      <w:lang w:eastAsia="ja-JP"/>
    </w:rPr>
  </w:style>
  <w:style w:type="paragraph" w:customStyle="1" w:styleId="EFAFPHeadline">
    <w:name w:val="EFAFP_Headline"/>
    <w:next w:val="EFAFPBodyText2"/>
    <w:link w:val="EFAFPHeadlineChar"/>
    <w:qFormat/>
    <w:pPr>
      <w:numPr>
        <w:numId w:val="10"/>
      </w:numPr>
      <w:adjustRightInd w:val="0"/>
      <w:snapToGrid w:val="0"/>
    </w:pPr>
    <w:rPr>
      <w:rFonts w:ascii="Calibri" w:eastAsia="Times New Roman" w:hAnsi="Calibri"/>
      <w:b/>
      <w:bCs/>
      <w:color w:val="23558C"/>
      <w:kern w:val="28"/>
      <w:sz w:val="28"/>
      <w:lang w:eastAsia="ja-JP"/>
    </w:rPr>
  </w:style>
  <w:style w:type="paragraph" w:customStyle="1" w:styleId="EFAFPBodyText2">
    <w:name w:val="EFAFP_BodyText2"/>
    <w:link w:val="EFAFPBodyText2Char"/>
    <w:qFormat/>
    <w:pPr>
      <w:adjustRightInd w:val="0"/>
      <w:snapToGrid w:val="0"/>
      <w:spacing w:after="120"/>
      <w:jc w:val="both"/>
    </w:pPr>
    <w:rPr>
      <w:rFonts w:ascii="Calibri" w:eastAsia="Times New Roman" w:hAnsi="Calibri" w:cs="PMingLiU"/>
      <w:sz w:val="22"/>
      <w:lang w:eastAsia="ja-JP"/>
    </w:rPr>
  </w:style>
  <w:style w:type="character" w:customStyle="1" w:styleId="EFAFPTitle3Char">
    <w:name w:val="EFAFPTitle3 Char"/>
    <w:basedOn w:val="a0"/>
    <w:link w:val="EFAFPTitle3"/>
    <w:qFormat/>
    <w:rPr>
      <w:b/>
      <w:sz w:val="44"/>
      <w:szCs w:val="60"/>
      <w:lang w:eastAsia="ja-JP"/>
    </w:rPr>
  </w:style>
  <w:style w:type="character" w:customStyle="1" w:styleId="EFAFPHeadlineChar">
    <w:name w:val="EFAFP_Headline Char"/>
    <w:basedOn w:val="a0"/>
    <w:link w:val="EFAFPHeadline"/>
    <w:qFormat/>
    <w:rPr>
      <w:rFonts w:eastAsia="Times New Roman"/>
      <w:b/>
      <w:bCs/>
      <w:snapToGrid/>
      <w:color w:val="23558C"/>
      <w:kern w:val="28"/>
      <w:sz w:val="28"/>
      <w:szCs w:val="20"/>
      <w:lang w:eastAsia="ja-JP"/>
    </w:rPr>
  </w:style>
  <w:style w:type="character" w:customStyle="1" w:styleId="EFAFPBodyText2Char">
    <w:name w:val="EFAFP_BodyText2 Char"/>
    <w:basedOn w:val="a0"/>
    <w:link w:val="EFAFPBodyText2"/>
    <w:qFormat/>
    <w:rPr>
      <w:rFonts w:eastAsia="Times New Roman" w:cs="PMingLiU"/>
      <w:snapToGrid/>
      <w:sz w:val="22"/>
      <w:szCs w:val="20"/>
      <w:lang w:eastAsia="ja-JP"/>
    </w:rPr>
  </w:style>
  <w:style w:type="character" w:customStyle="1" w:styleId="EFABlueChar">
    <w:name w:val="EFABlueChar"/>
    <w:uiPriority w:val="1"/>
    <w:qFormat/>
    <w:rPr>
      <w:b/>
      <w:color w:val="23508C"/>
    </w:rPr>
  </w:style>
  <w:style w:type="paragraph" w:customStyle="1" w:styleId="EFAHeading5">
    <w:name w:val="EFAHeading5"/>
    <w:next w:val="EFABodyText"/>
    <w:qFormat/>
    <w:pPr>
      <w:numPr>
        <w:numId w:val="11"/>
      </w:numPr>
      <w:adjustRightInd w:val="0"/>
      <w:snapToGrid w:val="0"/>
      <w:ind w:left="972" w:hanging="972"/>
      <w:outlineLvl w:val="0"/>
    </w:pPr>
    <w:rPr>
      <w:rFonts w:ascii="Calibri" w:eastAsia="MS Mincho" w:hAnsi="Calibri"/>
      <w:b/>
      <w:bCs/>
      <w:snapToGrid w:val="0"/>
      <w:color w:val="23558C"/>
      <w:sz w:val="24"/>
      <w:szCs w:val="24"/>
      <w:lang w:eastAsia="ja-JP"/>
    </w:rPr>
  </w:style>
  <w:style w:type="paragraph" w:customStyle="1" w:styleId="EFAMacroTitle">
    <w:name w:val="EFAMacroTitle"/>
    <w:basedOn w:val="EFAFPColHdr3"/>
    <w:qFormat/>
    <w:pPr>
      <w:framePr w:wrap="around"/>
    </w:pPr>
  </w:style>
  <w:style w:type="character" w:customStyle="1" w:styleId="EFAFPColFrameAnalystName2Char">
    <w:name w:val="EFAFPColFrame_AnalystName2 Char"/>
    <w:basedOn w:val="EFAFPColFrameTextLeft2Char"/>
    <w:link w:val="EFAFPColFrameAnalystName2"/>
    <w:qFormat/>
    <w:rPr>
      <w:b/>
      <w:sz w:val="14"/>
      <w:szCs w:val="14"/>
    </w:rPr>
  </w:style>
  <w:style w:type="paragraph" w:customStyle="1" w:styleId="EFAFPTitle">
    <w:name w:val="EFAFPTitle"/>
    <w:link w:val="EFAFPTitleChar"/>
    <w:qFormat/>
    <w:pPr>
      <w:framePr w:wrap="around" w:hAnchor="text" w:xAlign="right" w:y="1"/>
      <w:tabs>
        <w:tab w:val="left" w:pos="240"/>
      </w:tabs>
      <w:ind w:left="240" w:right="220"/>
      <w:suppressOverlap/>
    </w:pPr>
    <w:rPr>
      <w:rFonts w:ascii="Calibri" w:eastAsia="MS Mincho" w:hAnsi="Calibri"/>
      <w:b/>
      <w:snapToGrid w:val="0"/>
      <w:color w:val="FFFFFF"/>
      <w:sz w:val="32"/>
      <w:szCs w:val="32"/>
      <w:lang w:eastAsia="ja-JP"/>
    </w:rPr>
  </w:style>
  <w:style w:type="character" w:customStyle="1" w:styleId="EFAFPTitleChar">
    <w:name w:val="EFAFPTitle Char"/>
    <w:basedOn w:val="a0"/>
    <w:link w:val="EFAFPTitle"/>
    <w:qFormat/>
    <w:rPr>
      <w:b/>
      <w:color w:val="FFFFFF"/>
      <w:sz w:val="32"/>
      <w:szCs w:val="32"/>
      <w:lang w:eastAsia="ja-JP"/>
    </w:rPr>
  </w:style>
  <w:style w:type="paragraph" w:customStyle="1" w:styleId="EFAFPReportType">
    <w:name w:val="EFAFPReportType"/>
    <w:link w:val="EFAFPReportTypeChar"/>
    <w:qFormat/>
    <w:pPr>
      <w:framePr w:w="10858" w:h="1520" w:hRule="exact" w:wrap="around" w:vAnchor="page" w:hAnchor="page" w:x="366" w:y="1071" w:anchorLock="1"/>
      <w:adjustRightInd w:val="0"/>
      <w:snapToGrid w:val="0"/>
    </w:pPr>
    <w:rPr>
      <w:rFonts w:ascii="Calibri" w:eastAsia="MS Mincho" w:hAnsi="Calibri"/>
      <w:snapToGrid w:val="0"/>
      <w:color w:val="23558C"/>
      <w:sz w:val="44"/>
      <w:szCs w:val="44"/>
      <w:lang w:eastAsia="ja-JP"/>
    </w:rPr>
  </w:style>
  <w:style w:type="character" w:customStyle="1" w:styleId="EFAFPReportTypeChar">
    <w:name w:val="EFAFPReportType Char"/>
    <w:basedOn w:val="a0"/>
    <w:link w:val="EFAFPReportType"/>
    <w:qFormat/>
    <w:rPr>
      <w:color w:val="23558C"/>
      <w:sz w:val="44"/>
      <w:szCs w:val="44"/>
      <w:lang w:eastAsia="ja-JP"/>
    </w:rPr>
  </w:style>
  <w:style w:type="paragraph" w:customStyle="1" w:styleId="EFAFPHdrInfo2">
    <w:name w:val="EFAFPHdrInfo2"/>
    <w:link w:val="EFAFPHdrInfo2Char"/>
    <w:qFormat/>
    <w:pPr>
      <w:framePr w:wrap="auto" w:hAnchor="text" w:xAlign="right" w:y="-239"/>
      <w:ind w:left="240"/>
      <w:suppressOverlap/>
    </w:pPr>
    <w:rPr>
      <w:rFonts w:ascii="Calibri" w:eastAsia="MS Mincho" w:hAnsi="Calibri"/>
      <w:snapToGrid w:val="0"/>
      <w:color w:val="000000"/>
      <w:szCs w:val="44"/>
      <w:lang w:eastAsia="ja-JP"/>
    </w:rPr>
  </w:style>
  <w:style w:type="character" w:customStyle="1" w:styleId="EFAFPHdrInfo2Char">
    <w:name w:val="EFAFPHdrInfo2 Char"/>
    <w:basedOn w:val="a0"/>
    <w:link w:val="EFAFPHdrInfo2"/>
    <w:qFormat/>
    <w:rPr>
      <w:color w:val="000000"/>
      <w:sz w:val="20"/>
      <w:szCs w:val="44"/>
      <w:lang w:eastAsia="ja-JP"/>
    </w:rPr>
  </w:style>
  <w:style w:type="paragraph" w:customStyle="1" w:styleId="EFADisclaimerHiddenText">
    <w:name w:val="EFADisclaimerHiddenText"/>
    <w:link w:val="EFADisclaimerHiddenTextChar"/>
    <w:qFormat/>
    <w:pPr>
      <w:spacing w:line="20" w:lineRule="exact"/>
    </w:pPr>
    <w:rPr>
      <w:rFonts w:ascii="Calibri" w:eastAsia="MS Mincho" w:hAnsi="Calibri"/>
      <w:snapToGrid w:val="0"/>
      <w:vanish/>
      <w:color w:val="FFFFFF"/>
      <w:sz w:val="2"/>
      <w:szCs w:val="16"/>
      <w:lang w:eastAsia="ja-JP"/>
    </w:rPr>
  </w:style>
  <w:style w:type="character" w:customStyle="1" w:styleId="EFADisclaimerHiddenTextChar">
    <w:name w:val="EFADisclaimerHiddenText Char"/>
    <w:basedOn w:val="a0"/>
    <w:link w:val="EFADisclaimerHiddenText"/>
    <w:qFormat/>
    <w:rPr>
      <w:vanish/>
      <w:color w:val="FFFFFF"/>
      <w:sz w:val="2"/>
      <w:lang w:eastAsia="ja-JP"/>
    </w:rPr>
  </w:style>
  <w:style w:type="paragraph" w:customStyle="1" w:styleId="EFAFPFooter2">
    <w:name w:val="EFAFPFooter2"/>
    <w:link w:val="EFAFPFooter2Char"/>
    <w:qFormat/>
    <w:pPr>
      <w:tabs>
        <w:tab w:val="right" w:pos="11544"/>
      </w:tabs>
      <w:autoSpaceDE w:val="0"/>
      <w:autoSpaceDN w:val="0"/>
      <w:adjustRightInd w:val="0"/>
      <w:snapToGrid w:val="0"/>
      <w:spacing w:line="200" w:lineRule="exact"/>
      <w:jc w:val="both"/>
    </w:pPr>
    <w:rPr>
      <w:rFonts w:ascii="Calibri" w:eastAsia="MS Mincho" w:hAnsi="Calibri" w:cs="Arial"/>
      <w:snapToGrid w:val="0"/>
      <w:sz w:val="21"/>
      <w:szCs w:val="16"/>
      <w:lang w:eastAsia="ja-JP"/>
    </w:rPr>
  </w:style>
  <w:style w:type="character" w:customStyle="1" w:styleId="EFAFPFooter2Char">
    <w:name w:val="EFAFPFooter2 Char"/>
    <w:basedOn w:val="a0"/>
    <w:link w:val="EFAFPFooter2"/>
    <w:qFormat/>
    <w:rPr>
      <w:rFonts w:cs="Arial"/>
      <w:sz w:val="21"/>
      <w:lang w:eastAsia="ja-JP"/>
    </w:rPr>
  </w:style>
  <w:style w:type="character" w:customStyle="1" w:styleId="EFADisclaimerTextChar">
    <w:name w:val="EFADisclaimerText Char"/>
    <w:basedOn w:val="a0"/>
    <w:link w:val="EFADisclaimerText"/>
    <w:uiPriority w:val="99"/>
    <w:qFormat/>
    <w:locked/>
    <w:rPr>
      <w:lang w:eastAsia="ja-JP"/>
    </w:rPr>
  </w:style>
  <w:style w:type="paragraph" w:customStyle="1" w:styleId="EFAFPColFrameTextLeft">
    <w:name w:val="EFAFPColFrameText_Left"/>
    <w:basedOn w:val="a"/>
    <w:link w:val="EFAFPColFrameTextLeftChar"/>
    <w:qFormat/>
    <w:pPr>
      <w:framePr w:w="3045" w:h="12844" w:hRule="exact" w:hSpace="180" w:wrap="around" w:vAnchor="page" w:hAnchor="page" w:x="336" w:y="2721" w:anchorLock="1"/>
      <w:adjustRightInd w:val="0"/>
      <w:snapToGrid w:val="0"/>
    </w:pPr>
    <w:rPr>
      <w:sz w:val="14"/>
      <w:szCs w:val="14"/>
      <w:lang w:val="en-US" w:eastAsia="zh-CN"/>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a0"/>
    <w:link w:val="EFAFPColFrameTextLeft"/>
    <w:qFormat/>
    <w:rPr>
      <w:sz w:val="14"/>
      <w:szCs w:val="14"/>
    </w:rPr>
  </w:style>
  <w:style w:type="paragraph" w:customStyle="1" w:styleId="10">
    <w:name w:val="表1"/>
    <w:basedOn w:val="a"/>
    <w:link w:val="1Char"/>
    <w:qFormat/>
    <w:pPr>
      <w:widowControl w:val="0"/>
      <w:tabs>
        <w:tab w:val="left" w:pos="3819"/>
      </w:tabs>
      <w:ind w:rightChars="26" w:right="55"/>
    </w:pPr>
    <w:rPr>
      <w:rFonts w:ascii="Arial" w:eastAsia="楷体_GB2312" w:hAnsi="Arial"/>
      <w:b/>
      <w:bCs/>
      <w:snapToGrid/>
      <w:color w:val="000000"/>
      <w:kern w:val="2"/>
      <w:sz w:val="18"/>
      <w:szCs w:val="24"/>
      <w:lang w:val="zh-CN" w:eastAsia="zh-CN"/>
    </w:rPr>
  </w:style>
  <w:style w:type="character" w:customStyle="1" w:styleId="1Char">
    <w:name w:val="表1 Char"/>
    <w:link w:val="10"/>
    <w:qFormat/>
    <w:rPr>
      <w:rFonts w:ascii="Arial" w:eastAsia="楷体_GB2312" w:hAnsi="Arial"/>
      <w:b/>
      <w:bCs/>
      <w:snapToGrid/>
      <w:color w:val="000000"/>
      <w:kern w:val="2"/>
      <w:sz w:val="18"/>
      <w:szCs w:val="24"/>
      <w:lang w:val="zh-CN" w:eastAsia="zh-CN"/>
    </w:rPr>
  </w:style>
  <w:style w:type="paragraph" w:customStyle="1" w:styleId="EFABodyTextCN">
    <w:name w:val="EFABodyText(CN)"/>
    <w:link w:val="EFABodyTextCNChar"/>
    <w:qFormat/>
    <w:pPr>
      <w:widowControl w:val="0"/>
      <w:adjustRightInd w:val="0"/>
      <w:snapToGrid w:val="0"/>
    </w:pPr>
    <w:rPr>
      <w:rFonts w:ascii="Calibri" w:hAnsi="Calibri"/>
      <w:snapToGrid w:val="0"/>
      <w:szCs w:val="16"/>
    </w:rPr>
  </w:style>
  <w:style w:type="character" w:customStyle="1" w:styleId="EFABodyTextCNChar">
    <w:name w:val="EFABodyText(CN) Char"/>
    <w:basedOn w:val="a0"/>
    <w:link w:val="EFABodyTextCN"/>
    <w:qFormat/>
    <w:rPr>
      <w:rFonts w:eastAsia="宋体"/>
      <w:sz w:val="20"/>
    </w:rPr>
  </w:style>
  <w:style w:type="paragraph" w:customStyle="1" w:styleId="afd">
    <w:name w:val="图序号"/>
    <w:basedOn w:val="a"/>
    <w:link w:val="afe"/>
    <w:qFormat/>
    <w:pPr>
      <w:widowControl w:val="0"/>
      <w:ind w:rightChars="26" w:right="55"/>
      <w:jc w:val="both"/>
    </w:pPr>
    <w:rPr>
      <w:rFonts w:ascii="Arial" w:eastAsia="楷体_GB2312" w:hAnsi="Arial"/>
      <w:b/>
      <w:bCs/>
      <w:snapToGrid/>
      <w:color w:val="000000"/>
      <w:kern w:val="2"/>
      <w:sz w:val="18"/>
      <w:szCs w:val="18"/>
      <w:lang w:val="zh-CN" w:eastAsia="zh-CN"/>
    </w:rPr>
  </w:style>
  <w:style w:type="character" w:customStyle="1" w:styleId="afe">
    <w:name w:val="图序号 字符"/>
    <w:link w:val="afd"/>
    <w:qFormat/>
    <w:rPr>
      <w:rFonts w:ascii="Arial" w:eastAsia="楷体_GB2312" w:hAnsi="Arial"/>
      <w:b/>
      <w:bCs/>
      <w:snapToGrid/>
      <w:color w:val="000000"/>
      <w:kern w:val="2"/>
      <w:sz w:val="18"/>
      <w:szCs w:val="18"/>
      <w:lang w:val="zh-CN" w:eastAsia="zh-CN"/>
    </w:rPr>
  </w:style>
  <w:style w:type="character" w:customStyle="1" w:styleId="11">
    <w:name w:val="标题 1 字符1"/>
    <w:link w:val="1"/>
    <w:qFormat/>
    <w:rPr>
      <w:rFonts w:cs="Arial"/>
      <w:b/>
      <w:bCs/>
      <w:kern w:val="32"/>
      <w:sz w:val="24"/>
      <w:szCs w:val="32"/>
      <w:lang w:val="en-GB" w:eastAsia="ja-JP"/>
    </w:rPr>
  </w:style>
  <w:style w:type="character" w:customStyle="1" w:styleId="40">
    <w:name w:val="标题 4 字符"/>
    <w:basedOn w:val="a0"/>
    <w:link w:val="4"/>
    <w:qFormat/>
    <w:rPr>
      <w:rFonts w:ascii="Cambria" w:eastAsia="宋体" w:hAnsi="Cambria"/>
      <w:b/>
      <w:bCs/>
      <w:snapToGrid/>
      <w:kern w:val="2"/>
      <w:sz w:val="28"/>
      <w:szCs w:val="28"/>
      <w:lang w:val="zh-CN" w:eastAsia="zh-CN"/>
    </w:rPr>
  </w:style>
  <w:style w:type="character" w:customStyle="1" w:styleId="a8">
    <w:name w:val="正文文本 字符"/>
    <w:basedOn w:val="a0"/>
    <w:link w:val="a7"/>
    <w:qFormat/>
    <w:rPr>
      <w:rFonts w:ascii="Times New Roman" w:eastAsia="宋体" w:hAnsi="Times New Roman"/>
      <w:snapToGrid/>
      <w:kern w:val="2"/>
      <w:sz w:val="21"/>
      <w:szCs w:val="24"/>
    </w:rPr>
  </w:style>
  <w:style w:type="character" w:customStyle="1" w:styleId="aa">
    <w:name w:val="正文文本缩进 字符"/>
    <w:basedOn w:val="a0"/>
    <w:link w:val="a9"/>
    <w:qFormat/>
    <w:rPr>
      <w:rFonts w:ascii="汉仪楷体简" w:eastAsia="汉仪楷体简" w:hAnsi="Times New Roman"/>
      <w:snapToGrid/>
      <w:color w:val="000000"/>
      <w:sz w:val="18"/>
    </w:rPr>
  </w:style>
  <w:style w:type="character" w:customStyle="1" w:styleId="24">
    <w:name w:val="正文文本 2 字符"/>
    <w:basedOn w:val="a0"/>
    <w:link w:val="23"/>
    <w:qFormat/>
    <w:rPr>
      <w:rFonts w:ascii="Times New Roman" w:eastAsia="汉仪楷体简" w:hAnsi="Times New Roman"/>
      <w:snapToGrid/>
      <w:sz w:val="18"/>
      <w:szCs w:val="24"/>
    </w:rPr>
  </w:style>
  <w:style w:type="character" w:customStyle="1" w:styleId="32">
    <w:name w:val="正文文本 3 字符"/>
    <w:basedOn w:val="a0"/>
    <w:link w:val="31"/>
    <w:qFormat/>
    <w:rPr>
      <w:rFonts w:ascii="汉仪楷体简" w:eastAsia="汉仪楷体简" w:hAnsi="Times New Roman"/>
      <w:snapToGrid/>
      <w:color w:val="000000"/>
      <w:sz w:val="18"/>
    </w:rPr>
  </w:style>
  <w:style w:type="character" w:customStyle="1" w:styleId="22">
    <w:name w:val="正文文本缩进 2 字符"/>
    <w:basedOn w:val="a0"/>
    <w:link w:val="21"/>
    <w:qFormat/>
    <w:rPr>
      <w:rFonts w:ascii="楷体_GB2312" w:eastAsia="楷体_GB2312" w:hAnsi="Times New Roman"/>
      <w:snapToGrid/>
      <w:sz w:val="24"/>
      <w:szCs w:val="24"/>
    </w:rPr>
  </w:style>
  <w:style w:type="character" w:customStyle="1" w:styleId="34">
    <w:name w:val="正文文本缩进 3 字符"/>
    <w:basedOn w:val="a0"/>
    <w:link w:val="33"/>
    <w:qFormat/>
    <w:rPr>
      <w:rFonts w:ascii="楷体_GB2312" w:eastAsia="楷体_GB2312" w:hAnsi="Times New Roman"/>
      <w:snapToGrid/>
      <w:color w:val="000000"/>
      <w:kern w:val="2"/>
      <w:sz w:val="24"/>
      <w:szCs w:val="24"/>
    </w:rPr>
  </w:style>
  <w:style w:type="character" w:customStyle="1" w:styleId="ad">
    <w:name w:val="日期 字符"/>
    <w:basedOn w:val="a0"/>
    <w:link w:val="ac"/>
    <w:qFormat/>
    <w:rPr>
      <w:rFonts w:ascii="宋体" w:eastAsia="宋体" w:hAnsi="Times New Roman"/>
      <w:snapToGrid/>
      <w:kern w:val="2"/>
      <w:sz w:val="28"/>
      <w:szCs w:val="20"/>
    </w:rPr>
  </w:style>
  <w:style w:type="character" w:customStyle="1" w:styleId="style12">
    <w:name w:val="style12"/>
    <w:basedOn w:val="a0"/>
    <w:qFormat/>
  </w:style>
  <w:style w:type="character" w:customStyle="1" w:styleId="style13">
    <w:name w:val="style13"/>
    <w:basedOn w:val="a0"/>
    <w:qFormat/>
  </w:style>
  <w:style w:type="paragraph" w:customStyle="1" w:styleId="ParaCharCharCharCharCharCharChar">
    <w:name w:val="默认段落字体 Para Char Char Char Char Char Char 字元 Char"/>
    <w:basedOn w:val="a"/>
    <w:qFormat/>
    <w:pPr>
      <w:widowControl w:val="0"/>
      <w:tabs>
        <w:tab w:val="left" w:pos="840"/>
      </w:tabs>
      <w:ind w:left="840" w:hanging="360"/>
      <w:jc w:val="both"/>
    </w:pPr>
    <w:rPr>
      <w:rFonts w:ascii="Times New Roman" w:eastAsia="宋体" w:hAnsi="Times New Roman"/>
      <w:snapToGrid/>
      <w:kern w:val="2"/>
      <w:sz w:val="24"/>
      <w:szCs w:val="24"/>
      <w:lang w:val="en-US" w:eastAsia="zh-CN"/>
    </w:rPr>
  </w:style>
  <w:style w:type="paragraph" w:customStyle="1" w:styleId="aff">
    <w:name w:val="二级目录"/>
    <w:basedOn w:val="ab"/>
    <w:qFormat/>
    <w:pPr>
      <w:spacing w:beforeLines="100" w:before="240" w:afterLines="100" w:after="240" w:line="320" w:lineRule="exact"/>
      <w:ind w:leftChars="0" w:left="2977" w:rightChars="0" w:right="0" w:firstLine="0"/>
    </w:pPr>
    <w:rPr>
      <w:rFonts w:eastAsia="楷体_GB2312"/>
      <w:b/>
      <w:color w:val="000080"/>
      <w:sz w:val="24"/>
    </w:rPr>
  </w:style>
  <w:style w:type="character" w:customStyle="1" w:styleId="a6">
    <w:name w:val="批注文字 字符"/>
    <w:basedOn w:val="a0"/>
    <w:link w:val="a5"/>
    <w:qFormat/>
    <w:rPr>
      <w:rFonts w:ascii="Times New Roman" w:eastAsia="宋体" w:hAnsi="Times New Roman"/>
      <w:snapToGrid/>
      <w:kern w:val="2"/>
      <w:sz w:val="21"/>
      <w:szCs w:val="24"/>
      <w:lang w:val="zh-CN" w:eastAsia="zh-CN"/>
    </w:rPr>
  </w:style>
  <w:style w:type="character" w:customStyle="1" w:styleId="af5">
    <w:name w:val="批注主题 字符"/>
    <w:basedOn w:val="a6"/>
    <w:link w:val="af4"/>
    <w:qFormat/>
    <w:rPr>
      <w:rFonts w:ascii="Times New Roman" w:eastAsia="宋体" w:hAnsi="Times New Roman"/>
      <w:b/>
      <w:bCs/>
      <w:snapToGrid/>
      <w:kern w:val="2"/>
      <w:sz w:val="21"/>
      <w:szCs w:val="24"/>
      <w:lang w:val="zh-CN" w:eastAsia="zh-CN"/>
    </w:rPr>
  </w:style>
  <w:style w:type="paragraph" w:customStyle="1" w:styleId="HUS">
    <w:name w:val="HUS封面正文"/>
    <w:qFormat/>
    <w:pPr>
      <w:numPr>
        <w:numId w:val="12"/>
      </w:numPr>
      <w:spacing w:after="120"/>
      <w:jc w:val="both"/>
    </w:pPr>
    <w:rPr>
      <w:rFonts w:ascii="Arial" w:eastAsia="楷体_GB2312" w:hAnsi="Arial"/>
      <w:kern w:val="2"/>
    </w:rPr>
  </w:style>
  <w:style w:type="paragraph" w:customStyle="1" w:styleId="Default">
    <w:name w:val="Default"/>
    <w:qFormat/>
    <w:pPr>
      <w:widowControl w:val="0"/>
      <w:autoSpaceDE w:val="0"/>
      <w:autoSpaceDN w:val="0"/>
      <w:adjustRightInd w:val="0"/>
    </w:pPr>
    <w:rPr>
      <w:rFonts w:ascii="楷体_GB2312" w:eastAsia="楷体_GB2312" w:cs="楷体_GB2312"/>
      <w:color w:val="000000"/>
      <w:sz w:val="24"/>
      <w:szCs w:val="24"/>
    </w:rPr>
  </w:style>
  <w:style w:type="character" w:customStyle="1" w:styleId="30">
    <w:name w:val="标题 3 字符"/>
    <w:link w:val="3"/>
    <w:qFormat/>
    <w:rPr>
      <w:rFonts w:cs="Arial"/>
      <w:b/>
      <w:bCs/>
      <w:szCs w:val="26"/>
      <w:lang w:val="en-GB" w:eastAsia="ja-JP"/>
    </w:rPr>
  </w:style>
  <w:style w:type="paragraph" w:customStyle="1" w:styleId="aff0">
    <w:name w:val="国泰君安题注"/>
    <w:basedOn w:val="a"/>
    <w:qFormat/>
    <w:pPr>
      <w:widowControl w:val="0"/>
      <w:jc w:val="both"/>
    </w:pPr>
    <w:rPr>
      <w:rFonts w:ascii="Times New Roman" w:eastAsia="楷体_GB2312" w:hAnsi="Times New Roman" w:cs="宋体"/>
      <w:b/>
      <w:bCs/>
      <w:snapToGrid/>
      <w:kern w:val="2"/>
      <w:sz w:val="21"/>
      <w:szCs w:val="20"/>
      <w:lang w:val="en-US" w:eastAsia="zh-CN"/>
    </w:rPr>
  </w:style>
  <w:style w:type="paragraph" w:customStyle="1" w:styleId="aff1">
    <w:name w:val="国泰君安报告正文"/>
    <w:basedOn w:val="a"/>
    <w:qFormat/>
    <w:pPr>
      <w:widowControl w:val="0"/>
      <w:jc w:val="both"/>
    </w:pPr>
    <w:rPr>
      <w:rFonts w:ascii="Times New Roman" w:eastAsia="楷体_GB2312" w:hAnsi="Times New Roman" w:cs="宋体"/>
      <w:snapToGrid/>
      <w:kern w:val="2"/>
      <w:sz w:val="21"/>
      <w:szCs w:val="20"/>
      <w:lang w:val="en-US" w:eastAsia="zh-CN"/>
    </w:rPr>
  </w:style>
  <w:style w:type="paragraph" w:customStyle="1" w:styleId="aff2">
    <w:name w:val="国泰君安数据来源"/>
    <w:basedOn w:val="aff1"/>
    <w:qFormat/>
    <w:rPr>
      <w:sz w:val="18"/>
    </w:rPr>
  </w:style>
  <w:style w:type="paragraph" w:customStyle="1" w:styleId="aff3">
    <w:name w:val="表"/>
    <w:basedOn w:val="a"/>
    <w:qFormat/>
    <w:pPr>
      <w:widowControl w:val="0"/>
    </w:pPr>
    <w:rPr>
      <w:rFonts w:ascii="Arial" w:eastAsia="楷体_GB2312" w:hAnsi="Arial" w:cs="宋体"/>
      <w:b/>
      <w:bCs/>
      <w:snapToGrid/>
      <w:color w:val="000000"/>
      <w:kern w:val="2"/>
      <w:sz w:val="18"/>
      <w:szCs w:val="20"/>
      <w:lang w:val="en-US" w:eastAsia="zh-CN"/>
    </w:rPr>
  </w:style>
  <w:style w:type="character" w:customStyle="1" w:styleId="12">
    <w:name w:val="标题 1 字符"/>
    <w:qFormat/>
    <w:rPr>
      <w:rFonts w:eastAsia="楷体_GB2312"/>
      <w:b/>
      <w:bCs/>
      <w:color w:val="000080"/>
      <w:sz w:val="30"/>
      <w:szCs w:val="24"/>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31">
    <w:name w:val="网格表 3 - 着色 31"/>
    <w:basedOn w:val="a1"/>
    <w:uiPriority w:val="48"/>
    <w:qFormat/>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2-51">
    <w:name w:val="网格表 2 - 着色 51"/>
    <w:basedOn w:val="a1"/>
    <w:uiPriority w:val="47"/>
    <w:qFormat/>
    <w:tblPr>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
    <w:name w:val="清单表 1 浅色 - 着色 51"/>
    <w:basedOn w:val="a1"/>
    <w:uiPriority w:val="46"/>
    <w:qFormat/>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EFAFPColFrameTextRight">
    <w:name w:val="EFAFPColFrameText_Right"/>
    <w:basedOn w:val="a"/>
    <w:qFormat/>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EFAFPHdrInfo">
    <w:name w:val="EFAFPHdrInfo"/>
    <w:link w:val="EFAFPHdrInfoChar"/>
    <w:qFormat/>
    <w:pPr>
      <w:framePr w:wrap="around" w:hAnchor="text" w:xAlign="right" w:y="1"/>
      <w:ind w:left="240"/>
      <w:suppressOverlap/>
    </w:pPr>
    <w:rPr>
      <w:rFonts w:ascii="Calibri" w:eastAsia="MS Mincho" w:hAnsi="Calibri"/>
      <w:b/>
      <w:bCs/>
      <w:snapToGrid w:val="0"/>
      <w:color w:val="000000"/>
      <w:sz w:val="32"/>
      <w:szCs w:val="32"/>
      <w:lang w:eastAsia="ja-JP"/>
    </w:rPr>
  </w:style>
  <w:style w:type="character" w:customStyle="1" w:styleId="EFAFPHdrInfoChar">
    <w:name w:val="EFAFPHdrInfo Char"/>
    <w:basedOn w:val="EFAFPReportTypeChar"/>
    <w:link w:val="EFAFPHdrInfo"/>
    <w:qFormat/>
    <w:rPr>
      <w:b/>
      <w:bCs/>
      <w:color w:val="000000"/>
      <w:sz w:val="32"/>
      <w:szCs w:val="32"/>
      <w:lang w:eastAsia="ja-JP"/>
    </w:rPr>
  </w:style>
  <w:style w:type="paragraph" w:customStyle="1" w:styleId="EFAFPTitle6">
    <w:name w:val="EFAFPTitle6"/>
    <w:link w:val="EFAFPTitle6Char"/>
    <w:qFormat/>
    <w:rPr>
      <w:rFonts w:ascii="Calibri" w:eastAsia="MS Mincho" w:hAnsi="Calibri"/>
      <w:b/>
      <w:bCs/>
      <w:snapToGrid w:val="0"/>
      <w:color w:val="FFFFFF"/>
      <w:sz w:val="32"/>
      <w:lang w:eastAsia="ja-JP"/>
    </w:rPr>
  </w:style>
  <w:style w:type="character" w:customStyle="1" w:styleId="EFAFPTitle6Char">
    <w:name w:val="EFAFPTitle6 Char"/>
    <w:basedOn w:val="a0"/>
    <w:link w:val="EFAFPTitle6"/>
    <w:qFormat/>
    <w:rPr>
      <w:b/>
      <w:bCs/>
      <w:color w:val="FFFFFF"/>
      <w:sz w:val="32"/>
      <w:szCs w:val="20"/>
      <w:lang w:eastAsia="ja-JP"/>
    </w:rPr>
  </w:style>
  <w:style w:type="character" w:customStyle="1" w:styleId="13">
    <w:name w:val="未处理的提及1"/>
    <w:basedOn w:val="a0"/>
    <w:uiPriority w:val="99"/>
    <w:semiHidden/>
    <w:unhideWhenUsed/>
    <w:qFormat/>
    <w:rPr>
      <w:color w:val="605E5C"/>
      <w:shd w:val="clear" w:color="auto" w:fill="E1DFDD"/>
    </w:rPr>
  </w:style>
  <w:style w:type="character" w:customStyle="1" w:styleId="20">
    <w:name w:val="标题 2 字符"/>
    <w:basedOn w:val="a0"/>
    <w:link w:val="2"/>
    <w:qFormat/>
    <w:rPr>
      <w:rFonts w:cs="Arial"/>
      <w:b/>
      <w:bCs/>
      <w:iCs/>
      <w:snapToGrid w:val="0"/>
      <w:szCs w:val="2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7.xml"/><Relationship Id="rId26" Type="http://schemas.openxmlformats.org/officeDocument/2006/relationships/chart" Target="charts/chart15.xml"/><Relationship Id="rId3" Type="http://schemas.openxmlformats.org/officeDocument/2006/relationships/numbering" Target="numbering.xml"/><Relationship Id="rId21" Type="http://schemas.openxmlformats.org/officeDocument/2006/relationships/chart" Target="charts/chart10.xml"/><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chart" Target="charts/chart9.xml"/><Relationship Id="rId29" Type="http://schemas.openxmlformats.org/officeDocument/2006/relationships/hyperlink" Target="http://www.hfisec.com.h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chart" Target="charts/chart13.xm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chart" Target="charts/chart5.xml"/><Relationship Id="rId23" Type="http://schemas.openxmlformats.org/officeDocument/2006/relationships/chart" Target="charts/chart12.xm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hart" Target="charts/chart8.xml"/><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hart" Target="charts/chart4.xml"/><Relationship Id="rId22" Type="http://schemas.openxmlformats.org/officeDocument/2006/relationships/chart" Target="charts/chart11.xml"/><Relationship Id="rId27" Type="http://schemas.openxmlformats.org/officeDocument/2006/relationships/header" Target="header2.xml"/><Relationship Id="rId30" Type="http://schemas.openxmlformats.org/officeDocument/2006/relationships/hyperlink" Target="http://www.hfisec.com.hk" TargetMode="External"/><Relationship Id="rId35"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dministrator\&#21608;&#25253;&#25968;&#25454;&#24213;&#31295;_20260316_20260319.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dministrator\&#21608;&#25253;&#25968;&#25454;&#24213;&#31295;_20260316_2026031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HSJ\Desktop\UBS%20Evidence%20Lab%20Nowcasting%20-%20Retail%20Sales_20260225.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HSJ\Desktop\US_ULTA_CR_PI_20260131.xlsb"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Administrator\&#21608;&#25253;&#25968;&#25454;&#24213;&#31295;_20260316_20260319.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Administrator\&#21608;&#25253;&#25968;&#25454;&#24213;&#31295;_20260316_20260319.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HSJ\Desktop\&#21608;&#25253;&#24213;&#31295;-&#36890;&#29992;&#33322;&#31354;&#37096;&#20998;.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HSJ\Desktop\&#21608;&#25253;&#24213;&#31295;-&#36890;&#29992;&#33322;&#31354;&#37096;&#20998;.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HSJ\Desktop\&#21608;&#25253;&#24213;&#31295;-&#36890;&#29992;&#33322;&#31354;&#37096;&#20998;.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HSJ\Desktop\&#21608;&#25253;&#24213;&#31295;-&#36890;&#29992;&#33322;&#31354;&#37096;&#20998;.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1.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2.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3.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'图1 港股通消费'!$K$1</c:f>
              <c:strCache>
                <c:ptCount val="1"/>
                <c:pt idx="0">
                  <c:v>收盘Close</c:v>
                </c:pt>
              </c:strCache>
            </c:strRef>
          </c:tx>
          <c:spPr>
            <a:ln w="28575" cap="rnd">
              <a:solidFill>
                <a:srgbClr val="002060"/>
              </a:solidFill>
              <a:round/>
            </a:ln>
            <a:effectLst/>
          </c:spPr>
          <c:marker>
            <c:symbol val="none"/>
          </c:marker>
          <c:cat>
            <c:numRef>
              <c:f>'图1 港股通消费'!$B$2:$B$53</c:f>
              <c:numCache>
                <c:formatCode>m/d/yyyy</c:formatCode>
                <c:ptCount val="52"/>
                <c:pt idx="0">
                  <c:v>46023</c:v>
                </c:pt>
                <c:pt idx="1">
                  <c:v>46024</c:v>
                </c:pt>
                <c:pt idx="2">
                  <c:v>46027</c:v>
                </c:pt>
                <c:pt idx="3">
                  <c:v>46028</c:v>
                </c:pt>
                <c:pt idx="4">
                  <c:v>46029</c:v>
                </c:pt>
                <c:pt idx="5">
                  <c:v>46030</c:v>
                </c:pt>
                <c:pt idx="6">
                  <c:v>46031</c:v>
                </c:pt>
                <c:pt idx="7">
                  <c:v>46034</c:v>
                </c:pt>
                <c:pt idx="8">
                  <c:v>46035</c:v>
                </c:pt>
                <c:pt idx="9">
                  <c:v>46036</c:v>
                </c:pt>
                <c:pt idx="10">
                  <c:v>46037</c:v>
                </c:pt>
                <c:pt idx="11">
                  <c:v>46038</c:v>
                </c:pt>
                <c:pt idx="12">
                  <c:v>46041</c:v>
                </c:pt>
                <c:pt idx="13">
                  <c:v>46042</c:v>
                </c:pt>
                <c:pt idx="14">
                  <c:v>46043</c:v>
                </c:pt>
                <c:pt idx="15">
                  <c:v>46044</c:v>
                </c:pt>
                <c:pt idx="16">
                  <c:v>46045</c:v>
                </c:pt>
                <c:pt idx="17">
                  <c:v>46048</c:v>
                </c:pt>
                <c:pt idx="18">
                  <c:v>46049</c:v>
                </c:pt>
                <c:pt idx="19">
                  <c:v>46050</c:v>
                </c:pt>
                <c:pt idx="20">
                  <c:v>46051</c:v>
                </c:pt>
                <c:pt idx="21">
                  <c:v>46052</c:v>
                </c:pt>
                <c:pt idx="22">
                  <c:v>46055</c:v>
                </c:pt>
                <c:pt idx="23">
                  <c:v>46056</c:v>
                </c:pt>
                <c:pt idx="24">
                  <c:v>46057</c:v>
                </c:pt>
                <c:pt idx="25">
                  <c:v>46058</c:v>
                </c:pt>
                <c:pt idx="26">
                  <c:v>46059</c:v>
                </c:pt>
                <c:pt idx="27">
                  <c:v>46062</c:v>
                </c:pt>
                <c:pt idx="28">
                  <c:v>46063</c:v>
                </c:pt>
                <c:pt idx="29">
                  <c:v>46064</c:v>
                </c:pt>
                <c:pt idx="30">
                  <c:v>46065</c:v>
                </c:pt>
                <c:pt idx="31">
                  <c:v>46066</c:v>
                </c:pt>
                <c:pt idx="32">
                  <c:v>46069</c:v>
                </c:pt>
                <c:pt idx="33">
                  <c:v>46073</c:v>
                </c:pt>
                <c:pt idx="34">
                  <c:v>46076</c:v>
                </c:pt>
                <c:pt idx="35">
                  <c:v>46077</c:v>
                </c:pt>
                <c:pt idx="36">
                  <c:v>46078</c:v>
                </c:pt>
                <c:pt idx="37">
                  <c:v>46079</c:v>
                </c:pt>
                <c:pt idx="38">
                  <c:v>46080</c:v>
                </c:pt>
                <c:pt idx="39">
                  <c:v>46083</c:v>
                </c:pt>
                <c:pt idx="40">
                  <c:v>46084</c:v>
                </c:pt>
                <c:pt idx="41">
                  <c:v>46085</c:v>
                </c:pt>
                <c:pt idx="42">
                  <c:v>46086</c:v>
                </c:pt>
                <c:pt idx="43">
                  <c:v>46087</c:v>
                </c:pt>
                <c:pt idx="44">
                  <c:v>46090</c:v>
                </c:pt>
                <c:pt idx="45">
                  <c:v>46091</c:v>
                </c:pt>
                <c:pt idx="46">
                  <c:v>46092</c:v>
                </c:pt>
                <c:pt idx="47">
                  <c:v>46093</c:v>
                </c:pt>
                <c:pt idx="48">
                  <c:v>46094</c:v>
                </c:pt>
                <c:pt idx="49">
                  <c:v>46097</c:v>
                </c:pt>
                <c:pt idx="50">
                  <c:v>46098</c:v>
                </c:pt>
                <c:pt idx="51">
                  <c:v>46099</c:v>
                </c:pt>
              </c:numCache>
            </c:numRef>
          </c:cat>
          <c:val>
            <c:numRef>
              <c:f>'图1 港股通消费'!$K$2:$K$53</c:f>
              <c:numCache>
                <c:formatCode>General</c:formatCode>
                <c:ptCount val="52"/>
                <c:pt idx="0">
                  <c:v>1566.13</c:v>
                </c:pt>
                <c:pt idx="1">
                  <c:v>1566.13</c:v>
                </c:pt>
                <c:pt idx="2">
                  <c:v>1560.12</c:v>
                </c:pt>
                <c:pt idx="3">
                  <c:v>1576.17</c:v>
                </c:pt>
                <c:pt idx="4">
                  <c:v>1583.4</c:v>
                </c:pt>
                <c:pt idx="5">
                  <c:v>1572.7</c:v>
                </c:pt>
                <c:pt idx="6">
                  <c:v>1574.85</c:v>
                </c:pt>
                <c:pt idx="7">
                  <c:v>1585.59</c:v>
                </c:pt>
                <c:pt idx="8">
                  <c:v>1571.81</c:v>
                </c:pt>
                <c:pt idx="9">
                  <c:v>1585.74</c:v>
                </c:pt>
                <c:pt idx="10">
                  <c:v>1585.05</c:v>
                </c:pt>
                <c:pt idx="11">
                  <c:v>1576.53</c:v>
                </c:pt>
                <c:pt idx="12">
                  <c:v>1576.91</c:v>
                </c:pt>
                <c:pt idx="13">
                  <c:v>1603</c:v>
                </c:pt>
                <c:pt idx="14">
                  <c:v>1601.18</c:v>
                </c:pt>
                <c:pt idx="15">
                  <c:v>1615.55</c:v>
                </c:pt>
                <c:pt idx="16">
                  <c:v>1625.55</c:v>
                </c:pt>
                <c:pt idx="17">
                  <c:v>1615.88</c:v>
                </c:pt>
                <c:pt idx="18">
                  <c:v>1621.1</c:v>
                </c:pt>
                <c:pt idx="19">
                  <c:v>1642.47</c:v>
                </c:pt>
                <c:pt idx="20">
                  <c:v>1666.3</c:v>
                </c:pt>
                <c:pt idx="21">
                  <c:v>1628.76</c:v>
                </c:pt>
                <c:pt idx="22">
                  <c:v>1617.94</c:v>
                </c:pt>
                <c:pt idx="23">
                  <c:v>1639.62</c:v>
                </c:pt>
                <c:pt idx="24">
                  <c:v>1656.57</c:v>
                </c:pt>
                <c:pt idx="25">
                  <c:v>1702.48</c:v>
                </c:pt>
                <c:pt idx="26">
                  <c:v>1696.15</c:v>
                </c:pt>
                <c:pt idx="27">
                  <c:v>1728.13</c:v>
                </c:pt>
                <c:pt idx="28">
                  <c:v>1747.45</c:v>
                </c:pt>
                <c:pt idx="29">
                  <c:v>1738.11</c:v>
                </c:pt>
                <c:pt idx="30">
                  <c:v>1717.36</c:v>
                </c:pt>
                <c:pt idx="31">
                  <c:v>1710.21</c:v>
                </c:pt>
                <c:pt idx="32">
                  <c:v>1717.34</c:v>
                </c:pt>
                <c:pt idx="33">
                  <c:v>1699.99</c:v>
                </c:pt>
                <c:pt idx="34">
                  <c:v>1726.92</c:v>
                </c:pt>
                <c:pt idx="35">
                  <c:v>1704.19</c:v>
                </c:pt>
                <c:pt idx="36">
                  <c:v>1706.08</c:v>
                </c:pt>
                <c:pt idx="37">
                  <c:v>1674.12</c:v>
                </c:pt>
                <c:pt idx="38">
                  <c:v>1684.42</c:v>
                </c:pt>
                <c:pt idx="39">
                  <c:v>1649.66</c:v>
                </c:pt>
                <c:pt idx="40">
                  <c:v>1600.57</c:v>
                </c:pt>
                <c:pt idx="41">
                  <c:v>1578.99</c:v>
                </c:pt>
                <c:pt idx="42">
                  <c:v>1568.84</c:v>
                </c:pt>
                <c:pt idx="43">
                  <c:v>1606.07</c:v>
                </c:pt>
                <c:pt idx="44">
                  <c:v>1581.15</c:v>
                </c:pt>
                <c:pt idx="45">
                  <c:v>1591.64</c:v>
                </c:pt>
                <c:pt idx="46">
                  <c:v>1588.99</c:v>
                </c:pt>
                <c:pt idx="47">
                  <c:v>1575.87</c:v>
                </c:pt>
                <c:pt idx="48">
                  <c:v>1555.35</c:v>
                </c:pt>
                <c:pt idx="49">
                  <c:v>1574.78</c:v>
                </c:pt>
                <c:pt idx="50">
                  <c:v>1592.47</c:v>
                </c:pt>
                <c:pt idx="51">
                  <c:v>1593.37</c:v>
                </c:pt>
              </c:numCache>
            </c:numRef>
          </c:val>
          <c:smooth val="0"/>
          <c:extLst>
            <c:ext xmlns:c16="http://schemas.microsoft.com/office/drawing/2014/chart" uri="{C3380CC4-5D6E-409C-BE32-E72D297353CC}">
              <c16:uniqueId val="{00000000-A637-4A63-B9C7-B5A73F749455}"/>
            </c:ext>
          </c:extLst>
        </c:ser>
        <c:dLbls>
          <c:showLegendKey val="0"/>
          <c:showVal val="0"/>
          <c:showCatName val="0"/>
          <c:showSerName val="0"/>
          <c:showPercent val="0"/>
          <c:showBubbleSize val="0"/>
        </c:dLbls>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Offset val="100"/>
        <c:baseTimeUnit val="days"/>
      </c:date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9860828008702445E-2"/>
          <c:y val="0.22888593317727177"/>
          <c:w val="0.76828398173317736"/>
          <c:h val="0.65013141093849758"/>
        </c:manualLayout>
      </c:layout>
      <c:barChart>
        <c:barDir val="col"/>
        <c:grouping val="clustered"/>
        <c:varyColors val="0"/>
        <c:ser>
          <c:idx val="0"/>
          <c:order val="0"/>
          <c:tx>
            <c:strRef>
              <c:f>图2_权重股涨跌幅!$E$1</c:f>
              <c:strCache>
                <c:ptCount val="1"/>
                <c:pt idx="0">
                  <c:v>涨跌幅%</c:v>
                </c:pt>
              </c:strCache>
            </c:strRef>
          </c:tx>
          <c:spPr>
            <a:solidFill>
              <a:sysClr val="window" lastClr="FFFFFF">
                <a:lumMod val="85000"/>
              </a:sysClr>
            </a:solidFill>
            <a:ln>
              <a:noFill/>
            </a:ln>
            <a:effectLst/>
          </c:spPr>
          <c:invertIfNegative val="0"/>
          <c:cat>
            <c:strRef>
              <c:f>图2_权重股涨跌幅!$A$2:$A$11</c:f>
              <c:strCache>
                <c:ptCount val="10"/>
                <c:pt idx="0">
                  <c:v>泡泡玛特</c:v>
                </c:pt>
                <c:pt idx="1">
                  <c:v>百胜中国</c:v>
                </c:pt>
                <c:pt idx="2">
                  <c:v>李宁</c:v>
                </c:pt>
                <c:pt idx="3">
                  <c:v>美的集团</c:v>
                </c:pt>
                <c:pt idx="4">
                  <c:v>万洲国际</c:v>
                </c:pt>
                <c:pt idx="5">
                  <c:v>安踏体育</c:v>
                </c:pt>
                <c:pt idx="6">
                  <c:v>农夫山泉</c:v>
                </c:pt>
                <c:pt idx="7">
                  <c:v>申洲国际</c:v>
                </c:pt>
                <c:pt idx="8">
                  <c:v>蒙牛乳业</c:v>
                </c:pt>
                <c:pt idx="9">
                  <c:v>海尔智家</c:v>
                </c:pt>
              </c:strCache>
            </c:strRef>
          </c:cat>
          <c:val>
            <c:numRef>
              <c:f>图2_权重股涨跌幅!$E$2:$E$11</c:f>
              <c:numCache>
                <c:formatCode>General</c:formatCode>
                <c:ptCount val="10"/>
                <c:pt idx="0">
                  <c:v>5.57</c:v>
                </c:pt>
                <c:pt idx="1">
                  <c:v>3.96</c:v>
                </c:pt>
                <c:pt idx="2">
                  <c:v>1.87</c:v>
                </c:pt>
                <c:pt idx="3">
                  <c:v>0.62</c:v>
                </c:pt>
                <c:pt idx="4">
                  <c:v>0.53</c:v>
                </c:pt>
                <c:pt idx="5">
                  <c:v>-0.51</c:v>
                </c:pt>
                <c:pt idx="6">
                  <c:v>-0.51</c:v>
                </c:pt>
                <c:pt idx="7">
                  <c:v>-0.82</c:v>
                </c:pt>
                <c:pt idx="8">
                  <c:v>-1.35</c:v>
                </c:pt>
                <c:pt idx="9">
                  <c:v>-2.4700000000000002</c:v>
                </c:pt>
              </c:numCache>
            </c:numRef>
          </c:val>
          <c:extLst>
            <c:ext xmlns:c16="http://schemas.microsoft.com/office/drawing/2014/chart" uri="{C3380CC4-5D6E-409C-BE32-E72D297353CC}">
              <c16:uniqueId val="{00000000-F212-4CC5-B7DD-F2BE1D8C85E1}"/>
            </c:ext>
          </c:extLst>
        </c:ser>
        <c:dLbls>
          <c:showLegendKey val="0"/>
          <c:showVal val="0"/>
          <c:showCatName val="0"/>
          <c:showSerName val="0"/>
          <c:showPercent val="0"/>
          <c:showBubbleSize val="0"/>
        </c:dLbls>
        <c:gapWidth val="300"/>
        <c:overlap val="-27"/>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0" spcFirstLastPara="1" vertOverflow="ellipsis" vert="wordArtVertRtl"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Algn val="ctr"/>
        <c:lblOffset val="200"/>
        <c:noMultiLvlLbl val="0"/>
      </c:cat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2416892047352746E-2"/>
          <c:y val="6.7037721930982175E-2"/>
          <c:w val="0.90668590934560145"/>
          <c:h val="0.69477064878608918"/>
        </c:manualLayout>
      </c:layout>
      <c:lineChart>
        <c:grouping val="standard"/>
        <c:varyColors val="0"/>
        <c:ser>
          <c:idx val="6"/>
          <c:order val="0"/>
          <c:tx>
            <c:strRef>
              <c:f>'Data Explorer'!$K$38</c:f>
              <c:strCache>
                <c:ptCount val="1"/>
                <c:pt idx="0">
                  <c:v>Min</c:v>
                </c:pt>
              </c:strCache>
            </c:strRef>
          </c:tx>
          <c:marker>
            <c:symbol val="none"/>
          </c:marker>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Explorer'!$K$40:$K$97</c:f>
              <c:numCache>
                <c:formatCode>General</c:formatCode>
                <c:ptCount val="58"/>
                <c:pt idx="0" formatCode="0.0_);\(0.0\)">
                  <c:v>-2.5000000000000001E-2</c:v>
                </c:pt>
              </c:numCache>
            </c:numRef>
          </c:val>
          <c:smooth val="0"/>
          <c:extLst>
            <c:ext xmlns:c16="http://schemas.microsoft.com/office/drawing/2014/chart" uri="{C3380CC4-5D6E-409C-BE32-E72D297353CC}">
              <c16:uniqueId val="{00000000-6FAC-4915-A8ED-64EDB6470687}"/>
            </c:ext>
          </c:extLst>
        </c:ser>
        <c:ser>
          <c:idx val="5"/>
          <c:order val="1"/>
          <c:tx>
            <c:strRef>
              <c:f>'Data Explorer'!$L$38</c:f>
              <c:strCache>
                <c:ptCount val="1"/>
                <c:pt idx="0">
                  <c:v>Max</c:v>
                </c:pt>
              </c:strCache>
            </c:strRef>
          </c:tx>
          <c:marker>
            <c:symbol val="none"/>
          </c:marker>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Explorer'!$L$40:$L$97</c:f>
              <c:numCache>
                <c:formatCode>General</c:formatCode>
                <c:ptCount val="58"/>
                <c:pt idx="0" formatCode="0.0_);\(0.0\)">
                  <c:v>0.05</c:v>
                </c:pt>
              </c:numCache>
            </c:numRef>
          </c:val>
          <c:smooth val="0"/>
          <c:extLst>
            <c:ext xmlns:c16="http://schemas.microsoft.com/office/drawing/2014/chart" uri="{C3380CC4-5D6E-409C-BE32-E72D297353CC}">
              <c16:uniqueId val="{00000001-6FAC-4915-A8ED-64EDB6470687}"/>
            </c:ext>
          </c:extLst>
        </c:ser>
        <c:ser>
          <c:idx val="1"/>
          <c:order val="2"/>
          <c:tx>
            <c:strRef>
              <c:f>'Data Explorer'!$F$38</c:f>
              <c:strCache>
                <c:ptCount val="1"/>
                <c:pt idx="0">
                  <c:v>Actual:  Official Release</c:v>
                </c:pt>
              </c:strCache>
            </c:strRef>
          </c:tx>
          <c:spPr>
            <a:ln>
              <a:solidFill>
                <a:srgbClr val="C00000">
                  <a:alpha val="70000"/>
                </a:srgbClr>
              </a:solidFill>
            </a:ln>
          </c:spPr>
          <c:marker>
            <c:symbol val="none"/>
          </c:marker>
          <c:dPt>
            <c:idx val="3"/>
            <c:bubble3D val="0"/>
            <c:extLst>
              <c:ext xmlns:c16="http://schemas.microsoft.com/office/drawing/2014/chart" uri="{C3380CC4-5D6E-409C-BE32-E72D297353CC}">
                <c16:uniqueId val="{00000002-6FAC-4915-A8ED-64EDB6470687}"/>
              </c:ext>
            </c:extLst>
          </c:dPt>
          <c:dPt>
            <c:idx val="42"/>
            <c:bubble3D val="0"/>
            <c:extLst>
              <c:ext xmlns:c16="http://schemas.microsoft.com/office/drawing/2014/chart" uri="{C3380CC4-5D6E-409C-BE32-E72D297353CC}">
                <c16:uniqueId val="{00000003-6FAC-4915-A8ED-64EDB6470687}"/>
              </c:ext>
            </c:extLst>
          </c:dPt>
          <c:dPt>
            <c:idx val="72"/>
            <c:bubble3D val="0"/>
            <c:extLst>
              <c:ext xmlns:c16="http://schemas.microsoft.com/office/drawing/2014/chart" uri="{C3380CC4-5D6E-409C-BE32-E72D297353CC}">
                <c16:uniqueId val="{00000004-6FAC-4915-A8ED-64EDB6470687}"/>
              </c:ext>
            </c:extLst>
          </c:dPt>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Explorer'!$F$40:$F$97</c:f>
              <c:numCache>
                <c:formatCode>0.0%</c:formatCode>
                <c:ptCount val="58"/>
                <c:pt idx="0">
                  <c:v>-8.0000000000000002E-3</c:v>
                </c:pt>
                <c:pt idx="1">
                  <c:v>1.1000000000000001E-2</c:v>
                </c:pt>
                <c:pt idx="2">
                  <c:v>-6.9999999999999993E-3</c:v>
                </c:pt>
                <c:pt idx="3">
                  <c:v>0.02</c:v>
                </c:pt>
                <c:pt idx="4">
                  <c:v>6.9999999999999993E-3</c:v>
                </c:pt>
                <c:pt idx="5">
                  <c:v>1.3999999999999999E-2</c:v>
                </c:pt>
                <c:pt idx="6">
                  <c:v>2E-3</c:v>
                </c:pt>
                <c:pt idx="7">
                  <c:v>-2.5000000000000001E-2</c:v>
                </c:pt>
                <c:pt idx="8">
                  <c:v>3.7999999999999999E-2</c:v>
                </c:pt>
                <c:pt idx="9">
                  <c:v>-4.0000000000000001E-3</c:v>
                </c:pt>
                <c:pt idx="10">
                  <c:v>2E-3</c:v>
                </c:pt>
                <c:pt idx="11">
                  <c:v>0.01</c:v>
                </c:pt>
                <c:pt idx="12">
                  <c:v>1E-3</c:v>
                </c:pt>
                <c:pt idx="13">
                  <c:v>6.9999999999999993E-3</c:v>
                </c:pt>
                <c:pt idx="14">
                  <c:v>6.9999999999999993E-3</c:v>
                </c:pt>
                <c:pt idx="15">
                  <c:v>3.0000000000000001E-3</c:v>
                </c:pt>
                <c:pt idx="16">
                  <c:v>3.0000000000000001E-3</c:v>
                </c:pt>
                <c:pt idx="17">
                  <c:v>9.0000000000000011E-3</c:v>
                </c:pt>
                <c:pt idx="18">
                  <c:v>-2E-3</c:v>
                </c:pt>
                <c:pt idx="19">
                  <c:v>-6.9999999999999993E-3</c:v>
                </c:pt>
                <c:pt idx="20">
                  <c:v>2.6000000000000002E-2</c:v>
                </c:pt>
                <c:pt idx="21">
                  <c:v>0</c:v>
                </c:pt>
                <c:pt idx="22">
                  <c:v>-3.0000000000000001E-3</c:v>
                </c:pt>
                <c:pt idx="23">
                  <c:v>6.0000000000000001E-3</c:v>
                </c:pt>
                <c:pt idx="24">
                  <c:v>4.0000000000000001E-3</c:v>
                </c:pt>
                <c:pt idx="25">
                  <c:v>3.0000000000000001E-3</c:v>
                </c:pt>
                <c:pt idx="26">
                  <c:v>0.01</c:v>
                </c:pt>
                <c:pt idx="27">
                  <c:v>2E-3</c:v>
                </c:pt>
                <c:pt idx="28">
                  <c:v>6.0000000000000001E-3</c:v>
                </c:pt>
                <c:pt idx="29">
                  <c:v>1E-3</c:v>
                </c:pt>
                <c:pt idx="30">
                  <c:v>6.0000000000000001E-3</c:v>
                </c:pt>
                <c:pt idx="31">
                  <c:v>6.0000000000000001E-3</c:v>
                </c:pt>
                <c:pt idx="32">
                  <c:v>-5.0000000000000001E-3</c:v>
                </c:pt>
                <c:pt idx="33">
                  <c:v>3.0000000000000001E-3</c:v>
                </c:pt>
                <c:pt idx="34">
                  <c:v>0.01</c:v>
                </c:pt>
                <c:pt idx="35">
                  <c:v>-1E-3</c:v>
                </c:pt>
                <c:pt idx="36">
                  <c:v>1E-3</c:v>
                </c:pt>
                <c:pt idx="37">
                  <c:v>8.0000000000000002E-3</c:v>
                </c:pt>
                <c:pt idx="38">
                  <c:v>4.0000000000000001E-3</c:v>
                </c:pt>
                <c:pt idx="39">
                  <c:v>2E-3</c:v>
                </c:pt>
                <c:pt idx="40">
                  <c:v>6.9999999999999993E-3</c:v>
                </c:pt>
                <c:pt idx="41">
                  <c:v>1E-3</c:v>
                </c:pt>
                <c:pt idx="42">
                  <c:v>2E-3</c:v>
                </c:pt>
                <c:pt idx="43">
                  <c:v>3.0000000000000001E-3</c:v>
                </c:pt>
                <c:pt idx="44">
                  <c:v>-5.0000000000000001E-3</c:v>
                </c:pt>
                <c:pt idx="45">
                  <c:v>5.0000000000000001E-3</c:v>
                </c:pt>
                <c:pt idx="46">
                  <c:v>8.0000000000000002E-3</c:v>
                </c:pt>
                <c:pt idx="47">
                  <c:v>1.6510229999999999E-3</c:v>
                </c:pt>
                <c:pt idx="48">
                  <c:v>-1.208344172614E-3</c:v>
                </c:pt>
                <c:pt idx="49">
                  <c:v>5.5499695336477996E-3</c:v>
                </c:pt>
                <c:pt idx="50">
                  <c:v>2.3133989999999998E-3</c:v>
                </c:pt>
                <c:pt idx="51">
                  <c:v>6.7884679852496001E-3</c:v>
                </c:pt>
                <c:pt idx="52">
                  <c:v>1.074988E-3</c:v>
                </c:pt>
                <c:pt idx="53">
                  <c:v>5.3457722493706001E-3</c:v>
                </c:pt>
                <c:pt idx="54">
                  <c:v>4.3343561848069997E-3</c:v>
                </c:pt>
                <c:pt idx="55">
                  <c:v>-3.8668407358666198E-5</c:v>
                </c:pt>
                <c:pt idx="56">
                  <c:v>#N/A</c:v>
                </c:pt>
                <c:pt idx="57">
                  <c:v>#N/A</c:v>
                </c:pt>
              </c:numCache>
            </c:numRef>
          </c:val>
          <c:smooth val="0"/>
          <c:extLst>
            <c:ext xmlns:c16="http://schemas.microsoft.com/office/drawing/2014/chart" uri="{C3380CC4-5D6E-409C-BE32-E72D297353CC}">
              <c16:uniqueId val="{00000005-6FAC-4915-A8ED-64EDB6470687}"/>
            </c:ext>
          </c:extLst>
        </c:ser>
        <c:ser>
          <c:idx val="2"/>
          <c:order val="3"/>
          <c:tx>
            <c:strRef>
              <c:f>'Data Explorer'!$G$38</c:f>
              <c:strCache>
                <c:ptCount val="1"/>
              </c:strCache>
            </c:strRef>
          </c:tx>
          <c:marker>
            <c:symbol val="none"/>
          </c:marker>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Explorer'!$G$40:$G$97</c:f>
              <c:numCache>
                <c:formatCode>General</c:formatCode>
                <c:ptCount val="58"/>
              </c:numCache>
            </c:numRef>
          </c:val>
          <c:smooth val="0"/>
          <c:extLst>
            <c:ext xmlns:c16="http://schemas.microsoft.com/office/drawing/2014/chart" uri="{C3380CC4-5D6E-409C-BE32-E72D297353CC}">
              <c16:uniqueId val="{00000006-6FAC-4915-A8ED-64EDB6470687}"/>
            </c:ext>
          </c:extLst>
        </c:ser>
        <c:ser>
          <c:idx val="3"/>
          <c:order val="4"/>
          <c:tx>
            <c:strRef>
              <c:f>'Data Explorer'!$H$38</c:f>
              <c:strCache>
                <c:ptCount val="1"/>
              </c:strCache>
            </c:strRef>
          </c:tx>
          <c:marker>
            <c:symbol val="none"/>
          </c:marker>
          <c:dPt>
            <c:idx val="67"/>
            <c:bubble3D val="0"/>
            <c:extLst>
              <c:ext xmlns:c16="http://schemas.microsoft.com/office/drawing/2014/chart" uri="{C3380CC4-5D6E-409C-BE32-E72D297353CC}">
                <c16:uniqueId val="{00000007-6FAC-4915-A8ED-64EDB6470687}"/>
              </c:ext>
            </c:extLst>
          </c:dPt>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Explorer'!$H$40:$H$97</c:f>
              <c:numCache>
                <c:formatCode>General</c:formatCode>
                <c:ptCount val="58"/>
              </c:numCache>
            </c:numRef>
          </c:val>
          <c:smooth val="0"/>
          <c:extLst>
            <c:ext xmlns:c16="http://schemas.microsoft.com/office/drawing/2014/chart" uri="{C3380CC4-5D6E-409C-BE32-E72D297353CC}">
              <c16:uniqueId val="{00000008-6FAC-4915-A8ED-64EDB6470687}"/>
            </c:ext>
          </c:extLst>
        </c:ser>
        <c:ser>
          <c:idx val="0"/>
          <c:order val="7"/>
          <c:tx>
            <c:strRef>
              <c:f>'Data Explorer'!$M$38</c:f>
              <c:strCache>
                <c:ptCount val="1"/>
                <c:pt idx="0">
                  <c:v>Dot</c:v>
                </c:pt>
              </c:strCache>
            </c:strRef>
          </c:tx>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Explorer'!$M$40:$M$97</c:f>
              <c:numCache>
                <c:formatCode>0.00</c:formatCode>
                <c:ptCount val="5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6.0969347566475996E-3</c:v>
                </c:pt>
              </c:numCache>
            </c:numRef>
          </c:val>
          <c:smooth val="0"/>
          <c:extLst>
            <c:ext xmlns:c16="http://schemas.microsoft.com/office/drawing/2014/chart" uri="{C3380CC4-5D6E-409C-BE32-E72D297353CC}">
              <c16:uniqueId val="{00000009-6FAC-4915-A8ED-64EDB6470687}"/>
            </c:ext>
          </c:extLst>
        </c:ser>
        <c:dLbls>
          <c:showLegendKey val="0"/>
          <c:showVal val="0"/>
          <c:showCatName val="0"/>
          <c:showSerName val="0"/>
          <c:showPercent val="0"/>
          <c:showBubbleSize val="0"/>
        </c:dLbls>
        <c:marker val="1"/>
        <c:smooth val="0"/>
        <c:axId val="531994112"/>
        <c:axId val="531995648"/>
      </c:lineChart>
      <c:scatterChart>
        <c:scatterStyle val="lineMarker"/>
        <c:varyColors val="0"/>
        <c:ser>
          <c:idx val="12"/>
          <c:order val="6"/>
          <c:tx>
            <c:strRef>
              <c:f>'Data Explorer'!$E$38</c:f>
              <c:strCache>
                <c:ptCount val="1"/>
                <c:pt idx="0">
                  <c:v>UBS Evidence Lab Nowcasting</c:v>
                </c:pt>
              </c:strCache>
            </c:strRef>
          </c:tx>
          <c:spPr>
            <a:ln>
              <a:solidFill>
                <a:srgbClr val="4D3C2F">
                  <a:alpha val="70000"/>
                </a:srgbClr>
              </a:solidFill>
            </a:ln>
          </c:spPr>
          <c:marker>
            <c:symbol val="none"/>
          </c:marker>
          <c:yVal>
            <c:numRef>
              <c:f>'Data Explorer'!$E$40:$E$97</c:f>
              <c:numCache>
                <c:formatCode>0.0%</c:formatCode>
                <c:ptCount val="58"/>
                <c:pt idx="0">
                  <c:v>-0.01</c:v>
                </c:pt>
                <c:pt idx="1">
                  <c:v>5.0000000000000001E-3</c:v>
                </c:pt>
                <c:pt idx="2">
                  <c:v>3.0000000000000001E-3</c:v>
                </c:pt>
                <c:pt idx="3">
                  <c:v>5.0000000000000001E-3</c:v>
                </c:pt>
                <c:pt idx="4">
                  <c:v>0.01</c:v>
                </c:pt>
                <c:pt idx="5">
                  <c:v>0.01</c:v>
                </c:pt>
                <c:pt idx="6">
                  <c:v>-8.0000000000000002E-3</c:v>
                </c:pt>
                <c:pt idx="7">
                  <c:v>-0.02</c:v>
                </c:pt>
                <c:pt idx="8">
                  <c:v>0.05</c:v>
                </c:pt>
                <c:pt idx="9">
                  <c:v>-8.9999999999999993E-3</c:v>
                </c:pt>
                <c:pt idx="10">
                  <c:v>-0.02</c:v>
                </c:pt>
                <c:pt idx="11">
                  <c:v>-5.0000000000000001E-3</c:v>
                </c:pt>
                <c:pt idx="12">
                  <c:v>1.5E-3</c:v>
                </c:pt>
                <c:pt idx="13">
                  <c:v>7.7999999999999996E-3</c:v>
                </c:pt>
                <c:pt idx="14">
                  <c:v>1.1999999999999999E-3</c:v>
                </c:pt>
                <c:pt idx="15">
                  <c:v>6.4000000000000003E-3</c:v>
                </c:pt>
                <c:pt idx="16">
                  <c:v>2.3999999999999998E-3</c:v>
                </c:pt>
                <c:pt idx="17">
                  <c:v>2.8E-3</c:v>
                </c:pt>
                <c:pt idx="18">
                  <c:v>-1E-4</c:v>
                </c:pt>
                <c:pt idx="19">
                  <c:v>-4.4000000000000003E-3</c:v>
                </c:pt>
                <c:pt idx="20">
                  <c:v>5.1999999999999998E-3</c:v>
                </c:pt>
                <c:pt idx="21">
                  <c:v>4.3E-3</c:v>
                </c:pt>
                <c:pt idx="22">
                  <c:v>3.3E-3</c:v>
                </c:pt>
                <c:pt idx="23">
                  <c:v>8.6E-3</c:v>
                </c:pt>
                <c:pt idx="24">
                  <c:v>2.8999999999999998E-3</c:v>
                </c:pt>
                <c:pt idx="25">
                  <c:v>4.4999999999999997E-3</c:v>
                </c:pt>
                <c:pt idx="26">
                  <c:v>6.9999999999999999E-4</c:v>
                </c:pt>
                <c:pt idx="27">
                  <c:v>4.4000000000000003E-3</c:v>
                </c:pt>
                <c:pt idx="28">
                  <c:v>2.2000000000000001E-3</c:v>
                </c:pt>
                <c:pt idx="29">
                  <c:v>3.7000000000000002E-3</c:v>
                </c:pt>
                <c:pt idx="30">
                  <c:v>-8.0000000000000004E-4</c:v>
                </c:pt>
                <c:pt idx="31">
                  <c:v>2.0999999999999999E-3</c:v>
                </c:pt>
                <c:pt idx="32">
                  <c:v>8.6E-3</c:v>
                </c:pt>
                <c:pt idx="33">
                  <c:v>8.9999999999999998E-4</c:v>
                </c:pt>
                <c:pt idx="34">
                  <c:v>-1E-3</c:v>
                </c:pt>
                <c:pt idx="35">
                  <c:v>1.6000000000000001E-3</c:v>
                </c:pt>
                <c:pt idx="36">
                  <c:v>7.7000000000000002E-3</c:v>
                </c:pt>
                <c:pt idx="37">
                  <c:v>3.2000000000000002E-3</c:v>
                </c:pt>
                <c:pt idx="38">
                  <c:v>1.18E-2</c:v>
                </c:pt>
                <c:pt idx="39">
                  <c:v>1.2999999999999999E-3</c:v>
                </c:pt>
                <c:pt idx="40">
                  <c:v>6.3E-3</c:v>
                </c:pt>
                <c:pt idx="41">
                  <c:v>7.7000000000000002E-3</c:v>
                </c:pt>
                <c:pt idx="42">
                  <c:v>1.8E-3</c:v>
                </c:pt>
                <c:pt idx="43">
                  <c:v>7.6E-3</c:v>
                </c:pt>
                <c:pt idx="44">
                  <c:v>1E-3</c:v>
                </c:pt>
                <c:pt idx="45">
                  <c:v>2.3999999999999998E-3</c:v>
                </c:pt>
                <c:pt idx="46">
                  <c:v>4.0000000000000001E-3</c:v>
                </c:pt>
                <c:pt idx="47">
                  <c:v>4.5999999999999999E-3</c:v>
                </c:pt>
                <c:pt idx="48">
                  <c:v>-2.555042E-3</c:v>
                </c:pt>
                <c:pt idx="49">
                  <c:v>3.6114708310188001E-3</c:v>
                </c:pt>
                <c:pt idx="50">
                  <c:v>2.850572667504E-3</c:v>
                </c:pt>
                <c:pt idx="51">
                  <c:v>2.7713149999999999E-3</c:v>
                </c:pt>
                <c:pt idx="52">
                  <c:v>2.9450288567182E-3</c:v>
                </c:pt>
                <c:pt idx="53">
                  <c:v>-3.6841781134839998E-4</c:v>
                </c:pt>
                <c:pt idx="54">
                  <c:v>1.8835729999999999E-3</c:v>
                </c:pt>
                <c:pt idx="55">
                  <c:v>2.1139318378831E-3</c:v>
                </c:pt>
                <c:pt idx="56">
                  <c:v>4.9403586445420002E-3</c:v>
                </c:pt>
                <c:pt idx="57">
                  <c:v>6.0969347566475996E-3</c:v>
                </c:pt>
              </c:numCache>
            </c:numRef>
          </c:yVal>
          <c:smooth val="0"/>
          <c:extLst>
            <c:ext xmlns:c16="http://schemas.microsoft.com/office/drawing/2014/chart" uri="{C3380CC4-5D6E-409C-BE32-E72D297353CC}">
              <c16:uniqueId val="{0000000A-6FAC-4915-A8ED-64EDB6470687}"/>
            </c:ext>
          </c:extLst>
        </c:ser>
        <c:dLbls>
          <c:showLegendKey val="0"/>
          <c:showVal val="0"/>
          <c:showCatName val="0"/>
          <c:showSerName val="0"/>
          <c:showPercent val="0"/>
          <c:showBubbleSize val="0"/>
        </c:dLbls>
        <c:axId val="531994112"/>
        <c:axId val="531995648"/>
      </c:scatterChart>
      <c:scatterChart>
        <c:scatterStyle val="lineMarker"/>
        <c:varyColors val="0"/>
        <c:ser>
          <c:idx val="11"/>
          <c:order val="5"/>
          <c:tx>
            <c:strRef>
              <c:f>'Data Explorer'!$P$39</c:f>
              <c:strCache>
                <c:ptCount val="1"/>
                <c:pt idx="0">
                  <c:v>0.6%</c:v>
                </c:pt>
              </c:strCache>
            </c:strRef>
          </c:tx>
          <c:marker>
            <c:symbol val="none"/>
          </c:marker>
          <c:xVal>
            <c:numRef>
              <c:f>'Data Explorer'!$R$37:$S$37</c:f>
              <c:numCache>
                <c:formatCode>0</c:formatCode>
                <c:ptCount val="2"/>
                <c:pt idx="0">
                  <c:v>58</c:v>
                </c:pt>
                <c:pt idx="1">
                  <c:v>58</c:v>
                </c:pt>
              </c:numCache>
            </c:numRef>
          </c:xVal>
          <c:yVal>
            <c:numRef>
              <c:f>'Data Explorer'!$R$39:$S$39</c:f>
              <c:numCache>
                <c:formatCode>0.00</c:formatCode>
                <c:ptCount val="2"/>
                <c:pt idx="0">
                  <c:v>1.36</c:v>
                </c:pt>
                <c:pt idx="1">
                  <c:v>1.36</c:v>
                </c:pt>
              </c:numCache>
            </c:numRef>
          </c:yVal>
          <c:smooth val="0"/>
          <c:extLst>
            <c:ext xmlns:c16="http://schemas.microsoft.com/office/drawing/2014/chart" uri="{C3380CC4-5D6E-409C-BE32-E72D297353CC}">
              <c16:uniqueId val="{0000000C-6FAC-4915-A8ED-64EDB6470687}"/>
            </c:ext>
          </c:extLst>
        </c:ser>
        <c:dLbls>
          <c:showLegendKey val="0"/>
          <c:showVal val="0"/>
          <c:showCatName val="0"/>
          <c:showSerName val="0"/>
          <c:showPercent val="0"/>
          <c:showBubbleSize val="0"/>
        </c:dLbls>
        <c:axId val="532019456"/>
        <c:axId val="532017920"/>
      </c:scatterChart>
      <c:catAx>
        <c:axId val="531994112"/>
        <c:scaling>
          <c:orientation val="minMax"/>
        </c:scaling>
        <c:delete val="0"/>
        <c:axPos val="b"/>
        <c:numFmt formatCode="mmm" sourceLinked="0"/>
        <c:majorTickMark val="none"/>
        <c:minorTickMark val="none"/>
        <c:tickLblPos val="low"/>
        <c:spPr>
          <a:ln w="25400">
            <a:solidFill>
              <a:schemeClr val="bg1"/>
            </a:solidFill>
          </a:ln>
        </c:spPr>
        <c:crossAx val="531995648"/>
        <c:crosses val="autoZero"/>
        <c:auto val="1"/>
        <c:lblAlgn val="ctr"/>
        <c:lblOffset val="100"/>
        <c:noMultiLvlLbl val="0"/>
      </c:catAx>
      <c:valAx>
        <c:axId val="531995648"/>
        <c:scaling>
          <c:orientation val="minMax"/>
        </c:scaling>
        <c:delete val="0"/>
        <c:axPos val="l"/>
        <c:numFmt formatCode="0%" sourceLinked="0"/>
        <c:majorTickMark val="out"/>
        <c:minorTickMark val="none"/>
        <c:tickLblPos val="nextTo"/>
        <c:spPr>
          <a:ln>
            <a:solidFill>
              <a:schemeClr val="bg1">
                <a:lumMod val="75000"/>
              </a:schemeClr>
            </a:solidFill>
          </a:ln>
        </c:spPr>
        <c:crossAx val="531994112"/>
        <c:crosses val="autoZero"/>
        <c:crossBetween val="between"/>
      </c:valAx>
      <c:valAx>
        <c:axId val="532017920"/>
        <c:scaling>
          <c:orientation val="minMax"/>
        </c:scaling>
        <c:delete val="0"/>
        <c:axPos val="r"/>
        <c:numFmt formatCode="0.00" sourceLinked="1"/>
        <c:majorTickMark val="out"/>
        <c:minorTickMark val="none"/>
        <c:tickLblPos val="none"/>
        <c:spPr>
          <a:noFill/>
          <a:ln>
            <a:noFill/>
          </a:ln>
        </c:spPr>
        <c:crossAx val="532019456"/>
        <c:crosses val="max"/>
        <c:crossBetween val="midCat"/>
      </c:valAx>
      <c:valAx>
        <c:axId val="532019456"/>
        <c:scaling>
          <c:orientation val="minMax"/>
        </c:scaling>
        <c:delete val="1"/>
        <c:axPos val="b"/>
        <c:numFmt formatCode="0" sourceLinked="1"/>
        <c:majorTickMark val="out"/>
        <c:minorTickMark val="none"/>
        <c:tickLblPos val="nextTo"/>
        <c:crossAx val="532017920"/>
        <c:crosses val="autoZero"/>
        <c:crossBetween val="midCat"/>
      </c:valAx>
      <c:spPr>
        <a:noFill/>
      </c:spPr>
    </c:plotArea>
    <c:plotVisOnly val="0"/>
    <c:dispBlanksAs val="gap"/>
    <c:showDLblsOverMax val="0"/>
  </c:chart>
  <c:spPr>
    <a:solidFill>
      <a:srgbClr xmlns:mc="http://schemas.openxmlformats.org/markup-compatibility/2006" xmlns:a14="http://schemas.microsoft.com/office/drawing/2010/main" val="FFFFFF" mc:Ignorable="a14" a14:legacySpreadsheetColorIndex="9"/>
    </a:solidFill>
    <a:ln>
      <a:noFill/>
    </a:ln>
  </c:spPr>
  <c:txPr>
    <a:bodyPr/>
    <a:lstStyle/>
    <a:p>
      <a:pPr>
        <a:defRPr sz="105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zh-CN"/>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8919426472964767E-2"/>
          <c:y val="7.1149081364829378E-2"/>
          <c:w val="0.91987406767888558"/>
          <c:h val="0.75672073490813652"/>
        </c:manualLayout>
      </c:layout>
      <c:lineChart>
        <c:grouping val="standard"/>
        <c:varyColors val="0"/>
        <c:ser>
          <c:idx val="0"/>
          <c:order val="0"/>
          <c:tx>
            <c:v>WALMART</c:v>
          </c:tx>
          <c:marker>
            <c:symbol val="none"/>
          </c:marker>
          <c:cat>
            <c:numRef>
              <c:f>Data_Chart_1!$F$28:$CZ$28</c:f>
              <c:numCache>
                <c:formatCode>m/d/yyyy</c:formatCode>
                <c:ptCount val="99"/>
                <c:pt idx="0">
                  <c:v>46053</c:v>
                </c:pt>
                <c:pt idx="1">
                  <c:v>46022</c:v>
                </c:pt>
                <c:pt idx="2">
                  <c:v>45991</c:v>
                </c:pt>
                <c:pt idx="3">
                  <c:v>45961</c:v>
                </c:pt>
                <c:pt idx="4">
                  <c:v>45930</c:v>
                </c:pt>
                <c:pt idx="5">
                  <c:v>45900</c:v>
                </c:pt>
                <c:pt idx="6">
                  <c:v>45869</c:v>
                </c:pt>
                <c:pt idx="7">
                  <c:v>45838</c:v>
                </c:pt>
                <c:pt idx="8">
                  <c:v>45808</c:v>
                </c:pt>
                <c:pt idx="9">
                  <c:v>45777</c:v>
                </c:pt>
                <c:pt idx="10">
                  <c:v>45747</c:v>
                </c:pt>
                <c:pt idx="11">
                  <c:v>45716</c:v>
                </c:pt>
                <c:pt idx="12">
                  <c:v>45688</c:v>
                </c:pt>
                <c:pt idx="13">
                  <c:v>45657</c:v>
                </c:pt>
                <c:pt idx="14">
                  <c:v>45626</c:v>
                </c:pt>
                <c:pt idx="15">
                  <c:v>45596</c:v>
                </c:pt>
                <c:pt idx="16">
                  <c:v>45565</c:v>
                </c:pt>
                <c:pt idx="17">
                  <c:v>45535</c:v>
                </c:pt>
                <c:pt idx="18">
                  <c:v>45504</c:v>
                </c:pt>
                <c:pt idx="19">
                  <c:v>45473</c:v>
                </c:pt>
                <c:pt idx="20">
                  <c:v>45443</c:v>
                </c:pt>
                <c:pt idx="21">
                  <c:v>45412</c:v>
                </c:pt>
                <c:pt idx="22">
                  <c:v>45382</c:v>
                </c:pt>
                <c:pt idx="23">
                  <c:v>45351</c:v>
                </c:pt>
                <c:pt idx="24">
                  <c:v>45322</c:v>
                </c:pt>
                <c:pt idx="25">
                  <c:v>45291</c:v>
                </c:pt>
                <c:pt idx="26">
                  <c:v>45260</c:v>
                </c:pt>
                <c:pt idx="27">
                  <c:v>45230</c:v>
                </c:pt>
                <c:pt idx="28">
                  <c:v>45199</c:v>
                </c:pt>
                <c:pt idx="29">
                  <c:v>45169</c:v>
                </c:pt>
                <c:pt idx="30">
                  <c:v>45138</c:v>
                </c:pt>
                <c:pt idx="31">
                  <c:v>45107</c:v>
                </c:pt>
                <c:pt idx="32">
                  <c:v>45077</c:v>
                </c:pt>
                <c:pt idx="33">
                  <c:v>45046</c:v>
                </c:pt>
                <c:pt idx="34">
                  <c:v>45016</c:v>
                </c:pt>
                <c:pt idx="35">
                  <c:v>44985</c:v>
                </c:pt>
                <c:pt idx="36">
                  <c:v>44957</c:v>
                </c:pt>
                <c:pt idx="37">
                  <c:v>44926</c:v>
                </c:pt>
                <c:pt idx="38">
                  <c:v>44895</c:v>
                </c:pt>
                <c:pt idx="39">
                  <c:v>44865</c:v>
                </c:pt>
                <c:pt idx="40">
                  <c:v>44834</c:v>
                </c:pt>
                <c:pt idx="41">
                  <c:v>44804</c:v>
                </c:pt>
                <c:pt idx="42">
                  <c:v>44773</c:v>
                </c:pt>
                <c:pt idx="43">
                  <c:v>44742</c:v>
                </c:pt>
                <c:pt idx="44">
                  <c:v>44712</c:v>
                </c:pt>
                <c:pt idx="45">
                  <c:v>44681</c:v>
                </c:pt>
                <c:pt idx="46">
                  <c:v>44651</c:v>
                </c:pt>
                <c:pt idx="47">
                  <c:v>44620</c:v>
                </c:pt>
                <c:pt idx="48">
                  <c:v>44592</c:v>
                </c:pt>
                <c:pt idx="49">
                  <c:v>44561</c:v>
                </c:pt>
                <c:pt idx="50">
                  <c:v>44530</c:v>
                </c:pt>
                <c:pt idx="51">
                  <c:v>44500</c:v>
                </c:pt>
                <c:pt idx="52">
                  <c:v>44469</c:v>
                </c:pt>
                <c:pt idx="53">
                  <c:v>44439</c:v>
                </c:pt>
                <c:pt idx="54">
                  <c:v>44408</c:v>
                </c:pt>
                <c:pt idx="55">
                  <c:v>44377</c:v>
                </c:pt>
                <c:pt idx="56">
                  <c:v>44347</c:v>
                </c:pt>
                <c:pt idx="57">
                  <c:v>44316</c:v>
                </c:pt>
                <c:pt idx="58">
                  <c:v>44286</c:v>
                </c:pt>
                <c:pt idx="59">
                  <c:v>44255</c:v>
                </c:pt>
                <c:pt idx="60">
                  <c:v>44227</c:v>
                </c:pt>
                <c:pt idx="61">
                  <c:v>44196</c:v>
                </c:pt>
                <c:pt idx="62">
                  <c:v>44165</c:v>
                </c:pt>
                <c:pt idx="63">
                  <c:v>44135</c:v>
                </c:pt>
                <c:pt idx="64">
                  <c:v>44104</c:v>
                </c:pt>
                <c:pt idx="65">
                  <c:v>44074</c:v>
                </c:pt>
                <c:pt idx="66">
                  <c:v>44043</c:v>
                </c:pt>
                <c:pt idx="67">
                  <c:v>44012</c:v>
                </c:pt>
                <c:pt idx="68">
                  <c:v>43982</c:v>
                </c:pt>
                <c:pt idx="69">
                  <c:v>43951</c:v>
                </c:pt>
                <c:pt idx="70">
                  <c:v>43921</c:v>
                </c:pt>
                <c:pt idx="71">
                  <c:v>43890</c:v>
                </c:pt>
                <c:pt idx="72">
                  <c:v>43861</c:v>
                </c:pt>
                <c:pt idx="73">
                  <c:v>43830</c:v>
                </c:pt>
                <c:pt idx="74">
                  <c:v>43799</c:v>
                </c:pt>
                <c:pt idx="75">
                  <c:v>43769</c:v>
                </c:pt>
                <c:pt idx="76">
                  <c:v>43738</c:v>
                </c:pt>
                <c:pt idx="77">
                  <c:v>43708</c:v>
                </c:pt>
                <c:pt idx="78">
                  <c:v>43677</c:v>
                </c:pt>
                <c:pt idx="79">
                  <c:v>43646</c:v>
                </c:pt>
                <c:pt idx="80">
                  <c:v>43616</c:v>
                </c:pt>
                <c:pt idx="81">
                  <c:v>43585</c:v>
                </c:pt>
                <c:pt idx="82">
                  <c:v>43555</c:v>
                </c:pt>
                <c:pt idx="83">
                  <c:v>43524</c:v>
                </c:pt>
                <c:pt idx="84">
                  <c:v>43496</c:v>
                </c:pt>
                <c:pt idx="85">
                  <c:v>43465</c:v>
                </c:pt>
                <c:pt idx="86">
                  <c:v>43434</c:v>
                </c:pt>
                <c:pt idx="87">
                  <c:v>43404</c:v>
                </c:pt>
                <c:pt idx="88">
                  <c:v>43373</c:v>
                </c:pt>
                <c:pt idx="89">
                  <c:v>43343</c:v>
                </c:pt>
                <c:pt idx="90">
                  <c:v>43312</c:v>
                </c:pt>
                <c:pt idx="91">
                  <c:v>43281</c:v>
                </c:pt>
                <c:pt idx="92">
                  <c:v>43251</c:v>
                </c:pt>
                <c:pt idx="93">
                  <c:v>43220</c:v>
                </c:pt>
                <c:pt idx="94">
                  <c:v>43190</c:v>
                </c:pt>
                <c:pt idx="95">
                  <c:v>43159</c:v>
                </c:pt>
                <c:pt idx="96">
                  <c:v>43131</c:v>
                </c:pt>
                <c:pt idx="97">
                  <c:v>43100</c:v>
                </c:pt>
                <c:pt idx="98">
                  <c:v>43069</c:v>
                </c:pt>
              </c:numCache>
            </c:numRef>
          </c:cat>
          <c:val>
            <c:numRef>
              <c:f>Data_Chart_1!$F$29:$CZ$29</c:f>
              <c:numCache>
                <c:formatCode>General</c:formatCode>
                <c:ptCount val="99"/>
                <c:pt idx="6" formatCode="0%">
                  <c:v>0.78208531160043304</c:v>
                </c:pt>
                <c:pt idx="7" formatCode="0%">
                  <c:v>0.75358861348105599</c:v>
                </c:pt>
                <c:pt idx="8" formatCode="0%">
                  <c:v>0.65318805701742699</c:v>
                </c:pt>
                <c:pt idx="9" formatCode="0%">
                  <c:v>0.63487872809562396</c:v>
                </c:pt>
                <c:pt idx="10" formatCode="0%">
                  <c:v>0.63656203212627205</c:v>
                </c:pt>
                <c:pt idx="11" formatCode="0%">
                  <c:v>0.66211756077116501</c:v>
                </c:pt>
                <c:pt idx="12" formatCode="0%">
                  <c:v>0.68798413251494195</c:v>
                </c:pt>
                <c:pt idx="13" formatCode="0%">
                  <c:v>0.71682254293316106</c:v>
                </c:pt>
                <c:pt idx="14" formatCode="0%">
                  <c:v>0.70799110386893604</c:v>
                </c:pt>
                <c:pt idx="15" formatCode="0%">
                  <c:v>0.72178418050853199</c:v>
                </c:pt>
                <c:pt idx="16" formatCode="0%">
                  <c:v>0.71489926245727597</c:v>
                </c:pt>
                <c:pt idx="17" formatCode="0%">
                  <c:v>0.72607330649665802</c:v>
                </c:pt>
                <c:pt idx="18" formatCode="0%">
                  <c:v>0.66837837837837799</c:v>
                </c:pt>
                <c:pt idx="19" formatCode="0%">
                  <c:v>0.69726955450626105</c:v>
                </c:pt>
                <c:pt idx="20" formatCode="0%">
                  <c:v>0.68605536642178799</c:v>
                </c:pt>
                <c:pt idx="21" formatCode="0%">
                  <c:v>0.64800761162585196</c:v>
                </c:pt>
                <c:pt idx="22" formatCode="0%">
                  <c:v>0.67027475331745401</c:v>
                </c:pt>
                <c:pt idx="23" formatCode="0%">
                  <c:v>0.65256371744806696</c:v>
                </c:pt>
                <c:pt idx="24" formatCode="0%">
                  <c:v>0.681096812332317</c:v>
                </c:pt>
                <c:pt idx="25" formatCode="0%">
                  <c:v>0.59668890673015695</c:v>
                </c:pt>
                <c:pt idx="26" formatCode="0%">
                  <c:v>0.58861849729086402</c:v>
                </c:pt>
                <c:pt idx="27" formatCode="0%">
                  <c:v>0.654379410543794</c:v>
                </c:pt>
                <c:pt idx="28" formatCode="0%">
                  <c:v>0.64533775383340197</c:v>
                </c:pt>
                <c:pt idx="29" formatCode="0%">
                  <c:v>0.61895569324656696</c:v>
                </c:pt>
                <c:pt idx="30" formatCode="0%">
                  <c:v>0.61809700974539805</c:v>
                </c:pt>
                <c:pt idx="31" formatCode="0%">
                  <c:v>0.60999757781276398</c:v>
                </c:pt>
                <c:pt idx="32" formatCode="0%">
                  <c:v>0.58108279046233602</c:v>
                </c:pt>
                <c:pt idx="33" formatCode="0%">
                  <c:v>0.58320135291117403</c:v>
                </c:pt>
                <c:pt idx="34" formatCode="0%">
                  <c:v>0.63842399928145799</c:v>
                </c:pt>
                <c:pt idx="35" formatCode="0%">
                  <c:v>0.66112104261576599</c:v>
                </c:pt>
                <c:pt idx="36" formatCode="0%">
                  <c:v>0.63286955426844604</c:v>
                </c:pt>
                <c:pt idx="37" formatCode="0%">
                  <c:v>0.66766962954783804</c:v>
                </c:pt>
                <c:pt idx="38" formatCode="0%">
                  <c:v>0.66279170642838503</c:v>
                </c:pt>
                <c:pt idx="39" formatCode="0%">
                  <c:v>0.59436284034092302</c:v>
                </c:pt>
                <c:pt idx="40" formatCode="0%">
                  <c:v>0.61603385559068902</c:v>
                </c:pt>
                <c:pt idx="41" formatCode="0%">
                  <c:v>0.58159448243614398</c:v>
                </c:pt>
                <c:pt idx="42" formatCode="0%">
                  <c:v>0.59223011440654905</c:v>
                </c:pt>
                <c:pt idx="43" formatCode="0%">
                  <c:v>0.58042328042327995</c:v>
                </c:pt>
                <c:pt idx="44" formatCode="0%">
                  <c:v>0.52833235875588203</c:v>
                </c:pt>
                <c:pt idx="45" formatCode="0%">
                  <c:v>0.50288094584819498</c:v>
                </c:pt>
                <c:pt idx="46" formatCode="0%">
                  <c:v>0.388211992077306</c:v>
                </c:pt>
                <c:pt idx="47" formatCode="0%">
                  <c:v>0.39824671258609801</c:v>
                </c:pt>
                <c:pt idx="48" formatCode="0%">
                  <c:v>0.38290825714042998</c:v>
                </c:pt>
                <c:pt idx="49" formatCode="0%">
                  <c:v>0.42770769141328902</c:v>
                </c:pt>
                <c:pt idx="51" formatCode="0%">
                  <c:v>0.51939113481008203</c:v>
                </c:pt>
                <c:pt idx="52" formatCode="0%">
                  <c:v>0.56692040954510903</c:v>
                </c:pt>
                <c:pt idx="53" formatCode="0%">
                  <c:v>0.58253082620177499</c:v>
                </c:pt>
                <c:pt idx="54" formatCode="0%">
                  <c:v>0.60208845078210504</c:v>
                </c:pt>
                <c:pt idx="55" formatCode="0%">
                  <c:v>0.60571965855307597</c:v>
                </c:pt>
                <c:pt idx="56" formatCode="0%">
                  <c:v>0.61161426293005206</c:v>
                </c:pt>
                <c:pt idx="57" formatCode="0%">
                  <c:v>0.63235651258803505</c:v>
                </c:pt>
                <c:pt idx="58" formatCode="0%">
                  <c:v>0.58296677770419203</c:v>
                </c:pt>
                <c:pt idx="59" formatCode="0%">
                  <c:v>0.60010232893066195</c:v>
                </c:pt>
                <c:pt idx="60" formatCode="0%">
                  <c:v>0.61488260661236205</c:v>
                </c:pt>
                <c:pt idx="61" formatCode="0%">
                  <c:v>0.57968758875319504</c:v>
                </c:pt>
                <c:pt idx="63" formatCode="0%">
                  <c:v>0.64906185517539206</c:v>
                </c:pt>
                <c:pt idx="64" formatCode="0%">
                  <c:v>0.640976988292289</c:v>
                </c:pt>
                <c:pt idx="65" formatCode="0%">
                  <c:v>0.71666501633825097</c:v>
                </c:pt>
                <c:pt idx="66" formatCode="0%">
                  <c:v>0.67797997465998405</c:v>
                </c:pt>
                <c:pt idx="67" formatCode="0%">
                  <c:v>0.64889917628393201</c:v>
                </c:pt>
                <c:pt idx="68" formatCode="0%">
                  <c:v>0.66885904410872099</c:v>
                </c:pt>
                <c:pt idx="69" formatCode="0%">
                  <c:v>0.63567399338649999</c:v>
                </c:pt>
                <c:pt idx="70" formatCode="0%">
                  <c:v>0.70442893558519404</c:v>
                </c:pt>
                <c:pt idx="72" formatCode="0%">
                  <c:v>0.61108560183666705</c:v>
                </c:pt>
                <c:pt idx="73" formatCode="0%">
                  <c:v>0.610412474849094</c:v>
                </c:pt>
                <c:pt idx="74" formatCode="0%">
                  <c:v>0.58019391357955497</c:v>
                </c:pt>
                <c:pt idx="75" formatCode="0%">
                  <c:v>0.6412964838663</c:v>
                </c:pt>
                <c:pt idx="76" formatCode="0%">
                  <c:v>0.65827380670797997</c:v>
                </c:pt>
                <c:pt idx="77" formatCode="0%">
                  <c:v>0.628694454558406</c:v>
                </c:pt>
                <c:pt idx="78" formatCode="0%">
                  <c:v>0.70479348374540396</c:v>
                </c:pt>
                <c:pt idx="79" formatCode="0%">
                  <c:v>0.58167890276433498</c:v>
                </c:pt>
                <c:pt idx="80" formatCode="0%">
                  <c:v>0.59475446280882305</c:v>
                </c:pt>
                <c:pt idx="81" formatCode="0%">
                  <c:v>0.75424328557340903</c:v>
                </c:pt>
                <c:pt idx="82" formatCode="0%">
                  <c:v>0.69176513975751797</c:v>
                </c:pt>
                <c:pt idx="84" formatCode="0%">
                  <c:v>0.82515635364351303</c:v>
                </c:pt>
              </c:numCache>
            </c:numRef>
          </c:val>
          <c:smooth val="0"/>
          <c:extLst>
            <c:ext xmlns:c16="http://schemas.microsoft.com/office/drawing/2014/chart" uri="{C3380CC4-5D6E-409C-BE32-E72D297353CC}">
              <c16:uniqueId val="{00000000-75C1-4F3F-94F2-EE6BBA3612AC}"/>
            </c:ext>
          </c:extLst>
        </c:ser>
        <c:ser>
          <c:idx val="1"/>
          <c:order val="1"/>
          <c:tx>
            <c:v>ULTA</c:v>
          </c:tx>
          <c:spPr>
            <a:ln>
              <a:solidFill>
                <a:srgbClr val="FFC000"/>
              </a:solidFill>
            </a:ln>
          </c:spPr>
          <c:marker>
            <c:symbol val="none"/>
          </c:marker>
          <c:cat>
            <c:numRef>
              <c:f>Data_Chart_1!$F$28:$CZ$28</c:f>
              <c:numCache>
                <c:formatCode>m/d/yyyy</c:formatCode>
                <c:ptCount val="99"/>
                <c:pt idx="0">
                  <c:v>46053</c:v>
                </c:pt>
                <c:pt idx="1">
                  <c:v>46022</c:v>
                </c:pt>
                <c:pt idx="2">
                  <c:v>45991</c:v>
                </c:pt>
                <c:pt idx="3">
                  <c:v>45961</c:v>
                </c:pt>
                <c:pt idx="4">
                  <c:v>45930</c:v>
                </c:pt>
                <c:pt idx="5">
                  <c:v>45900</c:v>
                </c:pt>
                <c:pt idx="6">
                  <c:v>45869</c:v>
                </c:pt>
                <c:pt idx="7">
                  <c:v>45838</c:v>
                </c:pt>
                <c:pt idx="8">
                  <c:v>45808</c:v>
                </c:pt>
                <c:pt idx="9">
                  <c:v>45777</c:v>
                </c:pt>
                <c:pt idx="10">
                  <c:v>45747</c:v>
                </c:pt>
                <c:pt idx="11">
                  <c:v>45716</c:v>
                </c:pt>
                <c:pt idx="12">
                  <c:v>45688</c:v>
                </c:pt>
                <c:pt idx="13">
                  <c:v>45657</c:v>
                </c:pt>
                <c:pt idx="14">
                  <c:v>45626</c:v>
                </c:pt>
                <c:pt idx="15">
                  <c:v>45596</c:v>
                </c:pt>
                <c:pt idx="16">
                  <c:v>45565</c:v>
                </c:pt>
                <c:pt idx="17">
                  <c:v>45535</c:v>
                </c:pt>
                <c:pt idx="18">
                  <c:v>45504</c:v>
                </c:pt>
                <c:pt idx="19">
                  <c:v>45473</c:v>
                </c:pt>
                <c:pt idx="20">
                  <c:v>45443</c:v>
                </c:pt>
                <c:pt idx="21">
                  <c:v>45412</c:v>
                </c:pt>
                <c:pt idx="22">
                  <c:v>45382</c:v>
                </c:pt>
                <c:pt idx="23">
                  <c:v>45351</c:v>
                </c:pt>
                <c:pt idx="24">
                  <c:v>45322</c:v>
                </c:pt>
                <c:pt idx="25">
                  <c:v>45291</c:v>
                </c:pt>
                <c:pt idx="26">
                  <c:v>45260</c:v>
                </c:pt>
                <c:pt idx="27">
                  <c:v>45230</c:v>
                </c:pt>
                <c:pt idx="28">
                  <c:v>45199</c:v>
                </c:pt>
                <c:pt idx="29">
                  <c:v>45169</c:v>
                </c:pt>
                <c:pt idx="30">
                  <c:v>45138</c:v>
                </c:pt>
                <c:pt idx="31">
                  <c:v>45107</c:v>
                </c:pt>
                <c:pt idx="32">
                  <c:v>45077</c:v>
                </c:pt>
                <c:pt idx="33">
                  <c:v>45046</c:v>
                </c:pt>
                <c:pt idx="34">
                  <c:v>45016</c:v>
                </c:pt>
                <c:pt idx="35">
                  <c:v>44985</c:v>
                </c:pt>
                <c:pt idx="36">
                  <c:v>44957</c:v>
                </c:pt>
                <c:pt idx="37">
                  <c:v>44926</c:v>
                </c:pt>
                <c:pt idx="38">
                  <c:v>44895</c:v>
                </c:pt>
                <c:pt idx="39">
                  <c:v>44865</c:v>
                </c:pt>
                <c:pt idx="40">
                  <c:v>44834</c:v>
                </c:pt>
                <c:pt idx="41">
                  <c:v>44804</c:v>
                </c:pt>
                <c:pt idx="42">
                  <c:v>44773</c:v>
                </c:pt>
                <c:pt idx="43">
                  <c:v>44742</c:v>
                </c:pt>
                <c:pt idx="44">
                  <c:v>44712</c:v>
                </c:pt>
                <c:pt idx="45">
                  <c:v>44681</c:v>
                </c:pt>
                <c:pt idx="46">
                  <c:v>44651</c:v>
                </c:pt>
                <c:pt idx="47">
                  <c:v>44620</c:v>
                </c:pt>
                <c:pt idx="48">
                  <c:v>44592</c:v>
                </c:pt>
                <c:pt idx="49">
                  <c:v>44561</c:v>
                </c:pt>
                <c:pt idx="50">
                  <c:v>44530</c:v>
                </c:pt>
                <c:pt idx="51">
                  <c:v>44500</c:v>
                </c:pt>
                <c:pt idx="52">
                  <c:v>44469</c:v>
                </c:pt>
                <c:pt idx="53">
                  <c:v>44439</c:v>
                </c:pt>
                <c:pt idx="54">
                  <c:v>44408</c:v>
                </c:pt>
                <c:pt idx="55">
                  <c:v>44377</c:v>
                </c:pt>
                <c:pt idx="56">
                  <c:v>44347</c:v>
                </c:pt>
                <c:pt idx="57">
                  <c:v>44316</c:v>
                </c:pt>
                <c:pt idx="58">
                  <c:v>44286</c:v>
                </c:pt>
                <c:pt idx="59">
                  <c:v>44255</c:v>
                </c:pt>
                <c:pt idx="60">
                  <c:v>44227</c:v>
                </c:pt>
                <c:pt idx="61">
                  <c:v>44196</c:v>
                </c:pt>
                <c:pt idx="62">
                  <c:v>44165</c:v>
                </c:pt>
                <c:pt idx="63">
                  <c:v>44135</c:v>
                </c:pt>
                <c:pt idx="64">
                  <c:v>44104</c:v>
                </c:pt>
                <c:pt idx="65">
                  <c:v>44074</c:v>
                </c:pt>
                <c:pt idx="66">
                  <c:v>44043</c:v>
                </c:pt>
                <c:pt idx="67">
                  <c:v>44012</c:v>
                </c:pt>
                <c:pt idx="68">
                  <c:v>43982</c:v>
                </c:pt>
                <c:pt idx="69">
                  <c:v>43951</c:v>
                </c:pt>
                <c:pt idx="70">
                  <c:v>43921</c:v>
                </c:pt>
                <c:pt idx="71">
                  <c:v>43890</c:v>
                </c:pt>
                <c:pt idx="72">
                  <c:v>43861</c:v>
                </c:pt>
                <c:pt idx="73">
                  <c:v>43830</c:v>
                </c:pt>
                <c:pt idx="74">
                  <c:v>43799</c:v>
                </c:pt>
                <c:pt idx="75">
                  <c:v>43769</c:v>
                </c:pt>
                <c:pt idx="76">
                  <c:v>43738</c:v>
                </c:pt>
                <c:pt idx="77">
                  <c:v>43708</c:v>
                </c:pt>
                <c:pt idx="78">
                  <c:v>43677</c:v>
                </c:pt>
                <c:pt idx="79">
                  <c:v>43646</c:v>
                </c:pt>
                <c:pt idx="80">
                  <c:v>43616</c:v>
                </c:pt>
                <c:pt idx="81">
                  <c:v>43585</c:v>
                </c:pt>
                <c:pt idx="82">
                  <c:v>43555</c:v>
                </c:pt>
                <c:pt idx="83">
                  <c:v>43524</c:v>
                </c:pt>
                <c:pt idx="84">
                  <c:v>43496</c:v>
                </c:pt>
                <c:pt idx="85">
                  <c:v>43465</c:v>
                </c:pt>
                <c:pt idx="86">
                  <c:v>43434</c:v>
                </c:pt>
                <c:pt idx="87">
                  <c:v>43404</c:v>
                </c:pt>
                <c:pt idx="88">
                  <c:v>43373</c:v>
                </c:pt>
                <c:pt idx="89">
                  <c:v>43343</c:v>
                </c:pt>
                <c:pt idx="90">
                  <c:v>43312</c:v>
                </c:pt>
                <c:pt idx="91">
                  <c:v>43281</c:v>
                </c:pt>
                <c:pt idx="92">
                  <c:v>43251</c:v>
                </c:pt>
                <c:pt idx="93">
                  <c:v>43220</c:v>
                </c:pt>
                <c:pt idx="94">
                  <c:v>43190</c:v>
                </c:pt>
                <c:pt idx="95">
                  <c:v>43159</c:v>
                </c:pt>
                <c:pt idx="96">
                  <c:v>43131</c:v>
                </c:pt>
                <c:pt idx="97">
                  <c:v>43100</c:v>
                </c:pt>
                <c:pt idx="98">
                  <c:v>43069</c:v>
                </c:pt>
              </c:numCache>
            </c:numRef>
          </c:cat>
          <c:val>
            <c:numRef>
              <c:f>Data_Chart_1!$F$30:$CZ$30</c:f>
              <c:numCache>
                <c:formatCode>0%</c:formatCode>
                <c:ptCount val="99"/>
                <c:pt idx="0">
                  <c:v>0.423266847405112</c:v>
                </c:pt>
                <c:pt idx="1">
                  <c:v>0.42502213913214598</c:v>
                </c:pt>
                <c:pt idx="2">
                  <c:v>0.411703498166683</c:v>
                </c:pt>
                <c:pt idx="5">
                  <c:v>0.32888287983775499</c:v>
                </c:pt>
                <c:pt idx="6">
                  <c:v>0.29579909732669801</c:v>
                </c:pt>
                <c:pt idx="7">
                  <c:v>0.29585412211926798</c:v>
                </c:pt>
                <c:pt idx="8">
                  <c:v>0.29223717109179598</c:v>
                </c:pt>
                <c:pt idx="9">
                  <c:v>0.28662153256245798</c:v>
                </c:pt>
                <c:pt idx="10">
                  <c:v>0.27859569648924098</c:v>
                </c:pt>
                <c:pt idx="11">
                  <c:v>0.28368667973157502</c:v>
                </c:pt>
                <c:pt idx="12">
                  <c:v>0.29335148895861701</c:v>
                </c:pt>
                <c:pt idx="13">
                  <c:v>0.30383360522022801</c:v>
                </c:pt>
                <c:pt idx="14">
                  <c:v>0.31380005762028201</c:v>
                </c:pt>
                <c:pt idx="17">
                  <c:v>0.247350704400947</c:v>
                </c:pt>
                <c:pt idx="18">
                  <c:v>0.26307380323234802</c:v>
                </c:pt>
                <c:pt idx="19">
                  <c:v>0.25894326284356101</c:v>
                </c:pt>
                <c:pt idx="20">
                  <c:v>0.25222406282594001</c:v>
                </c:pt>
                <c:pt idx="21">
                  <c:v>0.25001521884701999</c:v>
                </c:pt>
                <c:pt idx="22">
                  <c:v>0.25387819158568198</c:v>
                </c:pt>
                <c:pt idx="23">
                  <c:v>0.25085054678007201</c:v>
                </c:pt>
                <c:pt idx="24">
                  <c:v>0.25914875479510402</c:v>
                </c:pt>
                <c:pt idx="25">
                  <c:v>0.29332559489262899</c:v>
                </c:pt>
                <c:pt idx="26">
                  <c:v>0.29355960167344203</c:v>
                </c:pt>
                <c:pt idx="28">
                  <c:v>0.28048151332760102</c:v>
                </c:pt>
                <c:pt idx="29">
                  <c:v>0.27233319664928801</c:v>
                </c:pt>
                <c:pt idx="30">
                  <c:v>0.26941661756039997</c:v>
                </c:pt>
                <c:pt idx="31">
                  <c:v>0.27148298024279899</c:v>
                </c:pt>
                <c:pt idx="32">
                  <c:v>0.27351434124506702</c:v>
                </c:pt>
                <c:pt idx="33">
                  <c:v>0.27109840084043402</c:v>
                </c:pt>
                <c:pt idx="34">
                  <c:v>0.272186588921282</c:v>
                </c:pt>
                <c:pt idx="35">
                  <c:v>0.27069800401558902</c:v>
                </c:pt>
                <c:pt idx="36">
                  <c:v>0.27387155318775203</c:v>
                </c:pt>
                <c:pt idx="37">
                  <c:v>0.29391757836857302</c:v>
                </c:pt>
                <c:pt idx="38">
                  <c:v>0.29246495000837802</c:v>
                </c:pt>
                <c:pt idx="39">
                  <c:v>0.291659821477465</c:v>
                </c:pt>
                <c:pt idx="40">
                  <c:v>0.27176510754523697</c:v>
                </c:pt>
                <c:pt idx="41">
                  <c:v>0.26783974322233001</c:v>
                </c:pt>
                <c:pt idx="42">
                  <c:v>0.27638706734333102</c:v>
                </c:pt>
                <c:pt idx="43">
                  <c:v>0.28062857142857101</c:v>
                </c:pt>
                <c:pt idx="44">
                  <c:v>0.28851255997741998</c:v>
                </c:pt>
                <c:pt idx="45">
                  <c:v>0.31184399513865801</c:v>
                </c:pt>
                <c:pt idx="46">
                  <c:v>0.306823291366906</c:v>
                </c:pt>
                <c:pt idx="47">
                  <c:v>0.31770421421308298</c:v>
                </c:pt>
                <c:pt idx="48">
                  <c:v>0.33726441088945203</c:v>
                </c:pt>
                <c:pt idx="49">
                  <c:v>0.34883847155883602</c:v>
                </c:pt>
                <c:pt idx="50">
                  <c:v>0.35839302062577399</c:v>
                </c:pt>
                <c:pt idx="51">
                  <c:v>0.35875540374659698</c:v>
                </c:pt>
                <c:pt idx="52">
                  <c:v>0.34862232118007203</c:v>
                </c:pt>
                <c:pt idx="53">
                  <c:v>0.34357401728463899</c:v>
                </c:pt>
                <c:pt idx="54">
                  <c:v>0.35130646589902498</c:v>
                </c:pt>
                <c:pt idx="55">
                  <c:v>0.34550070521861698</c:v>
                </c:pt>
                <c:pt idx="56">
                  <c:v>0.33878307770099397</c:v>
                </c:pt>
                <c:pt idx="57">
                  <c:v>0.31864896073902998</c:v>
                </c:pt>
                <c:pt idx="58">
                  <c:v>0.31331366082277301</c:v>
                </c:pt>
                <c:pt idx="59">
                  <c:v>0.31326219512195103</c:v>
                </c:pt>
                <c:pt idx="60">
                  <c:v>0.33800542192997601</c:v>
                </c:pt>
                <c:pt idx="61">
                  <c:v>0.34534686971235101</c:v>
                </c:pt>
                <c:pt idx="62">
                  <c:v>0.35121406642478298</c:v>
                </c:pt>
                <c:pt idx="63">
                  <c:v>0.34220702796614899</c:v>
                </c:pt>
                <c:pt idx="64">
                  <c:v>0.32446341891338598</c:v>
                </c:pt>
                <c:pt idx="65">
                  <c:v>0.32846117867165497</c:v>
                </c:pt>
                <c:pt idx="66">
                  <c:v>0.33770207852194001</c:v>
                </c:pt>
                <c:pt idx="67">
                  <c:v>0.34445233025786598</c:v>
                </c:pt>
                <c:pt idx="68">
                  <c:v>0.34601183848092298</c:v>
                </c:pt>
                <c:pt idx="69">
                  <c:v>0.35191757298225501</c:v>
                </c:pt>
                <c:pt idx="70">
                  <c:v>0.36176655430497601</c:v>
                </c:pt>
                <c:pt idx="71">
                  <c:v>0.37333561917823799</c:v>
                </c:pt>
                <c:pt idx="72">
                  <c:v>0.368961913608917</c:v>
                </c:pt>
                <c:pt idx="73">
                  <c:v>0.38959802933602</c:v>
                </c:pt>
                <c:pt idx="74">
                  <c:v>0.39086209771552399</c:v>
                </c:pt>
                <c:pt idx="75">
                  <c:v>0.38685720715652</c:v>
                </c:pt>
                <c:pt idx="76">
                  <c:v>0.35435704473511298</c:v>
                </c:pt>
                <c:pt idx="77">
                  <c:v>0.348677471832258</c:v>
                </c:pt>
                <c:pt idx="78">
                  <c:v>0.339186295503212</c:v>
                </c:pt>
                <c:pt idx="79">
                  <c:v>0.34377863294850602</c:v>
                </c:pt>
                <c:pt idx="80">
                  <c:v>0.33898616383004698</c:v>
                </c:pt>
                <c:pt idx="81">
                  <c:v>0.47431568792957901</c:v>
                </c:pt>
                <c:pt idx="82">
                  <c:v>0.46063109993413498</c:v>
                </c:pt>
                <c:pt idx="83">
                  <c:v>0.45131481022078801</c:v>
                </c:pt>
                <c:pt idx="84">
                  <c:v>0.47302802123194598</c:v>
                </c:pt>
                <c:pt idx="85">
                  <c:v>0.48105319338196001</c:v>
                </c:pt>
                <c:pt idx="86">
                  <c:v>0.48901325478645002</c:v>
                </c:pt>
                <c:pt idx="87">
                  <c:v>0.47769946099626798</c:v>
                </c:pt>
                <c:pt idx="88">
                  <c:v>0.46687716315501798</c:v>
                </c:pt>
                <c:pt idx="89">
                  <c:v>0.46712781586679702</c:v>
                </c:pt>
                <c:pt idx="90">
                  <c:v>0.47779751332149201</c:v>
                </c:pt>
                <c:pt idx="91">
                  <c:v>0.48570372196203998</c:v>
                </c:pt>
                <c:pt idx="92">
                  <c:v>0.49088341825771897</c:v>
                </c:pt>
                <c:pt idx="93">
                  <c:v>0.34115768463073798</c:v>
                </c:pt>
                <c:pt idx="94">
                  <c:v>0.36619943932719201</c:v>
                </c:pt>
                <c:pt idx="95">
                  <c:v>0.368459837877671</c:v>
                </c:pt>
                <c:pt idx="96">
                  <c:v>0.360793097726895</c:v>
                </c:pt>
                <c:pt idx="97">
                  <c:v>0.36933601609657901</c:v>
                </c:pt>
                <c:pt idx="98">
                  <c:v>0.37063894931915198</c:v>
                </c:pt>
              </c:numCache>
            </c:numRef>
          </c:val>
          <c:smooth val="0"/>
          <c:extLst>
            <c:ext xmlns:c16="http://schemas.microsoft.com/office/drawing/2014/chart" uri="{C3380CC4-5D6E-409C-BE32-E72D297353CC}">
              <c16:uniqueId val="{00000001-75C1-4F3F-94F2-EE6BBA3612AC}"/>
            </c:ext>
          </c:extLst>
        </c:ser>
        <c:ser>
          <c:idx val="2"/>
          <c:order val="2"/>
          <c:tx>
            <c:v>SEPHORA</c:v>
          </c:tx>
          <c:spPr>
            <a:ln>
              <a:solidFill>
                <a:srgbClr val="C00000"/>
              </a:solidFill>
            </a:ln>
          </c:spPr>
          <c:marker>
            <c:symbol val="none"/>
          </c:marker>
          <c:cat>
            <c:numRef>
              <c:f>Data_Chart_1!$F$28:$CZ$28</c:f>
              <c:numCache>
                <c:formatCode>m/d/yyyy</c:formatCode>
                <c:ptCount val="99"/>
                <c:pt idx="0">
                  <c:v>46053</c:v>
                </c:pt>
                <c:pt idx="1">
                  <c:v>46022</c:v>
                </c:pt>
                <c:pt idx="2">
                  <c:v>45991</c:v>
                </c:pt>
                <c:pt idx="3">
                  <c:v>45961</c:v>
                </c:pt>
                <c:pt idx="4">
                  <c:v>45930</c:v>
                </c:pt>
                <c:pt idx="5">
                  <c:v>45900</c:v>
                </c:pt>
                <c:pt idx="6">
                  <c:v>45869</c:v>
                </c:pt>
                <c:pt idx="7">
                  <c:v>45838</c:v>
                </c:pt>
                <c:pt idx="8">
                  <c:v>45808</c:v>
                </c:pt>
                <c:pt idx="9">
                  <c:v>45777</c:v>
                </c:pt>
                <c:pt idx="10">
                  <c:v>45747</c:v>
                </c:pt>
                <c:pt idx="11">
                  <c:v>45716</c:v>
                </c:pt>
                <c:pt idx="12">
                  <c:v>45688</c:v>
                </c:pt>
                <c:pt idx="13">
                  <c:v>45657</c:v>
                </c:pt>
                <c:pt idx="14">
                  <c:v>45626</c:v>
                </c:pt>
                <c:pt idx="15">
                  <c:v>45596</c:v>
                </c:pt>
                <c:pt idx="16">
                  <c:v>45565</c:v>
                </c:pt>
                <c:pt idx="17">
                  <c:v>45535</c:v>
                </c:pt>
                <c:pt idx="18">
                  <c:v>45504</c:v>
                </c:pt>
                <c:pt idx="19">
                  <c:v>45473</c:v>
                </c:pt>
                <c:pt idx="20">
                  <c:v>45443</c:v>
                </c:pt>
                <c:pt idx="21">
                  <c:v>45412</c:v>
                </c:pt>
                <c:pt idx="22">
                  <c:v>45382</c:v>
                </c:pt>
                <c:pt idx="23">
                  <c:v>45351</c:v>
                </c:pt>
                <c:pt idx="24">
                  <c:v>45322</c:v>
                </c:pt>
                <c:pt idx="25">
                  <c:v>45291</c:v>
                </c:pt>
                <c:pt idx="26">
                  <c:v>45260</c:v>
                </c:pt>
                <c:pt idx="27">
                  <c:v>45230</c:v>
                </c:pt>
                <c:pt idx="28">
                  <c:v>45199</c:v>
                </c:pt>
                <c:pt idx="29">
                  <c:v>45169</c:v>
                </c:pt>
                <c:pt idx="30">
                  <c:v>45138</c:v>
                </c:pt>
                <c:pt idx="31">
                  <c:v>45107</c:v>
                </c:pt>
                <c:pt idx="32">
                  <c:v>45077</c:v>
                </c:pt>
                <c:pt idx="33">
                  <c:v>45046</c:v>
                </c:pt>
                <c:pt idx="34">
                  <c:v>45016</c:v>
                </c:pt>
                <c:pt idx="35">
                  <c:v>44985</c:v>
                </c:pt>
                <c:pt idx="36">
                  <c:v>44957</c:v>
                </c:pt>
                <c:pt idx="37">
                  <c:v>44926</c:v>
                </c:pt>
                <c:pt idx="38">
                  <c:v>44895</c:v>
                </c:pt>
                <c:pt idx="39">
                  <c:v>44865</c:v>
                </c:pt>
                <c:pt idx="40">
                  <c:v>44834</c:v>
                </c:pt>
                <c:pt idx="41">
                  <c:v>44804</c:v>
                </c:pt>
                <c:pt idx="42">
                  <c:v>44773</c:v>
                </c:pt>
                <c:pt idx="43">
                  <c:v>44742</c:v>
                </c:pt>
                <c:pt idx="44">
                  <c:v>44712</c:v>
                </c:pt>
                <c:pt idx="45">
                  <c:v>44681</c:v>
                </c:pt>
                <c:pt idx="46">
                  <c:v>44651</c:v>
                </c:pt>
                <c:pt idx="47">
                  <c:v>44620</c:v>
                </c:pt>
                <c:pt idx="48">
                  <c:v>44592</c:v>
                </c:pt>
                <c:pt idx="49">
                  <c:v>44561</c:v>
                </c:pt>
                <c:pt idx="50">
                  <c:v>44530</c:v>
                </c:pt>
                <c:pt idx="51">
                  <c:v>44500</c:v>
                </c:pt>
                <c:pt idx="52">
                  <c:v>44469</c:v>
                </c:pt>
                <c:pt idx="53">
                  <c:v>44439</c:v>
                </c:pt>
                <c:pt idx="54">
                  <c:v>44408</c:v>
                </c:pt>
                <c:pt idx="55">
                  <c:v>44377</c:v>
                </c:pt>
                <c:pt idx="56">
                  <c:v>44347</c:v>
                </c:pt>
                <c:pt idx="57">
                  <c:v>44316</c:v>
                </c:pt>
                <c:pt idx="58">
                  <c:v>44286</c:v>
                </c:pt>
                <c:pt idx="59">
                  <c:v>44255</c:v>
                </c:pt>
                <c:pt idx="60">
                  <c:v>44227</c:v>
                </c:pt>
                <c:pt idx="61">
                  <c:v>44196</c:v>
                </c:pt>
                <c:pt idx="62">
                  <c:v>44165</c:v>
                </c:pt>
                <c:pt idx="63">
                  <c:v>44135</c:v>
                </c:pt>
                <c:pt idx="64">
                  <c:v>44104</c:v>
                </c:pt>
                <c:pt idx="65">
                  <c:v>44074</c:v>
                </c:pt>
                <c:pt idx="66">
                  <c:v>44043</c:v>
                </c:pt>
                <c:pt idx="67">
                  <c:v>44012</c:v>
                </c:pt>
                <c:pt idx="68">
                  <c:v>43982</c:v>
                </c:pt>
                <c:pt idx="69">
                  <c:v>43951</c:v>
                </c:pt>
                <c:pt idx="70">
                  <c:v>43921</c:v>
                </c:pt>
                <c:pt idx="71">
                  <c:v>43890</c:v>
                </c:pt>
                <c:pt idx="72">
                  <c:v>43861</c:v>
                </c:pt>
                <c:pt idx="73">
                  <c:v>43830</c:v>
                </c:pt>
                <c:pt idx="74">
                  <c:v>43799</c:v>
                </c:pt>
                <c:pt idx="75">
                  <c:v>43769</c:v>
                </c:pt>
                <c:pt idx="76">
                  <c:v>43738</c:v>
                </c:pt>
                <c:pt idx="77">
                  <c:v>43708</c:v>
                </c:pt>
                <c:pt idx="78">
                  <c:v>43677</c:v>
                </c:pt>
                <c:pt idx="79">
                  <c:v>43646</c:v>
                </c:pt>
                <c:pt idx="80">
                  <c:v>43616</c:v>
                </c:pt>
                <c:pt idx="81">
                  <c:v>43585</c:v>
                </c:pt>
                <c:pt idx="82">
                  <c:v>43555</c:v>
                </c:pt>
                <c:pt idx="83">
                  <c:v>43524</c:v>
                </c:pt>
                <c:pt idx="84">
                  <c:v>43496</c:v>
                </c:pt>
                <c:pt idx="85">
                  <c:v>43465</c:v>
                </c:pt>
                <c:pt idx="86">
                  <c:v>43434</c:v>
                </c:pt>
                <c:pt idx="87">
                  <c:v>43404</c:v>
                </c:pt>
                <c:pt idx="88">
                  <c:v>43373</c:v>
                </c:pt>
                <c:pt idx="89">
                  <c:v>43343</c:v>
                </c:pt>
                <c:pt idx="90">
                  <c:v>43312</c:v>
                </c:pt>
                <c:pt idx="91">
                  <c:v>43281</c:v>
                </c:pt>
                <c:pt idx="92">
                  <c:v>43251</c:v>
                </c:pt>
                <c:pt idx="93">
                  <c:v>43220</c:v>
                </c:pt>
                <c:pt idx="94">
                  <c:v>43190</c:v>
                </c:pt>
                <c:pt idx="95">
                  <c:v>43159</c:v>
                </c:pt>
                <c:pt idx="96">
                  <c:v>43131</c:v>
                </c:pt>
                <c:pt idx="97">
                  <c:v>43100</c:v>
                </c:pt>
                <c:pt idx="98">
                  <c:v>43069</c:v>
                </c:pt>
              </c:numCache>
            </c:numRef>
          </c:cat>
          <c:val>
            <c:numRef>
              <c:f>Data_Chart_1!$F$31:$CZ$31</c:f>
              <c:numCache>
                <c:formatCode>0%</c:formatCode>
                <c:ptCount val="99"/>
                <c:pt idx="0">
                  <c:v>0.273809523809523</c:v>
                </c:pt>
                <c:pt idx="1">
                  <c:v>0.28237865194386902</c:v>
                </c:pt>
                <c:pt idx="2">
                  <c:v>0.27768274603717602</c:v>
                </c:pt>
                <c:pt idx="3">
                  <c:v>0.27473285074112302</c:v>
                </c:pt>
                <c:pt idx="4">
                  <c:v>0.26267654549664199</c:v>
                </c:pt>
                <c:pt idx="5">
                  <c:v>0.239538239538239</c:v>
                </c:pt>
                <c:pt idx="6">
                  <c:v>0.2335148215366</c:v>
                </c:pt>
                <c:pt idx="7">
                  <c:v>0.25497527439392098</c:v>
                </c:pt>
                <c:pt idx="8">
                  <c:v>0.261450381679389</c:v>
                </c:pt>
                <c:pt idx="9">
                  <c:v>0.25469455669122798</c:v>
                </c:pt>
                <c:pt idx="10">
                  <c:v>0.25578934994710201</c:v>
                </c:pt>
                <c:pt idx="11">
                  <c:v>0.25053814876823699</c:v>
                </c:pt>
                <c:pt idx="12">
                  <c:v>0.26521226415094301</c:v>
                </c:pt>
                <c:pt idx="13">
                  <c:v>0.27404844290657399</c:v>
                </c:pt>
                <c:pt idx="14">
                  <c:v>0.28050713153724199</c:v>
                </c:pt>
                <c:pt idx="15">
                  <c:v>0.27637795275590499</c:v>
                </c:pt>
                <c:pt idx="16">
                  <c:v>0.26008866659088298</c:v>
                </c:pt>
                <c:pt idx="17">
                  <c:v>0.24646488255229601</c:v>
                </c:pt>
                <c:pt idx="18">
                  <c:v>0.247073820836713</c:v>
                </c:pt>
                <c:pt idx="19">
                  <c:v>0.23847151786767301</c:v>
                </c:pt>
                <c:pt idx="20">
                  <c:v>0.23240183940573</c:v>
                </c:pt>
                <c:pt idx="21">
                  <c:v>0.23681097705228199</c:v>
                </c:pt>
                <c:pt idx="22">
                  <c:v>0.255881330397496</c:v>
                </c:pt>
                <c:pt idx="23">
                  <c:v>0.24927232506694599</c:v>
                </c:pt>
                <c:pt idx="24">
                  <c:v>0.26060261512222799</c:v>
                </c:pt>
                <c:pt idx="25">
                  <c:v>0.26622797233994999</c:v>
                </c:pt>
                <c:pt idx="26">
                  <c:v>0.27831178875262402</c:v>
                </c:pt>
                <c:pt idx="27">
                  <c:v>0.273099730458221</c:v>
                </c:pt>
                <c:pt idx="28">
                  <c:v>0.26958400864397603</c:v>
                </c:pt>
                <c:pt idx="29">
                  <c:v>0.25183402109124198</c:v>
                </c:pt>
                <c:pt idx="30">
                  <c:v>0.25254122430539799</c:v>
                </c:pt>
                <c:pt idx="31">
                  <c:v>0.26417876588021699</c:v>
                </c:pt>
                <c:pt idx="32">
                  <c:v>0.26985020835679602</c:v>
                </c:pt>
                <c:pt idx="33">
                  <c:v>0.26421181443987102</c:v>
                </c:pt>
                <c:pt idx="34">
                  <c:v>0.26053466243769802</c:v>
                </c:pt>
                <c:pt idx="35">
                  <c:v>0.271512019770838</c:v>
                </c:pt>
                <c:pt idx="36">
                  <c:v>0.279968630965718</c:v>
                </c:pt>
                <c:pt idx="37">
                  <c:v>0.28883787034000202</c:v>
                </c:pt>
                <c:pt idx="38">
                  <c:v>0.28951094651998599</c:v>
                </c:pt>
                <c:pt idx="39">
                  <c:v>0.288293099765007</c:v>
                </c:pt>
                <c:pt idx="40">
                  <c:v>0.262671271025955</c:v>
                </c:pt>
                <c:pt idx="41">
                  <c:v>0.249971555353282</c:v>
                </c:pt>
                <c:pt idx="42">
                  <c:v>0.25369597110935499</c:v>
                </c:pt>
                <c:pt idx="43">
                  <c:v>0.25300928579617099</c:v>
                </c:pt>
                <c:pt idx="44">
                  <c:v>0.24830673860635899</c:v>
                </c:pt>
                <c:pt idx="45">
                  <c:v>0.25381508078994602</c:v>
                </c:pt>
                <c:pt idx="46">
                  <c:v>0.25458689458689399</c:v>
                </c:pt>
                <c:pt idx="47">
                  <c:v>0.25989929045548099</c:v>
                </c:pt>
                <c:pt idx="48">
                  <c:v>0.28091912592926299</c:v>
                </c:pt>
                <c:pt idx="49">
                  <c:v>0.29348676125572498</c:v>
                </c:pt>
                <c:pt idx="50">
                  <c:v>0.30067567567567499</c:v>
                </c:pt>
                <c:pt idx="51">
                  <c:v>0.29596364029866901</c:v>
                </c:pt>
                <c:pt idx="52">
                  <c:v>0.27600849256900201</c:v>
                </c:pt>
                <c:pt idx="53">
                  <c:v>0.26319972748949699</c:v>
                </c:pt>
                <c:pt idx="54">
                  <c:v>0.26172448864278403</c:v>
                </c:pt>
                <c:pt idx="55">
                  <c:v>0.25130355928360898</c:v>
                </c:pt>
                <c:pt idx="56">
                  <c:v>0.24459790599242501</c:v>
                </c:pt>
                <c:pt idx="57">
                  <c:v>0.24458612729471199</c:v>
                </c:pt>
                <c:pt idx="58">
                  <c:v>0.24006149791346301</c:v>
                </c:pt>
                <c:pt idx="59">
                  <c:v>0.252346531448915</c:v>
                </c:pt>
                <c:pt idx="60">
                  <c:v>0.26354210749047802</c:v>
                </c:pt>
                <c:pt idx="61">
                  <c:v>0.273855865334034</c:v>
                </c:pt>
                <c:pt idx="62">
                  <c:v>0.277433993399339</c:v>
                </c:pt>
                <c:pt idx="63">
                  <c:v>0.278551815315773</c:v>
                </c:pt>
                <c:pt idx="64">
                  <c:v>0.25188890071299302</c:v>
                </c:pt>
                <c:pt idx="65">
                  <c:v>0.244246074424607</c:v>
                </c:pt>
                <c:pt idx="66">
                  <c:v>0.25943652779288501</c:v>
                </c:pt>
                <c:pt idx="67">
                  <c:v>0.27443731651625503</c:v>
                </c:pt>
                <c:pt idx="68">
                  <c:v>0.283733333333333</c:v>
                </c:pt>
                <c:pt idx="69">
                  <c:v>0.279377514291763</c:v>
                </c:pt>
                <c:pt idx="70">
                  <c:v>0.28682418050234099</c:v>
                </c:pt>
                <c:pt idx="71">
                  <c:v>0.308550185873605</c:v>
                </c:pt>
                <c:pt idx="72">
                  <c:v>0.307945996083685</c:v>
                </c:pt>
                <c:pt idx="73">
                  <c:v>0.327656607907578</c:v>
                </c:pt>
                <c:pt idx="74">
                  <c:v>0.33271880457985598</c:v>
                </c:pt>
                <c:pt idx="75">
                  <c:v>0.33128894080996801</c:v>
                </c:pt>
                <c:pt idx="76">
                  <c:v>0.30870738778366402</c:v>
                </c:pt>
                <c:pt idx="77">
                  <c:v>0.30115403913697902</c:v>
                </c:pt>
                <c:pt idx="78">
                  <c:v>0.30745469522240498</c:v>
                </c:pt>
                <c:pt idx="79">
                  <c:v>0.30913034497004699</c:v>
                </c:pt>
                <c:pt idx="80">
                  <c:v>0.30392651660442099</c:v>
                </c:pt>
                <c:pt idx="81">
                  <c:v>0.30938948216804302</c:v>
                </c:pt>
                <c:pt idx="82">
                  <c:v>0.32094225226120598</c:v>
                </c:pt>
                <c:pt idx="83">
                  <c:v>0.29548521017125001</c:v>
                </c:pt>
                <c:pt idx="96">
                  <c:v>0.36528007563223802</c:v>
                </c:pt>
                <c:pt idx="97">
                  <c:v>0.51613987895090696</c:v>
                </c:pt>
                <c:pt idx="98">
                  <c:v>0.51401338931124396</c:v>
                </c:pt>
              </c:numCache>
            </c:numRef>
          </c:val>
          <c:smooth val="0"/>
          <c:extLst>
            <c:ext xmlns:c16="http://schemas.microsoft.com/office/drawing/2014/chart" uri="{C3380CC4-5D6E-409C-BE32-E72D297353CC}">
              <c16:uniqueId val="{00000002-75C1-4F3F-94F2-EE6BBA3612AC}"/>
            </c:ext>
          </c:extLst>
        </c:ser>
        <c:ser>
          <c:idx val="3"/>
          <c:order val="3"/>
          <c:tx>
            <c:v>NORDSTROM</c:v>
          </c:tx>
          <c:spPr>
            <a:ln>
              <a:solidFill>
                <a:srgbClr val="0070C0"/>
              </a:solidFill>
            </a:ln>
          </c:spPr>
          <c:marker>
            <c:symbol val="none"/>
          </c:marker>
          <c:cat>
            <c:numRef>
              <c:f>Data_Chart_1!$F$28:$CZ$28</c:f>
              <c:numCache>
                <c:formatCode>m/d/yyyy</c:formatCode>
                <c:ptCount val="99"/>
                <c:pt idx="0">
                  <c:v>46053</c:v>
                </c:pt>
                <c:pt idx="1">
                  <c:v>46022</c:v>
                </c:pt>
                <c:pt idx="2">
                  <c:v>45991</c:v>
                </c:pt>
                <c:pt idx="3">
                  <c:v>45961</c:v>
                </c:pt>
                <c:pt idx="4">
                  <c:v>45930</c:v>
                </c:pt>
                <c:pt idx="5">
                  <c:v>45900</c:v>
                </c:pt>
                <c:pt idx="6">
                  <c:v>45869</c:v>
                </c:pt>
                <c:pt idx="7">
                  <c:v>45838</c:v>
                </c:pt>
                <c:pt idx="8">
                  <c:v>45808</c:v>
                </c:pt>
                <c:pt idx="9">
                  <c:v>45777</c:v>
                </c:pt>
                <c:pt idx="10">
                  <c:v>45747</c:v>
                </c:pt>
                <c:pt idx="11">
                  <c:v>45716</c:v>
                </c:pt>
                <c:pt idx="12">
                  <c:v>45688</c:v>
                </c:pt>
                <c:pt idx="13">
                  <c:v>45657</c:v>
                </c:pt>
                <c:pt idx="14">
                  <c:v>45626</c:v>
                </c:pt>
                <c:pt idx="15">
                  <c:v>45596</c:v>
                </c:pt>
                <c:pt idx="16">
                  <c:v>45565</c:v>
                </c:pt>
                <c:pt idx="17">
                  <c:v>45535</c:v>
                </c:pt>
                <c:pt idx="18">
                  <c:v>45504</c:v>
                </c:pt>
                <c:pt idx="19">
                  <c:v>45473</c:v>
                </c:pt>
                <c:pt idx="20">
                  <c:v>45443</c:v>
                </c:pt>
                <c:pt idx="21">
                  <c:v>45412</c:v>
                </c:pt>
                <c:pt idx="22">
                  <c:v>45382</c:v>
                </c:pt>
                <c:pt idx="23">
                  <c:v>45351</c:v>
                </c:pt>
                <c:pt idx="24">
                  <c:v>45322</c:v>
                </c:pt>
                <c:pt idx="25">
                  <c:v>45291</c:v>
                </c:pt>
                <c:pt idx="26">
                  <c:v>45260</c:v>
                </c:pt>
                <c:pt idx="27">
                  <c:v>45230</c:v>
                </c:pt>
                <c:pt idx="28">
                  <c:v>45199</c:v>
                </c:pt>
                <c:pt idx="29">
                  <c:v>45169</c:v>
                </c:pt>
                <c:pt idx="30">
                  <c:v>45138</c:v>
                </c:pt>
                <c:pt idx="31">
                  <c:v>45107</c:v>
                </c:pt>
                <c:pt idx="32">
                  <c:v>45077</c:v>
                </c:pt>
                <c:pt idx="33">
                  <c:v>45046</c:v>
                </c:pt>
                <c:pt idx="34">
                  <c:v>45016</c:v>
                </c:pt>
                <c:pt idx="35">
                  <c:v>44985</c:v>
                </c:pt>
                <c:pt idx="36">
                  <c:v>44957</c:v>
                </c:pt>
                <c:pt idx="37">
                  <c:v>44926</c:v>
                </c:pt>
                <c:pt idx="38">
                  <c:v>44895</c:v>
                </c:pt>
                <c:pt idx="39">
                  <c:v>44865</c:v>
                </c:pt>
                <c:pt idx="40">
                  <c:v>44834</c:v>
                </c:pt>
                <c:pt idx="41">
                  <c:v>44804</c:v>
                </c:pt>
                <c:pt idx="42">
                  <c:v>44773</c:v>
                </c:pt>
                <c:pt idx="43">
                  <c:v>44742</c:v>
                </c:pt>
                <c:pt idx="44">
                  <c:v>44712</c:v>
                </c:pt>
                <c:pt idx="45">
                  <c:v>44681</c:v>
                </c:pt>
                <c:pt idx="46">
                  <c:v>44651</c:v>
                </c:pt>
                <c:pt idx="47">
                  <c:v>44620</c:v>
                </c:pt>
                <c:pt idx="48">
                  <c:v>44592</c:v>
                </c:pt>
                <c:pt idx="49">
                  <c:v>44561</c:v>
                </c:pt>
                <c:pt idx="50">
                  <c:v>44530</c:v>
                </c:pt>
                <c:pt idx="51">
                  <c:v>44500</c:v>
                </c:pt>
                <c:pt idx="52">
                  <c:v>44469</c:v>
                </c:pt>
                <c:pt idx="53">
                  <c:v>44439</c:v>
                </c:pt>
                <c:pt idx="54">
                  <c:v>44408</c:v>
                </c:pt>
                <c:pt idx="55">
                  <c:v>44377</c:v>
                </c:pt>
                <c:pt idx="56">
                  <c:v>44347</c:v>
                </c:pt>
                <c:pt idx="57">
                  <c:v>44316</c:v>
                </c:pt>
                <c:pt idx="58">
                  <c:v>44286</c:v>
                </c:pt>
                <c:pt idx="59">
                  <c:v>44255</c:v>
                </c:pt>
                <c:pt idx="60">
                  <c:v>44227</c:v>
                </c:pt>
                <c:pt idx="61">
                  <c:v>44196</c:v>
                </c:pt>
                <c:pt idx="62">
                  <c:v>44165</c:v>
                </c:pt>
                <c:pt idx="63">
                  <c:v>44135</c:v>
                </c:pt>
                <c:pt idx="64">
                  <c:v>44104</c:v>
                </c:pt>
                <c:pt idx="65">
                  <c:v>44074</c:v>
                </c:pt>
                <c:pt idx="66">
                  <c:v>44043</c:v>
                </c:pt>
                <c:pt idx="67">
                  <c:v>44012</c:v>
                </c:pt>
                <c:pt idx="68">
                  <c:v>43982</c:v>
                </c:pt>
                <c:pt idx="69">
                  <c:v>43951</c:v>
                </c:pt>
                <c:pt idx="70">
                  <c:v>43921</c:v>
                </c:pt>
                <c:pt idx="71">
                  <c:v>43890</c:v>
                </c:pt>
                <c:pt idx="72">
                  <c:v>43861</c:v>
                </c:pt>
                <c:pt idx="73">
                  <c:v>43830</c:v>
                </c:pt>
                <c:pt idx="74">
                  <c:v>43799</c:v>
                </c:pt>
                <c:pt idx="75">
                  <c:v>43769</c:v>
                </c:pt>
                <c:pt idx="76">
                  <c:v>43738</c:v>
                </c:pt>
                <c:pt idx="77">
                  <c:v>43708</c:v>
                </c:pt>
                <c:pt idx="78">
                  <c:v>43677</c:v>
                </c:pt>
                <c:pt idx="79">
                  <c:v>43646</c:v>
                </c:pt>
                <c:pt idx="80">
                  <c:v>43616</c:v>
                </c:pt>
                <c:pt idx="81">
                  <c:v>43585</c:v>
                </c:pt>
                <c:pt idx="82">
                  <c:v>43555</c:v>
                </c:pt>
                <c:pt idx="83">
                  <c:v>43524</c:v>
                </c:pt>
                <c:pt idx="84">
                  <c:v>43496</c:v>
                </c:pt>
                <c:pt idx="85">
                  <c:v>43465</c:v>
                </c:pt>
                <c:pt idx="86">
                  <c:v>43434</c:v>
                </c:pt>
                <c:pt idx="87">
                  <c:v>43404</c:v>
                </c:pt>
                <c:pt idx="88">
                  <c:v>43373</c:v>
                </c:pt>
                <c:pt idx="89">
                  <c:v>43343</c:v>
                </c:pt>
                <c:pt idx="90">
                  <c:v>43312</c:v>
                </c:pt>
                <c:pt idx="91">
                  <c:v>43281</c:v>
                </c:pt>
                <c:pt idx="92">
                  <c:v>43251</c:v>
                </c:pt>
                <c:pt idx="93">
                  <c:v>43220</c:v>
                </c:pt>
                <c:pt idx="94">
                  <c:v>43190</c:v>
                </c:pt>
                <c:pt idx="95">
                  <c:v>43159</c:v>
                </c:pt>
                <c:pt idx="96">
                  <c:v>43131</c:v>
                </c:pt>
                <c:pt idx="97">
                  <c:v>43100</c:v>
                </c:pt>
                <c:pt idx="98">
                  <c:v>43069</c:v>
                </c:pt>
              </c:numCache>
            </c:numRef>
          </c:cat>
          <c:val>
            <c:numRef>
              <c:f>Data_Chart_1!$F$32:$CZ$32</c:f>
              <c:numCache>
                <c:formatCode>0%</c:formatCode>
                <c:ptCount val="99"/>
                <c:pt idx="0">
                  <c:v>0.52004651162790705</c:v>
                </c:pt>
                <c:pt idx="1">
                  <c:v>0.522182997805552</c:v>
                </c:pt>
                <c:pt idx="2">
                  <c:v>0.52706407099382002</c:v>
                </c:pt>
                <c:pt idx="3">
                  <c:v>0.47826315236795103</c:v>
                </c:pt>
                <c:pt idx="4">
                  <c:v>0.47426510763850899</c:v>
                </c:pt>
                <c:pt idx="5">
                  <c:v>0.46826381059751898</c:v>
                </c:pt>
                <c:pt idx="6">
                  <c:v>0.48118765676952602</c:v>
                </c:pt>
                <c:pt idx="7">
                  <c:v>0.48259474872282199</c:v>
                </c:pt>
                <c:pt idx="8">
                  <c:v>0.47664932608181598</c:v>
                </c:pt>
                <c:pt idx="9">
                  <c:v>0.48788004504237498</c:v>
                </c:pt>
                <c:pt idx="10">
                  <c:v>0.47774877056644999</c:v>
                </c:pt>
                <c:pt idx="11">
                  <c:v>0.46233420067271602</c:v>
                </c:pt>
                <c:pt idx="12">
                  <c:v>0.45682094184320599</c:v>
                </c:pt>
                <c:pt idx="13">
                  <c:v>0.44245696928788297</c:v>
                </c:pt>
                <c:pt idx="14">
                  <c:v>0.43742667188111001</c:v>
                </c:pt>
                <c:pt idx="15">
                  <c:v>0.44187903386785499</c:v>
                </c:pt>
                <c:pt idx="16">
                  <c:v>0.404742968693514</c:v>
                </c:pt>
                <c:pt idx="17">
                  <c:v>0.39829812644621898</c:v>
                </c:pt>
                <c:pt idx="18">
                  <c:v>0.37525643048761198</c:v>
                </c:pt>
                <c:pt idx="19">
                  <c:v>0.358148263997497</c:v>
                </c:pt>
                <c:pt idx="20">
                  <c:v>0.36235866834170799</c:v>
                </c:pt>
                <c:pt idx="21">
                  <c:v>0.35751789976133602</c:v>
                </c:pt>
                <c:pt idx="22">
                  <c:v>0.38841674535725501</c:v>
                </c:pt>
                <c:pt idx="23">
                  <c:v>0.36660159427362898</c:v>
                </c:pt>
                <c:pt idx="24">
                  <c:v>0.36701300826311001</c:v>
                </c:pt>
                <c:pt idx="25">
                  <c:v>0.38009119715588502</c:v>
                </c:pt>
                <c:pt idx="26">
                  <c:v>0.37566098160423</c:v>
                </c:pt>
                <c:pt idx="27">
                  <c:v>0.36697102024612899</c:v>
                </c:pt>
                <c:pt idx="28">
                  <c:v>0.35933080093752501</c:v>
                </c:pt>
                <c:pt idx="29">
                  <c:v>0.34141518356117201</c:v>
                </c:pt>
                <c:pt idx="30">
                  <c:v>0.34328730660455797</c:v>
                </c:pt>
                <c:pt idx="31">
                  <c:v>0.34673533809602902</c:v>
                </c:pt>
                <c:pt idx="32">
                  <c:v>0.33878619335841598</c:v>
                </c:pt>
                <c:pt idx="33">
                  <c:v>0.34311039484286798</c:v>
                </c:pt>
                <c:pt idx="34">
                  <c:v>0.33306829225196499</c:v>
                </c:pt>
                <c:pt idx="35">
                  <c:v>0.31759439141819401</c:v>
                </c:pt>
                <c:pt idx="36">
                  <c:v>0.314911983750846</c:v>
                </c:pt>
                <c:pt idx="37">
                  <c:v>0.32694927478163299</c:v>
                </c:pt>
                <c:pt idx="38">
                  <c:v>0.33223000538834502</c:v>
                </c:pt>
                <c:pt idx="39">
                  <c:v>0.32243823096584301</c:v>
                </c:pt>
                <c:pt idx="40">
                  <c:v>0.32106271341717302</c:v>
                </c:pt>
                <c:pt idx="41">
                  <c:v>0.31816635482224798</c:v>
                </c:pt>
                <c:pt idx="42">
                  <c:v>0.35978441127694799</c:v>
                </c:pt>
                <c:pt idx="43">
                  <c:v>0.36139874384654502</c:v>
                </c:pt>
                <c:pt idx="44">
                  <c:v>0.36455776387679101</c:v>
                </c:pt>
                <c:pt idx="45">
                  <c:v>0.389045909403406</c:v>
                </c:pt>
                <c:pt idx="46">
                  <c:v>0.40029914193497601</c:v>
                </c:pt>
                <c:pt idx="47">
                  <c:v>0.41281191806331402</c:v>
                </c:pt>
                <c:pt idx="48">
                  <c:v>0.43611227482195197</c:v>
                </c:pt>
                <c:pt idx="49">
                  <c:v>0.47800703244211501</c:v>
                </c:pt>
                <c:pt idx="50">
                  <c:v>0.47774018944519597</c:v>
                </c:pt>
                <c:pt idx="51">
                  <c:v>0.49243948341878102</c:v>
                </c:pt>
                <c:pt idx="52">
                  <c:v>0.54410779423806999</c:v>
                </c:pt>
                <c:pt idx="53">
                  <c:v>0.42033976124885197</c:v>
                </c:pt>
                <c:pt idx="54">
                  <c:v>0.40648358791030198</c:v>
                </c:pt>
                <c:pt idx="55">
                  <c:v>0.44390881607974497</c:v>
                </c:pt>
                <c:pt idx="56">
                  <c:v>0.447640875681656</c:v>
                </c:pt>
                <c:pt idx="57">
                  <c:v>0.39666993143976398</c:v>
                </c:pt>
                <c:pt idx="58">
                  <c:v>0.332736267485499</c:v>
                </c:pt>
                <c:pt idx="59">
                  <c:v>0.32951771736385799</c:v>
                </c:pt>
                <c:pt idx="60">
                  <c:v>0.355541164089694</c:v>
                </c:pt>
                <c:pt idx="61">
                  <c:v>0.35767405063291102</c:v>
                </c:pt>
                <c:pt idx="62">
                  <c:v>0.36362917885086499</c:v>
                </c:pt>
                <c:pt idx="63">
                  <c:v>0.33001350438892602</c:v>
                </c:pt>
                <c:pt idx="64">
                  <c:v>0.273701842546063</c:v>
                </c:pt>
                <c:pt idx="65">
                  <c:v>0.28491282582427002</c:v>
                </c:pt>
                <c:pt idx="66">
                  <c:v>0.26573364236049202</c:v>
                </c:pt>
                <c:pt idx="67">
                  <c:v>0.30279695521331201</c:v>
                </c:pt>
                <c:pt idx="68">
                  <c:v>0.32495319604172201</c:v>
                </c:pt>
                <c:pt idx="69">
                  <c:v>0.35930094786729799</c:v>
                </c:pt>
                <c:pt idx="70">
                  <c:v>0.33035714285714202</c:v>
                </c:pt>
                <c:pt idx="71">
                  <c:v>0.332665793730262</c:v>
                </c:pt>
                <c:pt idx="72">
                  <c:v>0.353765593716309</c:v>
                </c:pt>
                <c:pt idx="73">
                  <c:v>0.34582047891876</c:v>
                </c:pt>
                <c:pt idx="74">
                  <c:v>0.34404821697639298</c:v>
                </c:pt>
                <c:pt idx="75">
                  <c:v>0.35960294781170099</c:v>
                </c:pt>
                <c:pt idx="76">
                  <c:v>0.32410685548760798</c:v>
                </c:pt>
                <c:pt idx="77">
                  <c:v>0.38583441138421698</c:v>
                </c:pt>
                <c:pt idx="78">
                  <c:v>0.413615514605294</c:v>
                </c:pt>
                <c:pt idx="80">
                  <c:v>0.29674532139951099</c:v>
                </c:pt>
                <c:pt idx="81">
                  <c:v>0.29804858622062902</c:v>
                </c:pt>
                <c:pt idx="82">
                  <c:v>0.30544291952588898</c:v>
                </c:pt>
                <c:pt idx="83">
                  <c:v>0.29970878498624798</c:v>
                </c:pt>
                <c:pt idx="84">
                  <c:v>0.32375296912113999</c:v>
                </c:pt>
                <c:pt idx="85">
                  <c:v>0.34200100842757297</c:v>
                </c:pt>
                <c:pt idx="86">
                  <c:v>0.353755649616184</c:v>
                </c:pt>
                <c:pt idx="87">
                  <c:v>0.35470383275261302</c:v>
                </c:pt>
                <c:pt idx="88">
                  <c:v>0.35751133343754798</c:v>
                </c:pt>
                <c:pt idx="89">
                  <c:v>0.35206190099358098</c:v>
                </c:pt>
                <c:pt idx="90">
                  <c:v>0.34903358979170501</c:v>
                </c:pt>
                <c:pt idx="92">
                  <c:v>0.35881532020468199</c:v>
                </c:pt>
                <c:pt idx="93">
                  <c:v>0.406008192990441</c:v>
                </c:pt>
                <c:pt idx="94">
                  <c:v>0.40022488755622099</c:v>
                </c:pt>
                <c:pt idx="95">
                  <c:v>0.40291593894752797</c:v>
                </c:pt>
                <c:pt idx="96">
                  <c:v>0.414978559810734</c:v>
                </c:pt>
              </c:numCache>
            </c:numRef>
          </c:val>
          <c:smooth val="0"/>
          <c:extLst>
            <c:ext xmlns:c16="http://schemas.microsoft.com/office/drawing/2014/chart" uri="{C3380CC4-5D6E-409C-BE32-E72D297353CC}">
              <c16:uniqueId val="{00000003-75C1-4F3F-94F2-EE6BBA3612AC}"/>
            </c:ext>
          </c:extLst>
        </c:ser>
        <c:ser>
          <c:idx val="4"/>
          <c:order val="4"/>
          <c:tx>
            <c:v>MACYS</c:v>
          </c:tx>
          <c:marker>
            <c:symbol val="none"/>
          </c:marker>
          <c:cat>
            <c:numRef>
              <c:f>Data_Chart_1!$F$28:$CZ$28</c:f>
              <c:numCache>
                <c:formatCode>m/d/yyyy</c:formatCode>
                <c:ptCount val="99"/>
                <c:pt idx="0">
                  <c:v>46053</c:v>
                </c:pt>
                <c:pt idx="1">
                  <c:v>46022</c:v>
                </c:pt>
                <c:pt idx="2">
                  <c:v>45991</c:v>
                </c:pt>
                <c:pt idx="3">
                  <c:v>45961</c:v>
                </c:pt>
                <c:pt idx="4">
                  <c:v>45930</c:v>
                </c:pt>
                <c:pt idx="5">
                  <c:v>45900</c:v>
                </c:pt>
                <c:pt idx="6">
                  <c:v>45869</c:v>
                </c:pt>
                <c:pt idx="7">
                  <c:v>45838</c:v>
                </c:pt>
                <c:pt idx="8">
                  <c:v>45808</c:v>
                </c:pt>
                <c:pt idx="9">
                  <c:v>45777</c:v>
                </c:pt>
                <c:pt idx="10">
                  <c:v>45747</c:v>
                </c:pt>
                <c:pt idx="11">
                  <c:v>45716</c:v>
                </c:pt>
                <c:pt idx="12">
                  <c:v>45688</c:v>
                </c:pt>
                <c:pt idx="13">
                  <c:v>45657</c:v>
                </c:pt>
                <c:pt idx="14">
                  <c:v>45626</c:v>
                </c:pt>
                <c:pt idx="15">
                  <c:v>45596</c:v>
                </c:pt>
                <c:pt idx="16">
                  <c:v>45565</c:v>
                </c:pt>
                <c:pt idx="17">
                  <c:v>45535</c:v>
                </c:pt>
                <c:pt idx="18">
                  <c:v>45504</c:v>
                </c:pt>
                <c:pt idx="19">
                  <c:v>45473</c:v>
                </c:pt>
                <c:pt idx="20">
                  <c:v>45443</c:v>
                </c:pt>
                <c:pt idx="21">
                  <c:v>45412</c:v>
                </c:pt>
                <c:pt idx="22">
                  <c:v>45382</c:v>
                </c:pt>
                <c:pt idx="23">
                  <c:v>45351</c:v>
                </c:pt>
                <c:pt idx="24">
                  <c:v>45322</c:v>
                </c:pt>
                <c:pt idx="25">
                  <c:v>45291</c:v>
                </c:pt>
                <c:pt idx="26">
                  <c:v>45260</c:v>
                </c:pt>
                <c:pt idx="27">
                  <c:v>45230</c:v>
                </c:pt>
                <c:pt idx="28">
                  <c:v>45199</c:v>
                </c:pt>
                <c:pt idx="29">
                  <c:v>45169</c:v>
                </c:pt>
                <c:pt idx="30">
                  <c:v>45138</c:v>
                </c:pt>
                <c:pt idx="31">
                  <c:v>45107</c:v>
                </c:pt>
                <c:pt idx="32">
                  <c:v>45077</c:v>
                </c:pt>
                <c:pt idx="33">
                  <c:v>45046</c:v>
                </c:pt>
                <c:pt idx="34">
                  <c:v>45016</c:v>
                </c:pt>
                <c:pt idx="35">
                  <c:v>44985</c:v>
                </c:pt>
                <c:pt idx="36">
                  <c:v>44957</c:v>
                </c:pt>
                <c:pt idx="37">
                  <c:v>44926</c:v>
                </c:pt>
                <c:pt idx="38">
                  <c:v>44895</c:v>
                </c:pt>
                <c:pt idx="39">
                  <c:v>44865</c:v>
                </c:pt>
                <c:pt idx="40">
                  <c:v>44834</c:v>
                </c:pt>
                <c:pt idx="41">
                  <c:v>44804</c:v>
                </c:pt>
                <c:pt idx="42">
                  <c:v>44773</c:v>
                </c:pt>
                <c:pt idx="43">
                  <c:v>44742</c:v>
                </c:pt>
                <c:pt idx="44">
                  <c:v>44712</c:v>
                </c:pt>
                <c:pt idx="45">
                  <c:v>44681</c:v>
                </c:pt>
                <c:pt idx="46">
                  <c:v>44651</c:v>
                </c:pt>
                <c:pt idx="47">
                  <c:v>44620</c:v>
                </c:pt>
                <c:pt idx="48">
                  <c:v>44592</c:v>
                </c:pt>
                <c:pt idx="49">
                  <c:v>44561</c:v>
                </c:pt>
                <c:pt idx="50">
                  <c:v>44530</c:v>
                </c:pt>
                <c:pt idx="51">
                  <c:v>44500</c:v>
                </c:pt>
                <c:pt idx="52">
                  <c:v>44469</c:v>
                </c:pt>
                <c:pt idx="53">
                  <c:v>44439</c:v>
                </c:pt>
                <c:pt idx="54">
                  <c:v>44408</c:v>
                </c:pt>
                <c:pt idx="55">
                  <c:v>44377</c:v>
                </c:pt>
                <c:pt idx="56">
                  <c:v>44347</c:v>
                </c:pt>
                <c:pt idx="57">
                  <c:v>44316</c:v>
                </c:pt>
                <c:pt idx="58">
                  <c:v>44286</c:v>
                </c:pt>
                <c:pt idx="59">
                  <c:v>44255</c:v>
                </c:pt>
                <c:pt idx="60">
                  <c:v>44227</c:v>
                </c:pt>
                <c:pt idx="61">
                  <c:v>44196</c:v>
                </c:pt>
                <c:pt idx="62">
                  <c:v>44165</c:v>
                </c:pt>
                <c:pt idx="63">
                  <c:v>44135</c:v>
                </c:pt>
                <c:pt idx="64">
                  <c:v>44104</c:v>
                </c:pt>
                <c:pt idx="65">
                  <c:v>44074</c:v>
                </c:pt>
                <c:pt idx="66">
                  <c:v>44043</c:v>
                </c:pt>
                <c:pt idx="67">
                  <c:v>44012</c:v>
                </c:pt>
                <c:pt idx="68">
                  <c:v>43982</c:v>
                </c:pt>
                <c:pt idx="69">
                  <c:v>43951</c:v>
                </c:pt>
                <c:pt idx="70">
                  <c:v>43921</c:v>
                </c:pt>
                <c:pt idx="71">
                  <c:v>43890</c:v>
                </c:pt>
                <c:pt idx="72">
                  <c:v>43861</c:v>
                </c:pt>
                <c:pt idx="73">
                  <c:v>43830</c:v>
                </c:pt>
                <c:pt idx="74">
                  <c:v>43799</c:v>
                </c:pt>
                <c:pt idx="75">
                  <c:v>43769</c:v>
                </c:pt>
                <c:pt idx="76">
                  <c:v>43738</c:v>
                </c:pt>
                <c:pt idx="77">
                  <c:v>43708</c:v>
                </c:pt>
                <c:pt idx="78">
                  <c:v>43677</c:v>
                </c:pt>
                <c:pt idx="79">
                  <c:v>43646</c:v>
                </c:pt>
                <c:pt idx="80">
                  <c:v>43616</c:v>
                </c:pt>
                <c:pt idx="81">
                  <c:v>43585</c:v>
                </c:pt>
                <c:pt idx="82">
                  <c:v>43555</c:v>
                </c:pt>
                <c:pt idx="83">
                  <c:v>43524</c:v>
                </c:pt>
                <c:pt idx="84">
                  <c:v>43496</c:v>
                </c:pt>
                <c:pt idx="85">
                  <c:v>43465</c:v>
                </c:pt>
                <c:pt idx="86">
                  <c:v>43434</c:v>
                </c:pt>
                <c:pt idx="87">
                  <c:v>43404</c:v>
                </c:pt>
                <c:pt idx="88">
                  <c:v>43373</c:v>
                </c:pt>
                <c:pt idx="89">
                  <c:v>43343</c:v>
                </c:pt>
                <c:pt idx="90">
                  <c:v>43312</c:v>
                </c:pt>
                <c:pt idx="91">
                  <c:v>43281</c:v>
                </c:pt>
                <c:pt idx="92">
                  <c:v>43251</c:v>
                </c:pt>
                <c:pt idx="93">
                  <c:v>43220</c:v>
                </c:pt>
                <c:pt idx="94">
                  <c:v>43190</c:v>
                </c:pt>
                <c:pt idx="95">
                  <c:v>43159</c:v>
                </c:pt>
                <c:pt idx="96">
                  <c:v>43131</c:v>
                </c:pt>
                <c:pt idx="97">
                  <c:v>43100</c:v>
                </c:pt>
                <c:pt idx="98">
                  <c:v>43069</c:v>
                </c:pt>
              </c:numCache>
            </c:numRef>
          </c:cat>
          <c:val>
            <c:numRef>
              <c:f>Data_Chart_1!$F$33:$CZ$33</c:f>
              <c:numCache>
                <c:formatCode>0%</c:formatCode>
                <c:ptCount val="99"/>
                <c:pt idx="0">
                  <c:v>0.546319882021718</c:v>
                </c:pt>
                <c:pt idx="1">
                  <c:v>0.56952848498687003</c:v>
                </c:pt>
                <c:pt idx="2">
                  <c:v>0.56216216216216197</c:v>
                </c:pt>
                <c:pt idx="3">
                  <c:v>0.63978994584541304</c:v>
                </c:pt>
                <c:pt idx="4">
                  <c:v>0.554458223444251</c:v>
                </c:pt>
                <c:pt idx="5">
                  <c:v>0.61754366385804305</c:v>
                </c:pt>
                <c:pt idx="6">
                  <c:v>0.64073001757832704</c:v>
                </c:pt>
                <c:pt idx="7">
                  <c:v>0.650646321314024</c:v>
                </c:pt>
                <c:pt idx="8">
                  <c:v>0.65880064281485196</c:v>
                </c:pt>
                <c:pt idx="9">
                  <c:v>0.44878361075544099</c:v>
                </c:pt>
                <c:pt idx="10">
                  <c:v>0.48589562764456901</c:v>
                </c:pt>
                <c:pt idx="11">
                  <c:v>0.46616674539442599</c:v>
                </c:pt>
                <c:pt idx="12">
                  <c:v>0.45285112047925402</c:v>
                </c:pt>
                <c:pt idx="13">
                  <c:v>0.40011723329425503</c:v>
                </c:pt>
                <c:pt idx="14">
                  <c:v>0.39840142095914699</c:v>
                </c:pt>
                <c:pt idx="15">
                  <c:v>0.27672655236013299</c:v>
                </c:pt>
                <c:pt idx="16">
                  <c:v>0.134018247335735</c:v>
                </c:pt>
                <c:pt idx="17">
                  <c:v>0.23955010911532601</c:v>
                </c:pt>
                <c:pt idx="18">
                  <c:v>0.172864587933928</c:v>
                </c:pt>
                <c:pt idx="19">
                  <c:v>0.25704923687160403</c:v>
                </c:pt>
                <c:pt idx="20">
                  <c:v>0.206943966998968</c:v>
                </c:pt>
                <c:pt idx="21">
                  <c:v>0.29671853335387399</c:v>
                </c:pt>
                <c:pt idx="22">
                  <c:v>0.289806490934024</c:v>
                </c:pt>
                <c:pt idx="23">
                  <c:v>0.31380417335473498</c:v>
                </c:pt>
                <c:pt idx="24">
                  <c:v>0.34497354497354499</c:v>
                </c:pt>
                <c:pt idx="25">
                  <c:v>0.39898557407285401</c:v>
                </c:pt>
                <c:pt idx="26">
                  <c:v>0.41836603821982798</c:v>
                </c:pt>
                <c:pt idx="27">
                  <c:v>0.44135429262394199</c:v>
                </c:pt>
                <c:pt idx="28">
                  <c:v>0.51593220338983004</c:v>
                </c:pt>
                <c:pt idx="29">
                  <c:v>0.43959441078273698</c:v>
                </c:pt>
                <c:pt idx="30">
                  <c:v>0.50608604407135305</c:v>
                </c:pt>
                <c:pt idx="31">
                  <c:v>0.35783866057838598</c:v>
                </c:pt>
                <c:pt idx="32">
                  <c:v>0.48864827104435898</c:v>
                </c:pt>
                <c:pt idx="33">
                  <c:v>0.433877147447781</c:v>
                </c:pt>
                <c:pt idx="34">
                  <c:v>0.43355147243896303</c:v>
                </c:pt>
                <c:pt idx="35">
                  <c:v>0.460980705419687</c:v>
                </c:pt>
                <c:pt idx="36">
                  <c:v>0.42853729916980199</c:v>
                </c:pt>
                <c:pt idx="37">
                  <c:v>0.41142504765108201</c:v>
                </c:pt>
                <c:pt idx="38">
                  <c:v>0.40709346419808101</c:v>
                </c:pt>
                <c:pt idx="39">
                  <c:v>0.41197086687475998</c:v>
                </c:pt>
                <c:pt idx="40">
                  <c:v>0.39601156410407601</c:v>
                </c:pt>
                <c:pt idx="41">
                  <c:v>0.401085236264978</c:v>
                </c:pt>
                <c:pt idx="42">
                  <c:v>0.355534825870646</c:v>
                </c:pt>
                <c:pt idx="43">
                  <c:v>0.36837335749886702</c:v>
                </c:pt>
                <c:pt idx="44">
                  <c:v>0.34885434811737898</c:v>
                </c:pt>
                <c:pt idx="45">
                  <c:v>0.386556753329105</c:v>
                </c:pt>
                <c:pt idx="46">
                  <c:v>0.39076320444781398</c:v>
                </c:pt>
                <c:pt idx="47">
                  <c:v>0.36693826819499997</c:v>
                </c:pt>
                <c:pt idx="48">
                  <c:v>0.40762252822554301</c:v>
                </c:pt>
                <c:pt idx="49">
                  <c:v>0.42341538069123802</c:v>
                </c:pt>
                <c:pt idx="50">
                  <c:v>0.42926404773744398</c:v>
                </c:pt>
                <c:pt idx="51">
                  <c:v>0.41637720313907101</c:v>
                </c:pt>
                <c:pt idx="52">
                  <c:v>0.41029085779539198</c:v>
                </c:pt>
                <c:pt idx="53">
                  <c:v>0.395712589902939</c:v>
                </c:pt>
                <c:pt idx="57">
                  <c:v>0.43422275321916898</c:v>
                </c:pt>
                <c:pt idx="58">
                  <c:v>0.411448303340195</c:v>
                </c:pt>
                <c:pt idx="59">
                  <c:v>0.45427206792853297</c:v>
                </c:pt>
                <c:pt idx="60">
                  <c:v>0.57541450136104899</c:v>
                </c:pt>
                <c:pt idx="61">
                  <c:v>0.52188211484948099</c:v>
                </c:pt>
                <c:pt idx="62">
                  <c:v>0.51747378931602594</c:v>
                </c:pt>
                <c:pt idx="63">
                  <c:v>0.45429023898646698</c:v>
                </c:pt>
                <c:pt idx="64">
                  <c:v>0.43872491145218401</c:v>
                </c:pt>
                <c:pt idx="65">
                  <c:v>0.44354774270874903</c:v>
                </c:pt>
                <c:pt idx="69">
                  <c:v>0.58438205872862203</c:v>
                </c:pt>
                <c:pt idx="70">
                  <c:v>0.61331901181525195</c:v>
                </c:pt>
                <c:pt idx="71">
                  <c:v>0.61696102541172904</c:v>
                </c:pt>
                <c:pt idx="72">
                  <c:v>0.57380338205789605</c:v>
                </c:pt>
                <c:pt idx="73">
                  <c:v>0.60117423302737105</c:v>
                </c:pt>
                <c:pt idx="74">
                  <c:v>0.58959675495108499</c:v>
                </c:pt>
                <c:pt idx="75">
                  <c:v>0.57196515623751298</c:v>
                </c:pt>
                <c:pt idx="79">
                  <c:v>0.47450523864959199</c:v>
                </c:pt>
                <c:pt idx="80">
                  <c:v>0.43880470488502699</c:v>
                </c:pt>
                <c:pt idx="81">
                  <c:v>0.42671771963411997</c:v>
                </c:pt>
                <c:pt idx="82">
                  <c:v>0.40836586726157198</c:v>
                </c:pt>
                <c:pt idx="83">
                  <c:v>0.41949004540691498</c:v>
                </c:pt>
                <c:pt idx="84">
                  <c:v>0.46656779137312998</c:v>
                </c:pt>
                <c:pt idx="85">
                  <c:v>0.48686892912819202</c:v>
                </c:pt>
                <c:pt idx="91">
                  <c:v>0.44359892569382198</c:v>
                </c:pt>
                <c:pt idx="92">
                  <c:v>0.44933536718239198</c:v>
                </c:pt>
                <c:pt idx="93">
                  <c:v>0.451160220994475</c:v>
                </c:pt>
                <c:pt idx="94">
                  <c:v>0.46536702243519901</c:v>
                </c:pt>
                <c:pt idx="95">
                  <c:v>0.44988161010260402</c:v>
                </c:pt>
              </c:numCache>
            </c:numRef>
          </c:val>
          <c:smooth val="0"/>
          <c:extLst>
            <c:ext xmlns:c16="http://schemas.microsoft.com/office/drawing/2014/chart" uri="{C3380CC4-5D6E-409C-BE32-E72D297353CC}">
              <c16:uniqueId val="{00000004-75C1-4F3F-94F2-EE6BBA3612AC}"/>
            </c:ext>
          </c:extLst>
        </c:ser>
        <c:dLbls>
          <c:showLegendKey val="0"/>
          <c:showVal val="0"/>
          <c:showCatName val="0"/>
          <c:showSerName val="0"/>
          <c:showPercent val="0"/>
          <c:showBubbleSize val="0"/>
        </c:dLbls>
        <c:smooth val="0"/>
        <c:axId val="615812096"/>
        <c:axId val="615822080"/>
      </c:lineChart>
      <c:dateAx>
        <c:axId val="615812096"/>
        <c:scaling>
          <c:orientation val="minMax"/>
        </c:scaling>
        <c:delete val="0"/>
        <c:axPos val="b"/>
        <c:numFmt formatCode="[$-409]mmm\-yy;@" sourceLinked="0"/>
        <c:majorTickMark val="none"/>
        <c:minorTickMark val="none"/>
        <c:tickLblPos val="low"/>
        <c:txPr>
          <a:bodyPr rot="0"/>
          <a:lstStyle/>
          <a:p>
            <a:pPr>
              <a:defRPr/>
            </a:pPr>
            <a:endParaRPr lang="en-US"/>
          </a:p>
        </c:txPr>
        <c:crossAx val="615822080"/>
        <c:crosses val="autoZero"/>
        <c:auto val="1"/>
        <c:lblOffset val="100"/>
        <c:baseTimeUnit val="days"/>
      </c:dateAx>
      <c:valAx>
        <c:axId val="615822080"/>
        <c:scaling>
          <c:orientation val="minMax"/>
        </c:scaling>
        <c:delete val="0"/>
        <c:axPos val="l"/>
        <c:numFmt formatCode="0%" sourceLinked="0"/>
        <c:majorTickMark val="none"/>
        <c:minorTickMark val="none"/>
        <c:tickLblPos val="nextTo"/>
        <c:spPr>
          <a:ln>
            <a:noFill/>
          </a:ln>
        </c:spPr>
        <c:crossAx val="615812096"/>
        <c:crosses val="autoZero"/>
        <c:crossBetween val="between"/>
      </c:valAx>
    </c:plotArea>
    <c:legend>
      <c:legendPos val="b"/>
      <c:layout>
        <c:manualLayout>
          <c:xMode val="edge"/>
          <c:yMode val="edge"/>
          <c:x val="0"/>
          <c:y val="0.90301338582677171"/>
          <c:w val="0.99773661895501931"/>
          <c:h val="7.8704479488810417E-2"/>
        </c:manualLayout>
      </c:layout>
      <c:overlay val="0"/>
    </c:legend>
    <c:plotVisOnly val="0"/>
    <c:dispBlanksAs val="gap"/>
    <c:showDLblsOverMax val="0"/>
  </c:chart>
  <c:spPr>
    <a:solidFill>
      <a:schemeClr val="bg1"/>
    </a:solidFill>
    <a:ln>
      <a:noFill/>
    </a:ln>
  </c:spPr>
  <c:txPr>
    <a:bodyPr/>
    <a:lstStyle/>
    <a:p>
      <a:pPr>
        <a:defRPr sz="800">
          <a:latin typeface="Aria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'图4 恒科趋势'!$B$1</c:f>
              <c:strCache>
                <c:ptCount val="1"/>
                <c:pt idx="0">
                  <c:v>收盘</c:v>
                </c:pt>
              </c:strCache>
            </c:strRef>
          </c:tx>
          <c:spPr>
            <a:ln w="28575" cap="rnd">
              <a:solidFill>
                <a:srgbClr val="002060"/>
              </a:solidFill>
              <a:round/>
            </a:ln>
            <a:effectLst/>
          </c:spPr>
          <c:marker>
            <c:symbol val="none"/>
          </c:marker>
          <c:cat>
            <c:numRef>
              <c:f>'图4 恒科趋势'!$A$2:$A$54</c:f>
              <c:numCache>
                <c:formatCode>m/d/yyyy</c:formatCode>
                <c:ptCount val="53"/>
                <c:pt idx="0">
                  <c:v>46100</c:v>
                </c:pt>
                <c:pt idx="1">
                  <c:v>46099</c:v>
                </c:pt>
                <c:pt idx="2">
                  <c:v>46098</c:v>
                </c:pt>
                <c:pt idx="3">
                  <c:v>46097</c:v>
                </c:pt>
                <c:pt idx="4">
                  <c:v>46094</c:v>
                </c:pt>
                <c:pt idx="5">
                  <c:v>46093</c:v>
                </c:pt>
                <c:pt idx="6">
                  <c:v>46092</c:v>
                </c:pt>
                <c:pt idx="7">
                  <c:v>46091</c:v>
                </c:pt>
                <c:pt idx="8">
                  <c:v>46090</c:v>
                </c:pt>
                <c:pt idx="9">
                  <c:v>46087</c:v>
                </c:pt>
                <c:pt idx="10">
                  <c:v>46086</c:v>
                </c:pt>
                <c:pt idx="11">
                  <c:v>46085</c:v>
                </c:pt>
                <c:pt idx="12">
                  <c:v>46084</c:v>
                </c:pt>
                <c:pt idx="13">
                  <c:v>46083</c:v>
                </c:pt>
                <c:pt idx="14">
                  <c:v>46080</c:v>
                </c:pt>
                <c:pt idx="15">
                  <c:v>46079</c:v>
                </c:pt>
                <c:pt idx="16">
                  <c:v>46078</c:v>
                </c:pt>
                <c:pt idx="17">
                  <c:v>46077</c:v>
                </c:pt>
                <c:pt idx="18">
                  <c:v>46076</c:v>
                </c:pt>
                <c:pt idx="19">
                  <c:v>46073</c:v>
                </c:pt>
                <c:pt idx="20">
                  <c:v>46069</c:v>
                </c:pt>
                <c:pt idx="21">
                  <c:v>46066</c:v>
                </c:pt>
                <c:pt idx="22">
                  <c:v>46065</c:v>
                </c:pt>
                <c:pt idx="23">
                  <c:v>46064</c:v>
                </c:pt>
                <c:pt idx="24">
                  <c:v>46063</c:v>
                </c:pt>
                <c:pt idx="25">
                  <c:v>46062</c:v>
                </c:pt>
                <c:pt idx="26">
                  <c:v>46059</c:v>
                </c:pt>
                <c:pt idx="27">
                  <c:v>46058</c:v>
                </c:pt>
                <c:pt idx="28">
                  <c:v>46057</c:v>
                </c:pt>
                <c:pt idx="29">
                  <c:v>46056</c:v>
                </c:pt>
                <c:pt idx="30">
                  <c:v>46055</c:v>
                </c:pt>
                <c:pt idx="31">
                  <c:v>46052</c:v>
                </c:pt>
                <c:pt idx="32">
                  <c:v>46051</c:v>
                </c:pt>
                <c:pt idx="33">
                  <c:v>46050</c:v>
                </c:pt>
                <c:pt idx="34">
                  <c:v>46049</c:v>
                </c:pt>
                <c:pt idx="35">
                  <c:v>46048</c:v>
                </c:pt>
                <c:pt idx="36">
                  <c:v>46045</c:v>
                </c:pt>
                <c:pt idx="37">
                  <c:v>46044</c:v>
                </c:pt>
                <c:pt idx="38">
                  <c:v>46043</c:v>
                </c:pt>
                <c:pt idx="39">
                  <c:v>46042</c:v>
                </c:pt>
                <c:pt idx="40">
                  <c:v>46041</c:v>
                </c:pt>
                <c:pt idx="41">
                  <c:v>46038</c:v>
                </c:pt>
                <c:pt idx="42">
                  <c:v>46037</c:v>
                </c:pt>
                <c:pt idx="43">
                  <c:v>46036</c:v>
                </c:pt>
                <c:pt idx="44">
                  <c:v>46035</c:v>
                </c:pt>
                <c:pt idx="45">
                  <c:v>46034</c:v>
                </c:pt>
                <c:pt idx="46">
                  <c:v>46031</c:v>
                </c:pt>
                <c:pt idx="47">
                  <c:v>46030</c:v>
                </c:pt>
                <c:pt idx="48">
                  <c:v>46029</c:v>
                </c:pt>
                <c:pt idx="49">
                  <c:v>46028</c:v>
                </c:pt>
                <c:pt idx="50">
                  <c:v>46027</c:v>
                </c:pt>
                <c:pt idx="51">
                  <c:v>46024</c:v>
                </c:pt>
                <c:pt idx="52">
                  <c:v>46022</c:v>
                </c:pt>
              </c:numCache>
            </c:numRef>
          </c:cat>
          <c:val>
            <c:numRef>
              <c:f>'图4 恒科趋势'!$B$2:$B$54</c:f>
              <c:numCache>
                <c:formatCode>#,##0.00</c:formatCode>
                <c:ptCount val="53"/>
                <c:pt idx="0">
                  <c:v>25520</c:v>
                </c:pt>
                <c:pt idx="1">
                  <c:v>26025.42</c:v>
                </c:pt>
                <c:pt idx="2">
                  <c:v>25868.54</c:v>
                </c:pt>
                <c:pt idx="3">
                  <c:v>25834.02</c:v>
                </c:pt>
                <c:pt idx="4">
                  <c:v>25465.599999999999</c:v>
                </c:pt>
                <c:pt idx="5">
                  <c:v>25716.76</c:v>
                </c:pt>
                <c:pt idx="6">
                  <c:v>25898.76</c:v>
                </c:pt>
                <c:pt idx="7">
                  <c:v>25959.9</c:v>
                </c:pt>
                <c:pt idx="8">
                  <c:v>25408.46</c:v>
                </c:pt>
                <c:pt idx="9">
                  <c:v>25757.29</c:v>
                </c:pt>
                <c:pt idx="10">
                  <c:v>25321.34</c:v>
                </c:pt>
                <c:pt idx="11">
                  <c:v>25249.48</c:v>
                </c:pt>
                <c:pt idx="12">
                  <c:v>25768.080000000002</c:v>
                </c:pt>
                <c:pt idx="13">
                  <c:v>26059.85</c:v>
                </c:pt>
                <c:pt idx="14">
                  <c:v>26630.54</c:v>
                </c:pt>
                <c:pt idx="15">
                  <c:v>26381.02</c:v>
                </c:pt>
                <c:pt idx="16">
                  <c:v>26765.72</c:v>
                </c:pt>
                <c:pt idx="17">
                  <c:v>26590.32</c:v>
                </c:pt>
                <c:pt idx="18">
                  <c:v>27081.91</c:v>
                </c:pt>
                <c:pt idx="19">
                  <c:v>26413.35</c:v>
                </c:pt>
                <c:pt idx="20">
                  <c:v>26705.94</c:v>
                </c:pt>
                <c:pt idx="21">
                  <c:v>26567.119999999999</c:v>
                </c:pt>
                <c:pt idx="22">
                  <c:v>27032.54</c:v>
                </c:pt>
                <c:pt idx="23">
                  <c:v>27266.38</c:v>
                </c:pt>
                <c:pt idx="24">
                  <c:v>27183.15</c:v>
                </c:pt>
                <c:pt idx="25">
                  <c:v>27027.16</c:v>
                </c:pt>
                <c:pt idx="26">
                  <c:v>26559.95</c:v>
                </c:pt>
                <c:pt idx="27">
                  <c:v>26885.24</c:v>
                </c:pt>
                <c:pt idx="28">
                  <c:v>26847.32</c:v>
                </c:pt>
                <c:pt idx="29">
                  <c:v>26834.77</c:v>
                </c:pt>
                <c:pt idx="30">
                  <c:v>26775.57</c:v>
                </c:pt>
                <c:pt idx="31">
                  <c:v>27387.11</c:v>
                </c:pt>
                <c:pt idx="32">
                  <c:v>27968.09</c:v>
                </c:pt>
                <c:pt idx="33">
                  <c:v>27826.91</c:v>
                </c:pt>
                <c:pt idx="34">
                  <c:v>27126.95</c:v>
                </c:pt>
                <c:pt idx="35">
                  <c:v>26765.52</c:v>
                </c:pt>
                <c:pt idx="36">
                  <c:v>26749.51</c:v>
                </c:pt>
                <c:pt idx="37">
                  <c:v>26629.96</c:v>
                </c:pt>
                <c:pt idx="38">
                  <c:v>26585.06</c:v>
                </c:pt>
                <c:pt idx="39">
                  <c:v>26487.51</c:v>
                </c:pt>
                <c:pt idx="40">
                  <c:v>26563.9</c:v>
                </c:pt>
                <c:pt idx="41">
                  <c:v>26844.959999999999</c:v>
                </c:pt>
                <c:pt idx="42">
                  <c:v>26923.62</c:v>
                </c:pt>
                <c:pt idx="43">
                  <c:v>26999.81</c:v>
                </c:pt>
                <c:pt idx="44">
                  <c:v>26848.47</c:v>
                </c:pt>
                <c:pt idx="45">
                  <c:v>26608.48</c:v>
                </c:pt>
                <c:pt idx="46">
                  <c:v>26231.79</c:v>
                </c:pt>
                <c:pt idx="47">
                  <c:v>26149.31</c:v>
                </c:pt>
                <c:pt idx="48">
                  <c:v>26458.95</c:v>
                </c:pt>
                <c:pt idx="49">
                  <c:v>26710.45</c:v>
                </c:pt>
                <c:pt idx="50">
                  <c:v>26347.24</c:v>
                </c:pt>
                <c:pt idx="51">
                  <c:v>26338.47</c:v>
                </c:pt>
                <c:pt idx="52">
                  <c:v>25630.54</c:v>
                </c:pt>
              </c:numCache>
            </c:numRef>
          </c:val>
          <c:smooth val="0"/>
          <c:extLst>
            <c:ext xmlns:c16="http://schemas.microsoft.com/office/drawing/2014/chart" uri="{C3380CC4-5D6E-409C-BE32-E72D297353CC}">
              <c16:uniqueId val="{00000000-67B1-4EFD-B4C3-8F39FD663303}"/>
            </c:ext>
          </c:extLst>
        </c:ser>
        <c:dLbls>
          <c:showLegendKey val="0"/>
          <c:showVal val="0"/>
          <c:showCatName val="0"/>
          <c:showSerName val="0"/>
          <c:showPercent val="0"/>
          <c:showBubbleSize val="0"/>
        </c:dLbls>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图3_纳斯达克YTD!$B$1</c:f>
              <c:strCache>
                <c:ptCount val="1"/>
                <c:pt idx="0">
                  <c:v>收盘价</c:v>
                </c:pt>
              </c:strCache>
            </c:strRef>
          </c:tx>
          <c:spPr>
            <a:ln w="28575" cap="rnd">
              <a:solidFill>
                <a:srgbClr val="002060"/>
              </a:solidFill>
              <a:round/>
            </a:ln>
            <a:effectLst/>
          </c:spPr>
          <c:marker>
            <c:symbol val="none"/>
          </c:marker>
          <c:cat>
            <c:numRef>
              <c:f>图3_纳斯达克YTD!$A$2:$A$54</c:f>
              <c:numCache>
                <c:formatCode>m/d/yyyy</c:formatCode>
                <c:ptCount val="53"/>
                <c:pt idx="0">
                  <c:v>46022</c:v>
                </c:pt>
                <c:pt idx="1">
                  <c:v>46024</c:v>
                </c:pt>
                <c:pt idx="2">
                  <c:v>46027</c:v>
                </c:pt>
                <c:pt idx="3">
                  <c:v>46028</c:v>
                </c:pt>
                <c:pt idx="4">
                  <c:v>46029</c:v>
                </c:pt>
                <c:pt idx="5">
                  <c:v>46030</c:v>
                </c:pt>
                <c:pt idx="6">
                  <c:v>46031</c:v>
                </c:pt>
                <c:pt idx="7">
                  <c:v>46034</c:v>
                </c:pt>
                <c:pt idx="8">
                  <c:v>46035</c:v>
                </c:pt>
                <c:pt idx="9">
                  <c:v>46036</c:v>
                </c:pt>
                <c:pt idx="10">
                  <c:v>46037</c:v>
                </c:pt>
                <c:pt idx="11">
                  <c:v>46038</c:v>
                </c:pt>
                <c:pt idx="12">
                  <c:v>46042</c:v>
                </c:pt>
                <c:pt idx="13">
                  <c:v>46043</c:v>
                </c:pt>
                <c:pt idx="14">
                  <c:v>46044</c:v>
                </c:pt>
                <c:pt idx="15">
                  <c:v>46045</c:v>
                </c:pt>
                <c:pt idx="16">
                  <c:v>46048</c:v>
                </c:pt>
                <c:pt idx="17">
                  <c:v>46049</c:v>
                </c:pt>
                <c:pt idx="18">
                  <c:v>46050</c:v>
                </c:pt>
                <c:pt idx="19">
                  <c:v>46051</c:v>
                </c:pt>
                <c:pt idx="20">
                  <c:v>46052</c:v>
                </c:pt>
                <c:pt idx="21">
                  <c:v>46055</c:v>
                </c:pt>
                <c:pt idx="22">
                  <c:v>46056</c:v>
                </c:pt>
                <c:pt idx="23">
                  <c:v>46057</c:v>
                </c:pt>
                <c:pt idx="24">
                  <c:v>46058</c:v>
                </c:pt>
                <c:pt idx="25">
                  <c:v>46059</c:v>
                </c:pt>
                <c:pt idx="26">
                  <c:v>46062</c:v>
                </c:pt>
                <c:pt idx="27">
                  <c:v>46063</c:v>
                </c:pt>
                <c:pt idx="28">
                  <c:v>46064</c:v>
                </c:pt>
                <c:pt idx="29">
                  <c:v>46065</c:v>
                </c:pt>
                <c:pt idx="30">
                  <c:v>46066</c:v>
                </c:pt>
                <c:pt idx="31">
                  <c:v>46070</c:v>
                </c:pt>
                <c:pt idx="32">
                  <c:v>46071</c:v>
                </c:pt>
                <c:pt idx="33">
                  <c:v>46072</c:v>
                </c:pt>
                <c:pt idx="34">
                  <c:v>46073</c:v>
                </c:pt>
                <c:pt idx="35">
                  <c:v>46076</c:v>
                </c:pt>
                <c:pt idx="36">
                  <c:v>46077</c:v>
                </c:pt>
                <c:pt idx="37">
                  <c:v>46078</c:v>
                </c:pt>
                <c:pt idx="38">
                  <c:v>46079</c:v>
                </c:pt>
                <c:pt idx="39">
                  <c:v>46080</c:v>
                </c:pt>
                <c:pt idx="40">
                  <c:v>46083</c:v>
                </c:pt>
                <c:pt idx="41">
                  <c:v>46084</c:v>
                </c:pt>
                <c:pt idx="42">
                  <c:v>46085</c:v>
                </c:pt>
                <c:pt idx="43">
                  <c:v>46086</c:v>
                </c:pt>
                <c:pt idx="44">
                  <c:v>46087</c:v>
                </c:pt>
                <c:pt idx="45">
                  <c:v>46090</c:v>
                </c:pt>
                <c:pt idx="46">
                  <c:v>46091</c:v>
                </c:pt>
                <c:pt idx="47">
                  <c:v>46092</c:v>
                </c:pt>
                <c:pt idx="48">
                  <c:v>46093</c:v>
                </c:pt>
                <c:pt idx="49">
                  <c:v>46094</c:v>
                </c:pt>
                <c:pt idx="50">
                  <c:v>46097</c:v>
                </c:pt>
                <c:pt idx="51">
                  <c:v>46098</c:v>
                </c:pt>
                <c:pt idx="52">
                  <c:v>46099</c:v>
                </c:pt>
              </c:numCache>
            </c:numRef>
          </c:cat>
          <c:val>
            <c:numRef>
              <c:f>图3_纳斯达克YTD!$B$2:$B$54</c:f>
              <c:numCache>
                <c:formatCode>#,##0.00</c:formatCode>
                <c:ptCount val="53"/>
                <c:pt idx="0">
                  <c:v>23241.99</c:v>
                </c:pt>
                <c:pt idx="1">
                  <c:v>23235.63</c:v>
                </c:pt>
                <c:pt idx="2">
                  <c:v>23395.82</c:v>
                </c:pt>
                <c:pt idx="3">
                  <c:v>23547.17</c:v>
                </c:pt>
                <c:pt idx="4">
                  <c:v>23584.28</c:v>
                </c:pt>
                <c:pt idx="5">
                  <c:v>23480.02</c:v>
                </c:pt>
                <c:pt idx="6">
                  <c:v>23671.35</c:v>
                </c:pt>
                <c:pt idx="7">
                  <c:v>23733.9</c:v>
                </c:pt>
                <c:pt idx="8">
                  <c:v>23709.87</c:v>
                </c:pt>
                <c:pt idx="9">
                  <c:v>23471.75</c:v>
                </c:pt>
                <c:pt idx="10">
                  <c:v>23530.02</c:v>
                </c:pt>
                <c:pt idx="11">
                  <c:v>23515.39</c:v>
                </c:pt>
                <c:pt idx="12">
                  <c:v>22954.32</c:v>
                </c:pt>
                <c:pt idx="13">
                  <c:v>23224.82</c:v>
                </c:pt>
                <c:pt idx="14">
                  <c:v>23436.02</c:v>
                </c:pt>
                <c:pt idx="15">
                  <c:v>23501.24</c:v>
                </c:pt>
                <c:pt idx="16">
                  <c:v>23601.360000000001</c:v>
                </c:pt>
                <c:pt idx="17">
                  <c:v>23817.1</c:v>
                </c:pt>
                <c:pt idx="18">
                  <c:v>23857.45</c:v>
                </c:pt>
                <c:pt idx="19">
                  <c:v>23685.119999999999</c:v>
                </c:pt>
                <c:pt idx="20">
                  <c:v>23461.82</c:v>
                </c:pt>
                <c:pt idx="21">
                  <c:v>23592.11</c:v>
                </c:pt>
                <c:pt idx="22">
                  <c:v>23255.19</c:v>
                </c:pt>
                <c:pt idx="23">
                  <c:v>22904.58</c:v>
                </c:pt>
                <c:pt idx="24">
                  <c:v>22540.59</c:v>
                </c:pt>
                <c:pt idx="25">
                  <c:v>23031.21</c:v>
                </c:pt>
                <c:pt idx="26">
                  <c:v>23238.67</c:v>
                </c:pt>
                <c:pt idx="27">
                  <c:v>23102.47</c:v>
                </c:pt>
                <c:pt idx="28">
                  <c:v>23066.47</c:v>
                </c:pt>
                <c:pt idx="29">
                  <c:v>22597.15</c:v>
                </c:pt>
                <c:pt idx="30">
                  <c:v>22546.67</c:v>
                </c:pt>
                <c:pt idx="31">
                  <c:v>22578.38</c:v>
                </c:pt>
                <c:pt idx="32">
                  <c:v>22753.63</c:v>
                </c:pt>
                <c:pt idx="33">
                  <c:v>22682.73</c:v>
                </c:pt>
                <c:pt idx="34">
                  <c:v>22886.07</c:v>
                </c:pt>
                <c:pt idx="35">
                  <c:v>22627.27</c:v>
                </c:pt>
                <c:pt idx="36">
                  <c:v>22863.68</c:v>
                </c:pt>
                <c:pt idx="37">
                  <c:v>23152.080000000002</c:v>
                </c:pt>
                <c:pt idx="38">
                  <c:v>22878.38</c:v>
                </c:pt>
                <c:pt idx="39">
                  <c:v>22668.21</c:v>
                </c:pt>
                <c:pt idx="40">
                  <c:v>22748.86</c:v>
                </c:pt>
                <c:pt idx="41">
                  <c:v>22516.69</c:v>
                </c:pt>
                <c:pt idx="42">
                  <c:v>22807.48</c:v>
                </c:pt>
                <c:pt idx="43">
                  <c:v>22748.99</c:v>
                </c:pt>
                <c:pt idx="44">
                  <c:v>22387.68</c:v>
                </c:pt>
                <c:pt idx="45">
                  <c:v>22695.95</c:v>
                </c:pt>
                <c:pt idx="46">
                  <c:v>22697.1</c:v>
                </c:pt>
                <c:pt idx="47">
                  <c:v>22716.13</c:v>
                </c:pt>
                <c:pt idx="48">
                  <c:v>22311.98</c:v>
                </c:pt>
                <c:pt idx="49">
                  <c:v>22105.360000000001</c:v>
                </c:pt>
                <c:pt idx="50">
                  <c:v>22374.18</c:v>
                </c:pt>
                <c:pt idx="51">
                  <c:v>22479.53</c:v>
                </c:pt>
                <c:pt idx="52">
                  <c:v>22152.42</c:v>
                </c:pt>
              </c:numCache>
            </c:numRef>
          </c:val>
          <c:smooth val="0"/>
          <c:extLst>
            <c:ext xmlns:c16="http://schemas.microsoft.com/office/drawing/2014/chart" uri="{C3380CC4-5D6E-409C-BE32-E72D297353CC}">
              <c16:uniqueId val="{00000000-89B7-414C-BE47-1A5B47F3AA42}"/>
            </c:ext>
          </c:extLst>
        </c:ser>
        <c:dLbls>
          <c:showLegendKey val="0"/>
          <c:showVal val="0"/>
          <c:showCatName val="0"/>
          <c:showSerName val="0"/>
          <c:showPercent val="0"/>
          <c:showBubbleSize val="0"/>
        </c:dLbls>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crossAx val="3783887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alibri" panose="020F0502020204030204" pitchFamily="34" charset="0"/>
              <a:ea typeface="楷体" panose="02010609060101010101" pitchFamily="49" charset="-122"/>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baseline="0">
          <a:solidFill>
            <a:schemeClr val="tx1"/>
          </a:solidFill>
          <a:latin typeface="Calibri" panose="020F0502020204030204" pitchFamily="34" charset="0"/>
          <a:ea typeface="楷体" panose="02010609060101010101" pitchFamily="49" charset="-122"/>
        </a:defRPr>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'图45-46'!$B$2</c:f>
              <c:strCache>
                <c:ptCount val="1"/>
                <c:pt idx="0">
                  <c:v>总交付量（架） （Piston + Turboprop + Business Jets）</c:v>
                </c:pt>
              </c:strCache>
            </c:strRef>
          </c:tx>
          <c:spPr>
            <a:solidFill>
              <a:srgbClr val="4472C4"/>
            </a:solidFill>
            <a:ln>
              <a:noFill/>
            </a:ln>
            <a:effectLst/>
          </c:spPr>
          <c:invertIfNegative val="0"/>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'图45-46'!$B$3:$B$12</c:f>
              <c:numCache>
                <c:formatCode>General</c:formatCode>
                <c:ptCount val="10"/>
                <c:pt idx="0">
                  <c:v>2658</c:v>
                </c:pt>
                <c:pt idx="1">
                  <c:v>2408</c:v>
                </c:pt>
                <c:pt idx="2">
                  <c:v>2646</c:v>
                </c:pt>
                <c:pt idx="3">
                  <c:v>2813</c:v>
                </c:pt>
                <c:pt idx="4">
                  <c:v>3069</c:v>
                </c:pt>
                <c:pt idx="5">
                  <c:v>3162</c:v>
                </c:pt>
                <c:pt idx="6">
                  <c:v>3230</c:v>
                </c:pt>
                <c:pt idx="7">
                  <c:v>3410</c:v>
                </c:pt>
                <c:pt idx="8">
                  <c:v>3520</c:v>
                </c:pt>
                <c:pt idx="9">
                  <c:v>3650</c:v>
                </c:pt>
              </c:numCache>
            </c:numRef>
          </c:val>
          <c:extLst>
            <c:ext xmlns:c16="http://schemas.microsoft.com/office/drawing/2014/chart" uri="{C3380CC4-5D6E-409C-BE32-E72D297353CC}">
              <c16:uniqueId val="{00000000-5D08-4436-B825-5B3D439DCB07}"/>
            </c:ext>
          </c:extLst>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'图45-46'!$C$2</c:f>
              <c:strCache>
                <c:ptCount val="1"/>
                <c:pt idx="0">
                  <c:v>YoY</c:v>
                </c:pt>
              </c:strCache>
            </c:strRef>
          </c:tx>
          <c:spPr>
            <a:ln w="19050" cap="rnd" cmpd="sng" algn="ctr">
              <a:solidFill>
                <a:sysClr val="windowText" lastClr="000000"/>
              </a:solidFill>
              <a:prstDash val="solid"/>
              <a:round/>
            </a:ln>
            <a:effectLst/>
          </c:spPr>
          <c:marker>
            <c:symbol val="none"/>
          </c:marker>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'图45-46'!$C$3:$C$12</c:f>
              <c:numCache>
                <c:formatCode>0.00%</c:formatCode>
                <c:ptCount val="10"/>
                <c:pt idx="1">
                  <c:v>-9.4E-2</c:v>
                </c:pt>
                <c:pt idx="2">
                  <c:v>9.9000000000000005E-2</c:v>
                </c:pt>
                <c:pt idx="3">
                  <c:v>6.3E-2</c:v>
                </c:pt>
                <c:pt idx="4">
                  <c:v>9.0999999999999998E-2</c:v>
                </c:pt>
                <c:pt idx="5">
                  <c:v>0.03</c:v>
                </c:pt>
                <c:pt idx="6">
                  <c:v>2.1999999999999999E-2</c:v>
                </c:pt>
                <c:pt idx="7">
                  <c:v>5.6000000000000001E-2</c:v>
                </c:pt>
                <c:pt idx="8">
                  <c:v>3.2000000000000001E-2</c:v>
                </c:pt>
                <c:pt idx="9">
                  <c:v>3.6999999999999998E-2</c:v>
                </c:pt>
              </c:numCache>
            </c:numRef>
          </c:val>
          <c:smooth val="0"/>
          <c:extLst>
            <c:ext xmlns:c16="http://schemas.microsoft.com/office/drawing/2014/chart" uri="{C3380CC4-5D6E-409C-BE32-E72D297353CC}">
              <c16:uniqueId val="{00000001-5D08-4436-B825-5B3D439DCB07}"/>
            </c:ext>
          </c:extLst>
        </c:ser>
        <c:dLbls>
          <c:showLegendKey val="0"/>
          <c:showVal val="0"/>
          <c:showCatName val="0"/>
          <c:showSerName val="0"/>
          <c:showPercent val="0"/>
          <c:showBubbleSize val="0"/>
        </c:dLbls>
        <c:marker val="1"/>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crossAx val="259816367"/>
        <c:crosses val="max"/>
        <c:crossBetween val="between"/>
      </c:valAx>
      <c:spPr>
        <a:noFill/>
        <a:ln w="25400">
          <a:noFill/>
        </a:ln>
        <a:effectLst/>
      </c:spPr>
    </c:plotArea>
    <c:legend>
      <c:legendPos val="t"/>
      <c:layout>
        <c:manualLayout>
          <c:xMode val="edge"/>
          <c:yMode val="edge"/>
          <c:x val="4.7544204322200398E-3"/>
          <c:y val="3.4782608695652202E-2"/>
          <c:w val="0.99442043222003895"/>
          <c:h val="0.12657765605386301"/>
        </c:manualLayou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e61129af-35ed-47bf-a9a7-f2a4b110e9cb}"/>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'图45-46'!$F$2</c:f>
              <c:strCache>
                <c:ptCount val="1"/>
                <c:pt idx="0">
                  <c:v>总交付价值（十亿美元）</c:v>
                </c:pt>
              </c:strCache>
            </c:strRef>
          </c:tx>
          <c:spPr>
            <a:solidFill>
              <a:srgbClr val="4472C4"/>
            </a:solidFill>
            <a:ln>
              <a:noFill/>
            </a:ln>
            <a:effectLst/>
          </c:spPr>
          <c:invertIfNegative val="0"/>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'图45-46'!$F$3:$F$12</c:f>
              <c:numCache>
                <c:formatCode>General</c:formatCode>
                <c:ptCount val="10"/>
                <c:pt idx="0">
                  <c:v>23.5</c:v>
                </c:pt>
                <c:pt idx="1">
                  <c:v>20</c:v>
                </c:pt>
                <c:pt idx="2">
                  <c:v>21.6</c:v>
                </c:pt>
                <c:pt idx="3">
                  <c:v>22.9</c:v>
                </c:pt>
                <c:pt idx="4">
                  <c:v>23.4</c:v>
                </c:pt>
                <c:pt idx="5">
                  <c:v>26.7</c:v>
                </c:pt>
                <c:pt idx="6">
                  <c:v>31</c:v>
                </c:pt>
                <c:pt idx="7">
                  <c:v>33</c:v>
                </c:pt>
                <c:pt idx="8">
                  <c:v>34.5</c:v>
                </c:pt>
                <c:pt idx="9">
                  <c:v>36</c:v>
                </c:pt>
              </c:numCache>
            </c:numRef>
          </c:val>
          <c:extLst>
            <c:ext xmlns:c16="http://schemas.microsoft.com/office/drawing/2014/chart" uri="{C3380CC4-5D6E-409C-BE32-E72D297353CC}">
              <c16:uniqueId val="{00000000-A39F-4148-AFC5-76022CC13832}"/>
            </c:ext>
          </c:extLst>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'图45-46'!$G$2</c:f>
              <c:strCache>
                <c:ptCount val="1"/>
                <c:pt idx="0">
                  <c:v>YoY</c:v>
                </c:pt>
              </c:strCache>
            </c:strRef>
          </c:tx>
          <c:spPr>
            <a:ln w="19050" cap="rnd" cmpd="sng" algn="ctr">
              <a:solidFill>
                <a:sysClr val="windowText" lastClr="000000"/>
              </a:solidFill>
              <a:prstDash val="solid"/>
              <a:round/>
            </a:ln>
            <a:effectLst/>
          </c:spPr>
          <c:marker>
            <c:symbol val="none"/>
          </c:marker>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'图45-46'!$G$3:$G$12</c:f>
              <c:numCache>
                <c:formatCode>0.00%</c:formatCode>
                <c:ptCount val="10"/>
                <c:pt idx="1">
                  <c:v>-0.14899999999999999</c:v>
                </c:pt>
                <c:pt idx="2">
                  <c:v>0.08</c:v>
                </c:pt>
                <c:pt idx="3">
                  <c:v>0.06</c:v>
                </c:pt>
                <c:pt idx="4">
                  <c:v>2.1999999999999999E-2</c:v>
                </c:pt>
                <c:pt idx="5">
                  <c:v>0.14099999999999999</c:v>
                </c:pt>
                <c:pt idx="6">
                  <c:v>0.161</c:v>
                </c:pt>
                <c:pt idx="7">
                  <c:v>6.5000000000000002E-2</c:v>
                </c:pt>
                <c:pt idx="8">
                  <c:v>4.4999999999999998E-2</c:v>
                </c:pt>
                <c:pt idx="9">
                  <c:v>4.2999999999999997E-2</c:v>
                </c:pt>
              </c:numCache>
            </c:numRef>
          </c:val>
          <c:smooth val="0"/>
          <c:extLst>
            <c:ext xmlns:c16="http://schemas.microsoft.com/office/drawing/2014/chart" uri="{C3380CC4-5D6E-409C-BE32-E72D297353CC}">
              <c16:uniqueId val="{00000001-A39F-4148-AFC5-76022CC13832}"/>
            </c:ext>
          </c:extLst>
        </c:ser>
        <c:dLbls>
          <c:showLegendKey val="0"/>
          <c:showVal val="0"/>
          <c:showCatName val="0"/>
          <c:showSerName val="0"/>
          <c:showPercent val="0"/>
          <c:showBubbleSize val="0"/>
        </c:dLbls>
        <c:marker val="1"/>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crossAx val="259816367"/>
        <c:crosses val="max"/>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44b2de96-f041-4ad3-b2d6-a1f6770e1231}"/>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'图45-46'!$S$32</c:f>
              <c:strCache>
                <c:ptCount val="1"/>
                <c:pt idx="0">
                  <c:v>世界其他地区</c:v>
                </c:pt>
              </c:strCache>
            </c:strRef>
          </c:tx>
          <c:spPr>
            <a:solidFill>
              <a:schemeClr val="accent1">
                <a:lumMod val="50000"/>
              </a:schemeClr>
            </a:solidFill>
            <a:ln>
              <a:noFill/>
            </a:ln>
            <a:effectLst/>
          </c:spPr>
          <c:invertIfNegative val="0"/>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'图45-46'!$S$33:$S$42</c:f>
              <c:numCache>
                <c:formatCode>General</c:formatCode>
                <c:ptCount val="10"/>
                <c:pt idx="0">
                  <c:v>1456</c:v>
                </c:pt>
                <c:pt idx="1">
                  <c:v>1686</c:v>
                </c:pt>
                <c:pt idx="2">
                  <c:v>1565</c:v>
                </c:pt>
                <c:pt idx="3">
                  <c:v>1713</c:v>
                </c:pt>
                <c:pt idx="4">
                  <c:v>1870</c:v>
                </c:pt>
                <c:pt idx="5">
                  <c:v>1944</c:v>
                </c:pt>
                <c:pt idx="6">
                  <c:v>2050</c:v>
                </c:pt>
                <c:pt idx="7">
                  <c:v>2190</c:v>
                </c:pt>
                <c:pt idx="8">
                  <c:v>2310</c:v>
                </c:pt>
                <c:pt idx="9">
                  <c:v>2380</c:v>
                </c:pt>
              </c:numCache>
            </c:numRef>
          </c:val>
          <c:extLst>
            <c:ext xmlns:c16="http://schemas.microsoft.com/office/drawing/2014/chart" uri="{C3380CC4-5D6E-409C-BE32-E72D297353CC}">
              <c16:uniqueId val="{00000000-C7EA-48A9-8FD9-4C37A63548DD}"/>
            </c:ext>
          </c:extLst>
        </c:ser>
        <c:ser>
          <c:idx val="1"/>
          <c:order val="1"/>
          <c:tx>
            <c:strRef>
              <c:f>'图45-46'!$T$32</c:f>
              <c:strCache>
                <c:ptCount val="1"/>
                <c:pt idx="0">
                  <c:v>亚太地区</c:v>
                </c:pt>
              </c:strCache>
            </c:strRef>
          </c:tx>
          <c:spPr>
            <a:solidFill>
              <a:schemeClr val="accent2"/>
            </a:solidFill>
            <a:ln>
              <a:noFill/>
            </a:ln>
            <a:effectLst/>
          </c:spPr>
          <c:invertIfNegative val="0"/>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'图45-46'!$T$33:$T$42</c:f>
              <c:numCache>
                <c:formatCode>General</c:formatCode>
                <c:ptCount val="10"/>
                <c:pt idx="0">
                  <c:v>118</c:v>
                </c:pt>
                <c:pt idx="1">
                  <c:v>133</c:v>
                </c:pt>
                <c:pt idx="2">
                  <c:v>110</c:v>
                </c:pt>
                <c:pt idx="3">
                  <c:v>131</c:v>
                </c:pt>
                <c:pt idx="4">
                  <c:v>114</c:v>
                </c:pt>
                <c:pt idx="5">
                  <c:v>145</c:v>
                </c:pt>
                <c:pt idx="6">
                  <c:v>320</c:v>
                </c:pt>
                <c:pt idx="7">
                  <c:v>355</c:v>
                </c:pt>
                <c:pt idx="8">
                  <c:v>375</c:v>
                </c:pt>
                <c:pt idx="9">
                  <c:v>390</c:v>
                </c:pt>
              </c:numCache>
            </c:numRef>
          </c:val>
          <c:extLst>
            <c:ext xmlns:c16="http://schemas.microsoft.com/office/drawing/2014/chart" uri="{C3380CC4-5D6E-409C-BE32-E72D297353CC}">
              <c16:uniqueId val="{00000001-C7EA-48A9-8FD9-4C37A63548DD}"/>
            </c:ext>
          </c:extLst>
        </c:ser>
        <c:ser>
          <c:idx val="2"/>
          <c:order val="2"/>
          <c:tx>
            <c:strRef>
              <c:f>'图45-46'!$U$32</c:f>
              <c:strCache>
                <c:ptCount val="1"/>
                <c:pt idx="0">
                  <c:v>欧洲</c:v>
                </c:pt>
              </c:strCache>
            </c:strRef>
          </c:tx>
          <c:spPr>
            <a:solidFill>
              <a:schemeClr val="accent3"/>
            </a:solidFill>
            <a:ln>
              <a:noFill/>
            </a:ln>
            <a:effectLst/>
          </c:spPr>
          <c:invertIfNegative val="0"/>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'图45-46'!$U$33:$U$42</c:f>
              <c:numCache>
                <c:formatCode>General</c:formatCode>
                <c:ptCount val="10"/>
                <c:pt idx="0">
                  <c:v>188</c:v>
                </c:pt>
                <c:pt idx="1">
                  <c:v>194</c:v>
                </c:pt>
                <c:pt idx="2">
                  <c:v>125</c:v>
                </c:pt>
                <c:pt idx="3">
                  <c:v>166</c:v>
                </c:pt>
                <c:pt idx="4">
                  <c:v>237</c:v>
                </c:pt>
                <c:pt idx="5">
                  <c:v>237</c:v>
                </c:pt>
                <c:pt idx="6">
                  <c:v>280</c:v>
                </c:pt>
                <c:pt idx="7">
                  <c:v>341</c:v>
                </c:pt>
                <c:pt idx="8">
                  <c:v>360</c:v>
                </c:pt>
                <c:pt idx="9">
                  <c:v>370</c:v>
                </c:pt>
              </c:numCache>
            </c:numRef>
          </c:val>
          <c:extLst>
            <c:ext xmlns:c16="http://schemas.microsoft.com/office/drawing/2014/chart" uri="{C3380CC4-5D6E-409C-BE32-E72D297353CC}">
              <c16:uniqueId val="{00000002-C7EA-48A9-8FD9-4C37A63548DD}"/>
            </c:ext>
          </c:extLst>
        </c:ser>
        <c:ser>
          <c:idx val="3"/>
          <c:order val="3"/>
          <c:tx>
            <c:strRef>
              <c:f>'图45-46'!$V$32</c:f>
              <c:strCache>
                <c:ptCount val="1"/>
                <c:pt idx="0">
                  <c:v>拉丁美洲</c:v>
                </c:pt>
              </c:strCache>
            </c:strRef>
          </c:tx>
          <c:spPr>
            <a:solidFill>
              <a:schemeClr val="tx2">
                <a:lumMod val="20000"/>
                <a:lumOff val="80000"/>
              </a:schemeClr>
            </a:solidFill>
            <a:ln>
              <a:noFill/>
            </a:ln>
            <a:effectLst/>
          </c:spPr>
          <c:invertIfNegative val="0"/>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'图45-46'!$V$33:$V$42</c:f>
              <c:numCache>
                <c:formatCode>General</c:formatCode>
                <c:ptCount val="10"/>
                <c:pt idx="0">
                  <c:v>309</c:v>
                </c:pt>
                <c:pt idx="1">
                  <c:v>331</c:v>
                </c:pt>
                <c:pt idx="2">
                  <c:v>309</c:v>
                </c:pt>
                <c:pt idx="3">
                  <c:v>355</c:v>
                </c:pt>
                <c:pt idx="4">
                  <c:v>358</c:v>
                </c:pt>
                <c:pt idx="5">
                  <c:v>302</c:v>
                </c:pt>
                <c:pt idx="6">
                  <c:v>320</c:v>
                </c:pt>
                <c:pt idx="7">
                  <c:v>206</c:v>
                </c:pt>
                <c:pt idx="8">
                  <c:v>220</c:v>
                </c:pt>
                <c:pt idx="9">
                  <c:v>230</c:v>
                </c:pt>
              </c:numCache>
            </c:numRef>
          </c:val>
          <c:extLst>
            <c:ext xmlns:c16="http://schemas.microsoft.com/office/drawing/2014/chart" uri="{C3380CC4-5D6E-409C-BE32-E72D297353CC}">
              <c16:uniqueId val="{00000003-C7EA-48A9-8FD9-4C37A63548DD}"/>
            </c:ext>
          </c:extLst>
        </c:ser>
        <c:ser>
          <c:idx val="4"/>
          <c:order val="4"/>
          <c:tx>
            <c:strRef>
              <c:f>'图45-46'!$W$32</c:f>
              <c:strCache>
                <c:ptCount val="1"/>
                <c:pt idx="0">
                  <c:v>北美洲</c:v>
                </c:pt>
              </c:strCache>
            </c:strRef>
          </c:tx>
          <c:spPr>
            <a:solidFill>
              <a:schemeClr val="accent5"/>
            </a:solidFill>
            <a:ln>
              <a:noFill/>
            </a:ln>
            <a:effectLst/>
          </c:spPr>
          <c:invertIfNegative val="0"/>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'图45-46'!$W$33:$W$42</c:f>
              <c:numCache>
                <c:formatCode>General</c:formatCode>
                <c:ptCount val="10"/>
                <c:pt idx="0">
                  <c:v>371</c:v>
                </c:pt>
                <c:pt idx="1">
                  <c:v>311</c:v>
                </c:pt>
                <c:pt idx="2">
                  <c:v>299</c:v>
                </c:pt>
                <c:pt idx="3">
                  <c:v>453</c:v>
                </c:pt>
                <c:pt idx="4">
                  <c:v>471</c:v>
                </c:pt>
                <c:pt idx="5">
                  <c:v>441</c:v>
                </c:pt>
                <c:pt idx="6">
                  <c:v>192</c:v>
                </c:pt>
                <c:pt idx="7">
                  <c:v>138</c:v>
                </c:pt>
                <c:pt idx="8">
                  <c:v>145</c:v>
                </c:pt>
                <c:pt idx="9">
                  <c:v>150</c:v>
                </c:pt>
              </c:numCache>
            </c:numRef>
          </c:val>
          <c:extLst>
            <c:ext xmlns:c16="http://schemas.microsoft.com/office/drawing/2014/chart" uri="{C3380CC4-5D6E-409C-BE32-E72D297353CC}">
              <c16:uniqueId val="{00000004-C7EA-48A9-8FD9-4C37A63548DD}"/>
            </c:ext>
          </c:extLst>
        </c:ser>
        <c:dLbls>
          <c:showLegendKey val="0"/>
          <c:showVal val="0"/>
          <c:showCatName val="0"/>
          <c:showSerName val="0"/>
          <c:showPercent val="0"/>
          <c:showBubbleSize val="0"/>
        </c:dLbls>
        <c:gapWidth val="150"/>
        <c:overlap val="100"/>
        <c:axId val="1119398399"/>
        <c:axId val="1119398879"/>
      </c:barChart>
      <c:catAx>
        <c:axId val="111939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endParaRPr lang="zh-CN"/>
          </a:p>
        </c:txPr>
        <c:crossAx val="1119398879"/>
        <c:crosses val="autoZero"/>
        <c:auto val="1"/>
        <c:lblAlgn val="ctr"/>
        <c:lblOffset val="100"/>
        <c:noMultiLvlLbl val="0"/>
      </c:catAx>
      <c:valAx>
        <c:axId val="11193988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endParaRPr lang="zh-CN"/>
          </a:p>
        </c:txPr>
        <c:crossAx val="11193983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endParaRPr lang="zh-CN"/>
        </a:p>
      </c:txPr>
    </c:legend>
    <c:plotVisOnly val="1"/>
    <c:dispBlanksAs val="gap"/>
    <c:showDLblsOverMax val="0"/>
    <c:extLst>
      <c:ext uri="{0b15fc19-7d7d-44ad-8c2d-2c3a37ce22c3}">
        <chartProps xmlns="https://web.wps.cn/et/2018/main" chartId="{96c3575c-f839-4b1a-b5db-e547ad2f07e2}"/>
      </c:ext>
    </c:extLst>
  </c:chart>
  <c:spPr>
    <a:solidFill>
      <a:schemeClr val="bg1"/>
    </a:solidFill>
    <a:ln w="9525" cap="flat" cmpd="sng" algn="ctr">
      <a:noFill/>
      <a:round/>
    </a:ln>
    <a:effectLst/>
  </c:spPr>
  <c:txPr>
    <a:bodyPr/>
    <a:lstStyle/>
    <a:p>
      <a:pPr>
        <a:defRPr lang="zh-CN">
          <a:solidFill>
            <a:sysClr val="windowText" lastClr="000000"/>
          </a:solidFill>
          <a:latin typeface="+mn-lt"/>
          <a:ea typeface="楷体" panose="02010609060101010101" pitchFamily="49" charset="-122"/>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05316267737497E-2"/>
          <c:y val="0.18243591891439101"/>
          <c:w val="0.956394683732263"/>
          <c:h val="0.73530869492377304"/>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chemeClr val="accent1"/>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活塞式飞机市场份额图!$C$205:$AB$205</c:f>
              <c:numCache>
                <c:formatCode>General</c:formatCode>
                <c:ptCount val="26"/>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pt idx="25">
                  <c:v>5</c:v>
                </c:pt>
              </c:numCache>
            </c:numRef>
          </c:val>
          <c:extLst>
            <c:ext xmlns:c16="http://schemas.microsoft.com/office/drawing/2014/chart" uri="{C3380CC4-5D6E-409C-BE32-E72D297353CC}">
              <c16:uniqueId val="{00000000-B3DF-4581-8A8F-C036E60DCBD8}"/>
            </c:ext>
          </c:extLst>
        </c:ser>
        <c:ser>
          <c:idx val="1"/>
          <c:order val="1"/>
          <c:tx>
            <c:strRef>
              <c:f>活塞式飞机市场份额图!$B$206</c:f>
              <c:strCache>
                <c:ptCount val="1"/>
                <c:pt idx="0">
                  <c:v>Textron Aviation (Cessna Aircraft)</c:v>
                </c:pt>
              </c:strCache>
            </c:strRef>
          </c:tx>
          <c:spPr>
            <a:solidFill>
              <a:schemeClr val="accent2"/>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活塞式飞机市场份额图!$C$206:$AB$206</c:f>
              <c:numCache>
                <c:formatCode>General</c:formatCode>
                <c:ptCount val="26"/>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pt idx="25">
                  <c:v>311</c:v>
                </c:pt>
              </c:numCache>
            </c:numRef>
          </c:val>
          <c:extLst>
            <c:ext xmlns:c16="http://schemas.microsoft.com/office/drawing/2014/chart" uri="{C3380CC4-5D6E-409C-BE32-E72D297353CC}">
              <c16:uniqueId val="{00000001-B3DF-4581-8A8F-C036E60DCBD8}"/>
            </c:ext>
          </c:extLst>
        </c:ser>
        <c:ser>
          <c:idx val="2"/>
          <c:order val="2"/>
          <c:tx>
            <c:strRef>
              <c:f>活塞式飞机市场份额图!$B$207</c:f>
              <c:strCache>
                <c:ptCount val="1"/>
                <c:pt idx="0">
                  <c:v>TECNAM Aircraft</c:v>
                </c:pt>
              </c:strCache>
            </c:strRef>
          </c:tx>
          <c:spPr>
            <a:solidFill>
              <a:schemeClr val="accent3"/>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活塞式飞机市场份额图!$C$207:$AB$207</c:f>
              <c:numCache>
                <c:formatCode>General</c:formatCode>
                <c:ptCount val="26"/>
                <c:pt idx="13">
                  <c:v>197</c:v>
                </c:pt>
                <c:pt idx="14">
                  <c:v>190</c:v>
                </c:pt>
                <c:pt idx="15">
                  <c:v>191</c:v>
                </c:pt>
                <c:pt idx="16">
                  <c:v>191</c:v>
                </c:pt>
                <c:pt idx="17">
                  <c:v>171</c:v>
                </c:pt>
                <c:pt idx="18">
                  <c:v>180</c:v>
                </c:pt>
                <c:pt idx="19">
                  <c:v>205</c:v>
                </c:pt>
                <c:pt idx="20">
                  <c:v>154</c:v>
                </c:pt>
                <c:pt idx="21">
                  <c:v>203</c:v>
                </c:pt>
                <c:pt idx="22">
                  <c:v>209</c:v>
                </c:pt>
                <c:pt idx="23">
                  <c:v>244</c:v>
                </c:pt>
                <c:pt idx="24">
                  <c:v>283</c:v>
                </c:pt>
                <c:pt idx="25">
                  <c:v>216</c:v>
                </c:pt>
              </c:numCache>
            </c:numRef>
          </c:val>
          <c:extLst>
            <c:ext xmlns:c16="http://schemas.microsoft.com/office/drawing/2014/chart" uri="{C3380CC4-5D6E-409C-BE32-E72D297353CC}">
              <c16:uniqueId val="{00000002-B3DF-4581-8A8F-C036E60DCBD8}"/>
            </c:ext>
          </c:extLst>
        </c:ser>
        <c:ser>
          <c:idx val="3"/>
          <c:order val="3"/>
          <c:tx>
            <c:strRef>
              <c:f>活塞式飞机市场份额图!$B$208</c:f>
              <c:strCache>
                <c:ptCount val="1"/>
                <c:pt idx="0">
                  <c:v>Pipistrel by Textron Aviation</c:v>
                </c:pt>
              </c:strCache>
            </c:strRef>
          </c:tx>
          <c:spPr>
            <a:solidFill>
              <a:schemeClr val="accent4"/>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活塞式飞机市场份额图!$C$208:$AB$208</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pt idx="25">
                  <c:v>53</c:v>
                </c:pt>
              </c:numCache>
            </c:numRef>
          </c:val>
          <c:extLst>
            <c:ext xmlns:c16="http://schemas.microsoft.com/office/drawing/2014/chart" uri="{C3380CC4-5D6E-409C-BE32-E72D297353CC}">
              <c16:uniqueId val="{00000003-B3DF-4581-8A8F-C036E60DCBD8}"/>
            </c:ext>
          </c:extLst>
        </c:ser>
        <c:ser>
          <c:idx val="4"/>
          <c:order val="4"/>
          <c:tx>
            <c:strRef>
              <c:f>活塞式飞机市场份额图!$B$209</c:f>
              <c:strCache>
                <c:ptCount val="1"/>
                <c:pt idx="0">
                  <c:v>Piper Aircraft, Inc.</c:v>
                </c:pt>
              </c:strCache>
            </c:strRef>
          </c:tx>
          <c:spPr>
            <a:solidFill>
              <a:schemeClr val="accent5"/>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活塞式飞机市场份额图!$C$209:$AB$209</c:f>
              <c:numCache>
                <c:formatCode>General</c:formatCode>
                <c:ptCount val="26"/>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pt idx="25">
                  <c:v>203</c:v>
                </c:pt>
              </c:numCache>
            </c:numRef>
          </c:val>
          <c:extLst>
            <c:ext xmlns:c16="http://schemas.microsoft.com/office/drawing/2014/chart" uri="{C3380CC4-5D6E-409C-BE32-E72D297353CC}">
              <c16:uniqueId val="{00000004-B3DF-4581-8A8F-C036E60DCBD8}"/>
            </c:ext>
          </c:extLst>
        </c:ser>
        <c:ser>
          <c:idx val="5"/>
          <c:order val="5"/>
          <c:tx>
            <c:strRef>
              <c:f>活塞式飞机市场份额图!$B$210</c:f>
              <c:strCache>
                <c:ptCount val="1"/>
                <c:pt idx="0">
                  <c:v>Mooney International Corporation</c:v>
                </c:pt>
              </c:strCache>
            </c:strRef>
          </c:tx>
          <c:spPr>
            <a:solidFill>
              <a:schemeClr val="accent6"/>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活塞式飞机市场份额图!$C$210:$AB$210</c:f>
              <c:numCache>
                <c:formatCode>General</c:formatCode>
                <c:ptCount val="26"/>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pt idx="25">
                  <c:v>0</c:v>
                </c:pt>
              </c:numCache>
            </c:numRef>
          </c:val>
          <c:extLst>
            <c:ext xmlns:c16="http://schemas.microsoft.com/office/drawing/2014/chart" uri="{C3380CC4-5D6E-409C-BE32-E72D297353CC}">
              <c16:uniqueId val="{00000005-B3DF-4581-8A8F-C036E60DCBD8}"/>
            </c:ext>
          </c:extLst>
        </c:ser>
        <c:ser>
          <c:idx val="6"/>
          <c:order val="6"/>
          <c:tx>
            <c:strRef>
              <c:f>活塞式飞机市场份额图!$B$211</c:f>
              <c:strCache>
                <c:ptCount val="1"/>
                <c:pt idx="0">
                  <c:v>Diamond Aircraft</c:v>
                </c:pt>
              </c:strCache>
            </c:strRef>
          </c:tx>
          <c:spPr>
            <a:solidFill>
              <a:schemeClr val="accent1">
                <a:lumMod val="60000"/>
              </a:schemeClr>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活塞式飞机市场份额图!$C$211:$AB$211</c:f>
              <c:numCache>
                <c:formatCode>General</c:formatCode>
                <c:ptCount val="26"/>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pt idx="25">
                  <c:v>235</c:v>
                </c:pt>
              </c:numCache>
            </c:numRef>
          </c:val>
          <c:extLst>
            <c:ext xmlns:c16="http://schemas.microsoft.com/office/drawing/2014/chart" uri="{C3380CC4-5D6E-409C-BE32-E72D297353CC}">
              <c16:uniqueId val="{00000006-B3DF-4581-8A8F-C036E60DCBD8}"/>
            </c:ext>
          </c:extLst>
        </c:ser>
        <c:ser>
          <c:idx val="7"/>
          <c:order val="7"/>
          <c:tx>
            <c:strRef>
              <c:f>活塞式飞机市场份额图!$B$212</c:f>
              <c:strCache>
                <c:ptCount val="1"/>
                <c:pt idx="0">
                  <c:v>CubCrafters</c:v>
                </c:pt>
              </c:strCache>
            </c:strRef>
          </c:tx>
          <c:spPr>
            <a:solidFill>
              <a:schemeClr val="accent2">
                <a:lumMod val="60000"/>
              </a:schemeClr>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活塞式飞机市场份额图!$C$212:$AB$212</c:f>
              <c:numCache>
                <c:formatCode>General</c:formatCode>
                <c:ptCount val="26"/>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pt idx="25">
                  <c:v>73</c:v>
                </c:pt>
              </c:numCache>
            </c:numRef>
          </c:val>
          <c:extLst>
            <c:ext xmlns:c16="http://schemas.microsoft.com/office/drawing/2014/chart" uri="{C3380CC4-5D6E-409C-BE32-E72D297353CC}">
              <c16:uniqueId val="{00000007-B3DF-4581-8A8F-C036E60DCBD8}"/>
            </c:ext>
          </c:extLst>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活塞式飞机市场份额图!$C$213:$AB$213</c:f>
              <c:numCache>
                <c:formatCode>General</c:formatCode>
                <c:ptCount val="26"/>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extLst>
            <c:ext xmlns:c16="http://schemas.microsoft.com/office/drawing/2014/chart" uri="{C3380CC4-5D6E-409C-BE32-E72D297353CC}">
              <c16:uniqueId val="{00000008-B3DF-4581-8A8F-C036E60DCBD8}"/>
            </c:ext>
          </c:extLst>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活塞式飞机市场份额图!$C$214:$AB$214</c:f>
              <c:numCache>
                <c:formatCode>General</c:formatCode>
                <c:ptCount val="26"/>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pt idx="25">
                  <c:v>691</c:v>
                </c:pt>
              </c:numCache>
            </c:numRef>
          </c:val>
          <c:extLst>
            <c:ext xmlns:c16="http://schemas.microsoft.com/office/drawing/2014/chart" uri="{C3380CC4-5D6E-409C-BE32-E72D297353CC}">
              <c16:uniqueId val="{00000009-B3DF-4581-8A8F-C036E60DCBD8}"/>
            </c:ext>
          </c:extLst>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活塞式飞机市场份额图!$C$215:$AB$215</c:f>
              <c:numCache>
                <c:formatCode>_(* #,##0_);_(* \(#,##0\);_(* "-"??_);_(@_)</c:formatCode>
                <c:ptCount val="26"/>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pt idx="25" formatCode="General">
                  <c:v>71</c:v>
                </c:pt>
              </c:numCache>
            </c:numRef>
          </c:val>
          <c:extLst>
            <c:ext xmlns:c16="http://schemas.microsoft.com/office/drawing/2014/chart" uri="{C3380CC4-5D6E-409C-BE32-E72D297353CC}">
              <c16:uniqueId val="{0000000A-B3DF-4581-8A8F-C036E60DCBD8}"/>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crossAx val="412992478"/>
        <c:crosses val="autoZero"/>
        <c:crossBetween val="between"/>
      </c:valAx>
      <c:spPr>
        <a:noFill/>
        <a:ln>
          <a:noFill/>
        </a:ln>
        <a:effectLst/>
      </c:spPr>
    </c:plotArea>
    <c:legend>
      <c:legendPos val="t"/>
      <c:layout>
        <c:manualLayout>
          <c:xMode val="edge"/>
          <c:yMode val="edge"/>
          <c:x val="1.4795265276748E-2"/>
          <c:y val="2.9161603888213899E-2"/>
          <c:w val="0.98520473472325198"/>
          <c:h val="0.1387349910544289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837760437855305E-2"/>
          <c:y val="0.25052113929258202"/>
          <c:w val="0.93116223956214506"/>
          <c:h val="0.61956391538542499"/>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喷气式飞机市场份额图!$C$144:$AB$144</c:f>
              <c:numCache>
                <c:formatCode>General</c:formatCode>
                <c:ptCount val="26"/>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pt idx="25">
                  <c:v>0</c:v>
                </c:pt>
              </c:numCache>
            </c:numRef>
          </c:val>
          <c:extLst>
            <c:ext xmlns:c16="http://schemas.microsoft.com/office/drawing/2014/chart" uri="{C3380CC4-5D6E-409C-BE32-E72D297353CC}">
              <c16:uniqueId val="{00000000-4286-4ADB-85ED-57E0B4AF6562}"/>
            </c:ext>
          </c:extLst>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喷气式飞机市场份额图!$C$145:$AB$145</c:f>
              <c:numCache>
                <c:formatCode>General</c:formatCode>
                <c:ptCount val="26"/>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pt idx="25">
                  <c:v>171</c:v>
                </c:pt>
              </c:numCache>
            </c:numRef>
          </c:val>
          <c:extLst>
            <c:ext xmlns:c16="http://schemas.microsoft.com/office/drawing/2014/chart" uri="{C3380CC4-5D6E-409C-BE32-E72D297353CC}">
              <c16:uniqueId val="{00000001-4286-4ADB-85ED-57E0B4AF6562}"/>
            </c:ext>
          </c:extLst>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喷气式飞机市场份额图!$C$146:$AB$146</c:f>
              <c:numCache>
                <c:formatCode>General</c:formatCode>
                <c:ptCount val="26"/>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pt idx="25">
                  <c:v>0</c:v>
                </c:pt>
              </c:numCache>
            </c:numRef>
          </c:val>
          <c:extLst>
            <c:ext xmlns:c16="http://schemas.microsoft.com/office/drawing/2014/chart" uri="{C3380CC4-5D6E-409C-BE32-E72D297353CC}">
              <c16:uniqueId val="{00000002-4286-4ADB-85ED-57E0B4AF6562}"/>
            </c:ext>
          </c:extLst>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喷气式飞机市场份额图!$C$147:$AB$147</c:f>
              <c:numCache>
                <c:formatCode>General</c:formatCode>
                <c:ptCount val="26"/>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pt idx="25">
                  <c:v>158</c:v>
                </c:pt>
              </c:numCache>
            </c:numRef>
          </c:val>
          <c:extLst>
            <c:ext xmlns:c16="http://schemas.microsoft.com/office/drawing/2014/chart" uri="{C3380CC4-5D6E-409C-BE32-E72D297353CC}">
              <c16:uniqueId val="{00000003-4286-4ADB-85ED-57E0B4AF6562}"/>
            </c:ext>
          </c:extLst>
        </c:ser>
        <c:ser>
          <c:idx val="4"/>
          <c:order val="4"/>
          <c:tx>
            <c:strRef>
              <c:f>喷气式飞机市场份额图!$B$148</c:f>
              <c:strCache>
                <c:ptCount val="1"/>
                <c:pt idx="0">
                  <c:v>Embraer</c:v>
                </c:pt>
              </c:strCache>
            </c:strRef>
          </c:tx>
          <c:spPr>
            <a:solidFill>
              <a:srgbClr val="996633"/>
            </a:solidFill>
            <a:ln>
              <a:no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喷气式飞机市场份额图!$C$148:$AB$148</c:f>
              <c:numCache>
                <c:formatCode>General</c:formatCode>
                <c:ptCount val="26"/>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pt idx="25">
                  <c:v>155</c:v>
                </c:pt>
              </c:numCache>
            </c:numRef>
          </c:val>
          <c:extLst>
            <c:ext xmlns:c16="http://schemas.microsoft.com/office/drawing/2014/chart" uri="{C3380CC4-5D6E-409C-BE32-E72D297353CC}">
              <c16:uniqueId val="{00000004-4286-4ADB-85ED-57E0B4AF6562}"/>
            </c:ext>
          </c:extLst>
        </c:ser>
        <c:ser>
          <c:idx val="5"/>
          <c:order val="5"/>
          <c:tx>
            <c:strRef>
              <c:f>喷气式飞机市场份额图!$B$149</c:f>
              <c:strCache>
                <c:ptCount val="1"/>
                <c:pt idx="0">
                  <c:v>Dassault Aviation</c:v>
                </c:pt>
              </c:strCache>
            </c:strRef>
          </c:tx>
          <c:spPr>
            <a:solidFill>
              <a:srgbClr val="E7D6B5"/>
            </a:solidFill>
            <a:ln>
              <a:no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喷气式飞机市场份额图!$C$149:$AB$149</c:f>
              <c:numCache>
                <c:formatCode>General</c:formatCode>
                <c:ptCount val="26"/>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pt idx="25">
                  <c:v>37</c:v>
                </c:pt>
              </c:numCache>
            </c:numRef>
          </c:val>
          <c:extLst>
            <c:ext xmlns:c16="http://schemas.microsoft.com/office/drawing/2014/chart" uri="{C3380CC4-5D6E-409C-BE32-E72D297353CC}">
              <c16:uniqueId val="{00000005-4286-4ADB-85ED-57E0B4AF6562}"/>
            </c:ext>
          </c:extLst>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喷气式飞机市场份额图!$C$150:$AB$150</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pt idx="25">
                  <c:v>106</c:v>
                </c:pt>
              </c:numCache>
            </c:numRef>
          </c:val>
          <c:extLst>
            <c:ext xmlns:c16="http://schemas.microsoft.com/office/drawing/2014/chart" uri="{C3380CC4-5D6E-409C-BE32-E72D297353CC}">
              <c16:uniqueId val="{00000006-4286-4ADB-85ED-57E0B4AF6562}"/>
            </c:ext>
          </c:extLst>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喷气式飞机市场份额图!$C$151:$AB$151</c:f>
              <c:numCache>
                <c:formatCode>General</c:formatCode>
                <c:ptCount val="26"/>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pt idx="25">
                  <c:v>157</c:v>
                </c:pt>
              </c:numCache>
            </c:numRef>
          </c:val>
          <c:extLst>
            <c:ext xmlns:c16="http://schemas.microsoft.com/office/drawing/2014/chart" uri="{C3380CC4-5D6E-409C-BE32-E72D297353CC}">
              <c16:uniqueId val="{00000007-4286-4ADB-85ED-57E0B4AF6562}"/>
            </c:ext>
          </c:extLst>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喷气式飞机市场份额图!$C$152:$AB$152</c:f>
              <c:numCache>
                <c:formatCode>_(* #,##0_);_(* \(#,##0\);_(* "-"??_);_(@_)</c:formatCode>
                <c:ptCount val="26"/>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pt idx="25" formatCode="General">
                  <c:v>70</c:v>
                </c:pt>
              </c:numCache>
            </c:numRef>
          </c:val>
          <c:extLst>
            <c:ext xmlns:c16="http://schemas.microsoft.com/office/drawing/2014/chart" uri="{C3380CC4-5D6E-409C-BE32-E72D297353CC}">
              <c16:uniqueId val="{00000008-4286-4ADB-85ED-57E0B4AF6562}"/>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egendEntry>
        <c:idx val="2"/>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egendEntry>
        <c:idx val="3"/>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egendEntry>
        <c:idx val="4"/>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egendEntry>
        <c:idx val="5"/>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egendEntry>
        <c:idx val="6"/>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egendEntry>
        <c:idx val="7"/>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Entry>
      <c:layout>
        <c:manualLayout>
          <c:xMode val="edge"/>
          <c:yMode val="edge"/>
          <c:x val="1.47952755905512E-2"/>
          <c:y val="2.4531924565498499E-2"/>
          <c:w val="0.98520473472325198"/>
          <c:h val="0.1387349910544289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2024</c:v>
                </c:pt>
              </c:strCache>
            </c:strRef>
          </c:tx>
          <c:spPr>
            <a:solidFill>
              <a:schemeClr val="accent1">
                <a:lumMod val="75000"/>
              </a:schemeClr>
            </a:solidFill>
            <a:ln>
              <a:noFill/>
            </a:ln>
            <a:effectLst/>
          </c:spPr>
          <c:invertIfNegative val="0"/>
          <c:cat>
            <c:strRef>
              <c:f>Sheet1!$A$2:$A$5</c:f>
              <c:strCache>
                <c:ptCount val="4"/>
                <c:pt idx="0">
                  <c:v>Q1</c:v>
                </c:pt>
                <c:pt idx="1">
                  <c:v>Q2</c:v>
                </c:pt>
                <c:pt idx="2">
                  <c:v>Q3</c:v>
                </c:pt>
                <c:pt idx="3">
                  <c:v>Q4</c:v>
                </c:pt>
              </c:strCache>
            </c:strRef>
          </c:cat>
          <c:val>
            <c:numRef>
              <c:f>Sheet1!$B$2:$B$5</c:f>
              <c:numCache>
                <c:formatCode>General</c:formatCode>
                <c:ptCount val="4"/>
                <c:pt idx="0">
                  <c:v>531</c:v>
                </c:pt>
                <c:pt idx="1">
                  <c:v>842</c:v>
                </c:pt>
                <c:pt idx="2">
                  <c:v>796</c:v>
                </c:pt>
                <c:pt idx="3">
                  <c:v>993</c:v>
                </c:pt>
              </c:numCache>
            </c:numRef>
          </c:val>
          <c:extLst>
            <c:ext xmlns:c16="http://schemas.microsoft.com/office/drawing/2014/chart" uri="{C3380CC4-5D6E-409C-BE32-E72D297353CC}">
              <c16:uniqueId val="{00000000-5F49-4E0A-81AD-D2EAD9FEDDF2}"/>
            </c:ext>
          </c:extLst>
        </c:ser>
        <c:ser>
          <c:idx val="1"/>
          <c:order val="1"/>
          <c:tx>
            <c:strRef>
              <c:f>Sheet1!$C$1</c:f>
              <c:strCache>
                <c:ptCount val="1"/>
                <c:pt idx="0">
                  <c:v>2025</c:v>
                </c:pt>
              </c:strCache>
            </c:strRef>
          </c:tx>
          <c:spPr>
            <a:solidFill>
              <a:schemeClr val="accent3"/>
            </a:solidFill>
            <a:ln>
              <a:noFill/>
            </a:ln>
            <a:effectLst/>
          </c:spPr>
          <c:invertIfNegative val="0"/>
          <c:cat>
            <c:strRef>
              <c:f>Sheet1!$A$2:$A$5</c:f>
              <c:strCache>
                <c:ptCount val="4"/>
                <c:pt idx="0">
                  <c:v>Q1</c:v>
                </c:pt>
                <c:pt idx="1">
                  <c:v>Q2</c:v>
                </c:pt>
                <c:pt idx="2">
                  <c:v>Q3</c:v>
                </c:pt>
                <c:pt idx="3">
                  <c:v>Q4</c:v>
                </c:pt>
              </c:strCache>
            </c:strRef>
          </c:cat>
          <c:val>
            <c:numRef>
              <c:f>Sheet1!$C$2:$C$5</c:f>
              <c:numCache>
                <c:formatCode>General</c:formatCode>
                <c:ptCount val="4"/>
                <c:pt idx="0">
                  <c:v>632</c:v>
                </c:pt>
                <c:pt idx="1">
                  <c:v>801</c:v>
                </c:pt>
                <c:pt idx="2">
                  <c:v>770</c:v>
                </c:pt>
                <c:pt idx="3" formatCode="#,##0">
                  <c:v>1027</c:v>
                </c:pt>
              </c:numCache>
            </c:numRef>
          </c:val>
          <c:extLst>
            <c:ext xmlns:c16="http://schemas.microsoft.com/office/drawing/2014/chart" uri="{C3380CC4-5D6E-409C-BE32-E72D297353CC}">
              <c16:uniqueId val="{00000001-5F49-4E0A-81AD-D2EAD9FEDDF2}"/>
            </c:ext>
          </c:extLst>
        </c:ser>
        <c:dLbls>
          <c:showLegendKey val="0"/>
          <c:showVal val="0"/>
          <c:showCatName val="0"/>
          <c:showSerName val="0"/>
          <c:showPercent val="0"/>
          <c:showBubbleSize val="0"/>
        </c:dLbls>
        <c:gapWidth val="219"/>
        <c:overlap val="-27"/>
        <c:axId val="1711145183"/>
        <c:axId val="1711146143"/>
      </c:barChart>
      <c:catAx>
        <c:axId val="17111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1711146143"/>
        <c:crosses val="autoZero"/>
        <c:auto val="1"/>
        <c:lblAlgn val="ctr"/>
        <c:lblOffset val="100"/>
        <c:noMultiLvlLbl val="0"/>
      </c:catAx>
      <c:valAx>
        <c:axId val="17111461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17111451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
    <c:plotVisOnly val="1"/>
    <c:dispBlanksAs val="gap"/>
    <c:showDLblsOverMax val="0"/>
    <c:extLst>
      <c:ext uri="{0b15fc19-7d7d-44ad-8c2d-2c3a37ce22c3}">
        <chartProps xmlns="https://web.wps.cn/et/2018/main" chartId="{151698da-ba86-49f4-ba52-9b3a65dc470b}"/>
      </c:ext>
    </c:extLst>
  </c:chart>
  <c:spPr>
    <a:solidFill>
      <a:schemeClr val="bg1"/>
    </a:solidFill>
    <a:ln w="9525" cap="flat" cmpd="sng" algn="ctr">
      <a:noFill/>
      <a:round/>
    </a:ln>
    <a:effectLst/>
  </c:spPr>
  <c:txPr>
    <a:bodyPr/>
    <a:lstStyle/>
    <a:p>
      <a:pPr>
        <a:defRPr lang="zh-CN">
          <a:solidFill>
            <a:sysClr val="windowText" lastClr="000000"/>
          </a:solidFill>
        </a:defRPr>
      </a:pPr>
      <a:endParaRPr lang="zh-CN"/>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Sheet1!$B$27</c:f>
              <c:strCache>
                <c:ptCount val="1"/>
                <c:pt idx="0">
                  <c:v>民用直升机</c:v>
                </c:pt>
              </c:strCache>
            </c:strRef>
          </c:tx>
          <c:spPr>
            <a:solidFill>
              <a:schemeClr val="accent1">
                <a:lumMod val="75000"/>
              </a:schemeClr>
            </a:solidFill>
            <a:ln>
              <a:noFill/>
            </a:ln>
            <a:effectLst/>
          </c:spPr>
          <c:invertIfNegative val="0"/>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Sheet1!$B$28:$B$35</c:f>
              <c:numCache>
                <c:formatCode>General</c:formatCode>
                <c:ptCount val="8"/>
                <c:pt idx="0">
                  <c:v>169</c:v>
                </c:pt>
                <c:pt idx="1">
                  <c:v>199</c:v>
                </c:pt>
                <c:pt idx="2">
                  <c:v>181</c:v>
                </c:pt>
                <c:pt idx="3">
                  <c:v>276</c:v>
                </c:pt>
                <c:pt idx="4">
                  <c:v>170</c:v>
                </c:pt>
                <c:pt idx="5">
                  <c:v>183</c:v>
                </c:pt>
                <c:pt idx="6">
                  <c:v>176</c:v>
                </c:pt>
                <c:pt idx="7">
                  <c:v>276</c:v>
                </c:pt>
              </c:numCache>
            </c:numRef>
          </c:val>
          <c:extLst>
            <c:ext xmlns:c16="http://schemas.microsoft.com/office/drawing/2014/chart" uri="{C3380CC4-5D6E-409C-BE32-E72D297353CC}">
              <c16:uniqueId val="{00000000-24FD-4D54-98E6-97770825C281}"/>
            </c:ext>
          </c:extLst>
        </c:ser>
        <c:ser>
          <c:idx val="1"/>
          <c:order val="1"/>
          <c:tx>
            <c:strRef>
              <c:f>Sheet1!$C$27</c:f>
              <c:strCache>
                <c:ptCount val="1"/>
                <c:pt idx="0">
                  <c:v>商用直升机</c:v>
                </c:pt>
              </c:strCache>
            </c:strRef>
          </c:tx>
          <c:spPr>
            <a:solidFill>
              <a:schemeClr val="accent3"/>
            </a:solidFill>
            <a:ln>
              <a:noFill/>
            </a:ln>
            <a:effectLst/>
          </c:spPr>
          <c:invertIfNegative val="0"/>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Sheet1!$C$28:$C$35</c:f>
              <c:numCache>
                <c:formatCode>General</c:formatCode>
                <c:ptCount val="8"/>
                <c:pt idx="0">
                  <c:v>15</c:v>
                </c:pt>
                <c:pt idx="1">
                  <c:v>33</c:v>
                </c:pt>
                <c:pt idx="2">
                  <c:v>36</c:v>
                </c:pt>
                <c:pt idx="3">
                  <c:v>47</c:v>
                </c:pt>
                <c:pt idx="4">
                  <c:v>17</c:v>
                </c:pt>
                <c:pt idx="5">
                  <c:v>33</c:v>
                </c:pt>
                <c:pt idx="6">
                  <c:v>33</c:v>
                </c:pt>
                <c:pt idx="7">
                  <c:v>50</c:v>
                </c:pt>
              </c:numCache>
            </c:numRef>
          </c:val>
          <c:extLst>
            <c:ext xmlns:c16="http://schemas.microsoft.com/office/drawing/2014/chart" uri="{C3380CC4-5D6E-409C-BE32-E72D297353CC}">
              <c16:uniqueId val="{00000001-24FD-4D54-98E6-97770825C281}"/>
            </c:ext>
          </c:extLst>
        </c:ser>
        <c:dLbls>
          <c:showLegendKey val="0"/>
          <c:showVal val="0"/>
          <c:showCatName val="0"/>
          <c:showSerName val="0"/>
          <c:showPercent val="0"/>
          <c:showBubbleSize val="0"/>
        </c:dLbls>
        <c:gapWidth val="219"/>
        <c:overlap val="-27"/>
        <c:axId val="54871647"/>
        <c:axId val="54872127"/>
      </c:barChart>
      <c:catAx>
        <c:axId val="54871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54872127"/>
        <c:crosses val="autoZero"/>
        <c:auto val="1"/>
        <c:lblAlgn val="ctr"/>
        <c:lblOffset val="100"/>
        <c:noMultiLvlLbl val="0"/>
      </c:catAx>
      <c:valAx>
        <c:axId val="54872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54871647"/>
        <c:crosses val="autoZero"/>
        <c:crossBetween val="between"/>
      </c:valAx>
      <c:spPr>
        <a:noFill/>
        <a:ln>
          <a:noFill/>
        </a:ln>
        <a:effectLst/>
      </c:spPr>
    </c:plotArea>
    <c:legend>
      <c:legendPos val="b"/>
      <c:layout>
        <c:manualLayout>
          <c:xMode val="edge"/>
          <c:yMode val="edge"/>
          <c:x val="0.10911111111111101"/>
          <c:y val="0.90319444444444397"/>
          <c:w val="0.83455555555555605"/>
          <c:h val="6.9027777777777799E-2"/>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endParaRPr lang="zh-CN"/>
        </a:p>
      </c:txPr>
    </c:legend>
    <c:plotVisOnly val="1"/>
    <c:dispBlanksAs val="gap"/>
    <c:showDLblsOverMax val="0"/>
    <c:extLst>
      <c:ext uri="{0b15fc19-7d7d-44ad-8c2d-2c3a37ce22c3}">
        <chartProps xmlns="https://web.wps.cn/et/2018/main" chartId="{188fe82a-1d68-48f1-a33f-f79dfc7320ce}"/>
      </c:ext>
    </c:extLst>
  </c:chart>
  <c:spPr>
    <a:solidFill>
      <a:schemeClr val="bg1"/>
    </a:solidFill>
    <a:ln w="9525" cap="flat" cmpd="sng" algn="ctr">
      <a:noFill/>
      <a:round/>
    </a:ln>
    <a:effectLst/>
  </c:spPr>
  <c:txPr>
    <a:bodyPr/>
    <a:lstStyle/>
    <a:p>
      <a:pPr>
        <a:defRPr lang="zh-CN">
          <a:solidFill>
            <a:sysClr val="windowText" lastClr="000000"/>
          </a:solidFill>
        </a:defRPr>
      </a:pPr>
      <a:endParaRPr lang="zh-CN"/>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Sheet1!$B$59</c:f>
              <c:strCache>
                <c:ptCount val="1"/>
                <c:pt idx="0">
                  <c:v>喷气机</c:v>
                </c:pt>
              </c:strCache>
            </c:strRef>
          </c:tx>
          <c:spPr>
            <a:solidFill>
              <a:schemeClr val="accent1">
                <a:lumMod val="75000"/>
              </a:schemeClr>
            </a:solidFill>
            <a:ln>
              <a:noFill/>
            </a:ln>
            <a:effectLst/>
          </c:spPr>
          <c:invertIfNegative val="0"/>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Sheet1!$B$60:$B$67</c:f>
              <c:numCache>
                <c:formatCode>General</c:formatCode>
                <c:ptCount val="8"/>
                <c:pt idx="0">
                  <c:v>127</c:v>
                </c:pt>
                <c:pt idx="1">
                  <c:v>195</c:v>
                </c:pt>
                <c:pt idx="2">
                  <c:v>179</c:v>
                </c:pt>
                <c:pt idx="3">
                  <c:v>263</c:v>
                </c:pt>
                <c:pt idx="4">
                  <c:v>141</c:v>
                </c:pt>
                <c:pt idx="5">
                  <c:v>213</c:v>
                </c:pt>
                <c:pt idx="6">
                  <c:v>200</c:v>
                </c:pt>
                <c:pt idx="7">
                  <c:v>300</c:v>
                </c:pt>
              </c:numCache>
            </c:numRef>
          </c:val>
          <c:extLst>
            <c:ext xmlns:c16="http://schemas.microsoft.com/office/drawing/2014/chart" uri="{C3380CC4-5D6E-409C-BE32-E72D297353CC}">
              <c16:uniqueId val="{00000000-38E0-48B5-A719-2637AA68C043}"/>
            </c:ext>
          </c:extLst>
        </c:ser>
        <c:ser>
          <c:idx val="1"/>
          <c:order val="1"/>
          <c:tx>
            <c:strRef>
              <c:f>Sheet1!$C$59</c:f>
              <c:strCache>
                <c:ptCount val="1"/>
                <c:pt idx="0">
                  <c:v>活塞飞机</c:v>
                </c:pt>
              </c:strCache>
            </c:strRef>
          </c:tx>
          <c:spPr>
            <a:solidFill>
              <a:schemeClr val="bg2">
                <a:lumMod val="25000"/>
              </a:schemeClr>
            </a:solidFill>
            <a:ln>
              <a:noFill/>
            </a:ln>
            <a:effectLst/>
          </c:spPr>
          <c:invertIfNegative val="0"/>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Sheet1!$C$60:$C$67</c:f>
              <c:numCache>
                <c:formatCode>General</c:formatCode>
                <c:ptCount val="8"/>
                <c:pt idx="0">
                  <c:v>296</c:v>
                </c:pt>
                <c:pt idx="1">
                  <c:v>475</c:v>
                </c:pt>
                <c:pt idx="2">
                  <c:v>462</c:v>
                </c:pt>
                <c:pt idx="3">
                  <c:v>539</c:v>
                </c:pt>
                <c:pt idx="4">
                  <c:v>358</c:v>
                </c:pt>
                <c:pt idx="5">
                  <c:v>453</c:v>
                </c:pt>
                <c:pt idx="6">
                  <c:v>427</c:v>
                </c:pt>
                <c:pt idx="7">
                  <c:v>544</c:v>
                </c:pt>
              </c:numCache>
            </c:numRef>
          </c:val>
          <c:extLst>
            <c:ext xmlns:c16="http://schemas.microsoft.com/office/drawing/2014/chart" uri="{C3380CC4-5D6E-409C-BE32-E72D297353CC}">
              <c16:uniqueId val="{00000001-38E0-48B5-A719-2637AA68C043}"/>
            </c:ext>
          </c:extLst>
        </c:ser>
        <c:ser>
          <c:idx val="2"/>
          <c:order val="2"/>
          <c:tx>
            <c:strRef>
              <c:f>Sheet1!$D$59</c:f>
              <c:strCache>
                <c:ptCount val="1"/>
                <c:pt idx="0">
                  <c:v>涡轮螺旋桨</c:v>
                </c:pt>
              </c:strCache>
            </c:strRef>
          </c:tx>
          <c:spPr>
            <a:solidFill>
              <a:schemeClr val="accent3"/>
            </a:solidFill>
            <a:ln>
              <a:noFill/>
            </a:ln>
            <a:effectLst/>
          </c:spPr>
          <c:invertIfNegative val="0"/>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Sheet1!$D$60:$D$67</c:f>
              <c:numCache>
                <c:formatCode>General</c:formatCode>
                <c:ptCount val="8"/>
                <c:pt idx="0">
                  <c:v>108</c:v>
                </c:pt>
                <c:pt idx="1">
                  <c:v>172</c:v>
                </c:pt>
                <c:pt idx="2">
                  <c:v>155</c:v>
                </c:pt>
                <c:pt idx="3">
                  <c:v>191</c:v>
                </c:pt>
                <c:pt idx="4">
                  <c:v>133</c:v>
                </c:pt>
                <c:pt idx="5">
                  <c:v>135</c:v>
                </c:pt>
                <c:pt idx="6">
                  <c:v>141</c:v>
                </c:pt>
                <c:pt idx="7">
                  <c:v>185</c:v>
                </c:pt>
              </c:numCache>
            </c:numRef>
          </c:val>
          <c:extLst>
            <c:ext xmlns:c16="http://schemas.microsoft.com/office/drawing/2014/chart" uri="{C3380CC4-5D6E-409C-BE32-E72D297353CC}">
              <c16:uniqueId val="{00000002-38E0-48B5-A719-2637AA68C043}"/>
            </c:ext>
          </c:extLst>
        </c:ser>
        <c:dLbls>
          <c:showLegendKey val="0"/>
          <c:showVal val="0"/>
          <c:showCatName val="0"/>
          <c:showSerName val="0"/>
          <c:showPercent val="0"/>
          <c:showBubbleSize val="0"/>
        </c:dLbls>
        <c:gapWidth val="219"/>
        <c:overlap val="-27"/>
        <c:axId val="780827119"/>
        <c:axId val="780826639"/>
      </c:barChart>
      <c:catAx>
        <c:axId val="7808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780826639"/>
        <c:crosses val="autoZero"/>
        <c:auto val="1"/>
        <c:lblAlgn val="ctr"/>
        <c:lblOffset val="100"/>
        <c:noMultiLvlLbl val="0"/>
      </c:catAx>
      <c:valAx>
        <c:axId val="780826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780827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endParaRPr lang="zh-CN"/>
        </a:p>
      </c:txPr>
    </c:legend>
    <c:plotVisOnly val="1"/>
    <c:dispBlanksAs val="gap"/>
    <c:showDLblsOverMax val="0"/>
    <c:extLst>
      <c:ext uri="{0b15fc19-7d7d-44ad-8c2d-2c3a37ce22c3}">
        <chartProps xmlns="https://web.wps.cn/et/2018/main" chartId="{6d097d64-da7e-40a5-b085-95232fdf6c3d}"/>
      </c:ext>
    </c:extLst>
  </c:chart>
  <c:spPr>
    <a:solidFill>
      <a:schemeClr val="bg1"/>
    </a:solidFill>
    <a:ln w="9525" cap="flat" cmpd="sng" algn="ctr">
      <a:noFill/>
      <a:round/>
    </a:ln>
    <a:effectLst/>
  </c:spPr>
  <c:txPr>
    <a:bodyPr/>
    <a:lstStyle/>
    <a:p>
      <a:pPr>
        <a:defRPr lang="zh-CN">
          <a:solidFill>
            <a:sysClr val="windowText" lastClr="000000"/>
          </a:solidFill>
        </a:defRPr>
      </a:pPr>
      <a:endParaRPr lang="zh-CN"/>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Sheet1!$B$44</c:f>
              <c:strCache>
                <c:ptCount val="1"/>
                <c:pt idx="0">
                  <c:v>活塞直升机</c:v>
                </c:pt>
              </c:strCache>
            </c:strRef>
          </c:tx>
          <c:spPr>
            <a:solidFill>
              <a:schemeClr val="accent1">
                <a:lumMod val="75000"/>
              </a:schemeClr>
            </a:solidFill>
            <a:ln>
              <a:noFill/>
            </a:ln>
            <a:effectLst/>
          </c:spPr>
          <c:invertIfNegative val="0"/>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Sheet1!$B$45:$B$52</c:f>
              <c:numCache>
                <c:formatCode>General</c:formatCode>
                <c:ptCount val="8"/>
                <c:pt idx="0">
                  <c:v>53</c:v>
                </c:pt>
                <c:pt idx="1">
                  <c:v>54</c:v>
                </c:pt>
                <c:pt idx="2">
                  <c:v>48</c:v>
                </c:pt>
                <c:pt idx="3">
                  <c:v>55</c:v>
                </c:pt>
                <c:pt idx="4">
                  <c:v>54</c:v>
                </c:pt>
                <c:pt idx="5">
                  <c:v>50</c:v>
                </c:pt>
                <c:pt idx="6">
                  <c:v>45</c:v>
                </c:pt>
                <c:pt idx="7">
                  <c:v>57</c:v>
                </c:pt>
              </c:numCache>
            </c:numRef>
          </c:val>
          <c:extLst>
            <c:ext xmlns:c16="http://schemas.microsoft.com/office/drawing/2014/chart" uri="{C3380CC4-5D6E-409C-BE32-E72D297353CC}">
              <c16:uniqueId val="{00000000-439B-44C9-8CA2-64BA187CD87A}"/>
            </c:ext>
          </c:extLst>
        </c:ser>
        <c:ser>
          <c:idx val="1"/>
          <c:order val="1"/>
          <c:tx>
            <c:strRef>
              <c:f>Sheet1!$C$44</c:f>
              <c:strCache>
                <c:ptCount val="1"/>
                <c:pt idx="0">
                  <c:v>涡轮直升机</c:v>
                </c:pt>
              </c:strCache>
            </c:strRef>
          </c:tx>
          <c:spPr>
            <a:solidFill>
              <a:schemeClr val="accent3"/>
            </a:solidFill>
            <a:ln>
              <a:noFill/>
            </a:ln>
            <a:effectLst/>
          </c:spPr>
          <c:invertIfNegative val="0"/>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Sheet1!$C$45:$C$52</c:f>
              <c:numCache>
                <c:formatCode>General</c:formatCode>
                <c:ptCount val="8"/>
                <c:pt idx="0">
                  <c:v>131</c:v>
                </c:pt>
                <c:pt idx="1">
                  <c:v>178</c:v>
                </c:pt>
                <c:pt idx="2">
                  <c:v>169</c:v>
                </c:pt>
                <c:pt idx="3">
                  <c:v>347</c:v>
                </c:pt>
                <c:pt idx="4">
                  <c:v>133</c:v>
                </c:pt>
                <c:pt idx="5">
                  <c:v>166</c:v>
                </c:pt>
                <c:pt idx="6">
                  <c:v>164</c:v>
                </c:pt>
                <c:pt idx="7">
                  <c:v>269</c:v>
                </c:pt>
              </c:numCache>
            </c:numRef>
          </c:val>
          <c:extLst>
            <c:ext xmlns:c16="http://schemas.microsoft.com/office/drawing/2014/chart" uri="{C3380CC4-5D6E-409C-BE32-E72D297353CC}">
              <c16:uniqueId val="{00000001-439B-44C9-8CA2-64BA187CD87A}"/>
            </c:ext>
          </c:extLst>
        </c:ser>
        <c:dLbls>
          <c:showLegendKey val="0"/>
          <c:showVal val="0"/>
          <c:showCatName val="0"/>
          <c:showSerName val="0"/>
          <c:showPercent val="0"/>
          <c:showBubbleSize val="0"/>
        </c:dLbls>
        <c:gapWidth val="219"/>
        <c:overlap val="-27"/>
        <c:axId val="92512655"/>
        <c:axId val="92514575"/>
      </c:barChart>
      <c:catAx>
        <c:axId val="9251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92514575"/>
        <c:crosses val="autoZero"/>
        <c:auto val="1"/>
        <c:lblAlgn val="ctr"/>
        <c:lblOffset val="100"/>
        <c:noMultiLvlLbl val="0"/>
      </c:catAx>
      <c:valAx>
        <c:axId val="925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crossAx val="92512655"/>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endParaRPr lang="zh-CN"/>
        </a:p>
      </c:txPr>
    </c:legend>
    <c:plotVisOnly val="1"/>
    <c:dispBlanksAs val="gap"/>
    <c:showDLblsOverMax val="0"/>
    <c:extLst>
      <c:ext uri="{0b15fc19-7d7d-44ad-8c2d-2c3a37ce22c3}">
        <chartProps xmlns="https://web.wps.cn/et/2018/main" chartId="{25a68daf-1f82-4556-8fea-6ac8b816ff9f}"/>
      </c:ext>
    </c:extLst>
  </c:chart>
  <c:spPr>
    <a:solidFill>
      <a:schemeClr val="bg1"/>
    </a:solidFill>
    <a:ln w="9525" cap="flat" cmpd="sng" algn="ctr">
      <a:noFill/>
      <a:round/>
    </a:ln>
    <a:effectLst/>
  </c:spPr>
  <c:txPr>
    <a:bodyPr/>
    <a:lstStyle/>
    <a:p>
      <a:pPr>
        <a:defRPr lang="zh-CN">
          <a:solidFill>
            <a:sysClr val="windowText" lastClr="000000"/>
          </a:solidFill>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Fifth Edition" SelectedStyle="\APA.XSL"/>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0BD6CBB-6617-4FF7-953A-408A28C976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13</Pages>
  <Words>6220</Words>
  <Characters>12815</Characters>
  <Application>Microsoft Office Word</Application>
  <DocSecurity>0</DocSecurity>
  <Lines>312</Lines>
  <Paragraphs>154</Paragraphs>
  <ScaleCrop>false</ScaleCrop>
  <Company>Japaninvest</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Sector note</dc:title>
  <dc:creator>zhoulinhong</dc:creator>
  <cp:lastModifiedBy>Zizhou Zheng</cp:lastModifiedBy>
  <cp:revision>31</cp:revision>
  <cp:lastPrinted>2019-08-09T20:02:00Z</cp:lastPrinted>
  <dcterms:created xsi:type="dcterms:W3CDTF">2026-03-19T05:17:00Z</dcterms:created>
  <dcterms:modified xsi:type="dcterms:W3CDTF">2026-03-20T02:40:00Z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C9113695ED420E7CAB14A169B70C16E7_43</vt:lpwstr>
  </property>
</Properties>
</file>